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C4348" w14:textId="59C71A43" w:rsidR="006D57F1" w:rsidRDefault="006D57F1" w:rsidP="006D57F1">
      <w:pPr>
        <w:autoSpaceDE w:val="0"/>
        <w:autoSpaceDN w:val="0"/>
        <w:adjustRightInd w:val="0"/>
        <w:spacing w:line="360" w:lineRule="auto"/>
        <w:rPr>
          <w:rFonts w:ascii="Barlow" w:hAnsi="Barlow"/>
          <w:b/>
          <w:sz w:val="20"/>
          <w:szCs w:val="20"/>
        </w:rPr>
      </w:pPr>
      <w:r>
        <w:rPr>
          <w:rFonts w:ascii="Barlow" w:hAnsi="Barlow"/>
          <w:b/>
          <w:sz w:val="20"/>
          <w:szCs w:val="20"/>
        </w:rPr>
        <w:t xml:space="preserve">                                                                                                                                      </w:t>
      </w:r>
      <w:r>
        <w:rPr>
          <w:rFonts w:ascii="Barlow" w:hAnsi="Barlow"/>
          <w:b/>
          <w:sz w:val="20"/>
          <w:szCs w:val="20"/>
        </w:rPr>
        <w:t>Notas a los estados financieros</w:t>
      </w:r>
    </w:p>
    <w:p w14:paraId="7F0E0E06" w14:textId="7E947F87" w:rsidR="006D57F1" w:rsidRDefault="006D57F1" w:rsidP="006D57F1">
      <w:pPr>
        <w:autoSpaceDE w:val="0"/>
        <w:autoSpaceDN w:val="0"/>
        <w:adjustRightInd w:val="0"/>
        <w:spacing w:line="360" w:lineRule="auto"/>
        <w:jc w:val="center"/>
        <w:rPr>
          <w:rFonts w:ascii="Barlow" w:hAnsi="Barlow"/>
          <w:b/>
          <w:sz w:val="20"/>
          <w:szCs w:val="20"/>
        </w:rPr>
      </w:pPr>
      <w:r>
        <w:rPr>
          <w:rFonts w:ascii="Barlow" w:hAnsi="Barlow"/>
          <w:b/>
          <w:sz w:val="20"/>
          <w:szCs w:val="20"/>
        </w:rPr>
        <w:t>Al 31 de enero de 2022</w:t>
      </w:r>
    </w:p>
    <w:p w14:paraId="593CF975" w14:textId="77777777" w:rsidR="006D57F1" w:rsidRDefault="006D57F1" w:rsidP="006D57F1">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133AF252" w14:textId="77777777" w:rsidR="006D57F1" w:rsidRDefault="006D57F1" w:rsidP="006D57F1">
      <w:pPr>
        <w:autoSpaceDE w:val="0"/>
        <w:autoSpaceDN w:val="0"/>
        <w:adjustRightInd w:val="0"/>
        <w:spacing w:line="360" w:lineRule="auto"/>
        <w:rPr>
          <w:rFonts w:ascii="Barlow" w:hAnsi="Barlow"/>
          <w:b/>
          <w:sz w:val="20"/>
          <w:szCs w:val="20"/>
        </w:rPr>
      </w:pPr>
    </w:p>
    <w:p w14:paraId="576EEE15" w14:textId="77777777" w:rsidR="006D57F1" w:rsidRDefault="006D57F1" w:rsidP="006D57F1">
      <w:pPr>
        <w:autoSpaceDE w:val="0"/>
        <w:autoSpaceDN w:val="0"/>
        <w:adjustRightInd w:val="0"/>
        <w:spacing w:line="360" w:lineRule="auto"/>
        <w:rPr>
          <w:rFonts w:ascii="Barlow" w:hAnsi="Barlow"/>
          <w:b/>
          <w:sz w:val="20"/>
          <w:szCs w:val="20"/>
        </w:rPr>
      </w:pPr>
      <w:r>
        <w:rPr>
          <w:rFonts w:ascii="Barlow" w:hAnsi="Barlow"/>
          <w:b/>
          <w:sz w:val="20"/>
          <w:szCs w:val="20"/>
        </w:rPr>
        <w:t>Ente Público:  INSTITUTO DE HISTORIA Y MUSEOS DE YUCATÁN</w:t>
      </w:r>
    </w:p>
    <w:p w14:paraId="49B8FAA1" w14:textId="50042A6C" w:rsidR="00C4137E" w:rsidRPr="005D39CB" w:rsidRDefault="00C4137E" w:rsidP="006D57F1">
      <w:pPr>
        <w:tabs>
          <w:tab w:val="center" w:pos="6786"/>
        </w:tabs>
        <w:autoSpaceDE w:val="0"/>
        <w:autoSpaceDN w:val="0"/>
        <w:adjustRightInd w:val="0"/>
        <w:spacing w:line="360" w:lineRule="auto"/>
        <w:rPr>
          <w:rFonts w:ascii="Barlow" w:hAnsi="Barlow"/>
          <w:b/>
          <w:sz w:val="20"/>
          <w:szCs w:val="20"/>
        </w:rPr>
      </w:pPr>
    </w:p>
    <w:p w14:paraId="5873CB80" w14:textId="4624CF9A" w:rsidR="008273DF" w:rsidRPr="006D57F1" w:rsidRDefault="00C4137E"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 xml:space="preserve">Con el </w:t>
      </w:r>
      <w:r w:rsidR="00291770" w:rsidRPr="006D57F1">
        <w:rPr>
          <w:rFonts w:ascii="Barlow" w:hAnsi="Barlow" w:cs="Arial"/>
          <w:b/>
          <w:sz w:val="20"/>
          <w:szCs w:val="20"/>
        </w:rPr>
        <w:t>propósito</w:t>
      </w:r>
      <w:r w:rsidRPr="006D57F1">
        <w:rPr>
          <w:rFonts w:ascii="Barlow" w:hAnsi="Barlow" w:cs="Arial"/>
          <w:b/>
          <w:sz w:val="20"/>
          <w:szCs w:val="20"/>
        </w:rPr>
        <w:t xml:space="preserve"> de dar cumplimiento a los </w:t>
      </w:r>
      <w:r w:rsidR="00291770" w:rsidRPr="006D57F1">
        <w:rPr>
          <w:rFonts w:ascii="Barlow" w:hAnsi="Barlow" w:cs="Arial"/>
          <w:b/>
          <w:sz w:val="20"/>
          <w:szCs w:val="20"/>
        </w:rPr>
        <w:t>artículos</w:t>
      </w:r>
      <w:r w:rsidR="005A2D1D" w:rsidRPr="006D57F1">
        <w:rPr>
          <w:rFonts w:ascii="Barlow" w:hAnsi="Barlow" w:cs="Arial"/>
          <w:b/>
          <w:sz w:val="20"/>
          <w:szCs w:val="20"/>
        </w:rPr>
        <w:t xml:space="preserve"> 44, 45, 46, 47, 49, 52, y 53 de la Ley General de Contabilidad </w:t>
      </w:r>
      <w:r w:rsidR="006D57F1" w:rsidRPr="006D57F1">
        <w:rPr>
          <w:rFonts w:ascii="Barlow" w:hAnsi="Barlow" w:cs="Arial"/>
          <w:b/>
          <w:sz w:val="20"/>
          <w:szCs w:val="20"/>
        </w:rPr>
        <w:t>Gubernamental, el</w:t>
      </w:r>
      <w:r w:rsidRPr="006D57F1">
        <w:rPr>
          <w:rFonts w:ascii="Barlow" w:hAnsi="Barlow" w:cs="Arial"/>
          <w:b/>
          <w:sz w:val="20"/>
          <w:szCs w:val="20"/>
        </w:rPr>
        <w:t xml:space="preserve"> </w:t>
      </w:r>
      <w:r w:rsidR="005D49FD" w:rsidRPr="006D57F1">
        <w:rPr>
          <w:rFonts w:ascii="Barlow" w:hAnsi="Barlow" w:cs="Arial"/>
          <w:b/>
          <w:sz w:val="20"/>
          <w:szCs w:val="20"/>
        </w:rPr>
        <w:t>Instituto de Historia y Museos de Yucatán</w:t>
      </w:r>
      <w:r w:rsidRPr="006D57F1">
        <w:rPr>
          <w:rFonts w:ascii="Barlow" w:hAnsi="Barlow" w:cs="Arial"/>
          <w:b/>
          <w:sz w:val="20"/>
          <w:szCs w:val="20"/>
        </w:rPr>
        <w:t>, ha preparado los Estados Financieros incluyendo las operacion</w:t>
      </w:r>
      <w:r w:rsidR="004979C6" w:rsidRPr="006D57F1">
        <w:rPr>
          <w:rFonts w:ascii="Barlow" w:hAnsi="Barlow" w:cs="Arial"/>
          <w:b/>
          <w:sz w:val="20"/>
          <w:szCs w:val="20"/>
        </w:rPr>
        <w:t xml:space="preserve">es efectuadas al </w:t>
      </w:r>
      <w:r w:rsidR="00A658F8" w:rsidRPr="006D57F1">
        <w:rPr>
          <w:rFonts w:ascii="Barlow" w:hAnsi="Barlow" w:cs="Arial"/>
          <w:b/>
          <w:sz w:val="20"/>
          <w:szCs w:val="20"/>
        </w:rPr>
        <w:t>2</w:t>
      </w:r>
      <w:r w:rsidR="00EA2098" w:rsidRPr="006D57F1">
        <w:rPr>
          <w:rFonts w:ascii="Barlow" w:hAnsi="Barlow" w:cs="Arial"/>
          <w:b/>
          <w:sz w:val="20"/>
          <w:szCs w:val="20"/>
        </w:rPr>
        <w:t>7</w:t>
      </w:r>
      <w:r w:rsidR="004979C6" w:rsidRPr="006D57F1">
        <w:rPr>
          <w:rFonts w:ascii="Barlow" w:hAnsi="Barlow" w:cs="Arial"/>
          <w:b/>
          <w:sz w:val="20"/>
          <w:szCs w:val="20"/>
        </w:rPr>
        <w:t xml:space="preserve"> </w:t>
      </w:r>
      <w:r w:rsidR="00646BA4" w:rsidRPr="006D57F1">
        <w:rPr>
          <w:rFonts w:ascii="Barlow" w:hAnsi="Barlow" w:cs="Arial"/>
          <w:b/>
          <w:sz w:val="20"/>
          <w:szCs w:val="20"/>
        </w:rPr>
        <w:t>de</w:t>
      </w:r>
      <w:r w:rsidR="007601BE" w:rsidRPr="006D57F1">
        <w:rPr>
          <w:rFonts w:ascii="Barlow" w:hAnsi="Barlow" w:cs="Arial"/>
          <w:b/>
          <w:sz w:val="20"/>
          <w:szCs w:val="20"/>
        </w:rPr>
        <w:t xml:space="preserve"> </w:t>
      </w:r>
      <w:r w:rsidR="006D57F1" w:rsidRPr="006D57F1">
        <w:rPr>
          <w:rFonts w:ascii="Barlow" w:hAnsi="Barlow" w:cs="Arial"/>
          <w:b/>
          <w:sz w:val="20"/>
          <w:szCs w:val="20"/>
        </w:rPr>
        <w:t>enero</w:t>
      </w:r>
      <w:r w:rsidR="0096470C" w:rsidRPr="006D57F1">
        <w:rPr>
          <w:rFonts w:ascii="Barlow" w:hAnsi="Barlow" w:cs="Arial"/>
          <w:b/>
          <w:sz w:val="20"/>
          <w:szCs w:val="20"/>
        </w:rPr>
        <w:t xml:space="preserve"> </w:t>
      </w:r>
      <w:r w:rsidR="00792D2B" w:rsidRPr="006D57F1">
        <w:rPr>
          <w:rFonts w:ascii="Barlow" w:hAnsi="Barlow" w:cs="Arial"/>
          <w:b/>
          <w:sz w:val="20"/>
          <w:szCs w:val="20"/>
        </w:rPr>
        <w:t>de 202</w:t>
      </w:r>
      <w:r w:rsidR="00F67CBC" w:rsidRPr="006D57F1">
        <w:rPr>
          <w:rFonts w:ascii="Barlow" w:hAnsi="Barlow" w:cs="Arial"/>
          <w:b/>
          <w:sz w:val="20"/>
          <w:szCs w:val="20"/>
        </w:rPr>
        <w:t>2</w:t>
      </w:r>
      <w:r w:rsidR="004979C6" w:rsidRPr="006D57F1">
        <w:rPr>
          <w:rFonts w:ascii="Barlow" w:hAnsi="Barlow" w:cs="Arial"/>
          <w:b/>
          <w:sz w:val="20"/>
          <w:szCs w:val="20"/>
        </w:rPr>
        <w:t>.</w:t>
      </w:r>
    </w:p>
    <w:p w14:paraId="6D52E59C" w14:textId="77777777" w:rsidR="008273DF" w:rsidRPr="006D57F1" w:rsidRDefault="008273DF" w:rsidP="00E14B45">
      <w:pPr>
        <w:pStyle w:val="Prrafodelista"/>
        <w:numPr>
          <w:ilvl w:val="0"/>
          <w:numId w:val="13"/>
        </w:num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NOTAS DE DESGLOCE</w:t>
      </w:r>
    </w:p>
    <w:p w14:paraId="203F7208" w14:textId="77777777" w:rsidR="008273DF" w:rsidRPr="006D57F1" w:rsidRDefault="00455288"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I</w:t>
      </w:r>
      <w:r w:rsidR="008273DF" w:rsidRPr="006D57F1">
        <w:rPr>
          <w:rFonts w:ascii="Barlow" w:hAnsi="Barlow" w:cs="Arial"/>
          <w:b/>
          <w:sz w:val="20"/>
          <w:szCs w:val="20"/>
        </w:rPr>
        <w:t>) NOTAS AL ESTADO DE SITUACIÓN FINANCIERA.</w:t>
      </w:r>
    </w:p>
    <w:p w14:paraId="3D066729" w14:textId="77777777" w:rsidR="008273DF" w:rsidRPr="006D57F1" w:rsidRDefault="008273DF"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Activo</w:t>
      </w:r>
    </w:p>
    <w:p w14:paraId="39B069F6" w14:textId="34BB34C3" w:rsidR="008273DF" w:rsidRPr="006D57F1" w:rsidRDefault="008273DF"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Efectivo y Equivalentes</w:t>
      </w:r>
    </w:p>
    <w:p w14:paraId="11594C5C" w14:textId="61F41C8A" w:rsidR="0029073A" w:rsidRPr="006D57F1" w:rsidRDefault="00D06563"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1.- La cuenta de </w:t>
      </w:r>
      <w:r w:rsidR="00C4072B" w:rsidRPr="006D57F1">
        <w:rPr>
          <w:rFonts w:ascii="Barlow" w:hAnsi="Barlow" w:cs="Arial"/>
          <w:sz w:val="20"/>
          <w:szCs w:val="20"/>
        </w:rPr>
        <w:t xml:space="preserve">Efectivo </w:t>
      </w:r>
      <w:r w:rsidR="0029073A" w:rsidRPr="006D57F1">
        <w:rPr>
          <w:rFonts w:ascii="Barlow" w:hAnsi="Barlow" w:cs="Arial"/>
          <w:sz w:val="20"/>
          <w:szCs w:val="20"/>
        </w:rPr>
        <w:t xml:space="preserve">y Equivalentes </w:t>
      </w:r>
      <w:r w:rsidRPr="006D57F1">
        <w:rPr>
          <w:rFonts w:ascii="Barlow" w:hAnsi="Barlow" w:cs="Arial"/>
          <w:sz w:val="20"/>
          <w:szCs w:val="20"/>
        </w:rPr>
        <w:t xml:space="preserve">al </w:t>
      </w:r>
      <w:r w:rsidR="00A658F8" w:rsidRPr="006D57F1">
        <w:rPr>
          <w:rFonts w:ascii="Barlow" w:hAnsi="Barlow" w:cs="Arial"/>
          <w:sz w:val="20"/>
          <w:szCs w:val="20"/>
        </w:rPr>
        <w:t>2</w:t>
      </w:r>
      <w:r w:rsidR="00CC1D7E" w:rsidRPr="006D57F1">
        <w:rPr>
          <w:rFonts w:ascii="Barlow" w:hAnsi="Barlow" w:cs="Arial"/>
          <w:sz w:val="20"/>
          <w:szCs w:val="20"/>
        </w:rPr>
        <w:t>7</w:t>
      </w:r>
      <w:r w:rsidR="001B39C2" w:rsidRPr="006D57F1">
        <w:rPr>
          <w:rFonts w:ascii="Barlow" w:hAnsi="Barlow" w:cs="Arial"/>
          <w:sz w:val="20"/>
          <w:szCs w:val="20"/>
        </w:rPr>
        <w:t xml:space="preserve"> </w:t>
      </w:r>
      <w:r w:rsidRPr="006D57F1">
        <w:rPr>
          <w:rFonts w:ascii="Barlow" w:hAnsi="Barlow" w:cs="Arial"/>
          <w:sz w:val="20"/>
          <w:szCs w:val="20"/>
        </w:rPr>
        <w:t>de</w:t>
      </w:r>
      <w:r w:rsidR="00471F27" w:rsidRPr="006D57F1">
        <w:rPr>
          <w:rFonts w:ascii="Barlow" w:hAnsi="Barlow" w:cs="Arial"/>
          <w:sz w:val="20"/>
          <w:szCs w:val="20"/>
        </w:rPr>
        <w:t xml:space="preserve"> </w:t>
      </w:r>
      <w:r w:rsidR="006D57F1" w:rsidRPr="006D57F1">
        <w:rPr>
          <w:rFonts w:ascii="Barlow" w:hAnsi="Barlow" w:cs="Arial"/>
          <w:sz w:val="20"/>
          <w:szCs w:val="20"/>
        </w:rPr>
        <w:t>enero</w:t>
      </w:r>
      <w:r w:rsidR="007601BE" w:rsidRPr="006D57F1">
        <w:rPr>
          <w:rFonts w:ascii="Barlow" w:hAnsi="Barlow" w:cs="Arial"/>
          <w:sz w:val="20"/>
          <w:szCs w:val="20"/>
        </w:rPr>
        <w:t xml:space="preserve"> </w:t>
      </w:r>
      <w:r w:rsidRPr="006D57F1">
        <w:rPr>
          <w:rFonts w:ascii="Barlow" w:hAnsi="Barlow" w:cs="Arial"/>
          <w:sz w:val="20"/>
          <w:szCs w:val="20"/>
        </w:rPr>
        <w:t>de 20</w:t>
      </w:r>
      <w:r w:rsidR="0029073A" w:rsidRPr="006D57F1">
        <w:rPr>
          <w:rFonts w:ascii="Barlow" w:hAnsi="Barlow" w:cs="Arial"/>
          <w:sz w:val="20"/>
          <w:szCs w:val="20"/>
        </w:rPr>
        <w:t>2</w:t>
      </w:r>
      <w:r w:rsidR="00A658F8" w:rsidRPr="006D57F1">
        <w:rPr>
          <w:rFonts w:ascii="Barlow" w:hAnsi="Barlow" w:cs="Arial"/>
          <w:sz w:val="20"/>
          <w:szCs w:val="20"/>
        </w:rPr>
        <w:t>2</w:t>
      </w:r>
      <w:r w:rsidR="00EA2098" w:rsidRPr="006D57F1">
        <w:rPr>
          <w:rFonts w:ascii="Barlow" w:hAnsi="Barlow" w:cs="Arial"/>
          <w:sz w:val="20"/>
          <w:szCs w:val="20"/>
        </w:rPr>
        <w:t xml:space="preserve"> no cuenta con saldo ya que se transfiero a la Secretaria de Administración y Finanzas bajo el concepto de concentración de fondos remanentes por liquidación del Instituto de Historia y Museos de Yucatán.</w:t>
      </w:r>
    </w:p>
    <w:p w14:paraId="6A4E9A3F" w14:textId="77777777" w:rsidR="001340B5" w:rsidRPr="006D57F1" w:rsidRDefault="001340B5" w:rsidP="00C4137E">
      <w:pPr>
        <w:autoSpaceDE w:val="0"/>
        <w:autoSpaceDN w:val="0"/>
        <w:adjustRightInd w:val="0"/>
        <w:spacing w:line="360" w:lineRule="auto"/>
        <w:jc w:val="both"/>
        <w:rPr>
          <w:rFonts w:ascii="Barlow" w:hAnsi="Barlow" w:cs="Arial"/>
          <w:b/>
          <w:bCs/>
          <w:sz w:val="20"/>
          <w:szCs w:val="20"/>
        </w:rPr>
      </w:pPr>
    </w:p>
    <w:tbl>
      <w:tblPr>
        <w:tblStyle w:val="Tablaconcuadrcula"/>
        <w:tblW w:w="0" w:type="auto"/>
        <w:tblInd w:w="2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869"/>
        <w:gridCol w:w="1843"/>
      </w:tblGrid>
      <w:tr w:rsidR="001340B5" w:rsidRPr="006D57F1" w14:paraId="24225070" w14:textId="77777777" w:rsidTr="00852797">
        <w:tc>
          <w:tcPr>
            <w:tcW w:w="2830" w:type="dxa"/>
          </w:tcPr>
          <w:p w14:paraId="122DBFFB" w14:textId="77777777" w:rsidR="001340B5" w:rsidRPr="006D57F1" w:rsidRDefault="001340B5"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CUENTA</w:t>
            </w:r>
          </w:p>
        </w:tc>
        <w:tc>
          <w:tcPr>
            <w:tcW w:w="1869" w:type="dxa"/>
          </w:tcPr>
          <w:p w14:paraId="002AAE0B" w14:textId="77777777" w:rsidR="001340B5" w:rsidRPr="006D57F1" w:rsidRDefault="001340B5"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SALDO</w:t>
            </w:r>
          </w:p>
          <w:p w14:paraId="006395C5" w14:textId="53D302F8" w:rsidR="001340B5" w:rsidRPr="006D57F1" w:rsidRDefault="00EA2098"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 xml:space="preserve">27 </w:t>
            </w:r>
            <w:r w:rsidR="00A658F8" w:rsidRPr="006D57F1">
              <w:rPr>
                <w:rFonts w:ascii="Barlow" w:hAnsi="Barlow" w:cs="Arial"/>
                <w:b/>
                <w:bCs/>
                <w:sz w:val="20"/>
                <w:szCs w:val="20"/>
              </w:rPr>
              <w:t>Enero</w:t>
            </w:r>
            <w:r w:rsidR="001340B5" w:rsidRPr="006D57F1">
              <w:rPr>
                <w:rFonts w:ascii="Barlow" w:hAnsi="Barlow" w:cs="Arial"/>
                <w:b/>
                <w:bCs/>
                <w:sz w:val="20"/>
                <w:szCs w:val="20"/>
              </w:rPr>
              <w:t xml:space="preserve"> 20</w:t>
            </w:r>
            <w:r w:rsidR="00F72626" w:rsidRPr="006D57F1">
              <w:rPr>
                <w:rFonts w:ascii="Barlow" w:hAnsi="Barlow" w:cs="Arial"/>
                <w:b/>
                <w:bCs/>
                <w:sz w:val="20"/>
                <w:szCs w:val="20"/>
              </w:rPr>
              <w:t>2</w:t>
            </w:r>
            <w:r w:rsidR="00A658F8" w:rsidRPr="006D57F1">
              <w:rPr>
                <w:rFonts w:ascii="Barlow" w:hAnsi="Barlow" w:cs="Arial"/>
                <w:b/>
                <w:bCs/>
                <w:sz w:val="20"/>
                <w:szCs w:val="20"/>
              </w:rPr>
              <w:t>2</w:t>
            </w:r>
          </w:p>
        </w:tc>
        <w:tc>
          <w:tcPr>
            <w:tcW w:w="1843" w:type="dxa"/>
          </w:tcPr>
          <w:p w14:paraId="07755BC5" w14:textId="77777777" w:rsidR="001340B5" w:rsidRPr="006D57F1" w:rsidRDefault="001340B5"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SALDO</w:t>
            </w:r>
          </w:p>
          <w:p w14:paraId="3C4E5511" w14:textId="467D82F5" w:rsidR="001340B5" w:rsidRPr="006D57F1" w:rsidRDefault="00A658F8"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Enero</w:t>
            </w:r>
            <w:r w:rsidR="001340B5" w:rsidRPr="006D57F1">
              <w:rPr>
                <w:rFonts w:ascii="Barlow" w:hAnsi="Barlow" w:cs="Arial"/>
                <w:b/>
                <w:bCs/>
                <w:sz w:val="20"/>
                <w:szCs w:val="20"/>
              </w:rPr>
              <w:t xml:space="preserve">  20</w:t>
            </w:r>
            <w:r w:rsidR="003510A3" w:rsidRPr="006D57F1">
              <w:rPr>
                <w:rFonts w:ascii="Barlow" w:hAnsi="Barlow" w:cs="Arial"/>
                <w:b/>
                <w:bCs/>
                <w:sz w:val="20"/>
                <w:szCs w:val="20"/>
              </w:rPr>
              <w:t>2</w:t>
            </w:r>
            <w:r w:rsidRPr="006D57F1">
              <w:rPr>
                <w:rFonts w:ascii="Barlow" w:hAnsi="Barlow" w:cs="Arial"/>
                <w:b/>
                <w:bCs/>
                <w:sz w:val="20"/>
                <w:szCs w:val="20"/>
              </w:rPr>
              <w:t>1</w:t>
            </w:r>
          </w:p>
        </w:tc>
      </w:tr>
      <w:tr w:rsidR="001340B5" w:rsidRPr="006D57F1" w14:paraId="4FB7C3AA" w14:textId="77777777" w:rsidTr="00852797">
        <w:tc>
          <w:tcPr>
            <w:tcW w:w="2830" w:type="dxa"/>
          </w:tcPr>
          <w:p w14:paraId="5374ADE1" w14:textId="77777777" w:rsidR="001340B5" w:rsidRPr="006D57F1" w:rsidRDefault="001340B5"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                      Efectivo                           </w:t>
            </w:r>
          </w:p>
        </w:tc>
        <w:tc>
          <w:tcPr>
            <w:tcW w:w="1869" w:type="dxa"/>
          </w:tcPr>
          <w:p w14:paraId="3E3F7EBC" w14:textId="66400C09" w:rsidR="001340B5" w:rsidRPr="006D57F1" w:rsidRDefault="00C24743"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1843" w:type="dxa"/>
          </w:tcPr>
          <w:p w14:paraId="24EDBEA7" w14:textId="56943380" w:rsidR="001340B5" w:rsidRPr="006D57F1" w:rsidRDefault="001340B5"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1</w:t>
            </w:r>
            <w:r w:rsidR="00504130" w:rsidRPr="006D57F1">
              <w:rPr>
                <w:rFonts w:ascii="Barlow" w:hAnsi="Barlow" w:cs="Arial"/>
                <w:sz w:val="20"/>
                <w:szCs w:val="20"/>
              </w:rPr>
              <w:t>,150.00</w:t>
            </w:r>
          </w:p>
        </w:tc>
      </w:tr>
      <w:tr w:rsidR="001340B5" w:rsidRPr="006D57F1" w14:paraId="07BBD92A" w14:textId="77777777" w:rsidTr="00852797">
        <w:tc>
          <w:tcPr>
            <w:tcW w:w="2830" w:type="dxa"/>
          </w:tcPr>
          <w:p w14:paraId="247466EF" w14:textId="4DA7884B" w:rsidR="001340B5" w:rsidRPr="006D57F1" w:rsidRDefault="001340B5"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Ingresos Pendiente por cobrar </w:t>
            </w:r>
          </w:p>
        </w:tc>
        <w:tc>
          <w:tcPr>
            <w:tcW w:w="1869" w:type="dxa"/>
          </w:tcPr>
          <w:p w14:paraId="209DB55E" w14:textId="0A77E905" w:rsidR="001340B5" w:rsidRPr="006D57F1" w:rsidRDefault="00C24743"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w:t>
            </w:r>
            <w:r w:rsidR="001340B5" w:rsidRPr="006D57F1">
              <w:rPr>
                <w:rFonts w:ascii="Barlow" w:hAnsi="Barlow" w:cs="Arial"/>
                <w:sz w:val="20"/>
                <w:szCs w:val="20"/>
              </w:rPr>
              <w:t>.00</w:t>
            </w:r>
          </w:p>
        </w:tc>
        <w:tc>
          <w:tcPr>
            <w:tcW w:w="1843" w:type="dxa"/>
          </w:tcPr>
          <w:p w14:paraId="5D43A91E" w14:textId="6096004F" w:rsidR="001340B5" w:rsidRPr="006D57F1" w:rsidRDefault="007601BE"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r>
      <w:tr w:rsidR="001340B5" w:rsidRPr="006D57F1" w14:paraId="79A0AFC0" w14:textId="77777777" w:rsidTr="00852797">
        <w:tc>
          <w:tcPr>
            <w:tcW w:w="2830" w:type="dxa"/>
          </w:tcPr>
          <w:p w14:paraId="19B1B811" w14:textId="710F12EF" w:rsidR="001340B5" w:rsidRPr="006D57F1" w:rsidRDefault="001340B5"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Bancos/</w:t>
            </w:r>
            <w:r w:rsidR="00CF41DF" w:rsidRPr="006D57F1">
              <w:rPr>
                <w:rFonts w:ascii="Barlow" w:hAnsi="Barlow" w:cs="Arial"/>
                <w:sz w:val="20"/>
                <w:szCs w:val="20"/>
              </w:rPr>
              <w:t>Tesorería</w:t>
            </w:r>
            <w:r w:rsidRPr="006D57F1">
              <w:rPr>
                <w:rFonts w:ascii="Barlow" w:hAnsi="Barlow" w:cs="Arial"/>
                <w:sz w:val="20"/>
                <w:szCs w:val="20"/>
              </w:rPr>
              <w:t xml:space="preserve"> </w:t>
            </w:r>
          </w:p>
        </w:tc>
        <w:tc>
          <w:tcPr>
            <w:tcW w:w="1869" w:type="dxa"/>
          </w:tcPr>
          <w:p w14:paraId="5F2DAB57" w14:textId="25159CB9" w:rsidR="001340B5" w:rsidRPr="006D57F1" w:rsidRDefault="00EA2098" w:rsidP="006D5ABF">
            <w:pPr>
              <w:autoSpaceDE w:val="0"/>
              <w:autoSpaceDN w:val="0"/>
              <w:adjustRightInd w:val="0"/>
              <w:spacing w:line="360" w:lineRule="auto"/>
              <w:jc w:val="right"/>
              <w:rPr>
                <w:rFonts w:ascii="Barlow" w:hAnsi="Barlow" w:cs="Arial"/>
                <w:sz w:val="20"/>
                <w:szCs w:val="20"/>
                <w:u w:val="single"/>
              </w:rPr>
            </w:pPr>
            <w:r w:rsidRPr="006D57F1">
              <w:rPr>
                <w:rFonts w:ascii="Barlow" w:hAnsi="Barlow" w:cs="Arial"/>
                <w:sz w:val="20"/>
                <w:szCs w:val="20"/>
                <w:u w:val="single"/>
              </w:rPr>
              <w:t>0</w:t>
            </w:r>
            <w:r w:rsidR="006B40AD" w:rsidRPr="006D57F1">
              <w:rPr>
                <w:rFonts w:ascii="Barlow" w:hAnsi="Barlow" w:cs="Arial"/>
                <w:sz w:val="20"/>
                <w:szCs w:val="20"/>
                <w:u w:val="single"/>
              </w:rPr>
              <w:t>.</w:t>
            </w:r>
            <w:r w:rsidRPr="006D57F1">
              <w:rPr>
                <w:rFonts w:ascii="Barlow" w:hAnsi="Barlow" w:cs="Arial"/>
                <w:sz w:val="20"/>
                <w:szCs w:val="20"/>
                <w:u w:val="single"/>
              </w:rPr>
              <w:t>00</w:t>
            </w:r>
          </w:p>
          <w:p w14:paraId="51EF29A2" w14:textId="62E71F28" w:rsidR="001340B5" w:rsidRPr="006D57F1" w:rsidRDefault="00EA2098"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0.00</w:t>
            </w:r>
          </w:p>
        </w:tc>
        <w:tc>
          <w:tcPr>
            <w:tcW w:w="1843" w:type="dxa"/>
          </w:tcPr>
          <w:p w14:paraId="7172166F" w14:textId="3832AE4E" w:rsidR="001340B5" w:rsidRPr="006D57F1" w:rsidRDefault="001340B5" w:rsidP="006D5ABF">
            <w:pPr>
              <w:autoSpaceDE w:val="0"/>
              <w:autoSpaceDN w:val="0"/>
              <w:adjustRightInd w:val="0"/>
              <w:spacing w:line="360" w:lineRule="auto"/>
              <w:jc w:val="right"/>
              <w:rPr>
                <w:rFonts w:ascii="Barlow" w:hAnsi="Barlow" w:cs="Arial"/>
                <w:sz w:val="20"/>
                <w:szCs w:val="20"/>
                <w:u w:val="single"/>
              </w:rPr>
            </w:pPr>
            <w:r w:rsidRPr="006D57F1">
              <w:rPr>
                <w:rFonts w:ascii="Barlow" w:hAnsi="Barlow" w:cs="Arial"/>
                <w:sz w:val="20"/>
                <w:szCs w:val="20"/>
                <w:u w:val="single"/>
              </w:rPr>
              <w:t>1</w:t>
            </w:r>
            <w:r w:rsidR="00504130" w:rsidRPr="006D57F1">
              <w:rPr>
                <w:rFonts w:ascii="Barlow" w:hAnsi="Barlow" w:cs="Arial"/>
                <w:sz w:val="20"/>
                <w:szCs w:val="20"/>
                <w:u w:val="single"/>
              </w:rPr>
              <w:t>1,</w:t>
            </w:r>
            <w:r w:rsidR="00A658F8" w:rsidRPr="006D57F1">
              <w:rPr>
                <w:rFonts w:ascii="Barlow" w:hAnsi="Barlow" w:cs="Arial"/>
                <w:sz w:val="20"/>
                <w:szCs w:val="20"/>
                <w:u w:val="single"/>
              </w:rPr>
              <w:t>792,840.14</w:t>
            </w:r>
          </w:p>
          <w:p w14:paraId="0D4FE002" w14:textId="2B90D595" w:rsidR="001340B5" w:rsidRPr="006D57F1" w:rsidRDefault="001340B5"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1</w:t>
            </w:r>
            <w:r w:rsidR="00504130" w:rsidRPr="006D57F1">
              <w:rPr>
                <w:rFonts w:ascii="Barlow" w:hAnsi="Barlow" w:cs="Arial"/>
                <w:b/>
                <w:bCs/>
                <w:sz w:val="20"/>
                <w:szCs w:val="20"/>
              </w:rPr>
              <w:t>1,</w:t>
            </w:r>
            <w:r w:rsidR="00A658F8" w:rsidRPr="006D57F1">
              <w:rPr>
                <w:rFonts w:ascii="Barlow" w:hAnsi="Barlow" w:cs="Arial"/>
                <w:b/>
                <w:bCs/>
                <w:sz w:val="20"/>
                <w:szCs w:val="20"/>
              </w:rPr>
              <w:t>793,990.14</w:t>
            </w:r>
          </w:p>
          <w:p w14:paraId="5F1D144D" w14:textId="05A6F783" w:rsidR="001340B5" w:rsidRPr="006D57F1" w:rsidRDefault="001340B5" w:rsidP="006D5ABF">
            <w:pPr>
              <w:autoSpaceDE w:val="0"/>
              <w:autoSpaceDN w:val="0"/>
              <w:adjustRightInd w:val="0"/>
              <w:spacing w:line="360" w:lineRule="auto"/>
              <w:jc w:val="right"/>
              <w:rPr>
                <w:rFonts w:ascii="Barlow" w:hAnsi="Barlow" w:cs="Arial"/>
                <w:sz w:val="20"/>
                <w:szCs w:val="20"/>
              </w:rPr>
            </w:pPr>
          </w:p>
        </w:tc>
      </w:tr>
    </w:tbl>
    <w:p w14:paraId="22FD24E4" w14:textId="77777777" w:rsidR="001340B5" w:rsidRPr="006D57F1" w:rsidRDefault="001340B5" w:rsidP="00C4137E">
      <w:pPr>
        <w:autoSpaceDE w:val="0"/>
        <w:autoSpaceDN w:val="0"/>
        <w:adjustRightInd w:val="0"/>
        <w:spacing w:line="360" w:lineRule="auto"/>
        <w:jc w:val="both"/>
        <w:rPr>
          <w:rFonts w:ascii="Barlow" w:hAnsi="Barlow" w:cs="Arial"/>
          <w:b/>
          <w:bCs/>
          <w:sz w:val="20"/>
          <w:szCs w:val="20"/>
        </w:rPr>
      </w:pPr>
    </w:p>
    <w:p w14:paraId="3FDDC295" w14:textId="58C4358E" w:rsidR="00A025E5" w:rsidRPr="006D57F1" w:rsidRDefault="00D06563"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2</w:t>
      </w:r>
      <w:r w:rsidR="008273DF" w:rsidRPr="006D57F1">
        <w:rPr>
          <w:rFonts w:ascii="Barlow" w:hAnsi="Barlow" w:cs="Arial"/>
          <w:sz w:val="20"/>
          <w:szCs w:val="20"/>
        </w:rPr>
        <w:t xml:space="preserve">.- La cuenta de bancos integra el </w:t>
      </w:r>
      <w:r w:rsidR="002015F6" w:rsidRPr="006D57F1">
        <w:rPr>
          <w:rFonts w:ascii="Barlow" w:hAnsi="Barlow" w:cs="Arial"/>
          <w:sz w:val="20"/>
          <w:szCs w:val="20"/>
        </w:rPr>
        <w:t>100</w:t>
      </w:r>
      <w:r w:rsidR="008273DF" w:rsidRPr="006D57F1">
        <w:rPr>
          <w:rFonts w:ascii="Barlow" w:hAnsi="Barlow" w:cs="Arial"/>
          <w:sz w:val="20"/>
          <w:szCs w:val="20"/>
        </w:rPr>
        <w:t>%</w:t>
      </w:r>
      <w:r w:rsidR="00F84D9D" w:rsidRPr="006D57F1">
        <w:rPr>
          <w:rFonts w:ascii="Barlow" w:hAnsi="Barlow" w:cs="Arial"/>
          <w:sz w:val="20"/>
          <w:szCs w:val="20"/>
        </w:rPr>
        <w:t xml:space="preserve"> </w:t>
      </w:r>
      <w:r w:rsidR="008273DF" w:rsidRPr="006D57F1">
        <w:rPr>
          <w:rFonts w:ascii="Barlow" w:hAnsi="Barlow" w:cs="Arial"/>
          <w:sz w:val="20"/>
          <w:szCs w:val="20"/>
        </w:rPr>
        <w:t xml:space="preserve">de la cuenta de efectivo y equivalentes </w:t>
      </w:r>
      <w:r w:rsidR="00C6387F" w:rsidRPr="006D57F1">
        <w:rPr>
          <w:rFonts w:ascii="Barlow" w:hAnsi="Barlow" w:cs="Arial"/>
          <w:sz w:val="20"/>
          <w:szCs w:val="20"/>
        </w:rPr>
        <w:t>y</w:t>
      </w:r>
      <w:r w:rsidR="008273DF" w:rsidRPr="006D57F1">
        <w:rPr>
          <w:rFonts w:ascii="Barlow" w:hAnsi="Barlow" w:cs="Arial"/>
          <w:sz w:val="20"/>
          <w:szCs w:val="20"/>
        </w:rPr>
        <w:t xml:space="preserve"> </w:t>
      </w:r>
      <w:r w:rsidR="00C6387F" w:rsidRPr="006D57F1">
        <w:rPr>
          <w:rFonts w:ascii="Barlow" w:hAnsi="Barlow" w:cs="Arial"/>
          <w:sz w:val="20"/>
          <w:szCs w:val="20"/>
        </w:rPr>
        <w:t xml:space="preserve">se </w:t>
      </w:r>
      <w:r w:rsidR="008273DF" w:rsidRPr="006D57F1">
        <w:rPr>
          <w:rFonts w:ascii="Barlow" w:hAnsi="Barlow" w:cs="Arial"/>
          <w:sz w:val="20"/>
          <w:szCs w:val="20"/>
        </w:rPr>
        <w:t>encuentra integrada de la siguiente manera:</w:t>
      </w:r>
    </w:p>
    <w:p w14:paraId="20B68B92" w14:textId="16151F5B" w:rsidR="001340B5" w:rsidRPr="006D57F1" w:rsidRDefault="001340B5"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2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
        <w:gridCol w:w="2830"/>
        <w:gridCol w:w="439"/>
        <w:gridCol w:w="1430"/>
        <w:gridCol w:w="1675"/>
        <w:gridCol w:w="297"/>
        <w:gridCol w:w="1546"/>
      </w:tblGrid>
      <w:tr w:rsidR="00852797" w:rsidRPr="006D57F1" w14:paraId="6AF5DD7D" w14:textId="77777777" w:rsidTr="001A6556">
        <w:trPr>
          <w:gridBefore w:val="1"/>
          <w:wBefore w:w="100" w:type="dxa"/>
        </w:trPr>
        <w:tc>
          <w:tcPr>
            <w:tcW w:w="2830" w:type="dxa"/>
          </w:tcPr>
          <w:p w14:paraId="6EBAAE3D" w14:textId="77777777" w:rsidR="00852797" w:rsidRPr="006D57F1" w:rsidRDefault="00852797" w:rsidP="006D5ABF">
            <w:pPr>
              <w:autoSpaceDE w:val="0"/>
              <w:autoSpaceDN w:val="0"/>
              <w:adjustRightInd w:val="0"/>
              <w:spacing w:line="360" w:lineRule="auto"/>
              <w:jc w:val="center"/>
              <w:rPr>
                <w:rFonts w:ascii="Barlow" w:hAnsi="Barlow" w:cs="Arial"/>
                <w:b/>
                <w:bCs/>
                <w:sz w:val="20"/>
                <w:szCs w:val="20"/>
              </w:rPr>
            </w:pPr>
            <w:bookmarkStart w:id="0" w:name="_Hlk47343886"/>
            <w:r w:rsidRPr="006D57F1">
              <w:rPr>
                <w:rFonts w:ascii="Barlow" w:hAnsi="Barlow" w:cs="Arial"/>
                <w:b/>
                <w:bCs/>
                <w:sz w:val="20"/>
                <w:szCs w:val="20"/>
              </w:rPr>
              <w:t>BANCO /CUENTA</w:t>
            </w:r>
          </w:p>
        </w:tc>
        <w:tc>
          <w:tcPr>
            <w:tcW w:w="1869" w:type="dxa"/>
            <w:gridSpan w:val="2"/>
          </w:tcPr>
          <w:p w14:paraId="0ABB3D38" w14:textId="77777777" w:rsidR="00852797" w:rsidRPr="006D57F1" w:rsidRDefault="00852797"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SALDO</w:t>
            </w:r>
          </w:p>
          <w:p w14:paraId="4C2845EA" w14:textId="290FE9A8" w:rsidR="00852797" w:rsidRPr="006D57F1" w:rsidRDefault="00A658F8"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2</w:t>
            </w:r>
            <w:r w:rsidR="00EA2098" w:rsidRPr="006D57F1">
              <w:rPr>
                <w:rFonts w:ascii="Barlow" w:hAnsi="Barlow" w:cs="Arial"/>
                <w:b/>
                <w:bCs/>
                <w:sz w:val="20"/>
                <w:szCs w:val="20"/>
              </w:rPr>
              <w:t>7</w:t>
            </w:r>
            <w:r w:rsidRPr="006D57F1">
              <w:rPr>
                <w:rFonts w:ascii="Barlow" w:hAnsi="Barlow" w:cs="Arial"/>
                <w:b/>
                <w:bCs/>
                <w:sz w:val="20"/>
                <w:szCs w:val="20"/>
              </w:rPr>
              <w:t xml:space="preserve"> Enero</w:t>
            </w:r>
            <w:r w:rsidR="00852797" w:rsidRPr="006D57F1">
              <w:rPr>
                <w:rFonts w:ascii="Barlow" w:hAnsi="Barlow" w:cs="Arial"/>
                <w:b/>
                <w:bCs/>
                <w:sz w:val="20"/>
                <w:szCs w:val="20"/>
              </w:rPr>
              <w:t xml:space="preserve"> 202</w:t>
            </w:r>
            <w:r w:rsidRPr="006D57F1">
              <w:rPr>
                <w:rFonts w:ascii="Barlow" w:hAnsi="Barlow" w:cs="Arial"/>
                <w:b/>
                <w:bCs/>
                <w:sz w:val="20"/>
                <w:szCs w:val="20"/>
              </w:rPr>
              <w:t>2</w:t>
            </w:r>
          </w:p>
        </w:tc>
        <w:tc>
          <w:tcPr>
            <w:tcW w:w="1675" w:type="dxa"/>
          </w:tcPr>
          <w:p w14:paraId="2FC760CB" w14:textId="77777777" w:rsidR="00852797" w:rsidRPr="006D57F1" w:rsidRDefault="00852797" w:rsidP="006D5ABF">
            <w:pPr>
              <w:autoSpaceDE w:val="0"/>
              <w:autoSpaceDN w:val="0"/>
              <w:adjustRightInd w:val="0"/>
              <w:spacing w:line="360" w:lineRule="auto"/>
              <w:jc w:val="center"/>
              <w:rPr>
                <w:rFonts w:ascii="Barlow" w:hAnsi="Barlow" w:cs="Arial"/>
                <w:b/>
                <w:bCs/>
                <w:sz w:val="20"/>
                <w:szCs w:val="20"/>
              </w:rPr>
            </w:pPr>
          </w:p>
        </w:tc>
        <w:tc>
          <w:tcPr>
            <w:tcW w:w="1843" w:type="dxa"/>
            <w:gridSpan w:val="2"/>
          </w:tcPr>
          <w:p w14:paraId="400F012B" w14:textId="2DE11AA1" w:rsidR="00852797" w:rsidRPr="006D57F1" w:rsidRDefault="00852797"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SALDO</w:t>
            </w:r>
          </w:p>
          <w:p w14:paraId="1AAC9C53" w14:textId="3B4EA56A" w:rsidR="00852797" w:rsidRPr="006D57F1" w:rsidRDefault="00A658F8" w:rsidP="006D5ABF">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Enero</w:t>
            </w:r>
            <w:r w:rsidR="00852797" w:rsidRPr="006D57F1">
              <w:rPr>
                <w:rFonts w:ascii="Barlow" w:hAnsi="Barlow" w:cs="Arial"/>
                <w:b/>
                <w:bCs/>
                <w:sz w:val="20"/>
                <w:szCs w:val="20"/>
              </w:rPr>
              <w:t xml:space="preserve">  20</w:t>
            </w:r>
            <w:r w:rsidR="00FF5650" w:rsidRPr="006D57F1">
              <w:rPr>
                <w:rFonts w:ascii="Barlow" w:hAnsi="Barlow" w:cs="Arial"/>
                <w:b/>
                <w:bCs/>
                <w:sz w:val="20"/>
                <w:szCs w:val="20"/>
              </w:rPr>
              <w:t>2</w:t>
            </w:r>
            <w:r w:rsidRPr="006D57F1">
              <w:rPr>
                <w:rFonts w:ascii="Barlow" w:hAnsi="Barlow" w:cs="Arial"/>
                <w:b/>
                <w:bCs/>
                <w:sz w:val="20"/>
                <w:szCs w:val="20"/>
              </w:rPr>
              <w:t>1</w:t>
            </w:r>
          </w:p>
        </w:tc>
      </w:tr>
      <w:bookmarkEnd w:id="0"/>
      <w:tr w:rsidR="00852797" w:rsidRPr="006D57F1" w14:paraId="09E91FB2" w14:textId="77777777" w:rsidTr="001A6556">
        <w:trPr>
          <w:gridBefore w:val="1"/>
          <w:wBefore w:w="100" w:type="dxa"/>
        </w:trPr>
        <w:tc>
          <w:tcPr>
            <w:tcW w:w="2830" w:type="dxa"/>
          </w:tcPr>
          <w:p w14:paraId="0C5ECF86" w14:textId="77777777" w:rsidR="00852797" w:rsidRPr="006D57F1" w:rsidRDefault="00852797"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BANORTE CTA 0885259410</w:t>
            </w:r>
          </w:p>
        </w:tc>
        <w:tc>
          <w:tcPr>
            <w:tcW w:w="1869" w:type="dxa"/>
            <w:gridSpan w:val="2"/>
          </w:tcPr>
          <w:p w14:paraId="2C4C0319" w14:textId="2818BF6C" w:rsidR="00852797" w:rsidRPr="006D57F1" w:rsidRDefault="00EA2098"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w:t>
            </w:r>
            <w:r w:rsidR="006B40AD" w:rsidRPr="006D57F1">
              <w:rPr>
                <w:rFonts w:ascii="Barlow" w:hAnsi="Barlow" w:cs="Arial"/>
                <w:sz w:val="20"/>
                <w:szCs w:val="20"/>
              </w:rPr>
              <w:t>.</w:t>
            </w:r>
            <w:r w:rsidRPr="006D57F1">
              <w:rPr>
                <w:rFonts w:ascii="Barlow" w:hAnsi="Barlow" w:cs="Arial"/>
                <w:sz w:val="20"/>
                <w:szCs w:val="20"/>
              </w:rPr>
              <w:t>00</w:t>
            </w:r>
          </w:p>
        </w:tc>
        <w:tc>
          <w:tcPr>
            <w:tcW w:w="1675" w:type="dxa"/>
          </w:tcPr>
          <w:p w14:paraId="382563F6" w14:textId="77777777" w:rsidR="00852797" w:rsidRPr="006D57F1" w:rsidRDefault="00852797" w:rsidP="006D5ABF">
            <w:pPr>
              <w:autoSpaceDE w:val="0"/>
              <w:autoSpaceDN w:val="0"/>
              <w:adjustRightInd w:val="0"/>
              <w:spacing w:line="360" w:lineRule="auto"/>
              <w:jc w:val="right"/>
              <w:rPr>
                <w:rFonts w:ascii="Barlow" w:hAnsi="Barlow" w:cs="Arial"/>
                <w:sz w:val="20"/>
                <w:szCs w:val="20"/>
              </w:rPr>
            </w:pPr>
          </w:p>
        </w:tc>
        <w:tc>
          <w:tcPr>
            <w:tcW w:w="1843" w:type="dxa"/>
            <w:gridSpan w:val="2"/>
          </w:tcPr>
          <w:p w14:paraId="7B1FB17E" w14:textId="52BB169C" w:rsidR="00852797" w:rsidRPr="006D57F1" w:rsidRDefault="00852797"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 xml:space="preserve">    </w:t>
            </w:r>
            <w:r w:rsidR="006A5082" w:rsidRPr="006D57F1">
              <w:rPr>
                <w:rFonts w:ascii="Barlow" w:hAnsi="Barlow" w:cs="Arial"/>
                <w:sz w:val="20"/>
                <w:szCs w:val="20"/>
              </w:rPr>
              <w:t>1</w:t>
            </w:r>
            <w:r w:rsidR="006869C9" w:rsidRPr="006D57F1">
              <w:rPr>
                <w:rFonts w:ascii="Barlow" w:hAnsi="Barlow" w:cs="Arial"/>
                <w:sz w:val="20"/>
                <w:szCs w:val="20"/>
              </w:rPr>
              <w:t>1,00</w:t>
            </w:r>
            <w:r w:rsidR="00A658F8" w:rsidRPr="006D57F1">
              <w:rPr>
                <w:rFonts w:ascii="Barlow" w:hAnsi="Barlow" w:cs="Arial"/>
                <w:sz w:val="20"/>
                <w:szCs w:val="20"/>
              </w:rPr>
              <w:t>6,611.14</w:t>
            </w:r>
          </w:p>
        </w:tc>
      </w:tr>
      <w:tr w:rsidR="00852797" w:rsidRPr="006D57F1" w14:paraId="6546CDE4" w14:textId="77777777" w:rsidTr="001A6556">
        <w:trPr>
          <w:gridBefore w:val="1"/>
          <w:wBefore w:w="100" w:type="dxa"/>
        </w:trPr>
        <w:tc>
          <w:tcPr>
            <w:tcW w:w="2830" w:type="dxa"/>
          </w:tcPr>
          <w:p w14:paraId="05CB90E9" w14:textId="77777777" w:rsidR="00852797" w:rsidRPr="006D57F1" w:rsidRDefault="00852797"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BANORTE CTA 0364234882</w:t>
            </w:r>
          </w:p>
        </w:tc>
        <w:tc>
          <w:tcPr>
            <w:tcW w:w="1869" w:type="dxa"/>
            <w:gridSpan w:val="2"/>
          </w:tcPr>
          <w:p w14:paraId="6D82E20E" w14:textId="14FAF2D5" w:rsidR="00852797" w:rsidRPr="006D57F1" w:rsidRDefault="00685A6F"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1675" w:type="dxa"/>
          </w:tcPr>
          <w:p w14:paraId="6AFC2AB3" w14:textId="77777777" w:rsidR="00852797" w:rsidRPr="006D57F1" w:rsidRDefault="00852797" w:rsidP="006D5ABF">
            <w:pPr>
              <w:autoSpaceDE w:val="0"/>
              <w:autoSpaceDN w:val="0"/>
              <w:adjustRightInd w:val="0"/>
              <w:spacing w:line="360" w:lineRule="auto"/>
              <w:jc w:val="right"/>
              <w:rPr>
                <w:rFonts w:ascii="Barlow" w:hAnsi="Barlow" w:cs="Arial"/>
                <w:sz w:val="20"/>
                <w:szCs w:val="20"/>
              </w:rPr>
            </w:pPr>
          </w:p>
        </w:tc>
        <w:tc>
          <w:tcPr>
            <w:tcW w:w="1843" w:type="dxa"/>
            <w:gridSpan w:val="2"/>
          </w:tcPr>
          <w:p w14:paraId="512721C1" w14:textId="72ACF6CA" w:rsidR="00852797" w:rsidRPr="006D57F1" w:rsidRDefault="007601BE"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563</w:t>
            </w:r>
            <w:r w:rsidR="00D3777C" w:rsidRPr="006D57F1">
              <w:rPr>
                <w:rFonts w:ascii="Barlow" w:hAnsi="Barlow" w:cs="Arial"/>
                <w:sz w:val="20"/>
                <w:szCs w:val="20"/>
              </w:rPr>
              <w:t>.15</w:t>
            </w:r>
          </w:p>
        </w:tc>
      </w:tr>
      <w:tr w:rsidR="00852797" w:rsidRPr="006D57F1" w14:paraId="47C477C6" w14:textId="77777777" w:rsidTr="001A6556">
        <w:trPr>
          <w:gridBefore w:val="1"/>
          <w:wBefore w:w="100" w:type="dxa"/>
        </w:trPr>
        <w:tc>
          <w:tcPr>
            <w:tcW w:w="2830" w:type="dxa"/>
          </w:tcPr>
          <w:p w14:paraId="6855896E" w14:textId="77777777" w:rsidR="00852797" w:rsidRPr="006D57F1" w:rsidRDefault="00852797"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BANORTE CTA 0473442721</w:t>
            </w:r>
          </w:p>
        </w:tc>
        <w:tc>
          <w:tcPr>
            <w:tcW w:w="1869" w:type="dxa"/>
            <w:gridSpan w:val="2"/>
          </w:tcPr>
          <w:p w14:paraId="3486267D" w14:textId="58477CC1" w:rsidR="00852797" w:rsidRPr="006D57F1" w:rsidRDefault="00EA2098"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1675" w:type="dxa"/>
          </w:tcPr>
          <w:p w14:paraId="5E1B8103" w14:textId="77777777" w:rsidR="00852797" w:rsidRPr="006D57F1" w:rsidRDefault="00852797" w:rsidP="006D5ABF">
            <w:pPr>
              <w:autoSpaceDE w:val="0"/>
              <w:autoSpaceDN w:val="0"/>
              <w:adjustRightInd w:val="0"/>
              <w:spacing w:line="360" w:lineRule="auto"/>
              <w:jc w:val="right"/>
              <w:rPr>
                <w:rFonts w:ascii="Barlow" w:hAnsi="Barlow" w:cs="Arial"/>
                <w:sz w:val="20"/>
                <w:szCs w:val="20"/>
              </w:rPr>
            </w:pPr>
          </w:p>
        </w:tc>
        <w:tc>
          <w:tcPr>
            <w:tcW w:w="1843" w:type="dxa"/>
            <w:gridSpan w:val="2"/>
          </w:tcPr>
          <w:p w14:paraId="197F67F9" w14:textId="66FEF575" w:rsidR="00852797" w:rsidRPr="006D57F1" w:rsidRDefault="00852797"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785,665.85</w:t>
            </w:r>
          </w:p>
        </w:tc>
      </w:tr>
      <w:tr w:rsidR="00852797" w:rsidRPr="006D57F1" w14:paraId="003E2EE7" w14:textId="77777777" w:rsidTr="001A6556">
        <w:trPr>
          <w:gridBefore w:val="1"/>
          <w:wBefore w:w="100" w:type="dxa"/>
          <w:trHeight w:val="446"/>
        </w:trPr>
        <w:tc>
          <w:tcPr>
            <w:tcW w:w="2830" w:type="dxa"/>
          </w:tcPr>
          <w:p w14:paraId="0448C2F9" w14:textId="77777777" w:rsidR="00852797" w:rsidRPr="006D57F1" w:rsidRDefault="00852797" w:rsidP="006D5ABF">
            <w:pPr>
              <w:autoSpaceDE w:val="0"/>
              <w:autoSpaceDN w:val="0"/>
              <w:adjustRightInd w:val="0"/>
              <w:spacing w:line="360" w:lineRule="auto"/>
              <w:jc w:val="both"/>
              <w:rPr>
                <w:rFonts w:ascii="Barlow" w:hAnsi="Barlow" w:cs="Arial"/>
                <w:sz w:val="20"/>
                <w:szCs w:val="20"/>
              </w:rPr>
            </w:pPr>
          </w:p>
          <w:p w14:paraId="766C7397" w14:textId="77777777" w:rsidR="00852797" w:rsidRPr="006D57F1" w:rsidRDefault="00852797"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Total</w:t>
            </w:r>
          </w:p>
        </w:tc>
        <w:tc>
          <w:tcPr>
            <w:tcW w:w="1869" w:type="dxa"/>
            <w:gridSpan w:val="2"/>
          </w:tcPr>
          <w:p w14:paraId="10AE6712" w14:textId="77777777" w:rsidR="00852797" w:rsidRPr="006D57F1" w:rsidRDefault="00852797"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 xml:space="preserve">           </w:t>
            </w:r>
          </w:p>
          <w:p w14:paraId="399B5D58" w14:textId="44760FE2" w:rsidR="00A71585" w:rsidRPr="006D57F1" w:rsidRDefault="00EA2098"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0.00</w:t>
            </w:r>
          </w:p>
        </w:tc>
        <w:tc>
          <w:tcPr>
            <w:tcW w:w="1675" w:type="dxa"/>
          </w:tcPr>
          <w:p w14:paraId="5D4151AB" w14:textId="77777777" w:rsidR="00852797" w:rsidRPr="006D57F1" w:rsidRDefault="00852797" w:rsidP="006D5ABF">
            <w:pPr>
              <w:autoSpaceDE w:val="0"/>
              <w:autoSpaceDN w:val="0"/>
              <w:adjustRightInd w:val="0"/>
              <w:spacing w:line="360" w:lineRule="auto"/>
              <w:jc w:val="right"/>
              <w:rPr>
                <w:rFonts w:ascii="Barlow" w:hAnsi="Barlow" w:cs="Arial"/>
                <w:b/>
                <w:bCs/>
                <w:sz w:val="20"/>
                <w:szCs w:val="20"/>
              </w:rPr>
            </w:pPr>
          </w:p>
        </w:tc>
        <w:tc>
          <w:tcPr>
            <w:tcW w:w="1843" w:type="dxa"/>
            <w:gridSpan w:val="2"/>
          </w:tcPr>
          <w:p w14:paraId="1858CB9E" w14:textId="6031456D" w:rsidR="00852797" w:rsidRPr="006D57F1" w:rsidRDefault="00852797" w:rsidP="006D5ABF">
            <w:pPr>
              <w:autoSpaceDE w:val="0"/>
              <w:autoSpaceDN w:val="0"/>
              <w:adjustRightInd w:val="0"/>
              <w:spacing w:line="360" w:lineRule="auto"/>
              <w:jc w:val="right"/>
              <w:rPr>
                <w:rFonts w:ascii="Barlow" w:hAnsi="Barlow" w:cs="Arial"/>
                <w:b/>
                <w:bCs/>
                <w:sz w:val="20"/>
                <w:szCs w:val="20"/>
              </w:rPr>
            </w:pPr>
          </w:p>
          <w:p w14:paraId="21882D4A" w14:textId="055C2271" w:rsidR="00852797" w:rsidRPr="006D57F1" w:rsidRDefault="006F6D52"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1</w:t>
            </w:r>
            <w:r w:rsidR="00471F27" w:rsidRPr="006D57F1">
              <w:rPr>
                <w:rFonts w:ascii="Barlow" w:hAnsi="Barlow" w:cs="Arial"/>
                <w:b/>
                <w:bCs/>
                <w:sz w:val="20"/>
                <w:szCs w:val="20"/>
              </w:rPr>
              <w:t>1,</w:t>
            </w:r>
            <w:r w:rsidR="006869C9" w:rsidRPr="006D57F1">
              <w:rPr>
                <w:rFonts w:ascii="Barlow" w:hAnsi="Barlow" w:cs="Arial"/>
                <w:b/>
                <w:bCs/>
                <w:sz w:val="20"/>
                <w:szCs w:val="20"/>
              </w:rPr>
              <w:t>79</w:t>
            </w:r>
            <w:r w:rsidR="00A658F8" w:rsidRPr="006D57F1">
              <w:rPr>
                <w:rFonts w:ascii="Barlow" w:hAnsi="Barlow" w:cs="Arial"/>
                <w:b/>
                <w:bCs/>
                <w:sz w:val="20"/>
                <w:szCs w:val="20"/>
              </w:rPr>
              <w:t>3,990.14</w:t>
            </w:r>
          </w:p>
        </w:tc>
      </w:tr>
      <w:tr w:rsidR="00670145" w:rsidRPr="006D57F1" w14:paraId="6B6929FD" w14:textId="77777777" w:rsidTr="001A6556">
        <w:trPr>
          <w:gridAfter w:val="1"/>
          <w:wAfter w:w="1546" w:type="dxa"/>
          <w:trHeight w:val="300"/>
        </w:trPr>
        <w:tc>
          <w:tcPr>
            <w:tcW w:w="3369" w:type="dxa"/>
            <w:gridSpan w:val="3"/>
            <w:noWrap/>
          </w:tcPr>
          <w:p w14:paraId="0D551B4C" w14:textId="6ED2FE0C" w:rsidR="00670145" w:rsidRPr="006D57F1" w:rsidRDefault="00670145" w:rsidP="00670145">
            <w:pPr>
              <w:autoSpaceDE w:val="0"/>
              <w:autoSpaceDN w:val="0"/>
              <w:adjustRightInd w:val="0"/>
              <w:spacing w:line="360" w:lineRule="auto"/>
              <w:jc w:val="both"/>
              <w:rPr>
                <w:rFonts w:ascii="Barlow" w:hAnsi="Barlow" w:cs="Arial"/>
                <w:sz w:val="20"/>
                <w:szCs w:val="20"/>
              </w:rPr>
            </w:pPr>
            <w:bookmarkStart w:id="1" w:name="m1"/>
            <w:bookmarkEnd w:id="1"/>
          </w:p>
        </w:tc>
        <w:tc>
          <w:tcPr>
            <w:tcW w:w="3402" w:type="dxa"/>
            <w:gridSpan w:val="3"/>
            <w:noWrap/>
          </w:tcPr>
          <w:p w14:paraId="7868E6BF" w14:textId="0E2CFC2D" w:rsidR="00670145" w:rsidRPr="006D57F1" w:rsidRDefault="00670145" w:rsidP="00670145">
            <w:pPr>
              <w:autoSpaceDE w:val="0"/>
              <w:autoSpaceDN w:val="0"/>
              <w:adjustRightInd w:val="0"/>
              <w:spacing w:line="360" w:lineRule="auto"/>
              <w:jc w:val="both"/>
              <w:rPr>
                <w:rFonts w:ascii="Barlow" w:hAnsi="Barlow" w:cs="Arial"/>
                <w:sz w:val="20"/>
                <w:szCs w:val="20"/>
              </w:rPr>
            </w:pPr>
          </w:p>
        </w:tc>
      </w:tr>
    </w:tbl>
    <w:p w14:paraId="2236FF56" w14:textId="7CC31572" w:rsidR="008273DF" w:rsidRPr="006D57F1" w:rsidRDefault="00490849"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Esta información resulta de las operaciones sobre los recursos disponibles en cuentas bancarias, del ente público y que están asociadas a los recursos financieros que el </w:t>
      </w:r>
      <w:r w:rsidR="00C6387F" w:rsidRPr="006D57F1">
        <w:rPr>
          <w:rFonts w:ascii="Barlow" w:hAnsi="Barlow" w:cs="Arial"/>
          <w:sz w:val="20"/>
          <w:szCs w:val="20"/>
        </w:rPr>
        <w:t>Instituto de Historia y Museos de Yucatán</w:t>
      </w:r>
      <w:r w:rsidRPr="006D57F1">
        <w:rPr>
          <w:rFonts w:ascii="Barlow" w:hAnsi="Barlow" w:cs="Arial"/>
          <w:sz w:val="20"/>
          <w:szCs w:val="20"/>
        </w:rPr>
        <w:t>, concentra, custodia y administra.</w:t>
      </w:r>
    </w:p>
    <w:p w14:paraId="32EE4662" w14:textId="77777777" w:rsidR="00490849" w:rsidRPr="006D57F1" w:rsidRDefault="00490849" w:rsidP="00C4137E">
      <w:pPr>
        <w:autoSpaceDE w:val="0"/>
        <w:autoSpaceDN w:val="0"/>
        <w:adjustRightInd w:val="0"/>
        <w:spacing w:line="360" w:lineRule="auto"/>
        <w:jc w:val="both"/>
        <w:rPr>
          <w:rFonts w:ascii="Barlow" w:hAnsi="Barlow" w:cs="Arial"/>
          <w:sz w:val="20"/>
          <w:szCs w:val="20"/>
        </w:rPr>
      </w:pPr>
    </w:p>
    <w:p w14:paraId="7A0EE3A8" w14:textId="77777777" w:rsidR="008273DF" w:rsidRPr="006D57F1" w:rsidRDefault="008273DF"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Derechos a Recibir Efectivo y Equivalentes y Bienes y Servicios a Recibir</w:t>
      </w:r>
    </w:p>
    <w:p w14:paraId="60A7D777" w14:textId="799DF478" w:rsidR="009E6E37" w:rsidRPr="006D57F1" w:rsidRDefault="00D06563"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3</w:t>
      </w:r>
      <w:r w:rsidR="008273DF" w:rsidRPr="006D57F1">
        <w:rPr>
          <w:rFonts w:ascii="Barlow" w:hAnsi="Barlow" w:cs="Arial"/>
          <w:sz w:val="20"/>
          <w:szCs w:val="20"/>
        </w:rPr>
        <w:t>.- La cuenta derechos a recibir efectivo o equivalentes, presenta cuentas por cobrar las cuales, se encuentran integradas de la siguiente manera:</w:t>
      </w:r>
    </w:p>
    <w:tbl>
      <w:tblPr>
        <w:tblW w:w="11406" w:type="dxa"/>
        <w:tblInd w:w="1206" w:type="dxa"/>
        <w:tblCellMar>
          <w:left w:w="70" w:type="dxa"/>
          <w:right w:w="70" w:type="dxa"/>
        </w:tblCellMar>
        <w:tblLook w:val="04A0" w:firstRow="1" w:lastRow="0" w:firstColumn="1" w:lastColumn="0" w:noHBand="0" w:noVBand="1"/>
      </w:tblPr>
      <w:tblGrid>
        <w:gridCol w:w="11406"/>
      </w:tblGrid>
      <w:tr w:rsidR="006D5ABF" w:rsidRPr="006D57F1" w14:paraId="72A0D95A" w14:textId="77777777" w:rsidTr="00EB4195">
        <w:trPr>
          <w:trHeight w:val="270"/>
        </w:trPr>
        <w:tc>
          <w:tcPr>
            <w:tcW w:w="11406" w:type="dxa"/>
            <w:shd w:val="clear" w:color="auto" w:fill="auto"/>
            <w:noWrap/>
            <w:hideMark/>
          </w:tcPr>
          <w:p w14:paraId="742E1780" w14:textId="77777777" w:rsidR="006D5ABF" w:rsidRPr="006D57F1" w:rsidRDefault="006D5ABF" w:rsidP="006D5ABF">
            <w:pPr>
              <w:rPr>
                <w:rFonts w:ascii="Barlow" w:hAnsi="Barlow" w:cs="Arial"/>
                <w:b/>
                <w:bCs/>
                <w:color w:val="000000"/>
                <w:sz w:val="20"/>
                <w:szCs w:val="20"/>
                <w:lang w:eastAsia="es-MX"/>
              </w:rPr>
            </w:pPr>
          </w:p>
          <w:p w14:paraId="27487FD0" w14:textId="77777777" w:rsidR="006D5ABF" w:rsidRPr="006D57F1" w:rsidRDefault="006D5ABF" w:rsidP="006D5ABF">
            <w:pPr>
              <w:rPr>
                <w:rFonts w:ascii="Barlow" w:hAnsi="Barlow" w:cs="Arial"/>
                <w:b/>
                <w:bCs/>
                <w:color w:val="000000"/>
                <w:sz w:val="20"/>
                <w:szCs w:val="20"/>
                <w:lang w:eastAsia="es-MX"/>
              </w:rPr>
            </w:pPr>
            <w:r w:rsidRPr="006D57F1">
              <w:rPr>
                <w:rFonts w:ascii="Barlow" w:hAnsi="Barlow" w:cs="Arial"/>
                <w:b/>
                <w:bCs/>
                <w:color w:val="000000"/>
                <w:sz w:val="20"/>
                <w:szCs w:val="20"/>
                <w:lang w:eastAsia="es-MX"/>
              </w:rPr>
              <w:t xml:space="preserve">  DERECHOS A RECIBIR EFECTIVO Y EQUIVALENTES</w:t>
            </w:r>
          </w:p>
          <w:tbl>
            <w:tblPr>
              <w:tblStyle w:val="Tablaconcuadrcula"/>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1994"/>
              <w:gridCol w:w="1555"/>
              <w:gridCol w:w="254"/>
            </w:tblGrid>
            <w:tr w:rsidR="006D5ABF" w:rsidRPr="006D57F1" w14:paraId="3E01E96B" w14:textId="77777777" w:rsidTr="00847F46">
              <w:trPr>
                <w:trHeight w:val="300"/>
              </w:trPr>
              <w:tc>
                <w:tcPr>
                  <w:tcW w:w="6233" w:type="dxa"/>
                  <w:noWrap/>
                  <w:hideMark/>
                </w:tcPr>
                <w:p w14:paraId="235C2136" w14:textId="77777777" w:rsidR="006D5ABF" w:rsidRPr="006D57F1" w:rsidRDefault="006D5ABF" w:rsidP="006D5ABF">
                  <w:pPr>
                    <w:autoSpaceDE w:val="0"/>
                    <w:autoSpaceDN w:val="0"/>
                    <w:adjustRightInd w:val="0"/>
                    <w:spacing w:line="360" w:lineRule="auto"/>
                    <w:jc w:val="both"/>
                    <w:rPr>
                      <w:rFonts w:ascii="Barlow" w:hAnsi="Barlow" w:cs="Arial"/>
                      <w:b/>
                      <w:bCs/>
                      <w:sz w:val="20"/>
                      <w:szCs w:val="20"/>
                    </w:rPr>
                  </w:pPr>
                  <w:r w:rsidRPr="006D57F1">
                    <w:rPr>
                      <w:rFonts w:ascii="Barlow" w:hAnsi="Barlow" w:cs="Arial"/>
                      <w:b/>
                      <w:bCs/>
                      <w:sz w:val="20"/>
                      <w:szCs w:val="20"/>
                    </w:rPr>
                    <w:t>CLIENTES A CORTO PLAZO</w:t>
                  </w:r>
                </w:p>
                <w:p w14:paraId="2072D582" w14:textId="77777777" w:rsidR="006D5ABF" w:rsidRPr="006D57F1" w:rsidRDefault="006D5ABF" w:rsidP="006D5ABF">
                  <w:pPr>
                    <w:autoSpaceDE w:val="0"/>
                    <w:autoSpaceDN w:val="0"/>
                    <w:adjustRightInd w:val="0"/>
                    <w:spacing w:line="360" w:lineRule="auto"/>
                    <w:jc w:val="both"/>
                    <w:rPr>
                      <w:rFonts w:ascii="Barlow" w:hAnsi="Barlow" w:cs="Arial"/>
                      <w:b/>
                      <w:bCs/>
                      <w:sz w:val="20"/>
                      <w:szCs w:val="20"/>
                    </w:rPr>
                  </w:pPr>
                </w:p>
              </w:tc>
              <w:tc>
                <w:tcPr>
                  <w:tcW w:w="1994" w:type="dxa"/>
                  <w:noWrap/>
                  <w:hideMark/>
                </w:tcPr>
                <w:p w14:paraId="094E2219" w14:textId="7835ACCE" w:rsidR="00847F46" w:rsidRPr="006D57F1" w:rsidRDefault="00C2581B" w:rsidP="00847F46">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2</w:t>
                  </w:r>
                  <w:r w:rsidR="00EA2098" w:rsidRPr="006D57F1">
                    <w:rPr>
                      <w:rFonts w:ascii="Barlow" w:hAnsi="Barlow" w:cs="Arial"/>
                      <w:b/>
                      <w:bCs/>
                      <w:sz w:val="20"/>
                      <w:szCs w:val="20"/>
                    </w:rPr>
                    <w:t>7</w:t>
                  </w:r>
                  <w:r w:rsidRPr="006D57F1">
                    <w:rPr>
                      <w:rFonts w:ascii="Barlow" w:hAnsi="Barlow" w:cs="Arial"/>
                      <w:b/>
                      <w:bCs/>
                      <w:sz w:val="20"/>
                      <w:szCs w:val="20"/>
                    </w:rPr>
                    <w:t xml:space="preserve"> </w:t>
                  </w:r>
                  <w:r w:rsidR="006D57F1" w:rsidRPr="006D57F1">
                    <w:rPr>
                      <w:rFonts w:ascii="Barlow" w:hAnsi="Barlow" w:cs="Arial"/>
                      <w:b/>
                      <w:bCs/>
                      <w:sz w:val="20"/>
                      <w:szCs w:val="20"/>
                    </w:rPr>
                    <w:t>enero</w:t>
                  </w:r>
                </w:p>
                <w:p w14:paraId="70759B3D" w14:textId="0E3A3173" w:rsidR="006D5ABF" w:rsidRPr="006D57F1" w:rsidRDefault="006D5ABF" w:rsidP="00847F46">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202</w:t>
                  </w:r>
                  <w:r w:rsidR="00C2581B" w:rsidRPr="006D57F1">
                    <w:rPr>
                      <w:rFonts w:ascii="Barlow" w:hAnsi="Barlow" w:cs="Arial"/>
                      <w:b/>
                      <w:bCs/>
                      <w:sz w:val="20"/>
                      <w:szCs w:val="20"/>
                    </w:rPr>
                    <w:t>2</w:t>
                  </w:r>
                </w:p>
              </w:tc>
              <w:tc>
                <w:tcPr>
                  <w:tcW w:w="1555" w:type="dxa"/>
                </w:tcPr>
                <w:p w14:paraId="6AD16A25" w14:textId="0DA02430" w:rsidR="006D5ABF" w:rsidRPr="006D57F1" w:rsidRDefault="00C2581B" w:rsidP="00847F46">
                  <w:pPr>
                    <w:autoSpaceDE w:val="0"/>
                    <w:autoSpaceDN w:val="0"/>
                    <w:adjustRightInd w:val="0"/>
                    <w:spacing w:line="360" w:lineRule="auto"/>
                    <w:jc w:val="center"/>
                    <w:rPr>
                      <w:rFonts w:ascii="Barlow" w:hAnsi="Barlow" w:cs="Arial"/>
                      <w:b/>
                      <w:bCs/>
                      <w:sz w:val="20"/>
                      <w:szCs w:val="20"/>
                    </w:rPr>
                  </w:pPr>
                  <w:r w:rsidRPr="006D57F1">
                    <w:rPr>
                      <w:rFonts w:ascii="Barlow" w:hAnsi="Barlow" w:cs="Arial"/>
                      <w:b/>
                      <w:bCs/>
                      <w:sz w:val="20"/>
                      <w:szCs w:val="20"/>
                    </w:rPr>
                    <w:t xml:space="preserve">Enero       </w:t>
                  </w:r>
                  <w:r w:rsidR="008D6B28" w:rsidRPr="006D57F1">
                    <w:rPr>
                      <w:rFonts w:ascii="Barlow" w:hAnsi="Barlow" w:cs="Arial"/>
                      <w:b/>
                      <w:bCs/>
                      <w:sz w:val="20"/>
                      <w:szCs w:val="20"/>
                    </w:rPr>
                    <w:t xml:space="preserve">   </w:t>
                  </w:r>
                  <w:r w:rsidR="00847F46" w:rsidRPr="006D57F1">
                    <w:rPr>
                      <w:rFonts w:ascii="Barlow" w:hAnsi="Barlow" w:cs="Arial"/>
                      <w:b/>
                      <w:bCs/>
                      <w:sz w:val="20"/>
                      <w:szCs w:val="20"/>
                    </w:rPr>
                    <w:t xml:space="preserve"> </w:t>
                  </w:r>
                  <w:r w:rsidR="006D5ABF" w:rsidRPr="006D57F1">
                    <w:rPr>
                      <w:rFonts w:ascii="Barlow" w:hAnsi="Barlow" w:cs="Arial"/>
                      <w:b/>
                      <w:bCs/>
                      <w:sz w:val="20"/>
                      <w:szCs w:val="20"/>
                    </w:rPr>
                    <w:t>20</w:t>
                  </w:r>
                  <w:r w:rsidR="00FF5650" w:rsidRPr="006D57F1">
                    <w:rPr>
                      <w:rFonts w:ascii="Barlow" w:hAnsi="Barlow" w:cs="Arial"/>
                      <w:b/>
                      <w:bCs/>
                      <w:sz w:val="20"/>
                      <w:szCs w:val="20"/>
                    </w:rPr>
                    <w:t>2</w:t>
                  </w:r>
                  <w:r w:rsidRPr="006D57F1">
                    <w:rPr>
                      <w:rFonts w:ascii="Barlow" w:hAnsi="Barlow" w:cs="Arial"/>
                      <w:b/>
                      <w:bCs/>
                      <w:sz w:val="20"/>
                      <w:szCs w:val="20"/>
                    </w:rPr>
                    <w:t>1</w:t>
                  </w:r>
                </w:p>
              </w:tc>
              <w:tc>
                <w:tcPr>
                  <w:tcW w:w="254" w:type="dxa"/>
                </w:tcPr>
                <w:p w14:paraId="7EE1F85C"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6D5ABF" w:rsidRPr="006D57F1" w14:paraId="11B75BC6" w14:textId="77777777" w:rsidTr="00847F46">
              <w:trPr>
                <w:trHeight w:val="300"/>
              </w:trPr>
              <w:tc>
                <w:tcPr>
                  <w:tcW w:w="6233" w:type="dxa"/>
                  <w:noWrap/>
                </w:tcPr>
                <w:p w14:paraId="6A647B6B" w14:textId="77777777" w:rsidR="006D5ABF" w:rsidRPr="006D57F1" w:rsidRDefault="006D5ABF"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VENTAS A PUBLICO EN GENERAL </w:t>
                  </w:r>
                </w:p>
              </w:tc>
              <w:tc>
                <w:tcPr>
                  <w:tcW w:w="1994" w:type="dxa"/>
                  <w:noWrap/>
                </w:tcPr>
                <w:p w14:paraId="2BDFB800" w14:textId="421B3F21" w:rsidR="006D5ABF" w:rsidRPr="006D57F1" w:rsidRDefault="006A5082"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w:t>
                  </w:r>
                  <w:r w:rsidR="00302965" w:rsidRPr="006D57F1">
                    <w:rPr>
                      <w:rFonts w:ascii="Barlow" w:hAnsi="Barlow" w:cs="Arial"/>
                      <w:sz w:val="20"/>
                      <w:szCs w:val="20"/>
                    </w:rPr>
                    <w:t>0</w:t>
                  </w:r>
                  <w:r w:rsidR="006D5ABF" w:rsidRPr="006D57F1">
                    <w:rPr>
                      <w:rFonts w:ascii="Barlow" w:hAnsi="Barlow" w:cs="Arial"/>
                      <w:sz w:val="20"/>
                      <w:szCs w:val="20"/>
                    </w:rPr>
                    <w:t xml:space="preserve">                                       </w:t>
                  </w:r>
                </w:p>
              </w:tc>
              <w:tc>
                <w:tcPr>
                  <w:tcW w:w="1555" w:type="dxa"/>
                </w:tcPr>
                <w:p w14:paraId="40A2A2B4" w14:textId="28CE3E7D" w:rsidR="006D5ABF" w:rsidRPr="006D57F1" w:rsidRDefault="00F937CD"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254" w:type="dxa"/>
                </w:tcPr>
                <w:p w14:paraId="3A48B0E7"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6D5ABF" w:rsidRPr="006D57F1" w14:paraId="7C4BAA93" w14:textId="77777777" w:rsidTr="00847F46">
              <w:trPr>
                <w:trHeight w:val="300"/>
              </w:trPr>
              <w:tc>
                <w:tcPr>
                  <w:tcW w:w="6233" w:type="dxa"/>
                  <w:noWrap/>
                </w:tcPr>
                <w:p w14:paraId="424863D7" w14:textId="77777777" w:rsidR="006D5ABF" w:rsidRPr="006D57F1" w:rsidRDefault="006D5ABF"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lastRenderedPageBreak/>
                    <w:t>TRANSFERENCIAS, ASIG. SUBS. Y OTRAS AYUDAS ESTATALES.</w:t>
                  </w:r>
                </w:p>
              </w:tc>
              <w:tc>
                <w:tcPr>
                  <w:tcW w:w="1994" w:type="dxa"/>
                  <w:noWrap/>
                </w:tcPr>
                <w:p w14:paraId="6E2B0FAF" w14:textId="3D5FB23D" w:rsidR="006D5ABF" w:rsidRPr="006D57F1" w:rsidRDefault="006A5082"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r w:rsidR="006D5ABF" w:rsidRPr="006D57F1">
                    <w:rPr>
                      <w:rFonts w:ascii="Barlow" w:hAnsi="Barlow" w:cs="Arial"/>
                      <w:sz w:val="20"/>
                      <w:szCs w:val="20"/>
                    </w:rPr>
                    <w:t xml:space="preserve">                                       </w:t>
                  </w:r>
                </w:p>
              </w:tc>
              <w:tc>
                <w:tcPr>
                  <w:tcW w:w="1555" w:type="dxa"/>
                </w:tcPr>
                <w:p w14:paraId="0505B1F3" w14:textId="196C9A33" w:rsidR="006D5ABF" w:rsidRPr="006D57F1" w:rsidRDefault="00F937CD"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254" w:type="dxa"/>
                </w:tcPr>
                <w:p w14:paraId="4688770B"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6D5ABF" w:rsidRPr="006D57F1" w14:paraId="7307F863" w14:textId="77777777" w:rsidTr="00847F46">
              <w:trPr>
                <w:trHeight w:val="300"/>
              </w:trPr>
              <w:tc>
                <w:tcPr>
                  <w:tcW w:w="6233" w:type="dxa"/>
                  <w:noWrap/>
                </w:tcPr>
                <w:p w14:paraId="7DDBB179" w14:textId="77777777" w:rsidR="006D5ABF" w:rsidRPr="006D57F1" w:rsidRDefault="006D5ABF" w:rsidP="006D5ABF">
                  <w:pPr>
                    <w:autoSpaceDE w:val="0"/>
                    <w:autoSpaceDN w:val="0"/>
                    <w:adjustRightInd w:val="0"/>
                    <w:spacing w:line="360" w:lineRule="auto"/>
                    <w:jc w:val="both"/>
                    <w:rPr>
                      <w:rFonts w:ascii="Barlow" w:hAnsi="Barlow" w:cs="Arial"/>
                      <w:b/>
                      <w:bCs/>
                      <w:sz w:val="20"/>
                      <w:szCs w:val="20"/>
                    </w:rPr>
                  </w:pPr>
                  <w:r w:rsidRPr="006D57F1">
                    <w:rPr>
                      <w:rFonts w:ascii="Barlow" w:hAnsi="Barlow" w:cs="Arial"/>
                      <w:b/>
                      <w:bCs/>
                      <w:sz w:val="20"/>
                      <w:szCs w:val="20"/>
                    </w:rPr>
                    <w:t xml:space="preserve">DEUDORES DIVERSOS </w:t>
                  </w:r>
                </w:p>
              </w:tc>
              <w:tc>
                <w:tcPr>
                  <w:tcW w:w="1994" w:type="dxa"/>
                  <w:noWrap/>
                </w:tcPr>
                <w:p w14:paraId="70347AB2"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c>
                <w:tcPr>
                  <w:tcW w:w="1555" w:type="dxa"/>
                </w:tcPr>
                <w:p w14:paraId="2853F5BA"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c>
                <w:tcPr>
                  <w:tcW w:w="254" w:type="dxa"/>
                </w:tcPr>
                <w:p w14:paraId="3806AC2C"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6D5ABF" w:rsidRPr="006D57F1" w14:paraId="4A633F5B" w14:textId="77777777" w:rsidTr="00847F46">
              <w:trPr>
                <w:trHeight w:val="300"/>
              </w:trPr>
              <w:tc>
                <w:tcPr>
                  <w:tcW w:w="6233" w:type="dxa"/>
                  <w:noWrap/>
                </w:tcPr>
                <w:p w14:paraId="13D0D718" w14:textId="77777777" w:rsidR="006D5ABF" w:rsidRPr="006D57F1" w:rsidRDefault="006D5ABF" w:rsidP="006D5ABF">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IVA POR ACREDITAR </w:t>
                  </w:r>
                </w:p>
              </w:tc>
              <w:tc>
                <w:tcPr>
                  <w:tcW w:w="1994" w:type="dxa"/>
                  <w:noWrap/>
                </w:tcPr>
                <w:p w14:paraId="4DD86133" w14:textId="126C1C8E" w:rsidR="006D5ABF" w:rsidRPr="006D57F1" w:rsidRDefault="006D5ABF"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 xml:space="preserve">            </w:t>
                  </w:r>
                  <w:r w:rsidR="008D6B28" w:rsidRPr="006D57F1">
                    <w:rPr>
                      <w:rFonts w:ascii="Barlow" w:hAnsi="Barlow" w:cs="Arial"/>
                      <w:sz w:val="20"/>
                      <w:szCs w:val="20"/>
                    </w:rPr>
                    <w:t>0.00</w:t>
                  </w:r>
                  <w:r w:rsidRPr="006D57F1">
                    <w:rPr>
                      <w:rFonts w:ascii="Barlow" w:hAnsi="Barlow" w:cs="Arial"/>
                      <w:sz w:val="20"/>
                      <w:szCs w:val="20"/>
                    </w:rPr>
                    <w:t xml:space="preserve">                              </w:t>
                  </w:r>
                </w:p>
              </w:tc>
              <w:tc>
                <w:tcPr>
                  <w:tcW w:w="1555" w:type="dxa"/>
                </w:tcPr>
                <w:p w14:paraId="0115C530" w14:textId="11BED3C0" w:rsidR="006D5ABF" w:rsidRPr="006D57F1" w:rsidRDefault="00F937CD"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254" w:type="dxa"/>
                </w:tcPr>
                <w:p w14:paraId="3B3A65E1" w14:textId="77777777" w:rsidR="006D5ABF" w:rsidRPr="006D57F1" w:rsidRDefault="006D5ABF" w:rsidP="006D5ABF">
                  <w:pPr>
                    <w:autoSpaceDE w:val="0"/>
                    <w:autoSpaceDN w:val="0"/>
                    <w:adjustRightInd w:val="0"/>
                    <w:spacing w:line="360" w:lineRule="auto"/>
                    <w:jc w:val="center"/>
                    <w:rPr>
                      <w:rFonts w:ascii="Barlow" w:hAnsi="Barlow" w:cs="Arial"/>
                      <w:sz w:val="20"/>
                      <w:szCs w:val="20"/>
                    </w:rPr>
                  </w:pPr>
                </w:p>
              </w:tc>
            </w:tr>
            <w:tr w:rsidR="006D5ABF" w:rsidRPr="006D57F1" w14:paraId="3CCADDDD" w14:textId="77777777" w:rsidTr="00847F46">
              <w:trPr>
                <w:trHeight w:val="766"/>
              </w:trPr>
              <w:tc>
                <w:tcPr>
                  <w:tcW w:w="6233" w:type="dxa"/>
                  <w:noWrap/>
                </w:tcPr>
                <w:p w14:paraId="35228D21" w14:textId="77777777" w:rsidR="006D5ABF" w:rsidRPr="006D57F1" w:rsidRDefault="006D5ABF" w:rsidP="006D5ABF">
                  <w:pPr>
                    <w:autoSpaceDE w:val="0"/>
                    <w:autoSpaceDN w:val="0"/>
                    <w:adjustRightInd w:val="0"/>
                    <w:spacing w:line="360" w:lineRule="auto"/>
                    <w:jc w:val="both"/>
                    <w:rPr>
                      <w:rFonts w:ascii="Barlow" w:hAnsi="Barlow" w:cs="Arial"/>
                      <w:b/>
                      <w:bCs/>
                      <w:color w:val="000000"/>
                      <w:sz w:val="20"/>
                      <w:szCs w:val="20"/>
                      <w:lang w:eastAsia="es-MX"/>
                    </w:rPr>
                  </w:pPr>
                  <w:r w:rsidRPr="006D57F1">
                    <w:rPr>
                      <w:rFonts w:ascii="Barlow" w:hAnsi="Barlow" w:cs="Arial"/>
                      <w:b/>
                      <w:bCs/>
                      <w:color w:val="000000"/>
                      <w:sz w:val="20"/>
                      <w:szCs w:val="20"/>
                      <w:lang w:eastAsia="es-MX"/>
                    </w:rPr>
                    <w:t xml:space="preserve">Total </w:t>
                  </w:r>
                </w:p>
              </w:tc>
              <w:tc>
                <w:tcPr>
                  <w:tcW w:w="1994" w:type="dxa"/>
                  <w:noWrap/>
                </w:tcPr>
                <w:p w14:paraId="098D02A8" w14:textId="083C76FF" w:rsidR="006D5ABF" w:rsidRPr="006D57F1" w:rsidRDefault="008D6B28"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0.00</w:t>
                  </w:r>
                </w:p>
              </w:tc>
              <w:tc>
                <w:tcPr>
                  <w:tcW w:w="1555" w:type="dxa"/>
                </w:tcPr>
                <w:p w14:paraId="01ABAE71" w14:textId="1FB41CCE" w:rsidR="006D5ABF" w:rsidRPr="006D57F1" w:rsidRDefault="00F937CD"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0.00</w:t>
                  </w:r>
                </w:p>
              </w:tc>
              <w:tc>
                <w:tcPr>
                  <w:tcW w:w="254" w:type="dxa"/>
                </w:tcPr>
                <w:p w14:paraId="324FDC80" w14:textId="77777777" w:rsidR="006D5ABF" w:rsidRPr="006D57F1" w:rsidRDefault="006D5ABF" w:rsidP="006D5ABF">
                  <w:pPr>
                    <w:autoSpaceDE w:val="0"/>
                    <w:autoSpaceDN w:val="0"/>
                    <w:adjustRightInd w:val="0"/>
                    <w:spacing w:line="360" w:lineRule="auto"/>
                    <w:jc w:val="center"/>
                    <w:rPr>
                      <w:rFonts w:ascii="Barlow" w:hAnsi="Barlow" w:cs="Arial"/>
                      <w:b/>
                      <w:bCs/>
                      <w:sz w:val="20"/>
                      <w:szCs w:val="20"/>
                    </w:rPr>
                  </w:pPr>
                </w:p>
              </w:tc>
            </w:tr>
            <w:tr w:rsidR="006D5ABF" w:rsidRPr="006D57F1" w14:paraId="75DDEC0B" w14:textId="77777777" w:rsidTr="00847F46">
              <w:trPr>
                <w:trHeight w:val="300"/>
              </w:trPr>
              <w:tc>
                <w:tcPr>
                  <w:tcW w:w="6233" w:type="dxa"/>
                  <w:noWrap/>
                </w:tcPr>
                <w:p w14:paraId="4DAE3D14" w14:textId="77777777" w:rsidR="006D5ABF" w:rsidRPr="006D57F1" w:rsidRDefault="006D5ABF" w:rsidP="006D5ABF">
                  <w:pPr>
                    <w:autoSpaceDE w:val="0"/>
                    <w:autoSpaceDN w:val="0"/>
                    <w:adjustRightInd w:val="0"/>
                    <w:spacing w:line="360" w:lineRule="auto"/>
                    <w:jc w:val="both"/>
                    <w:rPr>
                      <w:rFonts w:ascii="Barlow" w:hAnsi="Barlow" w:cs="Arial"/>
                      <w:color w:val="000000"/>
                      <w:sz w:val="20"/>
                      <w:szCs w:val="20"/>
                      <w:lang w:eastAsia="es-MX"/>
                    </w:rPr>
                  </w:pPr>
                </w:p>
              </w:tc>
              <w:tc>
                <w:tcPr>
                  <w:tcW w:w="1994" w:type="dxa"/>
                  <w:noWrap/>
                </w:tcPr>
                <w:p w14:paraId="306A0148"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c>
                <w:tcPr>
                  <w:tcW w:w="1555" w:type="dxa"/>
                </w:tcPr>
                <w:p w14:paraId="6DBFF8E7"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c>
                <w:tcPr>
                  <w:tcW w:w="254" w:type="dxa"/>
                </w:tcPr>
                <w:p w14:paraId="78BC9646"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6D5ABF" w:rsidRPr="006D57F1" w14:paraId="2C493537" w14:textId="77777777" w:rsidTr="00847F46">
              <w:trPr>
                <w:trHeight w:val="300"/>
              </w:trPr>
              <w:tc>
                <w:tcPr>
                  <w:tcW w:w="6233" w:type="dxa"/>
                  <w:noWrap/>
                </w:tcPr>
                <w:p w14:paraId="5DB5627F" w14:textId="77777777" w:rsidR="006D5ABF" w:rsidRPr="006D57F1" w:rsidRDefault="006D5ABF" w:rsidP="006D5ABF">
                  <w:pPr>
                    <w:autoSpaceDE w:val="0"/>
                    <w:autoSpaceDN w:val="0"/>
                    <w:adjustRightInd w:val="0"/>
                    <w:spacing w:line="360" w:lineRule="auto"/>
                    <w:jc w:val="both"/>
                    <w:rPr>
                      <w:rFonts w:ascii="Barlow" w:hAnsi="Barlow" w:cs="Arial"/>
                      <w:b/>
                      <w:bCs/>
                      <w:sz w:val="20"/>
                      <w:szCs w:val="20"/>
                    </w:rPr>
                  </w:pPr>
                </w:p>
                <w:p w14:paraId="12908FC3" w14:textId="77777777" w:rsidR="006D5ABF" w:rsidRPr="006D57F1" w:rsidRDefault="006D5ABF" w:rsidP="006D5ABF">
                  <w:pPr>
                    <w:autoSpaceDE w:val="0"/>
                    <w:autoSpaceDN w:val="0"/>
                    <w:adjustRightInd w:val="0"/>
                    <w:spacing w:line="360" w:lineRule="auto"/>
                    <w:jc w:val="both"/>
                    <w:rPr>
                      <w:rFonts w:ascii="Barlow" w:hAnsi="Barlow" w:cs="Arial"/>
                      <w:color w:val="000000"/>
                      <w:sz w:val="20"/>
                      <w:szCs w:val="20"/>
                      <w:lang w:eastAsia="es-MX"/>
                    </w:rPr>
                  </w:pPr>
                  <w:r w:rsidRPr="006D57F1">
                    <w:rPr>
                      <w:rFonts w:ascii="Barlow" w:hAnsi="Barlow" w:cs="Arial"/>
                      <w:b/>
                      <w:bCs/>
                      <w:sz w:val="20"/>
                      <w:szCs w:val="20"/>
                    </w:rPr>
                    <w:t>DERECHOS A RECIBIR BIENES Y SERVICIOS</w:t>
                  </w:r>
                </w:p>
              </w:tc>
              <w:tc>
                <w:tcPr>
                  <w:tcW w:w="1994" w:type="dxa"/>
                  <w:noWrap/>
                </w:tcPr>
                <w:p w14:paraId="4EE7D559"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c>
                <w:tcPr>
                  <w:tcW w:w="1555" w:type="dxa"/>
                </w:tcPr>
                <w:p w14:paraId="2EF0A94D"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c>
                <w:tcPr>
                  <w:tcW w:w="254" w:type="dxa"/>
                </w:tcPr>
                <w:p w14:paraId="619BAD03"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6D5ABF" w:rsidRPr="006D57F1" w14:paraId="5EF83BFF" w14:textId="77777777" w:rsidTr="00847F46">
              <w:trPr>
                <w:trHeight w:val="300"/>
              </w:trPr>
              <w:tc>
                <w:tcPr>
                  <w:tcW w:w="6233" w:type="dxa"/>
                  <w:noWrap/>
                </w:tcPr>
                <w:p w14:paraId="0F8B52C1" w14:textId="77777777" w:rsidR="006D5ABF" w:rsidRPr="006D57F1" w:rsidRDefault="006D5ABF" w:rsidP="006D5ABF">
                  <w:pPr>
                    <w:autoSpaceDE w:val="0"/>
                    <w:autoSpaceDN w:val="0"/>
                    <w:adjustRightInd w:val="0"/>
                    <w:spacing w:line="360" w:lineRule="auto"/>
                    <w:jc w:val="both"/>
                    <w:rPr>
                      <w:rFonts w:ascii="Barlow" w:hAnsi="Barlow" w:cs="Arial"/>
                      <w:b/>
                      <w:bCs/>
                      <w:sz w:val="20"/>
                      <w:szCs w:val="20"/>
                    </w:rPr>
                  </w:pPr>
                  <w:r w:rsidRPr="006D57F1">
                    <w:rPr>
                      <w:rFonts w:ascii="Barlow" w:hAnsi="Barlow" w:cs="Arial"/>
                      <w:color w:val="000000"/>
                      <w:sz w:val="20"/>
                      <w:szCs w:val="20"/>
                      <w:lang w:eastAsia="es-MX"/>
                    </w:rPr>
                    <w:t>ANTICIPO A PROVEEDORES POR ADQUISICIÓN DE BIENES Y PRESTACIÓN DE SERVICIOS</w:t>
                  </w:r>
                </w:p>
              </w:tc>
              <w:tc>
                <w:tcPr>
                  <w:tcW w:w="1994" w:type="dxa"/>
                  <w:noWrap/>
                </w:tcPr>
                <w:p w14:paraId="6EF26C6F" w14:textId="550AA3C0" w:rsidR="006D5ABF" w:rsidRPr="006D57F1" w:rsidRDefault="006D5ABF"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 xml:space="preserve">       </w:t>
                  </w:r>
                  <w:r w:rsidR="006A5082" w:rsidRPr="006D57F1">
                    <w:rPr>
                      <w:rFonts w:ascii="Barlow" w:hAnsi="Barlow" w:cs="Arial"/>
                      <w:sz w:val="20"/>
                      <w:szCs w:val="20"/>
                    </w:rPr>
                    <w:t xml:space="preserve">                               </w:t>
                  </w:r>
                  <w:r w:rsidR="00F937CD" w:rsidRPr="006D57F1">
                    <w:rPr>
                      <w:rFonts w:ascii="Barlow" w:hAnsi="Barlow" w:cs="Arial"/>
                      <w:sz w:val="20"/>
                      <w:szCs w:val="20"/>
                    </w:rPr>
                    <w:t>0.00</w:t>
                  </w:r>
                </w:p>
              </w:tc>
              <w:tc>
                <w:tcPr>
                  <w:tcW w:w="1555" w:type="dxa"/>
                </w:tcPr>
                <w:p w14:paraId="6536D29C"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p w14:paraId="033AA748"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502,155.65</w:t>
                  </w:r>
                </w:p>
              </w:tc>
              <w:tc>
                <w:tcPr>
                  <w:tcW w:w="254" w:type="dxa"/>
                </w:tcPr>
                <w:p w14:paraId="7C302B40"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4855A0" w:rsidRPr="006D57F1" w14:paraId="26662B5A" w14:textId="77777777" w:rsidTr="00847F46">
              <w:trPr>
                <w:trHeight w:val="300"/>
              </w:trPr>
              <w:tc>
                <w:tcPr>
                  <w:tcW w:w="6233" w:type="dxa"/>
                  <w:noWrap/>
                </w:tcPr>
                <w:p w14:paraId="775D3BFC" w14:textId="6F1B865D" w:rsidR="004855A0" w:rsidRPr="006D57F1" w:rsidRDefault="004855A0" w:rsidP="006D5ABF">
                  <w:pPr>
                    <w:autoSpaceDE w:val="0"/>
                    <w:autoSpaceDN w:val="0"/>
                    <w:adjustRightInd w:val="0"/>
                    <w:spacing w:line="360" w:lineRule="auto"/>
                    <w:jc w:val="both"/>
                    <w:rPr>
                      <w:rFonts w:ascii="Barlow" w:hAnsi="Barlow" w:cs="Arial"/>
                      <w:color w:val="000000"/>
                      <w:sz w:val="20"/>
                      <w:szCs w:val="20"/>
                      <w:lang w:eastAsia="es-MX"/>
                    </w:rPr>
                  </w:pPr>
                  <w:r w:rsidRPr="006D57F1">
                    <w:rPr>
                      <w:rFonts w:ascii="Barlow" w:hAnsi="Barlow" w:cs="Arial"/>
                      <w:color w:val="000000"/>
                      <w:sz w:val="20"/>
                      <w:szCs w:val="20"/>
                      <w:lang w:eastAsia="es-MX"/>
                    </w:rPr>
                    <w:t>PAGOS ANTICIPADOS</w:t>
                  </w:r>
                </w:p>
              </w:tc>
              <w:tc>
                <w:tcPr>
                  <w:tcW w:w="1994" w:type="dxa"/>
                  <w:noWrap/>
                </w:tcPr>
                <w:p w14:paraId="4ED335BF" w14:textId="4A1737AC" w:rsidR="004855A0" w:rsidRPr="006D57F1" w:rsidRDefault="004855A0"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1555" w:type="dxa"/>
                </w:tcPr>
                <w:p w14:paraId="17C1BC54" w14:textId="0E54C183" w:rsidR="004855A0" w:rsidRPr="006D57F1" w:rsidRDefault="00302965"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254" w:type="dxa"/>
                </w:tcPr>
                <w:p w14:paraId="7E62911E" w14:textId="77777777" w:rsidR="004855A0" w:rsidRPr="006D57F1" w:rsidRDefault="004855A0" w:rsidP="006D5ABF">
                  <w:pPr>
                    <w:autoSpaceDE w:val="0"/>
                    <w:autoSpaceDN w:val="0"/>
                    <w:adjustRightInd w:val="0"/>
                    <w:spacing w:line="360" w:lineRule="auto"/>
                    <w:jc w:val="right"/>
                    <w:rPr>
                      <w:rFonts w:ascii="Barlow" w:hAnsi="Barlow" w:cs="Arial"/>
                      <w:sz w:val="20"/>
                      <w:szCs w:val="20"/>
                    </w:rPr>
                  </w:pPr>
                </w:p>
              </w:tc>
            </w:tr>
            <w:tr w:rsidR="006D5ABF" w:rsidRPr="006D57F1" w14:paraId="44FCDF68" w14:textId="77777777" w:rsidTr="00847F46">
              <w:trPr>
                <w:trHeight w:val="300"/>
              </w:trPr>
              <w:tc>
                <w:tcPr>
                  <w:tcW w:w="6233" w:type="dxa"/>
                  <w:noWrap/>
                </w:tcPr>
                <w:p w14:paraId="74229F3E" w14:textId="77777777" w:rsidR="006D5ABF" w:rsidRPr="006D57F1" w:rsidRDefault="006D5ABF" w:rsidP="006D5ABF">
                  <w:pPr>
                    <w:autoSpaceDE w:val="0"/>
                    <w:autoSpaceDN w:val="0"/>
                    <w:adjustRightInd w:val="0"/>
                    <w:spacing w:line="360" w:lineRule="auto"/>
                    <w:jc w:val="both"/>
                    <w:rPr>
                      <w:rFonts w:ascii="Barlow" w:hAnsi="Barlow" w:cs="Arial"/>
                      <w:b/>
                      <w:bCs/>
                      <w:color w:val="000000"/>
                      <w:sz w:val="20"/>
                      <w:szCs w:val="20"/>
                      <w:lang w:eastAsia="es-MX"/>
                    </w:rPr>
                  </w:pPr>
                  <w:r w:rsidRPr="006D57F1">
                    <w:rPr>
                      <w:rFonts w:ascii="Barlow" w:hAnsi="Barlow" w:cs="Arial"/>
                      <w:b/>
                      <w:bCs/>
                      <w:color w:val="000000"/>
                      <w:sz w:val="20"/>
                      <w:szCs w:val="20"/>
                      <w:lang w:eastAsia="es-MX"/>
                    </w:rPr>
                    <w:t>TOTAL</w:t>
                  </w:r>
                </w:p>
              </w:tc>
              <w:tc>
                <w:tcPr>
                  <w:tcW w:w="1994" w:type="dxa"/>
                  <w:noWrap/>
                </w:tcPr>
                <w:p w14:paraId="6F440628" w14:textId="56C6544D" w:rsidR="006D5ABF" w:rsidRPr="006D57F1" w:rsidRDefault="00F937CD"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0.00</w:t>
                  </w:r>
                  <w:r w:rsidR="006D5ABF" w:rsidRPr="006D57F1">
                    <w:rPr>
                      <w:rFonts w:ascii="Barlow" w:hAnsi="Barlow" w:cs="Arial"/>
                      <w:b/>
                      <w:bCs/>
                      <w:sz w:val="20"/>
                      <w:szCs w:val="20"/>
                    </w:rPr>
                    <w:t xml:space="preserve">                                 </w:t>
                  </w:r>
                </w:p>
              </w:tc>
              <w:tc>
                <w:tcPr>
                  <w:tcW w:w="1555" w:type="dxa"/>
                </w:tcPr>
                <w:p w14:paraId="1FAD1775" w14:textId="112965DC" w:rsidR="006D5ABF" w:rsidRPr="006D57F1" w:rsidRDefault="006D5ABF"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50</w:t>
                  </w:r>
                  <w:r w:rsidR="004855A0" w:rsidRPr="006D57F1">
                    <w:rPr>
                      <w:rFonts w:ascii="Barlow" w:hAnsi="Barlow" w:cs="Arial"/>
                      <w:b/>
                      <w:bCs/>
                      <w:sz w:val="20"/>
                      <w:szCs w:val="20"/>
                    </w:rPr>
                    <w:t>2,</w:t>
                  </w:r>
                  <w:r w:rsidR="007A643E" w:rsidRPr="006D57F1">
                    <w:rPr>
                      <w:rFonts w:ascii="Barlow" w:hAnsi="Barlow" w:cs="Arial"/>
                      <w:b/>
                      <w:bCs/>
                      <w:sz w:val="20"/>
                      <w:szCs w:val="20"/>
                    </w:rPr>
                    <w:t>155.65</w:t>
                  </w:r>
                </w:p>
              </w:tc>
              <w:tc>
                <w:tcPr>
                  <w:tcW w:w="254" w:type="dxa"/>
                </w:tcPr>
                <w:p w14:paraId="4E699EC6" w14:textId="77777777" w:rsidR="006D5ABF" w:rsidRPr="006D57F1" w:rsidRDefault="006D5ABF" w:rsidP="006D5ABF">
                  <w:pPr>
                    <w:autoSpaceDE w:val="0"/>
                    <w:autoSpaceDN w:val="0"/>
                    <w:adjustRightInd w:val="0"/>
                    <w:spacing w:line="360" w:lineRule="auto"/>
                    <w:jc w:val="right"/>
                    <w:rPr>
                      <w:rFonts w:ascii="Barlow" w:hAnsi="Barlow" w:cs="Arial"/>
                      <w:b/>
                      <w:bCs/>
                      <w:sz w:val="20"/>
                      <w:szCs w:val="20"/>
                    </w:rPr>
                  </w:pPr>
                </w:p>
              </w:tc>
            </w:tr>
            <w:tr w:rsidR="006D5ABF" w:rsidRPr="006D57F1" w14:paraId="13A3C6D3" w14:textId="77777777" w:rsidTr="00847F46">
              <w:trPr>
                <w:trHeight w:val="300"/>
              </w:trPr>
              <w:tc>
                <w:tcPr>
                  <w:tcW w:w="6233" w:type="dxa"/>
                  <w:noWrap/>
                </w:tcPr>
                <w:p w14:paraId="34136B94" w14:textId="77777777" w:rsidR="006D5ABF" w:rsidRPr="006D57F1" w:rsidRDefault="006D5ABF" w:rsidP="006D5ABF">
                  <w:pPr>
                    <w:autoSpaceDE w:val="0"/>
                    <w:autoSpaceDN w:val="0"/>
                    <w:adjustRightInd w:val="0"/>
                    <w:spacing w:line="360" w:lineRule="auto"/>
                    <w:jc w:val="both"/>
                    <w:rPr>
                      <w:rFonts w:ascii="Barlow" w:hAnsi="Barlow" w:cs="Arial"/>
                      <w:color w:val="000000"/>
                      <w:sz w:val="20"/>
                      <w:szCs w:val="20"/>
                      <w:lang w:eastAsia="es-MX"/>
                    </w:rPr>
                  </w:pPr>
                </w:p>
              </w:tc>
              <w:tc>
                <w:tcPr>
                  <w:tcW w:w="1994" w:type="dxa"/>
                  <w:noWrap/>
                </w:tcPr>
                <w:p w14:paraId="6812DB97" w14:textId="77777777" w:rsidR="006D5ABF" w:rsidRPr="006D57F1" w:rsidRDefault="006D5ABF" w:rsidP="006D5ABF">
                  <w:pPr>
                    <w:autoSpaceDE w:val="0"/>
                    <w:autoSpaceDN w:val="0"/>
                    <w:adjustRightInd w:val="0"/>
                    <w:spacing w:line="360" w:lineRule="auto"/>
                    <w:jc w:val="right"/>
                    <w:rPr>
                      <w:rFonts w:ascii="Barlow" w:hAnsi="Barlow" w:cs="Arial"/>
                      <w:b/>
                      <w:bCs/>
                      <w:sz w:val="20"/>
                      <w:szCs w:val="20"/>
                    </w:rPr>
                  </w:pPr>
                </w:p>
              </w:tc>
              <w:tc>
                <w:tcPr>
                  <w:tcW w:w="1555" w:type="dxa"/>
                </w:tcPr>
                <w:p w14:paraId="367F0CFE" w14:textId="77777777" w:rsidR="006D5ABF" w:rsidRPr="006D57F1" w:rsidRDefault="006D5ABF" w:rsidP="006D5ABF">
                  <w:pPr>
                    <w:autoSpaceDE w:val="0"/>
                    <w:autoSpaceDN w:val="0"/>
                    <w:adjustRightInd w:val="0"/>
                    <w:spacing w:line="360" w:lineRule="auto"/>
                    <w:jc w:val="right"/>
                    <w:rPr>
                      <w:rFonts w:ascii="Barlow" w:hAnsi="Barlow" w:cs="Arial"/>
                      <w:b/>
                      <w:bCs/>
                      <w:sz w:val="20"/>
                      <w:szCs w:val="20"/>
                    </w:rPr>
                  </w:pPr>
                </w:p>
              </w:tc>
              <w:tc>
                <w:tcPr>
                  <w:tcW w:w="254" w:type="dxa"/>
                </w:tcPr>
                <w:p w14:paraId="43223DA5" w14:textId="77777777" w:rsidR="006D5ABF" w:rsidRPr="006D57F1" w:rsidRDefault="006D5ABF" w:rsidP="006D5ABF">
                  <w:pPr>
                    <w:autoSpaceDE w:val="0"/>
                    <w:autoSpaceDN w:val="0"/>
                    <w:adjustRightInd w:val="0"/>
                    <w:spacing w:line="360" w:lineRule="auto"/>
                    <w:jc w:val="right"/>
                    <w:rPr>
                      <w:rFonts w:ascii="Barlow" w:hAnsi="Barlow" w:cs="Arial"/>
                      <w:b/>
                      <w:bCs/>
                      <w:sz w:val="20"/>
                      <w:szCs w:val="20"/>
                    </w:rPr>
                  </w:pPr>
                </w:p>
              </w:tc>
            </w:tr>
            <w:tr w:rsidR="006D5ABF" w:rsidRPr="006D57F1" w14:paraId="480B9FA0" w14:textId="77777777" w:rsidTr="00847F46">
              <w:trPr>
                <w:trHeight w:val="300"/>
              </w:trPr>
              <w:tc>
                <w:tcPr>
                  <w:tcW w:w="6233" w:type="dxa"/>
                  <w:noWrap/>
                </w:tcPr>
                <w:p w14:paraId="0D0F4500" w14:textId="77777777" w:rsidR="006D5ABF" w:rsidRPr="006D57F1" w:rsidRDefault="006D5ABF" w:rsidP="006D5ABF">
                  <w:pPr>
                    <w:autoSpaceDE w:val="0"/>
                    <w:autoSpaceDN w:val="0"/>
                    <w:adjustRightInd w:val="0"/>
                    <w:spacing w:line="360" w:lineRule="auto"/>
                    <w:jc w:val="both"/>
                    <w:rPr>
                      <w:rFonts w:ascii="Barlow" w:hAnsi="Barlow" w:cs="Arial"/>
                      <w:color w:val="000000"/>
                      <w:sz w:val="20"/>
                      <w:szCs w:val="20"/>
                      <w:lang w:eastAsia="es-MX"/>
                    </w:rPr>
                  </w:pPr>
                  <w:r w:rsidRPr="006D57F1">
                    <w:rPr>
                      <w:rFonts w:ascii="Barlow" w:hAnsi="Barlow" w:cs="Arial"/>
                      <w:color w:val="000000"/>
                      <w:sz w:val="20"/>
                      <w:szCs w:val="20"/>
                      <w:lang w:eastAsia="es-MX"/>
                    </w:rPr>
                    <w:t>OTROS ACTIVOS CIRCULANTES</w:t>
                  </w:r>
                </w:p>
              </w:tc>
              <w:tc>
                <w:tcPr>
                  <w:tcW w:w="1994" w:type="dxa"/>
                  <w:noWrap/>
                </w:tcPr>
                <w:p w14:paraId="1DD6DB42" w14:textId="5C72E256" w:rsidR="006D5ABF" w:rsidRPr="006D57F1" w:rsidRDefault="004855A0"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r w:rsidR="006D5ABF" w:rsidRPr="006D57F1">
                    <w:rPr>
                      <w:rFonts w:ascii="Barlow" w:hAnsi="Barlow" w:cs="Arial"/>
                      <w:sz w:val="20"/>
                      <w:szCs w:val="20"/>
                    </w:rPr>
                    <w:t xml:space="preserve">                                          </w:t>
                  </w:r>
                </w:p>
              </w:tc>
              <w:tc>
                <w:tcPr>
                  <w:tcW w:w="1555" w:type="dxa"/>
                </w:tcPr>
                <w:p w14:paraId="56A626AD" w14:textId="349274A6" w:rsidR="006D5ABF" w:rsidRPr="006D57F1" w:rsidRDefault="006D5ABF" w:rsidP="006D5ABF">
                  <w:pPr>
                    <w:autoSpaceDE w:val="0"/>
                    <w:autoSpaceDN w:val="0"/>
                    <w:adjustRightInd w:val="0"/>
                    <w:spacing w:line="360" w:lineRule="auto"/>
                    <w:jc w:val="right"/>
                    <w:rPr>
                      <w:rFonts w:ascii="Barlow" w:hAnsi="Barlow" w:cs="Arial"/>
                      <w:sz w:val="20"/>
                      <w:szCs w:val="20"/>
                    </w:rPr>
                  </w:pPr>
                  <w:r w:rsidRPr="006D57F1">
                    <w:rPr>
                      <w:rFonts w:ascii="Barlow" w:hAnsi="Barlow" w:cs="Arial"/>
                      <w:sz w:val="20"/>
                      <w:szCs w:val="20"/>
                    </w:rPr>
                    <w:t>0.00</w:t>
                  </w:r>
                </w:p>
              </w:tc>
              <w:tc>
                <w:tcPr>
                  <w:tcW w:w="254" w:type="dxa"/>
                </w:tcPr>
                <w:p w14:paraId="3F26A16D" w14:textId="77777777" w:rsidR="006D5ABF" w:rsidRPr="006D57F1" w:rsidRDefault="006D5ABF" w:rsidP="006D5ABF">
                  <w:pPr>
                    <w:autoSpaceDE w:val="0"/>
                    <w:autoSpaceDN w:val="0"/>
                    <w:adjustRightInd w:val="0"/>
                    <w:spacing w:line="360" w:lineRule="auto"/>
                    <w:jc w:val="right"/>
                    <w:rPr>
                      <w:rFonts w:ascii="Barlow" w:hAnsi="Barlow" w:cs="Arial"/>
                      <w:sz w:val="20"/>
                      <w:szCs w:val="20"/>
                    </w:rPr>
                  </w:pPr>
                </w:p>
              </w:tc>
            </w:tr>
            <w:tr w:rsidR="006D5ABF" w:rsidRPr="006D57F1" w14:paraId="6C5763D6" w14:textId="77777777" w:rsidTr="00847F46">
              <w:trPr>
                <w:trHeight w:val="300"/>
              </w:trPr>
              <w:tc>
                <w:tcPr>
                  <w:tcW w:w="6233" w:type="dxa"/>
                  <w:noWrap/>
                </w:tcPr>
                <w:p w14:paraId="00F78C7A" w14:textId="77777777" w:rsidR="006D5ABF" w:rsidRPr="006D57F1" w:rsidRDefault="006D5ABF" w:rsidP="006D5ABF">
                  <w:pPr>
                    <w:autoSpaceDE w:val="0"/>
                    <w:autoSpaceDN w:val="0"/>
                    <w:adjustRightInd w:val="0"/>
                    <w:spacing w:line="360" w:lineRule="auto"/>
                    <w:jc w:val="both"/>
                    <w:rPr>
                      <w:rFonts w:ascii="Barlow" w:hAnsi="Barlow" w:cs="Arial"/>
                      <w:b/>
                      <w:bCs/>
                      <w:sz w:val="20"/>
                      <w:szCs w:val="20"/>
                    </w:rPr>
                  </w:pPr>
                  <w:r w:rsidRPr="006D57F1">
                    <w:rPr>
                      <w:rFonts w:ascii="Barlow" w:hAnsi="Barlow" w:cs="Arial"/>
                      <w:b/>
                      <w:bCs/>
                      <w:sz w:val="20"/>
                      <w:szCs w:val="20"/>
                    </w:rPr>
                    <w:t xml:space="preserve">TOTAL </w:t>
                  </w:r>
                </w:p>
              </w:tc>
              <w:tc>
                <w:tcPr>
                  <w:tcW w:w="1994" w:type="dxa"/>
                  <w:noWrap/>
                </w:tcPr>
                <w:p w14:paraId="33D4E582" w14:textId="54509324" w:rsidR="006D5ABF" w:rsidRPr="006D57F1" w:rsidRDefault="004855A0"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0.00</w:t>
                  </w:r>
                  <w:r w:rsidR="006D5ABF" w:rsidRPr="006D57F1">
                    <w:rPr>
                      <w:rFonts w:ascii="Barlow" w:hAnsi="Barlow" w:cs="Arial"/>
                      <w:b/>
                      <w:bCs/>
                      <w:sz w:val="20"/>
                      <w:szCs w:val="20"/>
                    </w:rPr>
                    <w:t xml:space="preserve">                                          </w:t>
                  </w:r>
                </w:p>
              </w:tc>
              <w:tc>
                <w:tcPr>
                  <w:tcW w:w="1555" w:type="dxa"/>
                </w:tcPr>
                <w:p w14:paraId="0975871F" w14:textId="2BF4D7BF" w:rsidR="006D5ABF" w:rsidRPr="006D57F1" w:rsidRDefault="006D5ABF" w:rsidP="006D5ABF">
                  <w:pPr>
                    <w:autoSpaceDE w:val="0"/>
                    <w:autoSpaceDN w:val="0"/>
                    <w:adjustRightInd w:val="0"/>
                    <w:spacing w:line="360" w:lineRule="auto"/>
                    <w:jc w:val="right"/>
                    <w:rPr>
                      <w:rFonts w:ascii="Barlow" w:hAnsi="Barlow" w:cs="Arial"/>
                      <w:b/>
                      <w:bCs/>
                      <w:sz w:val="20"/>
                      <w:szCs w:val="20"/>
                    </w:rPr>
                  </w:pPr>
                  <w:r w:rsidRPr="006D57F1">
                    <w:rPr>
                      <w:rFonts w:ascii="Barlow" w:hAnsi="Barlow" w:cs="Arial"/>
                      <w:b/>
                      <w:bCs/>
                      <w:sz w:val="20"/>
                      <w:szCs w:val="20"/>
                    </w:rPr>
                    <w:t>0.00</w:t>
                  </w:r>
                </w:p>
              </w:tc>
              <w:tc>
                <w:tcPr>
                  <w:tcW w:w="254" w:type="dxa"/>
                </w:tcPr>
                <w:p w14:paraId="7CCD5589" w14:textId="77777777" w:rsidR="006D5ABF" w:rsidRPr="006D57F1" w:rsidRDefault="006D5ABF" w:rsidP="006D5ABF">
                  <w:pPr>
                    <w:autoSpaceDE w:val="0"/>
                    <w:autoSpaceDN w:val="0"/>
                    <w:adjustRightInd w:val="0"/>
                    <w:spacing w:line="360" w:lineRule="auto"/>
                    <w:jc w:val="right"/>
                    <w:rPr>
                      <w:rFonts w:ascii="Barlow" w:hAnsi="Barlow" w:cs="Arial"/>
                      <w:b/>
                      <w:bCs/>
                      <w:sz w:val="20"/>
                      <w:szCs w:val="20"/>
                    </w:rPr>
                  </w:pPr>
                </w:p>
              </w:tc>
            </w:tr>
          </w:tbl>
          <w:p w14:paraId="6F9E0319" w14:textId="77777777" w:rsidR="006D5ABF" w:rsidRPr="006D57F1" w:rsidRDefault="006D5ABF" w:rsidP="006D5ABF">
            <w:pPr>
              <w:rPr>
                <w:rFonts w:ascii="Barlow" w:hAnsi="Barlow" w:cs="Arial"/>
                <w:b/>
                <w:bCs/>
                <w:color w:val="000000"/>
                <w:sz w:val="20"/>
                <w:szCs w:val="20"/>
                <w:lang w:eastAsia="es-MX"/>
              </w:rPr>
            </w:pPr>
          </w:p>
          <w:p w14:paraId="1BE9C7C0" w14:textId="77777777" w:rsidR="006D5ABF" w:rsidRPr="006D57F1" w:rsidRDefault="006D5ABF" w:rsidP="006D5ABF">
            <w:pPr>
              <w:rPr>
                <w:rFonts w:ascii="Barlow" w:hAnsi="Barlow" w:cs="Arial"/>
                <w:b/>
                <w:bCs/>
                <w:color w:val="000000"/>
                <w:sz w:val="20"/>
                <w:szCs w:val="20"/>
                <w:lang w:eastAsia="es-MX"/>
              </w:rPr>
            </w:pPr>
          </w:p>
        </w:tc>
      </w:tr>
    </w:tbl>
    <w:p w14:paraId="5C776F75" w14:textId="77777777" w:rsidR="004855A0" w:rsidRPr="006D57F1" w:rsidRDefault="004855A0" w:rsidP="00EC5D4C">
      <w:pPr>
        <w:autoSpaceDE w:val="0"/>
        <w:autoSpaceDN w:val="0"/>
        <w:adjustRightInd w:val="0"/>
        <w:spacing w:line="360" w:lineRule="auto"/>
        <w:jc w:val="both"/>
        <w:rPr>
          <w:rFonts w:ascii="Barlow" w:hAnsi="Barlow" w:cs="Arial"/>
          <w:b/>
          <w:sz w:val="20"/>
          <w:szCs w:val="20"/>
        </w:rPr>
      </w:pPr>
    </w:p>
    <w:p w14:paraId="0803CAA9" w14:textId="487C1D28" w:rsidR="00EC5D4C" w:rsidRPr="006D57F1" w:rsidRDefault="00EC5D4C" w:rsidP="00EC5D4C">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Bienes Disponibles para su Transformación o Consumo (Inventarios)</w:t>
      </w:r>
    </w:p>
    <w:p w14:paraId="4A8E652C" w14:textId="0B6CA61A" w:rsidR="00EC5D4C" w:rsidRPr="006D57F1" w:rsidRDefault="00D06563" w:rsidP="00EC5D4C">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4</w:t>
      </w:r>
      <w:r w:rsidR="00EC5D4C" w:rsidRPr="006D57F1">
        <w:rPr>
          <w:rFonts w:ascii="Barlow" w:hAnsi="Barlow" w:cs="Arial"/>
          <w:sz w:val="20"/>
          <w:szCs w:val="20"/>
        </w:rPr>
        <w:t>- El Instituto de Historia y Museos de Yucatán no realiza ningún proceso de transformación y/o elaboración de bienes.</w:t>
      </w:r>
    </w:p>
    <w:p w14:paraId="49580477" w14:textId="77777777" w:rsidR="004855A0" w:rsidRPr="006D57F1" w:rsidRDefault="004855A0" w:rsidP="00EC5D4C">
      <w:pPr>
        <w:autoSpaceDE w:val="0"/>
        <w:autoSpaceDN w:val="0"/>
        <w:adjustRightInd w:val="0"/>
        <w:spacing w:line="360" w:lineRule="auto"/>
        <w:jc w:val="both"/>
        <w:rPr>
          <w:rFonts w:ascii="Barlow" w:hAnsi="Barlow" w:cs="Arial"/>
          <w:sz w:val="20"/>
          <w:szCs w:val="20"/>
        </w:rPr>
      </w:pPr>
    </w:p>
    <w:p w14:paraId="0647EFC8" w14:textId="1BF5C35B" w:rsidR="00EC5D4C" w:rsidRPr="006D57F1" w:rsidRDefault="00D06563"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5</w:t>
      </w:r>
      <w:r w:rsidR="00EC5D4C" w:rsidRPr="006D57F1">
        <w:rPr>
          <w:rFonts w:ascii="Barlow" w:hAnsi="Barlow" w:cs="Arial"/>
          <w:sz w:val="20"/>
          <w:szCs w:val="20"/>
        </w:rPr>
        <w:t>.- El Instituto de Historia y Museos de Yucatán no maneja registros, ni bienes en la cuenta de almacén.</w:t>
      </w:r>
    </w:p>
    <w:p w14:paraId="5AFAB037" w14:textId="77777777" w:rsidR="00324DAC" w:rsidRPr="006D57F1" w:rsidRDefault="00324DAC" w:rsidP="00324DAC">
      <w:pPr>
        <w:autoSpaceDE w:val="0"/>
        <w:autoSpaceDN w:val="0"/>
        <w:adjustRightInd w:val="0"/>
        <w:spacing w:line="360" w:lineRule="auto"/>
        <w:jc w:val="both"/>
        <w:rPr>
          <w:rFonts w:ascii="Barlow" w:hAnsi="Barlow" w:cs="Arial"/>
          <w:b/>
          <w:sz w:val="20"/>
          <w:szCs w:val="20"/>
        </w:rPr>
      </w:pPr>
    </w:p>
    <w:p w14:paraId="3FC54289" w14:textId="261C0CA1" w:rsidR="00324DAC" w:rsidRPr="006D57F1" w:rsidRDefault="00324DAC" w:rsidP="00324DAC">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 xml:space="preserve">Inversiones Financieras </w:t>
      </w:r>
    </w:p>
    <w:p w14:paraId="3C843031" w14:textId="1CE96438" w:rsidR="004855A0" w:rsidRPr="006D57F1" w:rsidRDefault="00324DAC"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6.- El Instituto de Historia y Museos de Yucatán no realiza inversiones financieras.</w:t>
      </w:r>
    </w:p>
    <w:p w14:paraId="40B68106" w14:textId="5024C3D0" w:rsidR="00324DAC" w:rsidRPr="006D57F1" w:rsidRDefault="00324DAC"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7.- Al </w:t>
      </w:r>
      <w:r w:rsidR="00C2581B" w:rsidRPr="006D57F1">
        <w:rPr>
          <w:rFonts w:ascii="Barlow" w:hAnsi="Barlow" w:cs="Arial"/>
          <w:sz w:val="20"/>
          <w:szCs w:val="20"/>
        </w:rPr>
        <w:t>2</w:t>
      </w:r>
      <w:r w:rsidR="00EA2098" w:rsidRPr="006D57F1">
        <w:rPr>
          <w:rFonts w:ascii="Barlow" w:hAnsi="Barlow" w:cs="Arial"/>
          <w:sz w:val="20"/>
          <w:szCs w:val="20"/>
        </w:rPr>
        <w:t>7</w:t>
      </w:r>
      <w:r w:rsidRPr="006D57F1">
        <w:rPr>
          <w:rFonts w:ascii="Barlow" w:hAnsi="Barlow" w:cs="Arial"/>
          <w:sz w:val="20"/>
          <w:szCs w:val="20"/>
        </w:rPr>
        <w:t xml:space="preserve"> de</w:t>
      </w:r>
      <w:r w:rsidR="004577A3" w:rsidRPr="006D57F1">
        <w:rPr>
          <w:rFonts w:ascii="Barlow" w:hAnsi="Barlow" w:cs="Arial"/>
          <w:sz w:val="20"/>
          <w:szCs w:val="20"/>
        </w:rPr>
        <w:t xml:space="preserve"> </w:t>
      </w:r>
      <w:r w:rsidR="006D57F1" w:rsidRPr="006D57F1">
        <w:rPr>
          <w:rFonts w:ascii="Barlow" w:hAnsi="Barlow" w:cs="Arial"/>
          <w:sz w:val="20"/>
          <w:szCs w:val="20"/>
        </w:rPr>
        <w:t>enero</w:t>
      </w:r>
      <w:r w:rsidRPr="006D57F1">
        <w:rPr>
          <w:rFonts w:ascii="Barlow" w:hAnsi="Barlow" w:cs="Arial"/>
          <w:sz w:val="20"/>
          <w:szCs w:val="20"/>
        </w:rPr>
        <w:t xml:space="preserve"> de 202</w:t>
      </w:r>
      <w:r w:rsidR="00C2581B" w:rsidRPr="006D57F1">
        <w:rPr>
          <w:rFonts w:ascii="Barlow" w:hAnsi="Barlow" w:cs="Arial"/>
          <w:sz w:val="20"/>
          <w:szCs w:val="20"/>
        </w:rPr>
        <w:t>2</w:t>
      </w:r>
      <w:r w:rsidRPr="006D57F1">
        <w:rPr>
          <w:rFonts w:ascii="Barlow" w:hAnsi="Barlow" w:cs="Arial"/>
          <w:sz w:val="20"/>
          <w:szCs w:val="20"/>
        </w:rPr>
        <w:t xml:space="preserve"> el Instituto de Historia y Museos de Yucatán no cuenta con saldo en la cuenta de Inversiones financieras.</w:t>
      </w:r>
    </w:p>
    <w:p w14:paraId="2B35EE26" w14:textId="77777777" w:rsidR="00324DAC" w:rsidRPr="006D57F1" w:rsidRDefault="00324DAC" w:rsidP="00324DAC">
      <w:pPr>
        <w:autoSpaceDE w:val="0"/>
        <w:autoSpaceDN w:val="0"/>
        <w:adjustRightInd w:val="0"/>
        <w:spacing w:line="360" w:lineRule="auto"/>
        <w:jc w:val="both"/>
        <w:rPr>
          <w:rFonts w:ascii="Barlow" w:hAnsi="Barlow" w:cs="Arial"/>
          <w:b/>
          <w:sz w:val="20"/>
          <w:szCs w:val="20"/>
        </w:rPr>
      </w:pPr>
    </w:p>
    <w:p w14:paraId="6C24B77B" w14:textId="1AF03232" w:rsidR="00324DAC" w:rsidRPr="006D57F1" w:rsidRDefault="00324DAC" w:rsidP="00324DAC">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 xml:space="preserve">Bienes Muebles, Inmuebles e intangibles </w:t>
      </w:r>
    </w:p>
    <w:p w14:paraId="6C187B9D" w14:textId="1DBBD045" w:rsidR="002F14F7" w:rsidRPr="006D57F1" w:rsidRDefault="00324DAC"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8</w:t>
      </w:r>
      <w:r w:rsidR="002F14F7" w:rsidRPr="006D57F1">
        <w:rPr>
          <w:rFonts w:ascii="Barlow" w:hAnsi="Barlow" w:cs="Arial"/>
          <w:sz w:val="20"/>
          <w:szCs w:val="20"/>
        </w:rPr>
        <w:t>.-</w:t>
      </w:r>
      <w:r w:rsidR="00EA2098" w:rsidRPr="006D57F1">
        <w:rPr>
          <w:rFonts w:ascii="Barlow" w:hAnsi="Barlow" w:cs="Arial"/>
          <w:sz w:val="20"/>
          <w:szCs w:val="20"/>
        </w:rPr>
        <w:t xml:space="preserve">El instituto de Historia y Museos de Yucatán no </w:t>
      </w:r>
      <w:r w:rsidR="006D57F1" w:rsidRPr="006D57F1">
        <w:rPr>
          <w:rFonts w:ascii="Barlow" w:hAnsi="Barlow" w:cs="Arial"/>
          <w:sz w:val="20"/>
          <w:szCs w:val="20"/>
        </w:rPr>
        <w:t>cuenta con</w:t>
      </w:r>
      <w:r w:rsidR="00EA2098" w:rsidRPr="006D57F1">
        <w:rPr>
          <w:rFonts w:ascii="Barlow" w:hAnsi="Barlow" w:cs="Arial"/>
          <w:sz w:val="20"/>
          <w:szCs w:val="20"/>
        </w:rPr>
        <w:t xml:space="preserve"> </w:t>
      </w:r>
      <w:r w:rsidR="00FA104C" w:rsidRPr="006D57F1">
        <w:rPr>
          <w:rFonts w:ascii="Barlow" w:hAnsi="Barlow" w:cs="Arial"/>
          <w:sz w:val="20"/>
          <w:szCs w:val="20"/>
        </w:rPr>
        <w:t xml:space="preserve">saldo </w:t>
      </w:r>
      <w:r w:rsidR="00EA2098" w:rsidRPr="006D57F1">
        <w:rPr>
          <w:rFonts w:ascii="Barlow" w:hAnsi="Barlow" w:cs="Arial"/>
          <w:sz w:val="20"/>
          <w:szCs w:val="20"/>
        </w:rPr>
        <w:t>en e</w:t>
      </w:r>
      <w:r w:rsidR="00FA104C" w:rsidRPr="006D57F1">
        <w:rPr>
          <w:rFonts w:ascii="Barlow" w:hAnsi="Barlow" w:cs="Arial"/>
          <w:sz w:val="20"/>
          <w:szCs w:val="20"/>
        </w:rPr>
        <w:t xml:space="preserve">l rubro Bienes muebles e inmuebles </w:t>
      </w:r>
      <w:r w:rsidR="00EA2098" w:rsidRPr="006D57F1">
        <w:rPr>
          <w:rFonts w:ascii="Barlow" w:hAnsi="Barlow" w:cs="Arial"/>
          <w:sz w:val="20"/>
          <w:szCs w:val="20"/>
        </w:rPr>
        <w:t xml:space="preserve">ya que por el proceso de </w:t>
      </w:r>
      <w:r w:rsidR="006D57F1" w:rsidRPr="006D57F1">
        <w:rPr>
          <w:rFonts w:ascii="Barlow" w:hAnsi="Barlow" w:cs="Arial"/>
          <w:sz w:val="20"/>
          <w:szCs w:val="20"/>
        </w:rPr>
        <w:t>liquidación se</w:t>
      </w:r>
      <w:r w:rsidR="00EA2098" w:rsidRPr="006D57F1">
        <w:rPr>
          <w:rFonts w:ascii="Barlow" w:hAnsi="Barlow" w:cs="Arial"/>
          <w:sz w:val="20"/>
          <w:szCs w:val="20"/>
        </w:rPr>
        <w:t xml:space="preserve"> transfiere todo el activo a la secretaria de la cultura y las Artes.</w:t>
      </w:r>
    </w:p>
    <w:tbl>
      <w:tblPr>
        <w:tblW w:w="14029" w:type="dxa"/>
        <w:tblCellMar>
          <w:left w:w="70" w:type="dxa"/>
          <w:right w:w="70" w:type="dxa"/>
        </w:tblCellMar>
        <w:tblLook w:val="04A0" w:firstRow="1" w:lastRow="0" w:firstColumn="1" w:lastColumn="0" w:noHBand="0" w:noVBand="1"/>
      </w:tblPr>
      <w:tblGrid>
        <w:gridCol w:w="4815"/>
        <w:gridCol w:w="1843"/>
        <w:gridCol w:w="1842"/>
        <w:gridCol w:w="1843"/>
        <w:gridCol w:w="1985"/>
        <w:gridCol w:w="1701"/>
      </w:tblGrid>
      <w:tr w:rsidR="004855A0" w:rsidRPr="006D57F1" w14:paraId="29771AB7" w14:textId="77777777" w:rsidTr="00DA363A">
        <w:trPr>
          <w:trHeight w:val="300"/>
        </w:trPr>
        <w:tc>
          <w:tcPr>
            <w:tcW w:w="4815" w:type="dxa"/>
            <w:shd w:val="clear" w:color="auto" w:fill="auto"/>
            <w:noWrap/>
            <w:vAlign w:val="bottom"/>
            <w:hideMark/>
          </w:tcPr>
          <w:p w14:paraId="14092326" w14:textId="77777777" w:rsidR="004855A0" w:rsidRPr="006D57F1" w:rsidRDefault="004855A0" w:rsidP="00DA363A">
            <w:pPr>
              <w:rPr>
                <w:rFonts w:ascii="Barlow" w:hAnsi="Barlow" w:cs="Calibri"/>
                <w:b/>
                <w:bCs/>
                <w:color w:val="000000"/>
                <w:sz w:val="20"/>
                <w:szCs w:val="20"/>
                <w:lang w:eastAsia="es-MX"/>
              </w:rPr>
            </w:pPr>
            <w:r w:rsidRPr="006D57F1">
              <w:rPr>
                <w:rFonts w:ascii="Barlow" w:hAnsi="Barlow" w:cs="Calibri"/>
                <w:b/>
                <w:bCs/>
                <w:color w:val="000000"/>
                <w:sz w:val="20"/>
                <w:szCs w:val="20"/>
              </w:rPr>
              <w:t xml:space="preserve">BIENES MUEBLES                                                                                                   </w:t>
            </w:r>
          </w:p>
        </w:tc>
        <w:tc>
          <w:tcPr>
            <w:tcW w:w="1843" w:type="dxa"/>
            <w:shd w:val="clear" w:color="auto" w:fill="auto"/>
            <w:noWrap/>
            <w:vAlign w:val="bottom"/>
            <w:hideMark/>
          </w:tcPr>
          <w:p w14:paraId="54CDE445" w14:textId="77777777" w:rsidR="00FF5650" w:rsidRPr="006D57F1" w:rsidRDefault="004855A0" w:rsidP="00DA363A">
            <w:pPr>
              <w:jc w:val="center"/>
              <w:rPr>
                <w:rFonts w:ascii="Barlow" w:hAnsi="Barlow" w:cs="Calibri"/>
                <w:b/>
                <w:bCs/>
                <w:color w:val="000000"/>
                <w:sz w:val="20"/>
                <w:szCs w:val="20"/>
              </w:rPr>
            </w:pPr>
            <w:r w:rsidRPr="006D57F1">
              <w:rPr>
                <w:rFonts w:ascii="Barlow" w:hAnsi="Barlow" w:cs="Calibri"/>
                <w:b/>
                <w:bCs/>
                <w:color w:val="000000"/>
                <w:sz w:val="20"/>
                <w:szCs w:val="20"/>
              </w:rPr>
              <w:t>S</w:t>
            </w:r>
            <w:r w:rsidR="005B002D" w:rsidRPr="006D57F1">
              <w:rPr>
                <w:rFonts w:ascii="Barlow" w:hAnsi="Barlow" w:cs="Calibri"/>
                <w:b/>
                <w:bCs/>
                <w:color w:val="000000"/>
                <w:sz w:val="20"/>
                <w:szCs w:val="20"/>
              </w:rPr>
              <w:t xml:space="preserve">ALDO DE ACTIVOS </w:t>
            </w:r>
          </w:p>
          <w:p w14:paraId="3D961B3B" w14:textId="7F88D53C" w:rsidR="004855A0" w:rsidRPr="006D57F1" w:rsidRDefault="00C2581B" w:rsidP="00DA363A">
            <w:pPr>
              <w:jc w:val="center"/>
              <w:rPr>
                <w:rFonts w:ascii="Barlow" w:hAnsi="Barlow" w:cs="Calibri"/>
                <w:b/>
                <w:bCs/>
                <w:color w:val="000000"/>
                <w:sz w:val="20"/>
                <w:szCs w:val="20"/>
              </w:rPr>
            </w:pPr>
            <w:r w:rsidRPr="006D57F1">
              <w:rPr>
                <w:rFonts w:ascii="Barlow" w:hAnsi="Barlow" w:cs="Calibri"/>
                <w:b/>
                <w:bCs/>
                <w:color w:val="000000"/>
                <w:sz w:val="20"/>
                <w:szCs w:val="20"/>
              </w:rPr>
              <w:t>2</w:t>
            </w:r>
            <w:r w:rsidR="00EA2098" w:rsidRPr="006D57F1">
              <w:rPr>
                <w:rFonts w:ascii="Barlow" w:hAnsi="Barlow" w:cs="Calibri"/>
                <w:b/>
                <w:bCs/>
                <w:color w:val="000000"/>
                <w:sz w:val="20"/>
                <w:szCs w:val="20"/>
              </w:rPr>
              <w:t>7</w:t>
            </w:r>
            <w:r w:rsidRPr="006D57F1">
              <w:rPr>
                <w:rFonts w:ascii="Barlow" w:hAnsi="Barlow" w:cs="Calibri"/>
                <w:b/>
                <w:bCs/>
                <w:color w:val="000000"/>
                <w:sz w:val="20"/>
                <w:szCs w:val="20"/>
              </w:rPr>
              <w:t xml:space="preserve"> Enero</w:t>
            </w:r>
            <w:r w:rsidR="004855A0" w:rsidRPr="006D57F1">
              <w:rPr>
                <w:rFonts w:ascii="Barlow" w:hAnsi="Barlow" w:cs="Calibri"/>
                <w:b/>
                <w:bCs/>
                <w:color w:val="000000"/>
                <w:sz w:val="20"/>
                <w:szCs w:val="20"/>
              </w:rPr>
              <w:t xml:space="preserve"> 202</w:t>
            </w:r>
            <w:r w:rsidRPr="006D57F1">
              <w:rPr>
                <w:rFonts w:ascii="Barlow" w:hAnsi="Barlow" w:cs="Calibri"/>
                <w:b/>
                <w:bCs/>
                <w:color w:val="000000"/>
                <w:sz w:val="20"/>
                <w:szCs w:val="20"/>
              </w:rPr>
              <w:t>2</w:t>
            </w:r>
          </w:p>
        </w:tc>
        <w:tc>
          <w:tcPr>
            <w:tcW w:w="1842" w:type="dxa"/>
            <w:shd w:val="clear" w:color="auto" w:fill="auto"/>
            <w:noWrap/>
            <w:vAlign w:val="bottom"/>
            <w:hideMark/>
          </w:tcPr>
          <w:p w14:paraId="02F1916A" w14:textId="77777777" w:rsidR="00FF5650" w:rsidRPr="006D57F1" w:rsidRDefault="004855A0" w:rsidP="00DA363A">
            <w:pPr>
              <w:jc w:val="center"/>
              <w:rPr>
                <w:rFonts w:ascii="Barlow" w:hAnsi="Barlow" w:cs="Calibri"/>
                <w:b/>
                <w:bCs/>
                <w:color w:val="000000"/>
                <w:sz w:val="20"/>
                <w:szCs w:val="20"/>
              </w:rPr>
            </w:pPr>
            <w:r w:rsidRPr="006D57F1">
              <w:rPr>
                <w:rFonts w:ascii="Barlow" w:hAnsi="Barlow" w:cs="Calibri"/>
                <w:b/>
                <w:bCs/>
                <w:color w:val="000000"/>
                <w:sz w:val="20"/>
                <w:szCs w:val="20"/>
              </w:rPr>
              <w:t xml:space="preserve">SALDO DE ACTIVOS </w:t>
            </w:r>
          </w:p>
          <w:p w14:paraId="429F89A4" w14:textId="59EE14E6" w:rsidR="004855A0" w:rsidRPr="006D57F1" w:rsidRDefault="00C2581B" w:rsidP="00DA363A">
            <w:pPr>
              <w:jc w:val="center"/>
              <w:rPr>
                <w:rFonts w:ascii="Barlow" w:hAnsi="Barlow" w:cs="Calibri"/>
                <w:b/>
                <w:bCs/>
                <w:color w:val="000000"/>
                <w:sz w:val="20"/>
                <w:szCs w:val="20"/>
              </w:rPr>
            </w:pPr>
            <w:r w:rsidRPr="006D57F1">
              <w:rPr>
                <w:rFonts w:ascii="Barlow" w:hAnsi="Barlow" w:cs="Calibri"/>
                <w:b/>
                <w:bCs/>
                <w:color w:val="000000"/>
                <w:sz w:val="20"/>
                <w:szCs w:val="20"/>
              </w:rPr>
              <w:t>Enero</w:t>
            </w:r>
            <w:r w:rsidR="00E84E4B" w:rsidRPr="006D57F1">
              <w:rPr>
                <w:rFonts w:ascii="Barlow" w:hAnsi="Barlow" w:cs="Calibri"/>
                <w:b/>
                <w:bCs/>
                <w:color w:val="000000"/>
                <w:sz w:val="20"/>
                <w:szCs w:val="20"/>
              </w:rPr>
              <w:t xml:space="preserve"> </w:t>
            </w:r>
            <w:r w:rsidR="004855A0" w:rsidRPr="006D57F1">
              <w:rPr>
                <w:rFonts w:ascii="Barlow" w:hAnsi="Barlow" w:cs="Calibri"/>
                <w:b/>
                <w:bCs/>
                <w:color w:val="000000"/>
                <w:sz w:val="20"/>
                <w:szCs w:val="20"/>
              </w:rPr>
              <w:t>20</w:t>
            </w:r>
            <w:r w:rsidR="00FF5650" w:rsidRPr="006D57F1">
              <w:rPr>
                <w:rFonts w:ascii="Barlow" w:hAnsi="Barlow" w:cs="Calibri"/>
                <w:b/>
                <w:bCs/>
                <w:color w:val="000000"/>
                <w:sz w:val="20"/>
                <w:szCs w:val="20"/>
              </w:rPr>
              <w:t>2</w:t>
            </w:r>
            <w:r w:rsidRPr="006D57F1">
              <w:rPr>
                <w:rFonts w:ascii="Barlow" w:hAnsi="Barlow" w:cs="Calibri"/>
                <w:b/>
                <w:bCs/>
                <w:color w:val="000000"/>
                <w:sz w:val="20"/>
                <w:szCs w:val="20"/>
              </w:rPr>
              <w:t>1</w:t>
            </w:r>
          </w:p>
        </w:tc>
        <w:tc>
          <w:tcPr>
            <w:tcW w:w="1843" w:type="dxa"/>
            <w:shd w:val="clear" w:color="auto" w:fill="auto"/>
            <w:noWrap/>
            <w:vAlign w:val="bottom"/>
            <w:hideMark/>
          </w:tcPr>
          <w:p w14:paraId="7D701EEF" w14:textId="57C774B2" w:rsidR="004855A0" w:rsidRPr="006D57F1" w:rsidRDefault="004855A0" w:rsidP="00DA363A">
            <w:pPr>
              <w:jc w:val="center"/>
              <w:rPr>
                <w:rFonts w:ascii="Barlow" w:hAnsi="Barlow" w:cs="Calibri"/>
                <w:b/>
                <w:bCs/>
                <w:color w:val="000000"/>
                <w:sz w:val="20"/>
                <w:szCs w:val="20"/>
              </w:rPr>
            </w:pPr>
            <w:r w:rsidRPr="006D57F1">
              <w:rPr>
                <w:rFonts w:ascii="Barlow" w:hAnsi="Barlow" w:cs="Calibri"/>
                <w:b/>
                <w:bCs/>
                <w:color w:val="000000"/>
                <w:sz w:val="20"/>
                <w:szCs w:val="20"/>
              </w:rPr>
              <w:t>DEPRECIACION  DEL EJERCICIO 20</w:t>
            </w:r>
            <w:r w:rsidR="00933889" w:rsidRPr="006D57F1">
              <w:rPr>
                <w:rFonts w:ascii="Barlow" w:hAnsi="Barlow" w:cs="Calibri"/>
                <w:b/>
                <w:bCs/>
                <w:color w:val="000000"/>
                <w:sz w:val="20"/>
                <w:szCs w:val="20"/>
              </w:rPr>
              <w:t>2</w:t>
            </w:r>
            <w:r w:rsidR="009F4EC7" w:rsidRPr="006D57F1">
              <w:rPr>
                <w:rFonts w:ascii="Barlow" w:hAnsi="Barlow" w:cs="Calibri"/>
                <w:b/>
                <w:bCs/>
                <w:color w:val="000000"/>
                <w:sz w:val="20"/>
                <w:szCs w:val="20"/>
              </w:rPr>
              <w:t>2</w:t>
            </w:r>
          </w:p>
        </w:tc>
        <w:tc>
          <w:tcPr>
            <w:tcW w:w="1985" w:type="dxa"/>
            <w:shd w:val="clear" w:color="auto" w:fill="auto"/>
            <w:noWrap/>
            <w:vAlign w:val="bottom"/>
            <w:hideMark/>
          </w:tcPr>
          <w:p w14:paraId="515FA62B" w14:textId="7CB5EE03" w:rsidR="004855A0" w:rsidRPr="006D57F1" w:rsidRDefault="004855A0" w:rsidP="00DA363A">
            <w:pPr>
              <w:jc w:val="center"/>
              <w:rPr>
                <w:rFonts w:ascii="Barlow" w:hAnsi="Barlow" w:cs="Calibri"/>
                <w:b/>
                <w:bCs/>
                <w:color w:val="000000"/>
                <w:sz w:val="20"/>
                <w:szCs w:val="20"/>
              </w:rPr>
            </w:pPr>
            <w:r w:rsidRPr="006D57F1">
              <w:rPr>
                <w:rFonts w:ascii="Barlow" w:hAnsi="Barlow" w:cs="Calibri"/>
                <w:b/>
                <w:bCs/>
                <w:color w:val="000000"/>
                <w:sz w:val="20"/>
                <w:szCs w:val="20"/>
              </w:rPr>
              <w:t>DEPRECIACION            ACUMULADA</w:t>
            </w:r>
            <w:r w:rsidR="007A643E" w:rsidRPr="006D57F1">
              <w:rPr>
                <w:rFonts w:ascii="Barlow" w:hAnsi="Barlow" w:cs="Calibri"/>
                <w:b/>
                <w:bCs/>
                <w:color w:val="000000"/>
                <w:sz w:val="20"/>
                <w:szCs w:val="20"/>
              </w:rPr>
              <w:t xml:space="preserve"> </w:t>
            </w:r>
            <w:r w:rsidR="009657A2" w:rsidRPr="006D57F1">
              <w:rPr>
                <w:rFonts w:ascii="Barlow" w:hAnsi="Barlow" w:cs="Calibri"/>
                <w:b/>
                <w:bCs/>
                <w:color w:val="000000"/>
                <w:sz w:val="20"/>
                <w:szCs w:val="20"/>
              </w:rPr>
              <w:t xml:space="preserve"> </w:t>
            </w:r>
            <w:r w:rsidR="006F452C" w:rsidRPr="006D57F1">
              <w:rPr>
                <w:rFonts w:ascii="Barlow" w:hAnsi="Barlow" w:cs="Calibri"/>
                <w:b/>
                <w:bCs/>
                <w:color w:val="000000"/>
                <w:sz w:val="20"/>
                <w:szCs w:val="20"/>
              </w:rPr>
              <w:t>Enero</w:t>
            </w:r>
            <w:r w:rsidRPr="006D57F1">
              <w:rPr>
                <w:rFonts w:ascii="Barlow" w:hAnsi="Barlow" w:cs="Calibri"/>
                <w:b/>
                <w:bCs/>
                <w:color w:val="000000"/>
                <w:sz w:val="20"/>
                <w:szCs w:val="20"/>
              </w:rPr>
              <w:t xml:space="preserve"> 20</w:t>
            </w:r>
            <w:r w:rsidR="00D25B57" w:rsidRPr="006D57F1">
              <w:rPr>
                <w:rFonts w:ascii="Barlow" w:hAnsi="Barlow" w:cs="Calibri"/>
                <w:b/>
                <w:bCs/>
                <w:color w:val="000000"/>
                <w:sz w:val="20"/>
                <w:szCs w:val="20"/>
              </w:rPr>
              <w:t>2</w:t>
            </w:r>
            <w:r w:rsidR="006F452C" w:rsidRPr="006D57F1">
              <w:rPr>
                <w:rFonts w:ascii="Barlow" w:hAnsi="Barlow" w:cs="Calibri"/>
                <w:b/>
                <w:bCs/>
                <w:color w:val="000000"/>
                <w:sz w:val="20"/>
                <w:szCs w:val="20"/>
              </w:rPr>
              <w:t>2</w:t>
            </w:r>
          </w:p>
        </w:tc>
        <w:tc>
          <w:tcPr>
            <w:tcW w:w="1701" w:type="dxa"/>
            <w:shd w:val="clear" w:color="auto" w:fill="auto"/>
            <w:noWrap/>
            <w:vAlign w:val="bottom"/>
            <w:hideMark/>
          </w:tcPr>
          <w:p w14:paraId="5D769676" w14:textId="0BED2EFC" w:rsidR="004855A0" w:rsidRPr="006D57F1" w:rsidRDefault="004855A0" w:rsidP="00DA363A">
            <w:pPr>
              <w:jc w:val="center"/>
              <w:rPr>
                <w:rFonts w:ascii="Barlow" w:hAnsi="Barlow" w:cs="Calibri"/>
                <w:b/>
                <w:bCs/>
                <w:color w:val="000000"/>
                <w:sz w:val="20"/>
                <w:szCs w:val="20"/>
              </w:rPr>
            </w:pPr>
            <w:r w:rsidRPr="006D57F1">
              <w:rPr>
                <w:rFonts w:ascii="Barlow" w:hAnsi="Barlow" w:cs="Calibri"/>
                <w:b/>
                <w:bCs/>
                <w:color w:val="000000"/>
                <w:sz w:val="20"/>
                <w:szCs w:val="20"/>
              </w:rPr>
              <w:t xml:space="preserve">DEPRECIACION            ACUMULADA </w:t>
            </w:r>
            <w:r w:rsidR="006F452C" w:rsidRPr="006D57F1">
              <w:rPr>
                <w:rFonts w:ascii="Barlow" w:hAnsi="Barlow" w:cs="Calibri"/>
                <w:b/>
                <w:bCs/>
                <w:color w:val="000000"/>
                <w:sz w:val="20"/>
                <w:szCs w:val="20"/>
              </w:rPr>
              <w:t>Enero</w:t>
            </w:r>
            <w:r w:rsidR="00D25B57" w:rsidRPr="006D57F1">
              <w:rPr>
                <w:rFonts w:ascii="Barlow" w:hAnsi="Barlow" w:cs="Calibri"/>
                <w:b/>
                <w:bCs/>
                <w:color w:val="000000"/>
                <w:sz w:val="20"/>
                <w:szCs w:val="20"/>
              </w:rPr>
              <w:t xml:space="preserve"> </w:t>
            </w:r>
            <w:r w:rsidRPr="006D57F1">
              <w:rPr>
                <w:rFonts w:ascii="Barlow" w:hAnsi="Barlow" w:cs="Calibri"/>
                <w:b/>
                <w:bCs/>
                <w:color w:val="000000"/>
                <w:sz w:val="20"/>
                <w:szCs w:val="20"/>
              </w:rPr>
              <w:t>20</w:t>
            </w:r>
            <w:r w:rsidR="00FF5650" w:rsidRPr="006D57F1">
              <w:rPr>
                <w:rFonts w:ascii="Barlow" w:hAnsi="Barlow" w:cs="Calibri"/>
                <w:b/>
                <w:bCs/>
                <w:color w:val="000000"/>
                <w:sz w:val="20"/>
                <w:szCs w:val="20"/>
              </w:rPr>
              <w:t>2</w:t>
            </w:r>
            <w:r w:rsidR="006F452C" w:rsidRPr="006D57F1">
              <w:rPr>
                <w:rFonts w:ascii="Barlow" w:hAnsi="Barlow" w:cs="Calibri"/>
                <w:b/>
                <w:bCs/>
                <w:color w:val="000000"/>
                <w:sz w:val="20"/>
                <w:szCs w:val="20"/>
              </w:rPr>
              <w:t>1</w:t>
            </w:r>
          </w:p>
        </w:tc>
      </w:tr>
      <w:tr w:rsidR="004855A0" w:rsidRPr="006D57F1" w14:paraId="1CA1CF98" w14:textId="77777777" w:rsidTr="00DA363A">
        <w:trPr>
          <w:trHeight w:val="300"/>
        </w:trPr>
        <w:tc>
          <w:tcPr>
            <w:tcW w:w="4815" w:type="dxa"/>
            <w:shd w:val="clear" w:color="auto" w:fill="auto"/>
            <w:noWrap/>
            <w:vAlign w:val="bottom"/>
            <w:hideMark/>
          </w:tcPr>
          <w:p w14:paraId="59489CE5" w14:textId="77777777" w:rsidR="004855A0" w:rsidRPr="006D57F1" w:rsidRDefault="004855A0" w:rsidP="00DA363A">
            <w:pPr>
              <w:rPr>
                <w:rFonts w:ascii="Barlow" w:hAnsi="Barlow"/>
                <w:sz w:val="20"/>
                <w:szCs w:val="20"/>
              </w:rPr>
            </w:pPr>
          </w:p>
        </w:tc>
        <w:tc>
          <w:tcPr>
            <w:tcW w:w="1843" w:type="dxa"/>
            <w:shd w:val="clear" w:color="auto" w:fill="auto"/>
            <w:noWrap/>
            <w:vAlign w:val="bottom"/>
            <w:hideMark/>
          </w:tcPr>
          <w:p w14:paraId="51B7E2CB" w14:textId="77777777" w:rsidR="004855A0" w:rsidRPr="006D57F1" w:rsidRDefault="004855A0" w:rsidP="00DA363A">
            <w:pPr>
              <w:jc w:val="center"/>
              <w:rPr>
                <w:rFonts w:ascii="Barlow" w:hAnsi="Barlow"/>
                <w:sz w:val="20"/>
                <w:szCs w:val="20"/>
              </w:rPr>
            </w:pPr>
          </w:p>
        </w:tc>
        <w:tc>
          <w:tcPr>
            <w:tcW w:w="1842" w:type="dxa"/>
            <w:shd w:val="clear" w:color="auto" w:fill="auto"/>
            <w:noWrap/>
            <w:vAlign w:val="bottom"/>
            <w:hideMark/>
          </w:tcPr>
          <w:p w14:paraId="16846B47" w14:textId="77777777" w:rsidR="004855A0" w:rsidRPr="006D57F1" w:rsidRDefault="004855A0" w:rsidP="00DA363A">
            <w:pPr>
              <w:jc w:val="center"/>
              <w:rPr>
                <w:rFonts w:ascii="Barlow" w:hAnsi="Barlow"/>
                <w:sz w:val="20"/>
                <w:szCs w:val="20"/>
              </w:rPr>
            </w:pPr>
          </w:p>
        </w:tc>
        <w:tc>
          <w:tcPr>
            <w:tcW w:w="1843" w:type="dxa"/>
            <w:shd w:val="clear" w:color="auto" w:fill="auto"/>
            <w:noWrap/>
            <w:vAlign w:val="bottom"/>
            <w:hideMark/>
          </w:tcPr>
          <w:p w14:paraId="71143AFD" w14:textId="77777777" w:rsidR="004855A0" w:rsidRPr="006D57F1" w:rsidRDefault="004855A0" w:rsidP="00DA363A">
            <w:pPr>
              <w:jc w:val="center"/>
              <w:rPr>
                <w:rFonts w:ascii="Barlow" w:hAnsi="Barlow"/>
                <w:sz w:val="20"/>
                <w:szCs w:val="20"/>
              </w:rPr>
            </w:pPr>
          </w:p>
        </w:tc>
        <w:tc>
          <w:tcPr>
            <w:tcW w:w="1985" w:type="dxa"/>
            <w:shd w:val="clear" w:color="auto" w:fill="auto"/>
            <w:noWrap/>
            <w:vAlign w:val="bottom"/>
            <w:hideMark/>
          </w:tcPr>
          <w:p w14:paraId="3027DE98" w14:textId="77777777" w:rsidR="004855A0" w:rsidRPr="006D57F1" w:rsidRDefault="004855A0" w:rsidP="00DA363A">
            <w:pPr>
              <w:jc w:val="center"/>
              <w:rPr>
                <w:rFonts w:ascii="Barlow" w:hAnsi="Barlow"/>
                <w:sz w:val="20"/>
                <w:szCs w:val="20"/>
              </w:rPr>
            </w:pPr>
          </w:p>
        </w:tc>
        <w:tc>
          <w:tcPr>
            <w:tcW w:w="1701" w:type="dxa"/>
            <w:shd w:val="clear" w:color="auto" w:fill="auto"/>
            <w:noWrap/>
            <w:vAlign w:val="bottom"/>
            <w:hideMark/>
          </w:tcPr>
          <w:p w14:paraId="0493293E" w14:textId="77777777" w:rsidR="004855A0" w:rsidRPr="006D57F1" w:rsidRDefault="004855A0" w:rsidP="00DA363A">
            <w:pPr>
              <w:jc w:val="center"/>
              <w:rPr>
                <w:rFonts w:ascii="Barlow" w:hAnsi="Barlow"/>
                <w:sz w:val="20"/>
                <w:szCs w:val="20"/>
              </w:rPr>
            </w:pPr>
          </w:p>
        </w:tc>
      </w:tr>
      <w:tr w:rsidR="004855A0" w:rsidRPr="006D57F1" w14:paraId="3768D953" w14:textId="77777777" w:rsidTr="00DA363A">
        <w:trPr>
          <w:trHeight w:val="300"/>
        </w:trPr>
        <w:tc>
          <w:tcPr>
            <w:tcW w:w="4815" w:type="dxa"/>
            <w:shd w:val="clear" w:color="auto" w:fill="auto"/>
            <w:noWrap/>
            <w:vAlign w:val="bottom"/>
            <w:hideMark/>
          </w:tcPr>
          <w:p w14:paraId="06A5CA2C" w14:textId="77777777" w:rsidR="004855A0" w:rsidRPr="006D57F1" w:rsidRDefault="004855A0" w:rsidP="00DA363A">
            <w:pPr>
              <w:rPr>
                <w:rFonts w:ascii="Barlow" w:hAnsi="Barlow" w:cs="Calibri"/>
                <w:b/>
                <w:bCs/>
                <w:color w:val="000000"/>
                <w:sz w:val="20"/>
                <w:szCs w:val="20"/>
              </w:rPr>
            </w:pPr>
            <w:r w:rsidRPr="006D57F1">
              <w:rPr>
                <w:rFonts w:ascii="Barlow" w:hAnsi="Barlow" w:cs="Calibri"/>
                <w:b/>
                <w:bCs/>
                <w:color w:val="000000"/>
                <w:sz w:val="20"/>
                <w:szCs w:val="20"/>
              </w:rPr>
              <w:t>Mobiliario y Equipo de Administración</w:t>
            </w:r>
          </w:p>
        </w:tc>
        <w:tc>
          <w:tcPr>
            <w:tcW w:w="1843" w:type="dxa"/>
            <w:shd w:val="clear" w:color="auto" w:fill="auto"/>
            <w:noWrap/>
            <w:vAlign w:val="bottom"/>
            <w:hideMark/>
          </w:tcPr>
          <w:p w14:paraId="2149A632" w14:textId="77777777" w:rsidR="004855A0" w:rsidRPr="006D57F1" w:rsidRDefault="004855A0" w:rsidP="00DA363A">
            <w:pPr>
              <w:jc w:val="right"/>
              <w:rPr>
                <w:rFonts w:ascii="Barlow" w:hAnsi="Barlow" w:cs="Calibri"/>
                <w:color w:val="000000"/>
                <w:sz w:val="20"/>
                <w:szCs w:val="20"/>
              </w:rPr>
            </w:pPr>
          </w:p>
        </w:tc>
        <w:tc>
          <w:tcPr>
            <w:tcW w:w="1842" w:type="dxa"/>
            <w:shd w:val="clear" w:color="auto" w:fill="auto"/>
            <w:noWrap/>
            <w:vAlign w:val="bottom"/>
            <w:hideMark/>
          </w:tcPr>
          <w:p w14:paraId="21798616" w14:textId="77777777" w:rsidR="004855A0" w:rsidRPr="006D57F1" w:rsidRDefault="004855A0" w:rsidP="00DA363A">
            <w:pPr>
              <w:jc w:val="right"/>
              <w:rPr>
                <w:rFonts w:ascii="Barlow" w:hAnsi="Barlow"/>
                <w:sz w:val="20"/>
                <w:szCs w:val="20"/>
              </w:rPr>
            </w:pPr>
          </w:p>
        </w:tc>
        <w:tc>
          <w:tcPr>
            <w:tcW w:w="1843" w:type="dxa"/>
            <w:shd w:val="clear" w:color="auto" w:fill="auto"/>
            <w:noWrap/>
            <w:vAlign w:val="bottom"/>
            <w:hideMark/>
          </w:tcPr>
          <w:p w14:paraId="4E19BD21" w14:textId="77777777" w:rsidR="004855A0" w:rsidRPr="006D57F1" w:rsidRDefault="004855A0" w:rsidP="00DA363A">
            <w:pPr>
              <w:jc w:val="right"/>
              <w:rPr>
                <w:rFonts w:ascii="Barlow" w:hAnsi="Barlow"/>
                <w:sz w:val="20"/>
                <w:szCs w:val="20"/>
              </w:rPr>
            </w:pPr>
          </w:p>
        </w:tc>
        <w:tc>
          <w:tcPr>
            <w:tcW w:w="1985" w:type="dxa"/>
            <w:shd w:val="clear" w:color="auto" w:fill="auto"/>
            <w:noWrap/>
            <w:vAlign w:val="bottom"/>
            <w:hideMark/>
          </w:tcPr>
          <w:p w14:paraId="4C796B3C" w14:textId="77777777" w:rsidR="004855A0" w:rsidRPr="006D57F1" w:rsidRDefault="004855A0" w:rsidP="00DA363A">
            <w:pPr>
              <w:jc w:val="right"/>
              <w:rPr>
                <w:rFonts w:ascii="Barlow" w:hAnsi="Barlow"/>
                <w:sz w:val="20"/>
                <w:szCs w:val="20"/>
              </w:rPr>
            </w:pPr>
          </w:p>
        </w:tc>
        <w:tc>
          <w:tcPr>
            <w:tcW w:w="1701" w:type="dxa"/>
            <w:shd w:val="clear" w:color="auto" w:fill="auto"/>
            <w:noWrap/>
            <w:vAlign w:val="bottom"/>
            <w:hideMark/>
          </w:tcPr>
          <w:p w14:paraId="6913CB3D" w14:textId="77777777" w:rsidR="004855A0" w:rsidRPr="006D57F1" w:rsidRDefault="004855A0" w:rsidP="00DA363A">
            <w:pPr>
              <w:jc w:val="right"/>
              <w:rPr>
                <w:rFonts w:ascii="Barlow" w:hAnsi="Barlow"/>
                <w:sz w:val="20"/>
                <w:szCs w:val="20"/>
              </w:rPr>
            </w:pPr>
          </w:p>
        </w:tc>
      </w:tr>
      <w:tr w:rsidR="00C24CE5" w:rsidRPr="006D57F1" w14:paraId="75154C9C" w14:textId="77777777" w:rsidTr="00395941">
        <w:trPr>
          <w:trHeight w:val="300"/>
        </w:trPr>
        <w:tc>
          <w:tcPr>
            <w:tcW w:w="4815" w:type="dxa"/>
            <w:shd w:val="clear" w:color="auto" w:fill="auto"/>
            <w:noWrap/>
            <w:vAlign w:val="bottom"/>
            <w:hideMark/>
          </w:tcPr>
          <w:p w14:paraId="4C6609C9"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 xml:space="preserve">Muebles de Oficina y Estantería </w:t>
            </w:r>
          </w:p>
        </w:tc>
        <w:tc>
          <w:tcPr>
            <w:tcW w:w="1843" w:type="dxa"/>
            <w:shd w:val="clear" w:color="auto" w:fill="auto"/>
            <w:noWrap/>
            <w:vAlign w:val="bottom"/>
            <w:hideMark/>
          </w:tcPr>
          <w:p w14:paraId="01924C8C" w14:textId="593DE36A"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648F593E" w14:textId="14CFA1EA" w:rsidR="009F4EC7" w:rsidRPr="006D57F1" w:rsidRDefault="009F4EC7" w:rsidP="009F4EC7">
            <w:pPr>
              <w:jc w:val="right"/>
              <w:rPr>
                <w:rFonts w:ascii="Barlow" w:hAnsi="Barlow" w:cs="Calibri"/>
                <w:color w:val="000000"/>
                <w:sz w:val="20"/>
                <w:szCs w:val="20"/>
              </w:rPr>
            </w:pPr>
            <w:r w:rsidRPr="006D57F1">
              <w:rPr>
                <w:rFonts w:ascii="Barlow" w:hAnsi="Barlow" w:cs="Calibri"/>
                <w:color w:val="000000"/>
                <w:sz w:val="20"/>
                <w:szCs w:val="20"/>
              </w:rPr>
              <w:t>15,4238.85</w:t>
            </w:r>
          </w:p>
        </w:tc>
        <w:tc>
          <w:tcPr>
            <w:tcW w:w="1843" w:type="dxa"/>
            <w:tcBorders>
              <w:top w:val="nil"/>
              <w:left w:val="nil"/>
              <w:bottom w:val="nil"/>
              <w:right w:val="nil"/>
            </w:tcBorders>
            <w:shd w:val="clear" w:color="auto" w:fill="auto"/>
            <w:noWrap/>
            <w:vAlign w:val="bottom"/>
          </w:tcPr>
          <w:p w14:paraId="6A5F9D2D" w14:textId="1F7D449E"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711DC41A" w14:textId="7EFF7114"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1DF903D9" w14:textId="65649756"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582E45" w:rsidRPr="006D57F1">
              <w:rPr>
                <w:rFonts w:ascii="Barlow" w:hAnsi="Barlow" w:cs="Calibri"/>
                <w:color w:val="000000"/>
                <w:sz w:val="20"/>
                <w:szCs w:val="20"/>
              </w:rPr>
              <w:t>8</w:t>
            </w:r>
            <w:r w:rsidR="006F452C" w:rsidRPr="006D57F1">
              <w:rPr>
                <w:rFonts w:ascii="Barlow" w:hAnsi="Barlow" w:cs="Calibri"/>
                <w:color w:val="000000"/>
                <w:sz w:val="20"/>
                <w:szCs w:val="20"/>
              </w:rPr>
              <w:t>1,848.68</w:t>
            </w:r>
          </w:p>
        </w:tc>
      </w:tr>
      <w:tr w:rsidR="00C24CE5" w:rsidRPr="006D57F1" w14:paraId="59414477" w14:textId="77777777" w:rsidTr="00395941">
        <w:trPr>
          <w:trHeight w:val="300"/>
        </w:trPr>
        <w:tc>
          <w:tcPr>
            <w:tcW w:w="4815" w:type="dxa"/>
            <w:shd w:val="clear" w:color="auto" w:fill="auto"/>
            <w:noWrap/>
            <w:vAlign w:val="bottom"/>
            <w:hideMark/>
          </w:tcPr>
          <w:p w14:paraId="4D28E007"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 xml:space="preserve">Muebles Excepto de Oficina </w:t>
            </w:r>
          </w:p>
        </w:tc>
        <w:tc>
          <w:tcPr>
            <w:tcW w:w="1843" w:type="dxa"/>
            <w:shd w:val="clear" w:color="auto" w:fill="auto"/>
            <w:noWrap/>
            <w:vAlign w:val="bottom"/>
            <w:hideMark/>
          </w:tcPr>
          <w:p w14:paraId="342740FD" w14:textId="686AB30C"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60F4F895" w14:textId="105CB742"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25,300.00</w:t>
            </w:r>
          </w:p>
        </w:tc>
        <w:tc>
          <w:tcPr>
            <w:tcW w:w="1843" w:type="dxa"/>
            <w:tcBorders>
              <w:top w:val="nil"/>
              <w:left w:val="nil"/>
              <w:bottom w:val="nil"/>
              <w:right w:val="nil"/>
            </w:tcBorders>
            <w:shd w:val="clear" w:color="auto" w:fill="auto"/>
            <w:noWrap/>
            <w:vAlign w:val="bottom"/>
          </w:tcPr>
          <w:p w14:paraId="30F161B1" w14:textId="5B0CEF17"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373D9CEA" w14:textId="0AACD35B"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51B9A023" w14:textId="0E835FAE" w:rsidR="00C24CE5" w:rsidRPr="006D57F1" w:rsidRDefault="007500A6" w:rsidP="00C24CE5">
            <w:pPr>
              <w:jc w:val="right"/>
              <w:rPr>
                <w:rFonts w:ascii="Barlow" w:hAnsi="Barlow" w:cs="Calibri"/>
                <w:color w:val="000000"/>
                <w:sz w:val="20"/>
                <w:szCs w:val="20"/>
              </w:rPr>
            </w:pPr>
            <w:r w:rsidRPr="006D57F1">
              <w:rPr>
                <w:rFonts w:ascii="Barlow" w:hAnsi="Barlow" w:cs="Calibri"/>
                <w:color w:val="000000"/>
                <w:sz w:val="20"/>
                <w:szCs w:val="20"/>
              </w:rPr>
              <w:t>-</w:t>
            </w:r>
            <w:r w:rsidR="00A24147" w:rsidRPr="006D57F1">
              <w:rPr>
                <w:rFonts w:ascii="Barlow" w:hAnsi="Barlow" w:cs="Calibri"/>
                <w:color w:val="000000"/>
                <w:sz w:val="20"/>
                <w:szCs w:val="20"/>
              </w:rPr>
              <w:t>6,</w:t>
            </w:r>
            <w:r w:rsidR="006F452C" w:rsidRPr="006D57F1">
              <w:rPr>
                <w:rFonts w:ascii="Barlow" w:hAnsi="Barlow" w:cs="Calibri"/>
                <w:color w:val="000000"/>
                <w:sz w:val="20"/>
                <w:szCs w:val="20"/>
              </w:rPr>
              <w:t>746.56</w:t>
            </w:r>
          </w:p>
        </w:tc>
      </w:tr>
      <w:tr w:rsidR="00C24CE5" w:rsidRPr="006D57F1" w14:paraId="707A20D4" w14:textId="77777777" w:rsidTr="00395941">
        <w:trPr>
          <w:trHeight w:val="300"/>
        </w:trPr>
        <w:tc>
          <w:tcPr>
            <w:tcW w:w="4815" w:type="dxa"/>
            <w:shd w:val="clear" w:color="auto" w:fill="auto"/>
            <w:noWrap/>
            <w:vAlign w:val="bottom"/>
            <w:hideMark/>
          </w:tcPr>
          <w:p w14:paraId="37EC7CB2"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 xml:space="preserve">Equipo de Cómputo y Tecnología de la Información </w:t>
            </w:r>
          </w:p>
        </w:tc>
        <w:tc>
          <w:tcPr>
            <w:tcW w:w="1843" w:type="dxa"/>
            <w:shd w:val="clear" w:color="auto" w:fill="auto"/>
            <w:noWrap/>
            <w:vAlign w:val="bottom"/>
            <w:hideMark/>
          </w:tcPr>
          <w:p w14:paraId="06788EFC" w14:textId="1531E8B0"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5A12169D" w14:textId="1C785FE5"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496,840.12</w:t>
            </w:r>
          </w:p>
        </w:tc>
        <w:tc>
          <w:tcPr>
            <w:tcW w:w="1843" w:type="dxa"/>
            <w:tcBorders>
              <w:top w:val="nil"/>
              <w:left w:val="nil"/>
              <w:bottom w:val="nil"/>
              <w:right w:val="nil"/>
            </w:tcBorders>
            <w:shd w:val="clear" w:color="auto" w:fill="auto"/>
            <w:noWrap/>
            <w:vAlign w:val="bottom"/>
          </w:tcPr>
          <w:p w14:paraId="02FA604D" w14:textId="0A1A1AB2"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5A4D2697" w14:textId="78E1A9B2"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5CCE46AC" w14:textId="29B100FF"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AC09D0" w:rsidRPr="006D57F1">
              <w:rPr>
                <w:rFonts w:ascii="Barlow" w:hAnsi="Barlow" w:cs="Calibri"/>
                <w:color w:val="000000"/>
                <w:sz w:val="20"/>
                <w:szCs w:val="20"/>
              </w:rPr>
              <w:t>4</w:t>
            </w:r>
            <w:r w:rsidR="00EE49E5" w:rsidRPr="006D57F1">
              <w:rPr>
                <w:rFonts w:ascii="Barlow" w:hAnsi="Barlow" w:cs="Calibri"/>
                <w:color w:val="000000"/>
                <w:sz w:val="20"/>
                <w:szCs w:val="20"/>
              </w:rPr>
              <w:t>4</w:t>
            </w:r>
            <w:r w:rsidR="006F452C" w:rsidRPr="006D57F1">
              <w:rPr>
                <w:rFonts w:ascii="Barlow" w:hAnsi="Barlow" w:cs="Calibri"/>
                <w:color w:val="000000"/>
                <w:sz w:val="20"/>
                <w:szCs w:val="20"/>
              </w:rPr>
              <w:t>3,502.03</w:t>
            </w:r>
          </w:p>
        </w:tc>
      </w:tr>
      <w:tr w:rsidR="00C24CE5" w:rsidRPr="006D57F1" w14:paraId="67651220" w14:textId="77777777" w:rsidTr="00395941">
        <w:trPr>
          <w:trHeight w:val="300"/>
        </w:trPr>
        <w:tc>
          <w:tcPr>
            <w:tcW w:w="4815" w:type="dxa"/>
            <w:shd w:val="clear" w:color="auto" w:fill="auto"/>
            <w:noWrap/>
            <w:vAlign w:val="bottom"/>
            <w:hideMark/>
          </w:tcPr>
          <w:p w14:paraId="184A57E2"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Otros Mobiliarios y Equipos de Administración</w:t>
            </w:r>
          </w:p>
        </w:tc>
        <w:tc>
          <w:tcPr>
            <w:tcW w:w="1843" w:type="dxa"/>
            <w:shd w:val="clear" w:color="auto" w:fill="auto"/>
            <w:noWrap/>
            <w:vAlign w:val="bottom"/>
            <w:hideMark/>
          </w:tcPr>
          <w:p w14:paraId="771A3E1C" w14:textId="773637CA"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44CD9D2D" w14:textId="2C9CADA2"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190,128.11</w:t>
            </w:r>
          </w:p>
        </w:tc>
        <w:tc>
          <w:tcPr>
            <w:tcW w:w="1843" w:type="dxa"/>
            <w:tcBorders>
              <w:top w:val="nil"/>
              <w:left w:val="nil"/>
              <w:bottom w:val="nil"/>
              <w:right w:val="nil"/>
            </w:tcBorders>
            <w:shd w:val="clear" w:color="auto" w:fill="auto"/>
            <w:noWrap/>
            <w:vAlign w:val="bottom"/>
          </w:tcPr>
          <w:p w14:paraId="1F139B7F" w14:textId="06DC0794"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4E4109F0" w14:textId="2950465C"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30271BDF" w14:textId="1F54A22C"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DA6EAD" w:rsidRPr="006D57F1">
              <w:rPr>
                <w:rFonts w:ascii="Barlow" w:hAnsi="Barlow" w:cs="Calibri"/>
                <w:color w:val="000000"/>
                <w:sz w:val="20"/>
                <w:szCs w:val="20"/>
              </w:rPr>
              <w:t>5</w:t>
            </w:r>
            <w:r w:rsidR="006F452C" w:rsidRPr="006D57F1">
              <w:rPr>
                <w:rFonts w:ascii="Barlow" w:hAnsi="Barlow" w:cs="Calibri"/>
                <w:color w:val="000000"/>
                <w:sz w:val="20"/>
                <w:szCs w:val="20"/>
              </w:rPr>
              <w:t>5,342.39</w:t>
            </w:r>
          </w:p>
        </w:tc>
      </w:tr>
      <w:tr w:rsidR="00C24CE5" w:rsidRPr="006D57F1" w14:paraId="1EF56AEE" w14:textId="77777777" w:rsidTr="00395941">
        <w:trPr>
          <w:trHeight w:val="300"/>
        </w:trPr>
        <w:tc>
          <w:tcPr>
            <w:tcW w:w="4815" w:type="dxa"/>
            <w:shd w:val="clear" w:color="auto" w:fill="auto"/>
            <w:noWrap/>
            <w:vAlign w:val="bottom"/>
            <w:hideMark/>
          </w:tcPr>
          <w:p w14:paraId="2B7546D8" w14:textId="77777777" w:rsidR="00C24CE5" w:rsidRPr="006D57F1" w:rsidRDefault="00C24CE5" w:rsidP="00C24CE5">
            <w:pPr>
              <w:rPr>
                <w:rFonts w:ascii="Barlow" w:hAnsi="Barlow" w:cs="Calibri"/>
                <w:b/>
                <w:bCs/>
                <w:color w:val="000000"/>
                <w:sz w:val="20"/>
                <w:szCs w:val="20"/>
              </w:rPr>
            </w:pPr>
            <w:r w:rsidRPr="006D57F1">
              <w:rPr>
                <w:rFonts w:ascii="Barlow" w:hAnsi="Barlow" w:cs="Calibri"/>
                <w:b/>
                <w:bCs/>
                <w:color w:val="000000"/>
                <w:sz w:val="20"/>
                <w:szCs w:val="20"/>
              </w:rPr>
              <w:t>Mobiliario y Equipo Educacional</w:t>
            </w:r>
          </w:p>
        </w:tc>
        <w:tc>
          <w:tcPr>
            <w:tcW w:w="1843" w:type="dxa"/>
            <w:shd w:val="clear" w:color="auto" w:fill="auto"/>
            <w:noWrap/>
            <w:vAlign w:val="bottom"/>
            <w:hideMark/>
          </w:tcPr>
          <w:p w14:paraId="4D2B918D" w14:textId="77777777" w:rsidR="00C24CE5" w:rsidRPr="006D57F1" w:rsidRDefault="00C24CE5" w:rsidP="00C24CE5">
            <w:pPr>
              <w:jc w:val="right"/>
              <w:rPr>
                <w:rFonts w:ascii="Barlow" w:hAnsi="Barlow" w:cs="Calibri"/>
                <w:color w:val="000000"/>
                <w:sz w:val="20"/>
                <w:szCs w:val="20"/>
              </w:rPr>
            </w:pPr>
          </w:p>
        </w:tc>
        <w:tc>
          <w:tcPr>
            <w:tcW w:w="1842" w:type="dxa"/>
            <w:shd w:val="clear" w:color="auto" w:fill="auto"/>
            <w:noWrap/>
            <w:vAlign w:val="bottom"/>
          </w:tcPr>
          <w:p w14:paraId="1B7BBA32" w14:textId="77777777" w:rsidR="00C24CE5" w:rsidRPr="006D57F1" w:rsidRDefault="00C24CE5" w:rsidP="00C24CE5">
            <w:pPr>
              <w:jc w:val="right"/>
              <w:rPr>
                <w:rFonts w:ascii="Barlow" w:hAnsi="Barlow"/>
                <w:sz w:val="20"/>
                <w:szCs w:val="20"/>
              </w:rPr>
            </w:pPr>
          </w:p>
        </w:tc>
        <w:tc>
          <w:tcPr>
            <w:tcW w:w="1843" w:type="dxa"/>
            <w:tcBorders>
              <w:top w:val="nil"/>
              <w:left w:val="nil"/>
              <w:bottom w:val="nil"/>
              <w:right w:val="nil"/>
            </w:tcBorders>
            <w:shd w:val="clear" w:color="auto" w:fill="auto"/>
            <w:noWrap/>
            <w:vAlign w:val="bottom"/>
          </w:tcPr>
          <w:p w14:paraId="74A2E02F" w14:textId="57472690" w:rsidR="00C24CE5" w:rsidRPr="006D57F1" w:rsidRDefault="00C24CE5" w:rsidP="00C24CE5">
            <w:pPr>
              <w:jc w:val="right"/>
              <w:rPr>
                <w:rFonts w:ascii="Barlow" w:hAnsi="Barlow"/>
                <w:sz w:val="20"/>
                <w:szCs w:val="20"/>
              </w:rPr>
            </w:pPr>
          </w:p>
        </w:tc>
        <w:tc>
          <w:tcPr>
            <w:tcW w:w="1985" w:type="dxa"/>
            <w:shd w:val="clear" w:color="auto" w:fill="auto"/>
            <w:noWrap/>
            <w:vAlign w:val="bottom"/>
          </w:tcPr>
          <w:p w14:paraId="277F6AFB" w14:textId="77777777" w:rsidR="00C24CE5" w:rsidRPr="006D57F1" w:rsidRDefault="00C24CE5" w:rsidP="00C24CE5">
            <w:pPr>
              <w:jc w:val="right"/>
              <w:rPr>
                <w:rFonts w:ascii="Barlow" w:hAnsi="Barlow"/>
                <w:sz w:val="20"/>
                <w:szCs w:val="20"/>
              </w:rPr>
            </w:pPr>
          </w:p>
        </w:tc>
        <w:tc>
          <w:tcPr>
            <w:tcW w:w="1701" w:type="dxa"/>
            <w:shd w:val="clear" w:color="auto" w:fill="auto"/>
            <w:noWrap/>
            <w:vAlign w:val="bottom"/>
          </w:tcPr>
          <w:p w14:paraId="5E37D50E" w14:textId="77777777" w:rsidR="00C24CE5" w:rsidRPr="006D57F1" w:rsidRDefault="00C24CE5" w:rsidP="00C24CE5">
            <w:pPr>
              <w:jc w:val="right"/>
              <w:rPr>
                <w:rFonts w:ascii="Barlow" w:hAnsi="Barlow" w:cs="Calibri"/>
                <w:color w:val="000000"/>
                <w:sz w:val="20"/>
                <w:szCs w:val="20"/>
              </w:rPr>
            </w:pPr>
          </w:p>
        </w:tc>
      </w:tr>
      <w:tr w:rsidR="00C24CE5" w:rsidRPr="006D57F1" w14:paraId="0842923E" w14:textId="77777777" w:rsidTr="00395941">
        <w:trPr>
          <w:trHeight w:val="300"/>
        </w:trPr>
        <w:tc>
          <w:tcPr>
            <w:tcW w:w="4815" w:type="dxa"/>
            <w:shd w:val="clear" w:color="auto" w:fill="auto"/>
            <w:noWrap/>
            <w:vAlign w:val="bottom"/>
            <w:hideMark/>
          </w:tcPr>
          <w:p w14:paraId="4813F511"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 xml:space="preserve">Equipos y Aparatos Audiovisuales </w:t>
            </w:r>
          </w:p>
        </w:tc>
        <w:tc>
          <w:tcPr>
            <w:tcW w:w="1843" w:type="dxa"/>
            <w:shd w:val="clear" w:color="auto" w:fill="auto"/>
            <w:noWrap/>
            <w:vAlign w:val="bottom"/>
            <w:hideMark/>
          </w:tcPr>
          <w:p w14:paraId="40AD6764" w14:textId="4B004014"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5764357A" w14:textId="3E3D47D6"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2,908,876.90</w:t>
            </w:r>
          </w:p>
        </w:tc>
        <w:tc>
          <w:tcPr>
            <w:tcW w:w="1843" w:type="dxa"/>
            <w:tcBorders>
              <w:top w:val="nil"/>
              <w:left w:val="nil"/>
              <w:bottom w:val="nil"/>
              <w:right w:val="nil"/>
            </w:tcBorders>
            <w:shd w:val="clear" w:color="auto" w:fill="auto"/>
            <w:noWrap/>
            <w:vAlign w:val="bottom"/>
          </w:tcPr>
          <w:p w14:paraId="3A647478" w14:textId="44C1CA20"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3AD4EFB1" w14:textId="2A437AD2"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15FC39D0" w14:textId="46F234D8"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B63533" w:rsidRPr="006D57F1">
              <w:rPr>
                <w:rFonts w:ascii="Barlow" w:hAnsi="Barlow" w:cs="Calibri"/>
                <w:color w:val="000000"/>
                <w:sz w:val="20"/>
                <w:szCs w:val="20"/>
              </w:rPr>
              <w:t>1,</w:t>
            </w:r>
            <w:r w:rsidR="009F0440" w:rsidRPr="006D57F1">
              <w:rPr>
                <w:rFonts w:ascii="Barlow" w:hAnsi="Barlow" w:cs="Calibri"/>
                <w:color w:val="000000"/>
                <w:sz w:val="20"/>
                <w:szCs w:val="20"/>
              </w:rPr>
              <w:t>2</w:t>
            </w:r>
            <w:r w:rsidR="006F452C" w:rsidRPr="006D57F1">
              <w:rPr>
                <w:rFonts w:ascii="Barlow" w:hAnsi="Barlow" w:cs="Calibri"/>
                <w:color w:val="000000"/>
                <w:sz w:val="20"/>
                <w:szCs w:val="20"/>
              </w:rPr>
              <w:t>61,235.95</w:t>
            </w:r>
          </w:p>
        </w:tc>
      </w:tr>
      <w:tr w:rsidR="00C24CE5" w:rsidRPr="006D57F1" w14:paraId="2F40E950" w14:textId="77777777" w:rsidTr="00395941">
        <w:trPr>
          <w:trHeight w:val="300"/>
        </w:trPr>
        <w:tc>
          <w:tcPr>
            <w:tcW w:w="4815" w:type="dxa"/>
            <w:shd w:val="clear" w:color="auto" w:fill="auto"/>
            <w:noWrap/>
            <w:vAlign w:val="bottom"/>
            <w:hideMark/>
          </w:tcPr>
          <w:p w14:paraId="7CF11868"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 xml:space="preserve">Cámaras Fotográficas y de Video </w:t>
            </w:r>
          </w:p>
        </w:tc>
        <w:tc>
          <w:tcPr>
            <w:tcW w:w="1843" w:type="dxa"/>
            <w:shd w:val="clear" w:color="auto" w:fill="auto"/>
            <w:noWrap/>
            <w:vAlign w:val="bottom"/>
            <w:hideMark/>
          </w:tcPr>
          <w:p w14:paraId="48423D59" w14:textId="70ABDBF5"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30386B01" w14:textId="3C2F790E"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152,596.44</w:t>
            </w:r>
          </w:p>
        </w:tc>
        <w:tc>
          <w:tcPr>
            <w:tcW w:w="1843" w:type="dxa"/>
            <w:tcBorders>
              <w:top w:val="nil"/>
              <w:left w:val="nil"/>
              <w:bottom w:val="nil"/>
              <w:right w:val="nil"/>
            </w:tcBorders>
            <w:shd w:val="clear" w:color="auto" w:fill="auto"/>
            <w:noWrap/>
            <w:vAlign w:val="bottom"/>
          </w:tcPr>
          <w:p w14:paraId="7F6DDFE0" w14:textId="3CDA82CE"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35327E66" w14:textId="68311DAA"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6D27E9CA" w14:textId="6B308225" w:rsidR="00C24CE5" w:rsidRPr="006D57F1" w:rsidRDefault="007500A6" w:rsidP="00C24CE5">
            <w:pPr>
              <w:jc w:val="right"/>
              <w:rPr>
                <w:rFonts w:ascii="Barlow" w:hAnsi="Barlow" w:cs="Calibri"/>
                <w:color w:val="000000"/>
                <w:sz w:val="20"/>
                <w:szCs w:val="20"/>
              </w:rPr>
            </w:pPr>
            <w:r w:rsidRPr="006D57F1">
              <w:rPr>
                <w:rFonts w:ascii="Barlow" w:hAnsi="Barlow" w:cs="Calibri"/>
                <w:color w:val="000000"/>
                <w:sz w:val="20"/>
                <w:szCs w:val="20"/>
              </w:rPr>
              <w:t>-</w:t>
            </w:r>
            <w:r w:rsidR="00231117" w:rsidRPr="006D57F1">
              <w:rPr>
                <w:rFonts w:ascii="Barlow" w:hAnsi="Barlow" w:cs="Calibri"/>
                <w:color w:val="000000"/>
                <w:sz w:val="20"/>
                <w:szCs w:val="20"/>
              </w:rPr>
              <w:t>3</w:t>
            </w:r>
            <w:r w:rsidR="006F452C" w:rsidRPr="006D57F1">
              <w:rPr>
                <w:rFonts w:ascii="Barlow" w:hAnsi="Barlow" w:cs="Calibri"/>
                <w:color w:val="000000"/>
                <w:sz w:val="20"/>
                <w:szCs w:val="20"/>
              </w:rPr>
              <w:t>7,506.20</w:t>
            </w:r>
          </w:p>
        </w:tc>
      </w:tr>
      <w:tr w:rsidR="00C24CE5" w:rsidRPr="006D57F1" w14:paraId="7F59746B" w14:textId="77777777" w:rsidTr="00395941">
        <w:trPr>
          <w:trHeight w:val="300"/>
        </w:trPr>
        <w:tc>
          <w:tcPr>
            <w:tcW w:w="4815" w:type="dxa"/>
            <w:shd w:val="clear" w:color="auto" w:fill="auto"/>
            <w:noWrap/>
            <w:vAlign w:val="bottom"/>
            <w:hideMark/>
          </w:tcPr>
          <w:p w14:paraId="68437083" w14:textId="77777777" w:rsidR="00C24CE5" w:rsidRPr="006D57F1" w:rsidRDefault="00C24CE5" w:rsidP="00C24CE5">
            <w:pPr>
              <w:rPr>
                <w:rFonts w:ascii="Barlow" w:hAnsi="Barlow" w:cs="Calibri"/>
                <w:b/>
                <w:bCs/>
                <w:color w:val="000000"/>
                <w:sz w:val="20"/>
                <w:szCs w:val="20"/>
              </w:rPr>
            </w:pPr>
            <w:r w:rsidRPr="006D57F1">
              <w:rPr>
                <w:rFonts w:ascii="Barlow" w:hAnsi="Barlow" w:cs="Calibri"/>
                <w:b/>
                <w:bCs/>
                <w:color w:val="000000"/>
                <w:sz w:val="20"/>
                <w:szCs w:val="20"/>
              </w:rPr>
              <w:t>Equipo Médico y de Laboratorio</w:t>
            </w:r>
          </w:p>
        </w:tc>
        <w:tc>
          <w:tcPr>
            <w:tcW w:w="1843" w:type="dxa"/>
            <w:shd w:val="clear" w:color="auto" w:fill="auto"/>
            <w:noWrap/>
            <w:vAlign w:val="bottom"/>
            <w:hideMark/>
          </w:tcPr>
          <w:p w14:paraId="7E40323E" w14:textId="77777777" w:rsidR="00C24CE5" w:rsidRPr="006D57F1" w:rsidRDefault="00C24CE5" w:rsidP="00C24CE5">
            <w:pPr>
              <w:jc w:val="right"/>
              <w:rPr>
                <w:rFonts w:ascii="Barlow" w:hAnsi="Barlow" w:cs="Calibri"/>
                <w:color w:val="000000"/>
                <w:sz w:val="20"/>
                <w:szCs w:val="20"/>
              </w:rPr>
            </w:pPr>
          </w:p>
        </w:tc>
        <w:tc>
          <w:tcPr>
            <w:tcW w:w="1842" w:type="dxa"/>
            <w:shd w:val="clear" w:color="auto" w:fill="auto"/>
            <w:noWrap/>
            <w:vAlign w:val="bottom"/>
          </w:tcPr>
          <w:p w14:paraId="7FD480DC" w14:textId="77777777" w:rsidR="00C24CE5" w:rsidRPr="006D57F1" w:rsidRDefault="00C24CE5" w:rsidP="00C24CE5">
            <w:pPr>
              <w:jc w:val="right"/>
              <w:rPr>
                <w:rFonts w:ascii="Barlow" w:hAnsi="Barlow"/>
                <w:sz w:val="20"/>
                <w:szCs w:val="20"/>
              </w:rPr>
            </w:pPr>
          </w:p>
        </w:tc>
        <w:tc>
          <w:tcPr>
            <w:tcW w:w="1843" w:type="dxa"/>
            <w:tcBorders>
              <w:top w:val="nil"/>
              <w:left w:val="nil"/>
              <w:bottom w:val="nil"/>
              <w:right w:val="nil"/>
            </w:tcBorders>
            <w:shd w:val="clear" w:color="auto" w:fill="auto"/>
            <w:noWrap/>
            <w:vAlign w:val="bottom"/>
          </w:tcPr>
          <w:p w14:paraId="1660805F" w14:textId="6F06F323" w:rsidR="00C24CE5" w:rsidRPr="006D57F1" w:rsidRDefault="00C24CE5" w:rsidP="00C24CE5">
            <w:pPr>
              <w:jc w:val="right"/>
              <w:rPr>
                <w:rFonts w:ascii="Barlow" w:hAnsi="Barlow"/>
                <w:sz w:val="20"/>
                <w:szCs w:val="20"/>
              </w:rPr>
            </w:pPr>
          </w:p>
        </w:tc>
        <w:tc>
          <w:tcPr>
            <w:tcW w:w="1985" w:type="dxa"/>
            <w:shd w:val="clear" w:color="auto" w:fill="auto"/>
            <w:noWrap/>
            <w:vAlign w:val="bottom"/>
          </w:tcPr>
          <w:p w14:paraId="0F296726" w14:textId="77777777" w:rsidR="00C24CE5" w:rsidRPr="006D57F1" w:rsidRDefault="00C24CE5" w:rsidP="00C24CE5">
            <w:pPr>
              <w:jc w:val="right"/>
              <w:rPr>
                <w:rFonts w:ascii="Barlow" w:hAnsi="Barlow"/>
                <w:sz w:val="20"/>
                <w:szCs w:val="20"/>
              </w:rPr>
            </w:pPr>
          </w:p>
        </w:tc>
        <w:tc>
          <w:tcPr>
            <w:tcW w:w="1701" w:type="dxa"/>
            <w:shd w:val="clear" w:color="auto" w:fill="auto"/>
            <w:noWrap/>
            <w:vAlign w:val="bottom"/>
          </w:tcPr>
          <w:p w14:paraId="4266DDD8" w14:textId="77777777" w:rsidR="00C24CE5" w:rsidRPr="006D57F1" w:rsidRDefault="00C24CE5" w:rsidP="00C24CE5">
            <w:pPr>
              <w:jc w:val="right"/>
              <w:rPr>
                <w:rFonts w:ascii="Barlow" w:hAnsi="Barlow" w:cs="Calibri"/>
                <w:color w:val="000000"/>
                <w:sz w:val="20"/>
                <w:szCs w:val="20"/>
              </w:rPr>
            </w:pPr>
          </w:p>
        </w:tc>
      </w:tr>
      <w:tr w:rsidR="00C24CE5" w:rsidRPr="006D57F1" w14:paraId="5BF380ED" w14:textId="77777777" w:rsidTr="00395941">
        <w:trPr>
          <w:trHeight w:val="300"/>
        </w:trPr>
        <w:tc>
          <w:tcPr>
            <w:tcW w:w="4815" w:type="dxa"/>
            <w:shd w:val="clear" w:color="auto" w:fill="auto"/>
            <w:noWrap/>
            <w:vAlign w:val="bottom"/>
            <w:hideMark/>
          </w:tcPr>
          <w:p w14:paraId="25D41B9E"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 xml:space="preserve">Equipo Médico y de Laboratorio </w:t>
            </w:r>
          </w:p>
        </w:tc>
        <w:tc>
          <w:tcPr>
            <w:tcW w:w="1843" w:type="dxa"/>
            <w:shd w:val="clear" w:color="auto" w:fill="auto"/>
            <w:noWrap/>
            <w:vAlign w:val="bottom"/>
            <w:hideMark/>
          </w:tcPr>
          <w:p w14:paraId="553441DB" w14:textId="6F157A0E"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50CF5702" w14:textId="727D5543"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61,558.50</w:t>
            </w:r>
          </w:p>
        </w:tc>
        <w:tc>
          <w:tcPr>
            <w:tcW w:w="1843" w:type="dxa"/>
            <w:tcBorders>
              <w:top w:val="nil"/>
              <w:left w:val="nil"/>
              <w:bottom w:val="nil"/>
              <w:right w:val="nil"/>
            </w:tcBorders>
            <w:shd w:val="clear" w:color="auto" w:fill="auto"/>
            <w:noWrap/>
            <w:vAlign w:val="bottom"/>
          </w:tcPr>
          <w:p w14:paraId="3D49C982" w14:textId="1F8FB175"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52C45BA3" w14:textId="4AA2CBEE"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51FC6D22" w14:textId="09C0C06B"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231117" w:rsidRPr="006D57F1">
              <w:rPr>
                <w:rFonts w:ascii="Barlow" w:hAnsi="Barlow" w:cs="Calibri"/>
                <w:color w:val="000000"/>
                <w:sz w:val="20"/>
                <w:szCs w:val="20"/>
              </w:rPr>
              <w:t>2</w:t>
            </w:r>
            <w:r w:rsidR="006F452C" w:rsidRPr="006D57F1">
              <w:rPr>
                <w:rFonts w:ascii="Barlow" w:hAnsi="Barlow" w:cs="Calibri"/>
                <w:color w:val="000000"/>
                <w:sz w:val="20"/>
                <w:szCs w:val="20"/>
              </w:rPr>
              <w:t>5,649.50</w:t>
            </w:r>
          </w:p>
        </w:tc>
      </w:tr>
      <w:tr w:rsidR="00C24CE5" w:rsidRPr="006D57F1" w14:paraId="52FB2CF6" w14:textId="77777777" w:rsidTr="00395941">
        <w:trPr>
          <w:trHeight w:val="300"/>
        </w:trPr>
        <w:tc>
          <w:tcPr>
            <w:tcW w:w="4815" w:type="dxa"/>
            <w:shd w:val="clear" w:color="auto" w:fill="auto"/>
            <w:noWrap/>
            <w:vAlign w:val="bottom"/>
            <w:hideMark/>
          </w:tcPr>
          <w:p w14:paraId="27A5DA31" w14:textId="77777777" w:rsidR="00C24CE5" w:rsidRPr="006D57F1" w:rsidRDefault="00C24CE5" w:rsidP="00C24CE5">
            <w:pPr>
              <w:rPr>
                <w:rFonts w:ascii="Barlow" w:hAnsi="Barlow" w:cs="Calibri"/>
                <w:b/>
                <w:bCs/>
                <w:color w:val="000000"/>
                <w:sz w:val="20"/>
                <w:szCs w:val="20"/>
              </w:rPr>
            </w:pPr>
            <w:r w:rsidRPr="006D57F1">
              <w:rPr>
                <w:rFonts w:ascii="Barlow" w:hAnsi="Barlow" w:cs="Calibri"/>
                <w:b/>
                <w:bCs/>
                <w:color w:val="000000"/>
                <w:sz w:val="20"/>
                <w:szCs w:val="20"/>
              </w:rPr>
              <w:t>Equipo de Transporte</w:t>
            </w:r>
          </w:p>
        </w:tc>
        <w:tc>
          <w:tcPr>
            <w:tcW w:w="1843" w:type="dxa"/>
            <w:shd w:val="clear" w:color="auto" w:fill="auto"/>
            <w:noWrap/>
            <w:vAlign w:val="bottom"/>
            <w:hideMark/>
          </w:tcPr>
          <w:p w14:paraId="20B05854" w14:textId="77777777" w:rsidR="00C24CE5" w:rsidRPr="006D57F1" w:rsidRDefault="00C24CE5" w:rsidP="00C24CE5">
            <w:pPr>
              <w:jc w:val="right"/>
              <w:rPr>
                <w:rFonts w:ascii="Barlow" w:hAnsi="Barlow" w:cs="Calibri"/>
                <w:color w:val="000000"/>
                <w:sz w:val="20"/>
                <w:szCs w:val="20"/>
              </w:rPr>
            </w:pPr>
          </w:p>
        </w:tc>
        <w:tc>
          <w:tcPr>
            <w:tcW w:w="1842" w:type="dxa"/>
            <w:shd w:val="clear" w:color="auto" w:fill="auto"/>
            <w:noWrap/>
            <w:vAlign w:val="bottom"/>
          </w:tcPr>
          <w:p w14:paraId="28394FC8" w14:textId="77777777" w:rsidR="00C24CE5" w:rsidRPr="006D57F1" w:rsidRDefault="00C24CE5" w:rsidP="00C24CE5">
            <w:pPr>
              <w:jc w:val="right"/>
              <w:rPr>
                <w:rFonts w:ascii="Barlow" w:hAnsi="Barlow"/>
                <w:sz w:val="20"/>
                <w:szCs w:val="20"/>
              </w:rPr>
            </w:pPr>
          </w:p>
        </w:tc>
        <w:tc>
          <w:tcPr>
            <w:tcW w:w="1843" w:type="dxa"/>
            <w:tcBorders>
              <w:top w:val="nil"/>
              <w:left w:val="nil"/>
              <w:bottom w:val="nil"/>
              <w:right w:val="nil"/>
            </w:tcBorders>
            <w:shd w:val="clear" w:color="auto" w:fill="auto"/>
            <w:noWrap/>
            <w:vAlign w:val="bottom"/>
          </w:tcPr>
          <w:p w14:paraId="39B66726" w14:textId="4050A096" w:rsidR="00C24CE5" w:rsidRPr="006D57F1" w:rsidRDefault="00C24CE5" w:rsidP="00C24CE5">
            <w:pPr>
              <w:jc w:val="right"/>
              <w:rPr>
                <w:rFonts w:ascii="Barlow" w:hAnsi="Barlow"/>
                <w:sz w:val="20"/>
                <w:szCs w:val="20"/>
              </w:rPr>
            </w:pPr>
          </w:p>
        </w:tc>
        <w:tc>
          <w:tcPr>
            <w:tcW w:w="1985" w:type="dxa"/>
            <w:shd w:val="clear" w:color="auto" w:fill="auto"/>
            <w:noWrap/>
            <w:vAlign w:val="bottom"/>
          </w:tcPr>
          <w:p w14:paraId="259FFF30" w14:textId="77777777" w:rsidR="00C24CE5" w:rsidRPr="006D57F1" w:rsidRDefault="00C24CE5" w:rsidP="00C24CE5">
            <w:pPr>
              <w:jc w:val="right"/>
              <w:rPr>
                <w:rFonts w:ascii="Barlow" w:hAnsi="Barlow"/>
                <w:sz w:val="20"/>
                <w:szCs w:val="20"/>
              </w:rPr>
            </w:pPr>
          </w:p>
        </w:tc>
        <w:tc>
          <w:tcPr>
            <w:tcW w:w="1701" w:type="dxa"/>
            <w:shd w:val="clear" w:color="auto" w:fill="auto"/>
            <w:noWrap/>
            <w:vAlign w:val="bottom"/>
          </w:tcPr>
          <w:p w14:paraId="060D9AE0" w14:textId="77777777" w:rsidR="00C24CE5" w:rsidRPr="006D57F1" w:rsidRDefault="00C24CE5" w:rsidP="00C24CE5">
            <w:pPr>
              <w:jc w:val="right"/>
              <w:rPr>
                <w:rFonts w:ascii="Barlow" w:hAnsi="Barlow" w:cs="Calibri"/>
                <w:color w:val="000000"/>
                <w:sz w:val="20"/>
                <w:szCs w:val="20"/>
              </w:rPr>
            </w:pPr>
          </w:p>
        </w:tc>
      </w:tr>
      <w:tr w:rsidR="00C24CE5" w:rsidRPr="006D57F1" w14:paraId="3FAA337B" w14:textId="77777777" w:rsidTr="00395941">
        <w:trPr>
          <w:trHeight w:val="300"/>
        </w:trPr>
        <w:tc>
          <w:tcPr>
            <w:tcW w:w="4815" w:type="dxa"/>
            <w:shd w:val="clear" w:color="auto" w:fill="auto"/>
            <w:noWrap/>
            <w:vAlign w:val="bottom"/>
            <w:hideMark/>
          </w:tcPr>
          <w:p w14:paraId="08F8ABF1"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Vehículos y Equipo de Transporte</w:t>
            </w:r>
          </w:p>
        </w:tc>
        <w:tc>
          <w:tcPr>
            <w:tcW w:w="1843" w:type="dxa"/>
            <w:shd w:val="clear" w:color="auto" w:fill="auto"/>
            <w:noWrap/>
            <w:vAlign w:val="bottom"/>
            <w:hideMark/>
          </w:tcPr>
          <w:p w14:paraId="46E8F678" w14:textId="2245CA98"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72444317" w14:textId="2AE6373C"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475,799.98</w:t>
            </w:r>
          </w:p>
        </w:tc>
        <w:tc>
          <w:tcPr>
            <w:tcW w:w="1843" w:type="dxa"/>
            <w:tcBorders>
              <w:top w:val="nil"/>
              <w:left w:val="nil"/>
              <w:bottom w:val="nil"/>
              <w:right w:val="nil"/>
            </w:tcBorders>
            <w:shd w:val="clear" w:color="auto" w:fill="auto"/>
            <w:noWrap/>
            <w:vAlign w:val="center"/>
          </w:tcPr>
          <w:p w14:paraId="3FCEBFF8" w14:textId="197B1559" w:rsidR="00C24CE5" w:rsidRPr="006D57F1" w:rsidRDefault="00795C99"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79A7553F" w14:textId="19D19158"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237E4F05" w14:textId="3E53BAB9"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-475,</w:t>
            </w:r>
            <w:r w:rsidR="00231117" w:rsidRPr="006D57F1">
              <w:rPr>
                <w:rFonts w:ascii="Barlow" w:hAnsi="Barlow" w:cs="Calibri"/>
                <w:color w:val="000000"/>
                <w:sz w:val="20"/>
                <w:szCs w:val="20"/>
              </w:rPr>
              <w:t>800.00</w:t>
            </w:r>
          </w:p>
        </w:tc>
      </w:tr>
      <w:tr w:rsidR="00C24CE5" w:rsidRPr="006D57F1" w14:paraId="5E9E3064" w14:textId="77777777" w:rsidTr="00395941">
        <w:trPr>
          <w:trHeight w:val="300"/>
        </w:trPr>
        <w:tc>
          <w:tcPr>
            <w:tcW w:w="4815" w:type="dxa"/>
            <w:shd w:val="clear" w:color="auto" w:fill="auto"/>
            <w:noWrap/>
            <w:vAlign w:val="bottom"/>
            <w:hideMark/>
          </w:tcPr>
          <w:p w14:paraId="7F85C627" w14:textId="77777777" w:rsidR="00C24CE5" w:rsidRPr="006D57F1" w:rsidRDefault="00C24CE5" w:rsidP="00C24CE5">
            <w:pPr>
              <w:rPr>
                <w:rFonts w:ascii="Barlow" w:hAnsi="Barlow" w:cs="Calibri"/>
                <w:b/>
                <w:bCs/>
                <w:color w:val="000000"/>
                <w:sz w:val="20"/>
                <w:szCs w:val="20"/>
              </w:rPr>
            </w:pPr>
            <w:r w:rsidRPr="006D57F1">
              <w:rPr>
                <w:rFonts w:ascii="Barlow" w:hAnsi="Barlow" w:cs="Calibri"/>
                <w:b/>
                <w:bCs/>
                <w:color w:val="000000"/>
                <w:sz w:val="20"/>
                <w:szCs w:val="20"/>
              </w:rPr>
              <w:lastRenderedPageBreak/>
              <w:t>Maquinarias, Otros Equipos Y Herramientas</w:t>
            </w:r>
          </w:p>
        </w:tc>
        <w:tc>
          <w:tcPr>
            <w:tcW w:w="1843" w:type="dxa"/>
            <w:shd w:val="clear" w:color="auto" w:fill="auto"/>
            <w:noWrap/>
            <w:vAlign w:val="bottom"/>
            <w:hideMark/>
          </w:tcPr>
          <w:p w14:paraId="4A0FC984" w14:textId="77777777" w:rsidR="00C24CE5" w:rsidRPr="006D57F1" w:rsidRDefault="00C24CE5" w:rsidP="00C24CE5">
            <w:pPr>
              <w:jc w:val="right"/>
              <w:rPr>
                <w:rFonts w:ascii="Barlow" w:hAnsi="Barlow" w:cs="Calibri"/>
                <w:color w:val="000000"/>
                <w:sz w:val="20"/>
                <w:szCs w:val="20"/>
              </w:rPr>
            </w:pPr>
          </w:p>
        </w:tc>
        <w:tc>
          <w:tcPr>
            <w:tcW w:w="1842" w:type="dxa"/>
            <w:shd w:val="clear" w:color="auto" w:fill="auto"/>
            <w:noWrap/>
            <w:vAlign w:val="bottom"/>
          </w:tcPr>
          <w:p w14:paraId="5AB2B6D3" w14:textId="77777777" w:rsidR="00C24CE5" w:rsidRPr="006D57F1" w:rsidRDefault="00C24CE5" w:rsidP="00C24CE5">
            <w:pPr>
              <w:jc w:val="right"/>
              <w:rPr>
                <w:rFonts w:ascii="Barlow" w:hAnsi="Barlow"/>
                <w:sz w:val="20"/>
                <w:szCs w:val="20"/>
              </w:rPr>
            </w:pPr>
          </w:p>
        </w:tc>
        <w:tc>
          <w:tcPr>
            <w:tcW w:w="1843" w:type="dxa"/>
            <w:tcBorders>
              <w:top w:val="nil"/>
              <w:left w:val="nil"/>
              <w:bottom w:val="nil"/>
              <w:right w:val="nil"/>
            </w:tcBorders>
            <w:shd w:val="clear" w:color="auto" w:fill="auto"/>
            <w:noWrap/>
            <w:vAlign w:val="bottom"/>
          </w:tcPr>
          <w:p w14:paraId="151CAFBF" w14:textId="702D62CC" w:rsidR="00C24CE5" w:rsidRPr="006D57F1" w:rsidRDefault="00C24CE5" w:rsidP="00C24CE5">
            <w:pPr>
              <w:jc w:val="right"/>
              <w:rPr>
                <w:rFonts w:ascii="Barlow" w:hAnsi="Barlow"/>
                <w:sz w:val="20"/>
                <w:szCs w:val="20"/>
              </w:rPr>
            </w:pPr>
          </w:p>
        </w:tc>
        <w:tc>
          <w:tcPr>
            <w:tcW w:w="1985" w:type="dxa"/>
            <w:shd w:val="clear" w:color="auto" w:fill="auto"/>
            <w:noWrap/>
            <w:vAlign w:val="bottom"/>
          </w:tcPr>
          <w:p w14:paraId="088EE5DE" w14:textId="77777777" w:rsidR="00C24CE5" w:rsidRPr="006D57F1" w:rsidRDefault="00C24CE5" w:rsidP="00C24CE5">
            <w:pPr>
              <w:jc w:val="right"/>
              <w:rPr>
                <w:rFonts w:ascii="Barlow" w:hAnsi="Barlow"/>
                <w:sz w:val="20"/>
                <w:szCs w:val="20"/>
              </w:rPr>
            </w:pPr>
          </w:p>
        </w:tc>
        <w:tc>
          <w:tcPr>
            <w:tcW w:w="1701" w:type="dxa"/>
            <w:shd w:val="clear" w:color="auto" w:fill="auto"/>
            <w:noWrap/>
            <w:vAlign w:val="bottom"/>
          </w:tcPr>
          <w:p w14:paraId="6D1520F4" w14:textId="77777777" w:rsidR="00C24CE5" w:rsidRPr="006D57F1" w:rsidRDefault="00C24CE5" w:rsidP="00C24CE5">
            <w:pPr>
              <w:jc w:val="right"/>
              <w:rPr>
                <w:rFonts w:ascii="Barlow" w:hAnsi="Barlow" w:cs="Calibri"/>
                <w:color w:val="000000"/>
                <w:sz w:val="20"/>
                <w:szCs w:val="20"/>
              </w:rPr>
            </w:pPr>
          </w:p>
        </w:tc>
      </w:tr>
      <w:tr w:rsidR="00C24CE5" w:rsidRPr="006D57F1" w14:paraId="3172523E" w14:textId="77777777" w:rsidTr="00395941">
        <w:trPr>
          <w:trHeight w:val="300"/>
        </w:trPr>
        <w:tc>
          <w:tcPr>
            <w:tcW w:w="4815" w:type="dxa"/>
            <w:shd w:val="clear" w:color="auto" w:fill="auto"/>
            <w:noWrap/>
            <w:vAlign w:val="bottom"/>
            <w:hideMark/>
          </w:tcPr>
          <w:p w14:paraId="75B360FD"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 xml:space="preserve">Maquinaria y Equipo Industrial </w:t>
            </w:r>
          </w:p>
        </w:tc>
        <w:tc>
          <w:tcPr>
            <w:tcW w:w="1843" w:type="dxa"/>
            <w:shd w:val="clear" w:color="auto" w:fill="auto"/>
            <w:noWrap/>
            <w:vAlign w:val="bottom"/>
            <w:hideMark/>
          </w:tcPr>
          <w:p w14:paraId="7D9CC2FE" w14:textId="3EEC9F41"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01F1787F" w14:textId="5D404364"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35,700.00</w:t>
            </w:r>
          </w:p>
        </w:tc>
        <w:tc>
          <w:tcPr>
            <w:tcW w:w="1843" w:type="dxa"/>
            <w:tcBorders>
              <w:top w:val="nil"/>
              <w:left w:val="nil"/>
              <w:bottom w:val="nil"/>
              <w:right w:val="nil"/>
            </w:tcBorders>
            <w:shd w:val="clear" w:color="auto" w:fill="auto"/>
            <w:noWrap/>
            <w:vAlign w:val="bottom"/>
          </w:tcPr>
          <w:p w14:paraId="27A85B1B" w14:textId="18A5819A"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00BBF2C8" w14:textId="314EC8F6"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455D9036" w14:textId="35724C28"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EE49E5" w:rsidRPr="006D57F1">
              <w:rPr>
                <w:rFonts w:ascii="Barlow" w:hAnsi="Barlow" w:cs="Calibri"/>
                <w:color w:val="000000"/>
                <w:sz w:val="20"/>
                <w:szCs w:val="20"/>
              </w:rPr>
              <w:t>7,</w:t>
            </w:r>
            <w:r w:rsidR="006F452C" w:rsidRPr="006D57F1">
              <w:rPr>
                <w:rFonts w:ascii="Barlow" w:hAnsi="Barlow" w:cs="Calibri"/>
                <w:color w:val="000000"/>
                <w:sz w:val="20"/>
                <w:szCs w:val="20"/>
              </w:rPr>
              <w:t>437.50</w:t>
            </w:r>
          </w:p>
        </w:tc>
      </w:tr>
      <w:tr w:rsidR="00C24CE5" w:rsidRPr="006D57F1" w14:paraId="5F20CD69" w14:textId="77777777" w:rsidTr="00395941">
        <w:trPr>
          <w:trHeight w:val="300"/>
        </w:trPr>
        <w:tc>
          <w:tcPr>
            <w:tcW w:w="4815" w:type="dxa"/>
            <w:shd w:val="clear" w:color="auto" w:fill="auto"/>
            <w:noWrap/>
            <w:vAlign w:val="bottom"/>
            <w:hideMark/>
          </w:tcPr>
          <w:p w14:paraId="09C9E5AD"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Sistemas de Aire Acondicionado</w:t>
            </w:r>
          </w:p>
        </w:tc>
        <w:tc>
          <w:tcPr>
            <w:tcW w:w="1843" w:type="dxa"/>
            <w:shd w:val="clear" w:color="auto" w:fill="auto"/>
            <w:noWrap/>
            <w:vAlign w:val="bottom"/>
            <w:hideMark/>
          </w:tcPr>
          <w:p w14:paraId="217CC676" w14:textId="73B36BB0"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4AD66193" w14:textId="7D63D7A9"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195,274.76</w:t>
            </w:r>
          </w:p>
        </w:tc>
        <w:tc>
          <w:tcPr>
            <w:tcW w:w="1843" w:type="dxa"/>
            <w:tcBorders>
              <w:top w:val="nil"/>
              <w:left w:val="nil"/>
              <w:bottom w:val="nil"/>
              <w:right w:val="nil"/>
            </w:tcBorders>
            <w:shd w:val="clear" w:color="auto" w:fill="auto"/>
            <w:noWrap/>
            <w:vAlign w:val="bottom"/>
          </w:tcPr>
          <w:p w14:paraId="1D6A33E6" w14:textId="49D82D75"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0E55BCD3" w14:textId="3489AFBF"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0A399BF5" w14:textId="6837BEC0"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DA6EAD" w:rsidRPr="006D57F1">
              <w:rPr>
                <w:rFonts w:ascii="Barlow" w:hAnsi="Barlow" w:cs="Calibri"/>
                <w:color w:val="000000"/>
                <w:sz w:val="20"/>
                <w:szCs w:val="20"/>
              </w:rPr>
              <w:t>8</w:t>
            </w:r>
            <w:r w:rsidR="006F452C" w:rsidRPr="006D57F1">
              <w:rPr>
                <w:rFonts w:ascii="Barlow" w:hAnsi="Barlow" w:cs="Calibri"/>
                <w:color w:val="000000"/>
                <w:sz w:val="20"/>
                <w:szCs w:val="20"/>
              </w:rPr>
              <w:t>6,757.01</w:t>
            </w:r>
          </w:p>
        </w:tc>
      </w:tr>
      <w:tr w:rsidR="00C24CE5" w:rsidRPr="006D57F1" w14:paraId="2FA6071E" w14:textId="77777777" w:rsidTr="00395941">
        <w:trPr>
          <w:trHeight w:val="300"/>
        </w:trPr>
        <w:tc>
          <w:tcPr>
            <w:tcW w:w="4815" w:type="dxa"/>
            <w:shd w:val="clear" w:color="auto" w:fill="auto"/>
            <w:noWrap/>
            <w:vAlign w:val="bottom"/>
            <w:hideMark/>
          </w:tcPr>
          <w:p w14:paraId="087512F5"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Equipos de Comunicación y Telecomunicación</w:t>
            </w:r>
          </w:p>
        </w:tc>
        <w:tc>
          <w:tcPr>
            <w:tcW w:w="1843" w:type="dxa"/>
            <w:shd w:val="clear" w:color="auto" w:fill="auto"/>
            <w:noWrap/>
            <w:vAlign w:val="bottom"/>
            <w:hideMark/>
          </w:tcPr>
          <w:p w14:paraId="0E65045E" w14:textId="02998E50"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546548F0" w14:textId="03AB144A"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5,884.00</w:t>
            </w:r>
          </w:p>
        </w:tc>
        <w:tc>
          <w:tcPr>
            <w:tcW w:w="1843" w:type="dxa"/>
            <w:tcBorders>
              <w:top w:val="nil"/>
              <w:left w:val="nil"/>
              <w:bottom w:val="nil"/>
              <w:right w:val="nil"/>
            </w:tcBorders>
            <w:shd w:val="clear" w:color="auto" w:fill="auto"/>
            <w:noWrap/>
            <w:vAlign w:val="bottom"/>
          </w:tcPr>
          <w:p w14:paraId="4CAC0145" w14:textId="14781918"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7DB984FC" w14:textId="038BC41C"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512FBE58" w14:textId="372E9BFF"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6F452C" w:rsidRPr="006D57F1">
              <w:rPr>
                <w:rFonts w:ascii="Barlow" w:hAnsi="Barlow" w:cs="Calibri"/>
                <w:color w:val="000000"/>
                <w:sz w:val="20"/>
                <w:szCs w:val="20"/>
              </w:rPr>
              <w:t>4,082.00</w:t>
            </w:r>
          </w:p>
        </w:tc>
      </w:tr>
      <w:tr w:rsidR="00C24CE5" w:rsidRPr="006D57F1" w14:paraId="0CD5FF62" w14:textId="77777777" w:rsidTr="00395941">
        <w:trPr>
          <w:trHeight w:val="300"/>
        </w:trPr>
        <w:tc>
          <w:tcPr>
            <w:tcW w:w="4815" w:type="dxa"/>
            <w:shd w:val="clear" w:color="auto" w:fill="auto"/>
            <w:noWrap/>
            <w:vAlign w:val="bottom"/>
            <w:hideMark/>
          </w:tcPr>
          <w:p w14:paraId="0F6BD8E0"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Máquinas y Equipo Eléctrico y Electrónico</w:t>
            </w:r>
          </w:p>
        </w:tc>
        <w:tc>
          <w:tcPr>
            <w:tcW w:w="1843" w:type="dxa"/>
            <w:shd w:val="clear" w:color="auto" w:fill="auto"/>
            <w:noWrap/>
            <w:vAlign w:val="bottom"/>
            <w:hideMark/>
          </w:tcPr>
          <w:p w14:paraId="376BCE16" w14:textId="092EADF6"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3DCDEB1F" w14:textId="21D49BCA"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325,657.04</w:t>
            </w:r>
          </w:p>
        </w:tc>
        <w:tc>
          <w:tcPr>
            <w:tcW w:w="1843" w:type="dxa"/>
            <w:tcBorders>
              <w:top w:val="nil"/>
              <w:left w:val="nil"/>
              <w:bottom w:val="nil"/>
              <w:right w:val="nil"/>
            </w:tcBorders>
            <w:shd w:val="clear" w:color="auto" w:fill="auto"/>
            <w:noWrap/>
            <w:vAlign w:val="bottom"/>
          </w:tcPr>
          <w:p w14:paraId="1FC1E8E5" w14:textId="52E9BDBD"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6D104A7E" w14:textId="01FECA87"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auto"/>
            <w:noWrap/>
            <w:vAlign w:val="bottom"/>
          </w:tcPr>
          <w:p w14:paraId="2506B18C" w14:textId="7D3198D1" w:rsidR="00C24CE5" w:rsidRPr="006D57F1" w:rsidRDefault="007500A6" w:rsidP="00C24CE5">
            <w:pPr>
              <w:jc w:val="right"/>
              <w:rPr>
                <w:rFonts w:ascii="Barlow" w:hAnsi="Barlow" w:cs="Calibri"/>
                <w:color w:val="000000"/>
                <w:sz w:val="20"/>
                <w:szCs w:val="20"/>
              </w:rPr>
            </w:pPr>
            <w:r w:rsidRPr="006D57F1">
              <w:rPr>
                <w:rFonts w:ascii="Barlow" w:hAnsi="Barlow" w:cs="Calibri"/>
                <w:color w:val="000000"/>
                <w:sz w:val="20"/>
                <w:szCs w:val="20"/>
              </w:rPr>
              <w:t>-</w:t>
            </w:r>
            <w:r w:rsidR="00165EA7" w:rsidRPr="006D57F1">
              <w:rPr>
                <w:rFonts w:ascii="Barlow" w:hAnsi="Barlow" w:cs="Calibri"/>
                <w:color w:val="000000"/>
                <w:sz w:val="20"/>
                <w:szCs w:val="20"/>
              </w:rPr>
              <w:t>1</w:t>
            </w:r>
            <w:r w:rsidR="00704748" w:rsidRPr="006D57F1">
              <w:rPr>
                <w:rFonts w:ascii="Barlow" w:hAnsi="Barlow" w:cs="Calibri"/>
                <w:color w:val="000000"/>
                <w:sz w:val="20"/>
                <w:szCs w:val="20"/>
              </w:rPr>
              <w:t>9</w:t>
            </w:r>
            <w:r w:rsidR="006F452C" w:rsidRPr="006D57F1">
              <w:rPr>
                <w:rFonts w:ascii="Barlow" w:hAnsi="Barlow" w:cs="Calibri"/>
                <w:color w:val="000000"/>
                <w:sz w:val="20"/>
                <w:szCs w:val="20"/>
              </w:rPr>
              <w:t>5,792.65</w:t>
            </w:r>
          </w:p>
        </w:tc>
      </w:tr>
      <w:tr w:rsidR="00C24CE5" w:rsidRPr="006D57F1" w14:paraId="365BCF4F" w14:textId="77777777" w:rsidTr="00395941">
        <w:trPr>
          <w:trHeight w:val="300"/>
        </w:trPr>
        <w:tc>
          <w:tcPr>
            <w:tcW w:w="4815" w:type="dxa"/>
            <w:shd w:val="clear" w:color="auto" w:fill="auto"/>
            <w:noWrap/>
            <w:vAlign w:val="bottom"/>
            <w:hideMark/>
          </w:tcPr>
          <w:p w14:paraId="08B31CEF"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Herramientas Y Maquinas Herramienta</w:t>
            </w:r>
          </w:p>
        </w:tc>
        <w:tc>
          <w:tcPr>
            <w:tcW w:w="1843" w:type="dxa"/>
            <w:shd w:val="clear" w:color="auto" w:fill="auto"/>
            <w:noWrap/>
            <w:vAlign w:val="bottom"/>
            <w:hideMark/>
          </w:tcPr>
          <w:p w14:paraId="5A69B77E" w14:textId="093BD721"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24B13F3B" w14:textId="7DEBBA72"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71,950.32</w:t>
            </w:r>
          </w:p>
        </w:tc>
        <w:tc>
          <w:tcPr>
            <w:tcW w:w="1843" w:type="dxa"/>
            <w:tcBorders>
              <w:top w:val="nil"/>
              <w:left w:val="nil"/>
              <w:bottom w:val="nil"/>
              <w:right w:val="nil"/>
            </w:tcBorders>
            <w:shd w:val="clear" w:color="auto" w:fill="auto"/>
            <w:noWrap/>
            <w:vAlign w:val="bottom"/>
          </w:tcPr>
          <w:p w14:paraId="3ED387D6" w14:textId="04EE6C9E"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FFFFFF" w:themeFill="background1"/>
            <w:noWrap/>
            <w:vAlign w:val="bottom"/>
          </w:tcPr>
          <w:p w14:paraId="540EE892" w14:textId="04EED126"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FFFFFF" w:themeFill="background1"/>
            <w:noWrap/>
            <w:vAlign w:val="bottom"/>
          </w:tcPr>
          <w:p w14:paraId="5AFCFBFC" w14:textId="253ADD7E" w:rsidR="00C24CE5" w:rsidRPr="006D57F1" w:rsidRDefault="00795C99" w:rsidP="00C24CE5">
            <w:pPr>
              <w:jc w:val="right"/>
              <w:rPr>
                <w:rFonts w:ascii="Barlow" w:hAnsi="Barlow" w:cs="Calibri"/>
                <w:color w:val="000000"/>
                <w:sz w:val="20"/>
                <w:szCs w:val="20"/>
              </w:rPr>
            </w:pPr>
            <w:r w:rsidRPr="006D57F1">
              <w:rPr>
                <w:rFonts w:ascii="Barlow" w:hAnsi="Barlow" w:cs="Calibri"/>
                <w:color w:val="000000"/>
                <w:sz w:val="20"/>
                <w:szCs w:val="20"/>
              </w:rPr>
              <w:t>-</w:t>
            </w:r>
            <w:r w:rsidR="00410FA1" w:rsidRPr="006D57F1">
              <w:rPr>
                <w:rFonts w:ascii="Barlow" w:hAnsi="Barlow" w:cs="Calibri"/>
                <w:color w:val="000000"/>
                <w:sz w:val="20"/>
                <w:szCs w:val="20"/>
              </w:rPr>
              <w:t>2</w:t>
            </w:r>
            <w:r w:rsidR="00EE49E5" w:rsidRPr="006D57F1">
              <w:rPr>
                <w:rFonts w:ascii="Barlow" w:hAnsi="Barlow" w:cs="Calibri"/>
                <w:color w:val="000000"/>
                <w:sz w:val="20"/>
                <w:szCs w:val="20"/>
              </w:rPr>
              <w:t>7,</w:t>
            </w:r>
            <w:r w:rsidR="006F452C" w:rsidRPr="006D57F1">
              <w:rPr>
                <w:rFonts w:ascii="Barlow" w:hAnsi="Barlow" w:cs="Calibri"/>
                <w:color w:val="000000"/>
                <w:sz w:val="20"/>
                <w:szCs w:val="20"/>
              </w:rPr>
              <w:t>905.70</w:t>
            </w:r>
          </w:p>
        </w:tc>
      </w:tr>
      <w:tr w:rsidR="00C24CE5" w:rsidRPr="006D57F1" w14:paraId="1F70B667" w14:textId="77777777" w:rsidTr="00395941">
        <w:trPr>
          <w:trHeight w:val="300"/>
        </w:trPr>
        <w:tc>
          <w:tcPr>
            <w:tcW w:w="4815" w:type="dxa"/>
            <w:shd w:val="clear" w:color="auto" w:fill="auto"/>
            <w:noWrap/>
            <w:vAlign w:val="bottom"/>
            <w:hideMark/>
          </w:tcPr>
          <w:p w14:paraId="7B2CDE97" w14:textId="77777777" w:rsidR="00C24CE5" w:rsidRPr="006D57F1" w:rsidRDefault="00C24CE5" w:rsidP="00C24CE5">
            <w:pPr>
              <w:rPr>
                <w:rFonts w:ascii="Barlow" w:hAnsi="Barlow" w:cs="Calibri"/>
                <w:b/>
                <w:bCs/>
                <w:color w:val="000000"/>
                <w:sz w:val="20"/>
                <w:szCs w:val="20"/>
              </w:rPr>
            </w:pPr>
            <w:r w:rsidRPr="006D57F1">
              <w:rPr>
                <w:rFonts w:ascii="Barlow" w:hAnsi="Barlow" w:cs="Calibri"/>
                <w:b/>
                <w:bCs/>
                <w:color w:val="000000"/>
                <w:sz w:val="20"/>
                <w:szCs w:val="20"/>
              </w:rPr>
              <w:t>Otros Equipos</w:t>
            </w:r>
          </w:p>
        </w:tc>
        <w:tc>
          <w:tcPr>
            <w:tcW w:w="1843" w:type="dxa"/>
            <w:shd w:val="clear" w:color="auto" w:fill="auto"/>
            <w:noWrap/>
            <w:vAlign w:val="bottom"/>
            <w:hideMark/>
          </w:tcPr>
          <w:p w14:paraId="03643F58" w14:textId="2E9C917D"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37DEC971" w14:textId="3B22E81E"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60,793.26</w:t>
            </w:r>
          </w:p>
        </w:tc>
        <w:tc>
          <w:tcPr>
            <w:tcW w:w="1843" w:type="dxa"/>
            <w:tcBorders>
              <w:top w:val="nil"/>
              <w:left w:val="nil"/>
              <w:bottom w:val="nil"/>
              <w:right w:val="nil"/>
            </w:tcBorders>
            <w:shd w:val="clear" w:color="auto" w:fill="auto"/>
            <w:noWrap/>
            <w:vAlign w:val="bottom"/>
          </w:tcPr>
          <w:p w14:paraId="78E2CFE9" w14:textId="2182C57A"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FFFFFF" w:themeFill="background1"/>
            <w:noWrap/>
            <w:vAlign w:val="bottom"/>
          </w:tcPr>
          <w:p w14:paraId="304F1202" w14:textId="0C5C3162" w:rsidR="00231117" w:rsidRPr="006D57F1" w:rsidRDefault="00EA2098" w:rsidP="00231117">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FFFFFF" w:themeFill="background1"/>
            <w:noWrap/>
            <w:vAlign w:val="bottom"/>
          </w:tcPr>
          <w:p w14:paraId="6472B403" w14:textId="3A4F5552"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231117" w:rsidRPr="006D57F1">
              <w:rPr>
                <w:rFonts w:ascii="Barlow" w:hAnsi="Barlow" w:cs="Calibri"/>
                <w:color w:val="000000"/>
                <w:sz w:val="20"/>
                <w:szCs w:val="20"/>
              </w:rPr>
              <w:t>1</w:t>
            </w:r>
            <w:r w:rsidR="00EE49E5" w:rsidRPr="006D57F1">
              <w:rPr>
                <w:rFonts w:ascii="Barlow" w:hAnsi="Barlow" w:cs="Calibri"/>
                <w:color w:val="000000"/>
                <w:sz w:val="20"/>
                <w:szCs w:val="20"/>
              </w:rPr>
              <w:t>2,</w:t>
            </w:r>
            <w:r w:rsidR="006F452C" w:rsidRPr="006D57F1">
              <w:rPr>
                <w:rFonts w:ascii="Barlow" w:hAnsi="Barlow" w:cs="Calibri"/>
                <w:color w:val="000000"/>
                <w:sz w:val="20"/>
                <w:szCs w:val="20"/>
              </w:rPr>
              <w:t>664.75</w:t>
            </w:r>
          </w:p>
        </w:tc>
      </w:tr>
      <w:tr w:rsidR="00C24CE5" w:rsidRPr="006D57F1" w14:paraId="31435230" w14:textId="77777777" w:rsidTr="00852797">
        <w:trPr>
          <w:trHeight w:val="300"/>
        </w:trPr>
        <w:tc>
          <w:tcPr>
            <w:tcW w:w="4815" w:type="dxa"/>
            <w:shd w:val="clear" w:color="auto" w:fill="auto"/>
            <w:noWrap/>
            <w:vAlign w:val="bottom"/>
            <w:hideMark/>
          </w:tcPr>
          <w:p w14:paraId="421242B1" w14:textId="77777777" w:rsidR="00C24CE5" w:rsidRPr="006D57F1" w:rsidRDefault="00C24CE5" w:rsidP="00C24CE5">
            <w:pPr>
              <w:rPr>
                <w:rFonts w:ascii="Barlow" w:hAnsi="Barlow" w:cs="Calibri"/>
                <w:b/>
                <w:bCs/>
                <w:color w:val="000000"/>
                <w:sz w:val="20"/>
                <w:szCs w:val="20"/>
              </w:rPr>
            </w:pPr>
            <w:r w:rsidRPr="006D57F1">
              <w:rPr>
                <w:rFonts w:ascii="Barlow" w:hAnsi="Barlow" w:cs="Calibri"/>
                <w:b/>
                <w:bCs/>
                <w:color w:val="000000"/>
                <w:sz w:val="20"/>
                <w:szCs w:val="20"/>
              </w:rPr>
              <w:t>Colecciones, Obras de Arte y Objetos Valiosos</w:t>
            </w:r>
          </w:p>
        </w:tc>
        <w:tc>
          <w:tcPr>
            <w:tcW w:w="1843" w:type="dxa"/>
            <w:shd w:val="clear" w:color="auto" w:fill="auto"/>
            <w:noWrap/>
            <w:vAlign w:val="bottom"/>
          </w:tcPr>
          <w:p w14:paraId="51955FC2" w14:textId="77777777" w:rsidR="00C24CE5" w:rsidRPr="006D57F1" w:rsidRDefault="00C24CE5" w:rsidP="00C24CE5">
            <w:pPr>
              <w:jc w:val="right"/>
              <w:rPr>
                <w:rFonts w:ascii="Barlow" w:hAnsi="Barlow" w:cs="Calibri"/>
                <w:color w:val="000000"/>
                <w:sz w:val="20"/>
                <w:szCs w:val="20"/>
              </w:rPr>
            </w:pPr>
          </w:p>
        </w:tc>
        <w:tc>
          <w:tcPr>
            <w:tcW w:w="1842" w:type="dxa"/>
            <w:shd w:val="clear" w:color="auto" w:fill="auto"/>
            <w:noWrap/>
            <w:vAlign w:val="bottom"/>
          </w:tcPr>
          <w:p w14:paraId="6A877F0C" w14:textId="77777777" w:rsidR="00C24CE5" w:rsidRPr="006D57F1" w:rsidRDefault="00C24CE5" w:rsidP="00C24CE5">
            <w:pPr>
              <w:jc w:val="right"/>
              <w:rPr>
                <w:rFonts w:ascii="Barlow" w:hAnsi="Barlow"/>
                <w:sz w:val="20"/>
                <w:szCs w:val="20"/>
              </w:rPr>
            </w:pPr>
          </w:p>
        </w:tc>
        <w:tc>
          <w:tcPr>
            <w:tcW w:w="1843" w:type="dxa"/>
            <w:tcBorders>
              <w:top w:val="nil"/>
              <w:left w:val="nil"/>
              <w:bottom w:val="nil"/>
              <w:right w:val="nil"/>
            </w:tcBorders>
            <w:shd w:val="clear" w:color="auto" w:fill="auto"/>
            <w:noWrap/>
            <w:vAlign w:val="bottom"/>
          </w:tcPr>
          <w:p w14:paraId="6B21ECF0" w14:textId="3FBCE35F" w:rsidR="00C24CE5" w:rsidRPr="006D57F1" w:rsidRDefault="00C24CE5" w:rsidP="00C24CE5">
            <w:pPr>
              <w:jc w:val="right"/>
              <w:rPr>
                <w:rFonts w:ascii="Barlow" w:hAnsi="Barlow"/>
                <w:sz w:val="20"/>
                <w:szCs w:val="20"/>
              </w:rPr>
            </w:pPr>
          </w:p>
        </w:tc>
        <w:tc>
          <w:tcPr>
            <w:tcW w:w="1985" w:type="dxa"/>
            <w:shd w:val="clear" w:color="auto" w:fill="FFFFFF" w:themeFill="background1"/>
            <w:noWrap/>
            <w:vAlign w:val="bottom"/>
          </w:tcPr>
          <w:p w14:paraId="0F8B9D84" w14:textId="77777777" w:rsidR="00C24CE5" w:rsidRPr="006D57F1" w:rsidRDefault="00C24CE5" w:rsidP="00C24CE5">
            <w:pPr>
              <w:jc w:val="right"/>
              <w:rPr>
                <w:rFonts w:ascii="Barlow" w:hAnsi="Barlow"/>
                <w:sz w:val="20"/>
                <w:szCs w:val="20"/>
              </w:rPr>
            </w:pPr>
          </w:p>
        </w:tc>
        <w:tc>
          <w:tcPr>
            <w:tcW w:w="1701" w:type="dxa"/>
            <w:shd w:val="clear" w:color="auto" w:fill="FFFFFF" w:themeFill="background1"/>
            <w:noWrap/>
            <w:vAlign w:val="bottom"/>
          </w:tcPr>
          <w:p w14:paraId="7A267AD6" w14:textId="77777777" w:rsidR="00C24CE5" w:rsidRPr="006D57F1" w:rsidRDefault="00C24CE5" w:rsidP="00C24CE5">
            <w:pPr>
              <w:jc w:val="right"/>
              <w:rPr>
                <w:rFonts w:ascii="Barlow" w:hAnsi="Barlow" w:cs="Calibri"/>
                <w:color w:val="000000"/>
                <w:sz w:val="20"/>
                <w:szCs w:val="20"/>
              </w:rPr>
            </w:pPr>
          </w:p>
        </w:tc>
      </w:tr>
      <w:tr w:rsidR="00C24CE5" w:rsidRPr="006D57F1" w14:paraId="62C9EC16" w14:textId="77777777" w:rsidTr="00395941">
        <w:trPr>
          <w:trHeight w:val="300"/>
        </w:trPr>
        <w:tc>
          <w:tcPr>
            <w:tcW w:w="4815" w:type="dxa"/>
            <w:shd w:val="clear" w:color="auto" w:fill="auto"/>
            <w:noWrap/>
            <w:vAlign w:val="bottom"/>
            <w:hideMark/>
          </w:tcPr>
          <w:p w14:paraId="7EB4CB62"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Colecciones, Obras de Arte y Objetos Valiosos</w:t>
            </w:r>
          </w:p>
        </w:tc>
        <w:tc>
          <w:tcPr>
            <w:tcW w:w="1843" w:type="dxa"/>
            <w:shd w:val="clear" w:color="auto" w:fill="auto"/>
            <w:noWrap/>
            <w:vAlign w:val="bottom"/>
            <w:hideMark/>
          </w:tcPr>
          <w:p w14:paraId="78EB6788" w14:textId="2DF2B9A2"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79EFD333" w14:textId="6EDDACDC"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232,400.00</w:t>
            </w:r>
          </w:p>
        </w:tc>
        <w:tc>
          <w:tcPr>
            <w:tcW w:w="1843" w:type="dxa"/>
            <w:tcBorders>
              <w:top w:val="nil"/>
              <w:left w:val="nil"/>
              <w:bottom w:val="nil"/>
              <w:right w:val="nil"/>
            </w:tcBorders>
            <w:shd w:val="clear" w:color="auto" w:fill="auto"/>
            <w:noWrap/>
            <w:vAlign w:val="bottom"/>
          </w:tcPr>
          <w:p w14:paraId="0086430B" w14:textId="635D6B08"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FFFFFF" w:themeFill="background1"/>
            <w:noWrap/>
            <w:vAlign w:val="bottom"/>
          </w:tcPr>
          <w:p w14:paraId="39C6A5AF" w14:textId="6891D5BC" w:rsidR="00231117" w:rsidRPr="006D57F1" w:rsidRDefault="00EA2098" w:rsidP="00231117">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FFFFFF" w:themeFill="background1"/>
            <w:noWrap/>
            <w:vAlign w:val="bottom"/>
          </w:tcPr>
          <w:p w14:paraId="14CEF642" w14:textId="7FB6B10D" w:rsidR="00C24CE5" w:rsidRPr="006D57F1" w:rsidRDefault="00C24CE5" w:rsidP="00C24CE5">
            <w:pPr>
              <w:jc w:val="right"/>
              <w:rPr>
                <w:rFonts w:ascii="Barlow" w:hAnsi="Barlow" w:cs="Calibri"/>
                <w:color w:val="000000"/>
                <w:sz w:val="20"/>
                <w:szCs w:val="20"/>
              </w:rPr>
            </w:pPr>
            <w:r w:rsidRPr="006D57F1">
              <w:rPr>
                <w:rFonts w:ascii="Barlow" w:hAnsi="Barlow" w:cs="Calibri"/>
                <w:color w:val="000000"/>
                <w:sz w:val="20"/>
                <w:szCs w:val="20"/>
              </w:rPr>
              <w:t>-</w:t>
            </w:r>
            <w:r w:rsidR="003C64F3" w:rsidRPr="006D57F1">
              <w:rPr>
                <w:rFonts w:ascii="Barlow" w:hAnsi="Barlow" w:cs="Calibri"/>
                <w:color w:val="000000"/>
                <w:sz w:val="20"/>
                <w:szCs w:val="20"/>
              </w:rPr>
              <w:t>1</w:t>
            </w:r>
            <w:r w:rsidR="00AA7614" w:rsidRPr="006D57F1">
              <w:rPr>
                <w:rFonts w:ascii="Barlow" w:hAnsi="Barlow" w:cs="Calibri"/>
                <w:color w:val="000000"/>
                <w:sz w:val="20"/>
                <w:szCs w:val="20"/>
              </w:rPr>
              <w:t>2</w:t>
            </w:r>
            <w:r w:rsidR="006F452C" w:rsidRPr="006D57F1">
              <w:rPr>
                <w:rFonts w:ascii="Barlow" w:hAnsi="Barlow" w:cs="Calibri"/>
                <w:color w:val="000000"/>
                <w:sz w:val="20"/>
                <w:szCs w:val="20"/>
              </w:rPr>
              <w:t>4,203.76</w:t>
            </w:r>
          </w:p>
        </w:tc>
      </w:tr>
      <w:tr w:rsidR="00C24CE5" w:rsidRPr="006D57F1" w14:paraId="6E98AC88" w14:textId="77777777" w:rsidTr="00395941">
        <w:trPr>
          <w:trHeight w:val="300"/>
        </w:trPr>
        <w:tc>
          <w:tcPr>
            <w:tcW w:w="4815" w:type="dxa"/>
            <w:shd w:val="clear" w:color="auto" w:fill="auto"/>
            <w:noWrap/>
            <w:vAlign w:val="bottom"/>
            <w:hideMark/>
          </w:tcPr>
          <w:p w14:paraId="7772E4FA" w14:textId="77777777" w:rsidR="00C24CE5" w:rsidRPr="006D57F1" w:rsidRDefault="00C24CE5" w:rsidP="00C24CE5">
            <w:pPr>
              <w:rPr>
                <w:rFonts w:ascii="Barlow" w:hAnsi="Barlow" w:cs="Calibri"/>
                <w:color w:val="000000"/>
                <w:sz w:val="20"/>
                <w:szCs w:val="20"/>
              </w:rPr>
            </w:pPr>
            <w:r w:rsidRPr="006D57F1">
              <w:rPr>
                <w:rFonts w:ascii="Barlow" w:hAnsi="Barlow" w:cs="Calibri"/>
                <w:color w:val="000000"/>
                <w:sz w:val="20"/>
                <w:szCs w:val="20"/>
              </w:rPr>
              <w:t>Transferencia de Bienes Muebles</w:t>
            </w:r>
          </w:p>
        </w:tc>
        <w:tc>
          <w:tcPr>
            <w:tcW w:w="1843" w:type="dxa"/>
            <w:shd w:val="clear" w:color="auto" w:fill="auto"/>
            <w:noWrap/>
            <w:vAlign w:val="bottom"/>
            <w:hideMark/>
          </w:tcPr>
          <w:p w14:paraId="0DC7349F" w14:textId="76347B1C" w:rsidR="00C24CE5" w:rsidRPr="006D57F1" w:rsidRDefault="00EA2098"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842" w:type="dxa"/>
            <w:shd w:val="clear" w:color="auto" w:fill="auto"/>
            <w:noWrap/>
            <w:vAlign w:val="bottom"/>
          </w:tcPr>
          <w:p w14:paraId="2E3A7D85" w14:textId="07200812" w:rsidR="00C24CE5" w:rsidRPr="006D57F1" w:rsidRDefault="009F4EC7" w:rsidP="00C24CE5">
            <w:pPr>
              <w:jc w:val="right"/>
              <w:rPr>
                <w:rFonts w:ascii="Barlow" w:hAnsi="Barlow" w:cs="Calibri"/>
                <w:color w:val="000000"/>
                <w:sz w:val="20"/>
                <w:szCs w:val="20"/>
              </w:rPr>
            </w:pPr>
            <w:r w:rsidRPr="006D57F1">
              <w:rPr>
                <w:rFonts w:ascii="Barlow" w:hAnsi="Barlow" w:cs="Calibri"/>
                <w:color w:val="000000"/>
                <w:sz w:val="20"/>
                <w:szCs w:val="20"/>
              </w:rPr>
              <w:t>1,254.00</w:t>
            </w:r>
          </w:p>
        </w:tc>
        <w:tc>
          <w:tcPr>
            <w:tcW w:w="1843" w:type="dxa"/>
            <w:tcBorders>
              <w:top w:val="nil"/>
              <w:left w:val="nil"/>
              <w:bottom w:val="nil"/>
              <w:right w:val="nil"/>
            </w:tcBorders>
            <w:shd w:val="clear" w:color="auto" w:fill="auto"/>
            <w:noWrap/>
            <w:vAlign w:val="bottom"/>
          </w:tcPr>
          <w:p w14:paraId="14EE3548" w14:textId="2BB687C0" w:rsidR="00C24CE5" w:rsidRPr="006D57F1" w:rsidRDefault="00795C99"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985" w:type="dxa"/>
            <w:shd w:val="clear" w:color="auto" w:fill="auto"/>
            <w:noWrap/>
            <w:vAlign w:val="bottom"/>
          </w:tcPr>
          <w:p w14:paraId="117EB618" w14:textId="43703C74" w:rsidR="00C24CE5" w:rsidRPr="006D57F1" w:rsidRDefault="00544A47" w:rsidP="00C24CE5">
            <w:pPr>
              <w:jc w:val="right"/>
              <w:rPr>
                <w:rFonts w:ascii="Barlow" w:hAnsi="Barlow" w:cs="Calibri"/>
                <w:color w:val="000000"/>
                <w:sz w:val="20"/>
                <w:szCs w:val="20"/>
              </w:rPr>
            </w:pPr>
            <w:r w:rsidRPr="006D57F1">
              <w:rPr>
                <w:rFonts w:ascii="Barlow" w:hAnsi="Barlow" w:cs="Calibri"/>
                <w:color w:val="000000"/>
                <w:sz w:val="20"/>
                <w:szCs w:val="20"/>
              </w:rPr>
              <w:t>0.00</w:t>
            </w:r>
          </w:p>
        </w:tc>
        <w:tc>
          <w:tcPr>
            <w:tcW w:w="1701" w:type="dxa"/>
            <w:shd w:val="clear" w:color="auto" w:fill="FFFFFF" w:themeFill="background1"/>
            <w:noWrap/>
            <w:vAlign w:val="bottom"/>
          </w:tcPr>
          <w:p w14:paraId="451C6D44" w14:textId="7D4775C5" w:rsidR="00C24CE5" w:rsidRPr="006D57F1" w:rsidRDefault="00544A47" w:rsidP="00C24CE5">
            <w:pPr>
              <w:jc w:val="right"/>
              <w:rPr>
                <w:rFonts w:ascii="Barlow" w:hAnsi="Barlow" w:cs="Calibri"/>
                <w:color w:val="000000"/>
                <w:sz w:val="20"/>
                <w:szCs w:val="20"/>
              </w:rPr>
            </w:pPr>
            <w:r w:rsidRPr="006D57F1">
              <w:rPr>
                <w:rFonts w:ascii="Barlow" w:hAnsi="Barlow" w:cs="Calibri"/>
                <w:color w:val="000000"/>
                <w:sz w:val="20"/>
                <w:szCs w:val="20"/>
              </w:rPr>
              <w:t>0.00</w:t>
            </w:r>
          </w:p>
        </w:tc>
      </w:tr>
      <w:tr w:rsidR="00C24CE5" w:rsidRPr="006D57F1" w14:paraId="5633E8C3" w14:textId="77777777" w:rsidTr="00C24CE5">
        <w:trPr>
          <w:trHeight w:val="300"/>
        </w:trPr>
        <w:tc>
          <w:tcPr>
            <w:tcW w:w="4815" w:type="dxa"/>
            <w:shd w:val="clear" w:color="auto" w:fill="auto"/>
            <w:noWrap/>
            <w:vAlign w:val="bottom"/>
            <w:hideMark/>
          </w:tcPr>
          <w:p w14:paraId="721FCDA5" w14:textId="77777777" w:rsidR="00C24CE5" w:rsidRPr="006D57F1" w:rsidRDefault="00C24CE5" w:rsidP="00C24CE5">
            <w:pPr>
              <w:rPr>
                <w:rFonts w:ascii="Barlow" w:hAnsi="Barlow" w:cs="Calibri"/>
                <w:b/>
                <w:bCs/>
                <w:color w:val="000000"/>
                <w:sz w:val="20"/>
                <w:szCs w:val="20"/>
              </w:rPr>
            </w:pPr>
            <w:r w:rsidRPr="006D57F1">
              <w:rPr>
                <w:rFonts w:ascii="Barlow" w:hAnsi="Barlow" w:cs="Calibri"/>
                <w:b/>
                <w:bCs/>
                <w:color w:val="000000"/>
                <w:sz w:val="20"/>
                <w:szCs w:val="20"/>
              </w:rPr>
              <w:t>TOTAL BIENES MUEBLES</w:t>
            </w:r>
          </w:p>
        </w:tc>
        <w:tc>
          <w:tcPr>
            <w:tcW w:w="1843" w:type="dxa"/>
            <w:shd w:val="clear" w:color="auto" w:fill="auto"/>
            <w:noWrap/>
            <w:vAlign w:val="bottom"/>
            <w:hideMark/>
          </w:tcPr>
          <w:p w14:paraId="4921370A" w14:textId="147AABC6" w:rsidR="00C24CE5" w:rsidRPr="006D57F1" w:rsidRDefault="005B002D" w:rsidP="00C24CE5">
            <w:pPr>
              <w:jc w:val="right"/>
              <w:rPr>
                <w:rFonts w:ascii="Barlow" w:hAnsi="Barlow" w:cs="Calibri"/>
                <w:b/>
                <w:bCs/>
                <w:color w:val="000000"/>
                <w:sz w:val="20"/>
                <w:szCs w:val="20"/>
              </w:rPr>
            </w:pPr>
            <w:r w:rsidRPr="006D57F1">
              <w:rPr>
                <w:rFonts w:ascii="Barlow" w:hAnsi="Barlow" w:cs="Calibri"/>
                <w:b/>
                <w:bCs/>
                <w:color w:val="000000"/>
                <w:sz w:val="20"/>
                <w:szCs w:val="20"/>
              </w:rPr>
              <w:t>$</w:t>
            </w:r>
            <w:r w:rsidR="00EA2098" w:rsidRPr="006D57F1">
              <w:rPr>
                <w:rFonts w:ascii="Barlow" w:hAnsi="Barlow" w:cs="Calibri"/>
                <w:b/>
                <w:bCs/>
                <w:color w:val="000000"/>
                <w:sz w:val="20"/>
                <w:szCs w:val="20"/>
              </w:rPr>
              <w:t>0.00</w:t>
            </w:r>
          </w:p>
        </w:tc>
        <w:tc>
          <w:tcPr>
            <w:tcW w:w="1842" w:type="dxa"/>
            <w:shd w:val="clear" w:color="auto" w:fill="auto"/>
            <w:noWrap/>
            <w:vAlign w:val="bottom"/>
            <w:hideMark/>
          </w:tcPr>
          <w:p w14:paraId="1A495D77" w14:textId="4F9148E1" w:rsidR="00C24CE5" w:rsidRPr="006D57F1" w:rsidRDefault="00C24CE5" w:rsidP="00C24CE5">
            <w:pPr>
              <w:jc w:val="right"/>
              <w:rPr>
                <w:rFonts w:ascii="Barlow" w:hAnsi="Barlow" w:cs="Calibri"/>
                <w:b/>
                <w:bCs/>
                <w:color w:val="000000"/>
                <w:sz w:val="20"/>
                <w:szCs w:val="20"/>
              </w:rPr>
            </w:pPr>
            <w:r w:rsidRPr="006D57F1">
              <w:rPr>
                <w:rFonts w:ascii="Barlow" w:hAnsi="Barlow" w:cs="Calibri"/>
                <w:b/>
                <w:bCs/>
                <w:color w:val="000000"/>
                <w:sz w:val="20"/>
                <w:szCs w:val="20"/>
              </w:rPr>
              <w:t>$5,</w:t>
            </w:r>
            <w:r w:rsidR="009F4EC7" w:rsidRPr="006D57F1">
              <w:rPr>
                <w:rFonts w:ascii="Barlow" w:hAnsi="Barlow" w:cs="Calibri"/>
                <w:b/>
                <w:bCs/>
                <w:color w:val="000000"/>
                <w:sz w:val="20"/>
                <w:szCs w:val="20"/>
              </w:rPr>
              <w:t>394,252.28</w:t>
            </w:r>
          </w:p>
        </w:tc>
        <w:tc>
          <w:tcPr>
            <w:tcW w:w="1843" w:type="dxa"/>
            <w:tcBorders>
              <w:top w:val="nil"/>
              <w:left w:val="nil"/>
              <w:bottom w:val="nil"/>
              <w:right w:val="nil"/>
            </w:tcBorders>
            <w:shd w:val="clear" w:color="auto" w:fill="auto"/>
            <w:noWrap/>
            <w:vAlign w:val="bottom"/>
          </w:tcPr>
          <w:p w14:paraId="0B93681D" w14:textId="682CAC46" w:rsidR="00C24CE5" w:rsidRPr="006D57F1" w:rsidRDefault="006F452C" w:rsidP="00C24CE5">
            <w:pPr>
              <w:jc w:val="right"/>
              <w:rPr>
                <w:rFonts w:ascii="Barlow" w:hAnsi="Barlow" w:cs="Calibri"/>
                <w:b/>
                <w:bCs/>
                <w:color w:val="000000"/>
                <w:sz w:val="20"/>
                <w:szCs w:val="20"/>
              </w:rPr>
            </w:pPr>
            <w:r w:rsidRPr="006D57F1">
              <w:rPr>
                <w:rFonts w:ascii="Barlow" w:hAnsi="Barlow" w:cs="Calibri"/>
                <w:b/>
                <w:bCs/>
                <w:color w:val="000000"/>
                <w:sz w:val="20"/>
                <w:szCs w:val="20"/>
              </w:rPr>
              <w:t>0.00</w:t>
            </w:r>
          </w:p>
        </w:tc>
        <w:tc>
          <w:tcPr>
            <w:tcW w:w="1985" w:type="dxa"/>
            <w:shd w:val="clear" w:color="auto" w:fill="auto"/>
            <w:noWrap/>
            <w:vAlign w:val="bottom"/>
            <w:hideMark/>
          </w:tcPr>
          <w:p w14:paraId="310DD7C2" w14:textId="556865C7" w:rsidR="00C24CE5" w:rsidRPr="006D57F1" w:rsidRDefault="00EA2098" w:rsidP="00C24CE5">
            <w:pPr>
              <w:jc w:val="right"/>
              <w:rPr>
                <w:rFonts w:ascii="Barlow" w:hAnsi="Barlow" w:cs="Calibri"/>
                <w:b/>
                <w:bCs/>
                <w:color w:val="000000"/>
                <w:sz w:val="20"/>
                <w:szCs w:val="20"/>
              </w:rPr>
            </w:pPr>
            <w:r w:rsidRPr="006D57F1">
              <w:rPr>
                <w:rFonts w:ascii="Barlow" w:hAnsi="Barlow" w:cs="Calibri"/>
                <w:b/>
                <w:bCs/>
                <w:color w:val="000000"/>
                <w:sz w:val="20"/>
                <w:szCs w:val="20"/>
              </w:rPr>
              <w:t>0.00</w:t>
            </w:r>
          </w:p>
        </w:tc>
        <w:tc>
          <w:tcPr>
            <w:tcW w:w="1701" w:type="dxa"/>
            <w:shd w:val="clear" w:color="auto" w:fill="auto"/>
            <w:noWrap/>
            <w:vAlign w:val="bottom"/>
            <w:hideMark/>
          </w:tcPr>
          <w:p w14:paraId="7B1B024B" w14:textId="3530186A" w:rsidR="00C24CE5" w:rsidRPr="006D57F1" w:rsidRDefault="00C24CE5" w:rsidP="00C24CE5">
            <w:pPr>
              <w:jc w:val="right"/>
              <w:rPr>
                <w:rFonts w:ascii="Barlow" w:hAnsi="Barlow" w:cs="Calibri"/>
                <w:b/>
                <w:bCs/>
                <w:color w:val="000000"/>
                <w:sz w:val="20"/>
                <w:szCs w:val="20"/>
              </w:rPr>
            </w:pPr>
            <w:r w:rsidRPr="006D57F1">
              <w:rPr>
                <w:rFonts w:ascii="Barlow" w:hAnsi="Barlow" w:cs="Calibri"/>
                <w:b/>
                <w:bCs/>
                <w:color w:val="000000"/>
                <w:sz w:val="20"/>
                <w:szCs w:val="20"/>
              </w:rPr>
              <w:t>-2,</w:t>
            </w:r>
            <w:r w:rsidR="00EE49E5" w:rsidRPr="006D57F1">
              <w:rPr>
                <w:rFonts w:ascii="Barlow" w:hAnsi="Barlow" w:cs="Calibri"/>
                <w:b/>
                <w:bCs/>
                <w:color w:val="000000"/>
                <w:sz w:val="20"/>
                <w:szCs w:val="20"/>
              </w:rPr>
              <w:t>8</w:t>
            </w:r>
            <w:r w:rsidR="006F452C" w:rsidRPr="006D57F1">
              <w:rPr>
                <w:rFonts w:ascii="Barlow" w:hAnsi="Barlow" w:cs="Calibri"/>
                <w:b/>
                <w:bCs/>
                <w:color w:val="000000"/>
                <w:sz w:val="20"/>
                <w:szCs w:val="20"/>
              </w:rPr>
              <w:t>46,474.68</w:t>
            </w:r>
          </w:p>
        </w:tc>
      </w:tr>
    </w:tbl>
    <w:p w14:paraId="5945423D" w14:textId="4931A4CF" w:rsidR="00DE2D2A" w:rsidRPr="006D57F1" w:rsidRDefault="00DE2D2A" w:rsidP="000A302E">
      <w:pPr>
        <w:autoSpaceDE w:val="0"/>
        <w:autoSpaceDN w:val="0"/>
        <w:adjustRightInd w:val="0"/>
        <w:spacing w:line="360" w:lineRule="auto"/>
        <w:jc w:val="both"/>
        <w:rPr>
          <w:rFonts w:ascii="Barlow" w:hAnsi="Barlow" w:cs="Arial"/>
          <w:sz w:val="20"/>
          <w:szCs w:val="20"/>
        </w:rPr>
      </w:pPr>
    </w:p>
    <w:p w14:paraId="5A5B1A93" w14:textId="77777777" w:rsidR="001947C2" w:rsidRPr="006D57F1" w:rsidRDefault="001947C2" w:rsidP="000A302E">
      <w:pPr>
        <w:rPr>
          <w:rFonts w:ascii="Barlow" w:hAnsi="Barlow" w:cs="Arial"/>
          <w:sz w:val="20"/>
          <w:szCs w:val="20"/>
        </w:rPr>
      </w:pPr>
    </w:p>
    <w:p w14:paraId="6DB8864F" w14:textId="639B5D67" w:rsidR="007C5B18" w:rsidRPr="006D57F1" w:rsidRDefault="00314C97" w:rsidP="000A302E">
      <w:pPr>
        <w:rPr>
          <w:rFonts w:ascii="Barlow" w:hAnsi="Barlow" w:cs="Arial"/>
          <w:sz w:val="20"/>
          <w:szCs w:val="20"/>
        </w:rPr>
      </w:pPr>
      <w:r w:rsidRPr="006D57F1">
        <w:rPr>
          <w:rFonts w:ascii="Barlow" w:hAnsi="Barlow" w:cs="Arial"/>
          <w:sz w:val="20"/>
          <w:szCs w:val="20"/>
        </w:rPr>
        <w:t xml:space="preserve">Respecto a </w:t>
      </w:r>
      <w:r w:rsidR="007C5B18" w:rsidRPr="006D57F1">
        <w:rPr>
          <w:rFonts w:ascii="Barlow" w:hAnsi="Barlow" w:cs="Arial"/>
          <w:sz w:val="20"/>
          <w:szCs w:val="20"/>
        </w:rPr>
        <w:t xml:space="preserve">la depreciación </w:t>
      </w:r>
      <w:r w:rsidRPr="006D57F1">
        <w:rPr>
          <w:rFonts w:ascii="Barlow" w:hAnsi="Barlow" w:cs="Arial"/>
          <w:sz w:val="20"/>
          <w:szCs w:val="20"/>
        </w:rPr>
        <w:t>se indica lo siguiente</w:t>
      </w:r>
      <w:r w:rsidR="007C5B18" w:rsidRPr="006D57F1">
        <w:rPr>
          <w:rFonts w:ascii="Barlow" w:hAnsi="Barlow" w:cs="Arial"/>
          <w:sz w:val="20"/>
          <w:szCs w:val="20"/>
        </w:rPr>
        <w:t>:</w:t>
      </w:r>
    </w:p>
    <w:p w14:paraId="5B056AC0" w14:textId="77777777" w:rsidR="00314C97" w:rsidRPr="006D57F1" w:rsidRDefault="00314C97" w:rsidP="00314C97">
      <w:pPr>
        <w:ind w:left="708" w:firstLine="708"/>
        <w:rPr>
          <w:rFonts w:ascii="Barlow" w:hAnsi="Barlow" w:cs="Arial"/>
          <w:sz w:val="20"/>
          <w:szCs w:val="20"/>
        </w:rPr>
      </w:pPr>
    </w:p>
    <w:p w14:paraId="79DD30DF" w14:textId="73B01396" w:rsidR="007C5B18" w:rsidRPr="006D57F1" w:rsidRDefault="007C5B18" w:rsidP="00E14B45">
      <w:pPr>
        <w:pStyle w:val="Prrafodelista"/>
        <w:numPr>
          <w:ilvl w:val="0"/>
          <w:numId w:val="15"/>
        </w:numPr>
        <w:contextualSpacing w:val="0"/>
        <w:rPr>
          <w:rFonts w:ascii="Barlow" w:hAnsi="Barlow" w:cs="Arial"/>
          <w:sz w:val="20"/>
          <w:szCs w:val="20"/>
        </w:rPr>
      </w:pPr>
      <w:r w:rsidRPr="006D57F1">
        <w:rPr>
          <w:rFonts w:ascii="Barlow" w:hAnsi="Barlow" w:cs="Arial"/>
          <w:sz w:val="20"/>
          <w:szCs w:val="20"/>
        </w:rPr>
        <w:t>Para el cálculo de la depreciación se utiliza</w:t>
      </w:r>
      <w:r w:rsidR="00EA2098" w:rsidRPr="006D57F1">
        <w:rPr>
          <w:rFonts w:ascii="Barlow" w:hAnsi="Barlow" w:cs="Arial"/>
          <w:sz w:val="20"/>
          <w:szCs w:val="20"/>
        </w:rPr>
        <w:t>ba</w:t>
      </w:r>
      <w:r w:rsidRPr="006D57F1">
        <w:rPr>
          <w:rFonts w:ascii="Barlow" w:hAnsi="Barlow" w:cs="Arial"/>
          <w:sz w:val="20"/>
          <w:szCs w:val="20"/>
        </w:rPr>
        <w:t xml:space="preserve"> </w:t>
      </w:r>
      <w:r w:rsidR="00314C97" w:rsidRPr="006D57F1">
        <w:rPr>
          <w:rFonts w:ascii="Barlow" w:hAnsi="Barlow" w:cs="Arial"/>
          <w:sz w:val="20"/>
          <w:szCs w:val="20"/>
        </w:rPr>
        <w:t xml:space="preserve">el método establecido por el </w:t>
      </w:r>
      <w:r w:rsidRPr="006D57F1">
        <w:rPr>
          <w:rFonts w:ascii="Barlow" w:hAnsi="Barlow" w:cs="Arial"/>
          <w:sz w:val="20"/>
          <w:szCs w:val="20"/>
        </w:rPr>
        <w:t>CONAC</w:t>
      </w:r>
      <w:r w:rsidR="00DF5487" w:rsidRPr="006D57F1">
        <w:rPr>
          <w:rFonts w:ascii="Barlow" w:hAnsi="Barlow" w:cs="Arial"/>
          <w:sz w:val="20"/>
          <w:szCs w:val="20"/>
        </w:rPr>
        <w:t xml:space="preserve"> mediante las Reglas </w:t>
      </w:r>
      <w:r w:rsidR="0036136E" w:rsidRPr="006D57F1">
        <w:rPr>
          <w:rFonts w:ascii="Barlow" w:hAnsi="Barlow" w:cs="Arial"/>
          <w:sz w:val="20"/>
          <w:szCs w:val="20"/>
        </w:rPr>
        <w:t>Específicas</w:t>
      </w:r>
      <w:r w:rsidR="00DF5487" w:rsidRPr="006D57F1">
        <w:rPr>
          <w:rFonts w:ascii="Barlow" w:hAnsi="Barlow" w:cs="Arial"/>
          <w:sz w:val="20"/>
          <w:szCs w:val="20"/>
        </w:rPr>
        <w:t xml:space="preserve"> del Registro y Valoración del Activo.</w:t>
      </w:r>
    </w:p>
    <w:p w14:paraId="787BE415" w14:textId="77777777" w:rsidR="009E6E37" w:rsidRPr="006D57F1" w:rsidRDefault="009E6E37" w:rsidP="007C5B18">
      <w:pPr>
        <w:pStyle w:val="Texto"/>
        <w:ind w:left="1416" w:firstLine="0"/>
        <w:rPr>
          <w:rFonts w:ascii="Barlow" w:hAnsi="Barlow"/>
          <w:color w:val="000000"/>
          <w:sz w:val="20"/>
          <w:szCs w:val="20"/>
        </w:rPr>
      </w:pPr>
    </w:p>
    <w:p w14:paraId="2905C947" w14:textId="60E2B17A" w:rsidR="00FA104C" w:rsidRDefault="00324DAC"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9</w:t>
      </w:r>
      <w:r w:rsidR="00FA104C" w:rsidRPr="006D57F1">
        <w:rPr>
          <w:rFonts w:ascii="Barlow" w:hAnsi="Barlow" w:cs="Arial"/>
          <w:sz w:val="20"/>
          <w:szCs w:val="20"/>
        </w:rPr>
        <w:t xml:space="preserve">.- </w:t>
      </w:r>
      <w:r w:rsidR="00EA2098" w:rsidRPr="006D57F1">
        <w:rPr>
          <w:rFonts w:ascii="Barlow" w:hAnsi="Barlow" w:cs="Arial"/>
          <w:sz w:val="20"/>
          <w:szCs w:val="20"/>
        </w:rPr>
        <w:t xml:space="preserve">El instituto de Historia y Museos de </w:t>
      </w:r>
      <w:r w:rsidR="006D57F1" w:rsidRPr="006D57F1">
        <w:rPr>
          <w:rFonts w:ascii="Barlow" w:hAnsi="Barlow" w:cs="Arial"/>
          <w:sz w:val="20"/>
          <w:szCs w:val="20"/>
        </w:rPr>
        <w:t>Yucatán</w:t>
      </w:r>
      <w:r w:rsidR="00EA2098" w:rsidRPr="006D57F1">
        <w:rPr>
          <w:rFonts w:ascii="Barlow" w:hAnsi="Barlow" w:cs="Arial"/>
          <w:sz w:val="20"/>
          <w:szCs w:val="20"/>
        </w:rPr>
        <w:t xml:space="preserve"> no cuenta con saldo </w:t>
      </w:r>
      <w:r w:rsidR="00FA104C" w:rsidRPr="006D57F1">
        <w:rPr>
          <w:rFonts w:ascii="Barlow" w:hAnsi="Barlow" w:cs="Arial"/>
          <w:sz w:val="20"/>
          <w:szCs w:val="20"/>
        </w:rPr>
        <w:t xml:space="preserve">en Bienes </w:t>
      </w:r>
      <w:r w:rsidR="006D57F1" w:rsidRPr="006D57F1">
        <w:rPr>
          <w:rFonts w:ascii="Barlow" w:hAnsi="Barlow" w:cs="Arial"/>
          <w:sz w:val="20"/>
          <w:szCs w:val="20"/>
        </w:rPr>
        <w:t>Intangibles ya</w:t>
      </w:r>
      <w:r w:rsidR="00EA2098" w:rsidRPr="006D57F1">
        <w:rPr>
          <w:rFonts w:ascii="Barlow" w:hAnsi="Barlow" w:cs="Arial"/>
          <w:sz w:val="20"/>
          <w:szCs w:val="20"/>
        </w:rPr>
        <w:t xml:space="preserve"> que dando seguimiento al proceso </w:t>
      </w:r>
      <w:r w:rsidR="00B5499E" w:rsidRPr="006D57F1">
        <w:rPr>
          <w:rFonts w:ascii="Barlow" w:hAnsi="Barlow" w:cs="Arial"/>
          <w:sz w:val="20"/>
          <w:szCs w:val="20"/>
        </w:rPr>
        <w:t>de liquidación se transfiere a la Secretaria de la Cultura y las Artes.</w:t>
      </w:r>
    </w:p>
    <w:p w14:paraId="73BF87E2" w14:textId="15CCDEE4" w:rsidR="006D57F1" w:rsidRDefault="006D57F1" w:rsidP="00C4137E">
      <w:pPr>
        <w:autoSpaceDE w:val="0"/>
        <w:autoSpaceDN w:val="0"/>
        <w:adjustRightInd w:val="0"/>
        <w:spacing w:line="360" w:lineRule="auto"/>
        <w:jc w:val="both"/>
        <w:rPr>
          <w:rFonts w:ascii="Barlow" w:hAnsi="Barlow" w:cs="Arial"/>
          <w:sz w:val="20"/>
          <w:szCs w:val="20"/>
        </w:rPr>
      </w:pPr>
    </w:p>
    <w:p w14:paraId="6F8F98FB" w14:textId="72ECD250" w:rsidR="006D57F1" w:rsidRDefault="006D57F1" w:rsidP="00C4137E">
      <w:pPr>
        <w:autoSpaceDE w:val="0"/>
        <w:autoSpaceDN w:val="0"/>
        <w:adjustRightInd w:val="0"/>
        <w:spacing w:line="360" w:lineRule="auto"/>
        <w:jc w:val="both"/>
        <w:rPr>
          <w:rFonts w:ascii="Barlow" w:hAnsi="Barlow" w:cs="Arial"/>
          <w:sz w:val="20"/>
          <w:szCs w:val="20"/>
        </w:rPr>
      </w:pPr>
    </w:p>
    <w:p w14:paraId="024D2E18" w14:textId="65EDF8E7" w:rsidR="006D57F1" w:rsidRDefault="006D57F1" w:rsidP="00C4137E">
      <w:pPr>
        <w:autoSpaceDE w:val="0"/>
        <w:autoSpaceDN w:val="0"/>
        <w:adjustRightInd w:val="0"/>
        <w:spacing w:line="360" w:lineRule="auto"/>
        <w:jc w:val="both"/>
        <w:rPr>
          <w:rFonts w:ascii="Barlow" w:hAnsi="Barlow" w:cs="Arial"/>
          <w:sz w:val="20"/>
          <w:szCs w:val="20"/>
        </w:rPr>
      </w:pPr>
    </w:p>
    <w:p w14:paraId="757299DF" w14:textId="77777777" w:rsidR="006D57F1" w:rsidRPr="006D57F1" w:rsidRDefault="006D57F1" w:rsidP="00C4137E">
      <w:pPr>
        <w:autoSpaceDE w:val="0"/>
        <w:autoSpaceDN w:val="0"/>
        <w:adjustRightInd w:val="0"/>
        <w:spacing w:line="360" w:lineRule="auto"/>
        <w:jc w:val="both"/>
        <w:rPr>
          <w:rFonts w:ascii="Barlow" w:hAnsi="Barlow" w:cs="Arial"/>
          <w:sz w:val="20"/>
          <w:szCs w:val="20"/>
        </w:rPr>
      </w:pPr>
    </w:p>
    <w:tbl>
      <w:tblPr>
        <w:tblW w:w="12044" w:type="dxa"/>
        <w:tblInd w:w="758" w:type="dxa"/>
        <w:tblCellMar>
          <w:left w:w="70" w:type="dxa"/>
          <w:right w:w="70" w:type="dxa"/>
        </w:tblCellMar>
        <w:tblLook w:val="04A0" w:firstRow="1" w:lastRow="0" w:firstColumn="1" w:lastColumn="0" w:noHBand="0" w:noVBand="1"/>
      </w:tblPr>
      <w:tblGrid>
        <w:gridCol w:w="4298"/>
        <w:gridCol w:w="1559"/>
        <w:gridCol w:w="1559"/>
        <w:gridCol w:w="1559"/>
        <w:gridCol w:w="1560"/>
        <w:gridCol w:w="1509"/>
      </w:tblGrid>
      <w:tr w:rsidR="00DE2D2A" w:rsidRPr="006D57F1" w14:paraId="7CE89D5F" w14:textId="77777777" w:rsidTr="00DA363A">
        <w:trPr>
          <w:trHeight w:val="300"/>
        </w:trPr>
        <w:tc>
          <w:tcPr>
            <w:tcW w:w="4298" w:type="dxa"/>
            <w:shd w:val="clear" w:color="auto" w:fill="auto"/>
            <w:vAlign w:val="center"/>
            <w:hideMark/>
          </w:tcPr>
          <w:p w14:paraId="79151877" w14:textId="77777777" w:rsidR="00DE2D2A" w:rsidRPr="006D57F1" w:rsidRDefault="00DE2D2A" w:rsidP="00DA363A">
            <w:pPr>
              <w:jc w:val="both"/>
              <w:rPr>
                <w:rFonts w:ascii="Barlow" w:hAnsi="Barlow" w:cs="Calibri"/>
                <w:b/>
                <w:bCs/>
                <w:color w:val="000000"/>
                <w:sz w:val="20"/>
                <w:szCs w:val="20"/>
                <w:lang w:eastAsia="es-MX"/>
              </w:rPr>
            </w:pPr>
            <w:bookmarkStart w:id="2" w:name="m3"/>
            <w:bookmarkEnd w:id="2"/>
            <w:r w:rsidRPr="006D57F1">
              <w:rPr>
                <w:rFonts w:ascii="Barlow" w:hAnsi="Barlow" w:cs="Calibri"/>
                <w:b/>
                <w:bCs/>
                <w:color w:val="000000"/>
                <w:sz w:val="20"/>
                <w:szCs w:val="20"/>
                <w:lang w:eastAsia="es-MX"/>
              </w:rPr>
              <w:lastRenderedPageBreak/>
              <w:t>ACTIVOS INTANGIBLES</w:t>
            </w:r>
          </w:p>
        </w:tc>
        <w:tc>
          <w:tcPr>
            <w:tcW w:w="1559" w:type="dxa"/>
            <w:shd w:val="clear" w:color="auto" w:fill="auto"/>
            <w:noWrap/>
            <w:vAlign w:val="center"/>
            <w:hideMark/>
          </w:tcPr>
          <w:p w14:paraId="3958893D" w14:textId="355B3E9D" w:rsidR="00DE2D2A" w:rsidRPr="006D57F1" w:rsidRDefault="00DE2D2A" w:rsidP="00DA363A">
            <w:pPr>
              <w:jc w:val="center"/>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SALDO DE ACTIVOS </w:t>
            </w:r>
            <w:r w:rsidR="00B5499E" w:rsidRPr="006D57F1">
              <w:rPr>
                <w:rFonts w:ascii="Barlow" w:hAnsi="Barlow" w:cs="Calibri"/>
                <w:b/>
                <w:bCs/>
                <w:color w:val="000000"/>
                <w:sz w:val="20"/>
                <w:szCs w:val="20"/>
                <w:lang w:eastAsia="es-MX"/>
              </w:rPr>
              <w:t xml:space="preserve">27 </w:t>
            </w:r>
            <w:r w:rsidR="006F452C" w:rsidRPr="006D57F1">
              <w:rPr>
                <w:rFonts w:ascii="Barlow" w:hAnsi="Barlow" w:cs="Calibri"/>
                <w:b/>
                <w:bCs/>
                <w:color w:val="000000"/>
                <w:sz w:val="20"/>
                <w:szCs w:val="20"/>
                <w:lang w:eastAsia="es-MX"/>
              </w:rPr>
              <w:t>Enero</w:t>
            </w:r>
            <w:r w:rsidRPr="006D57F1">
              <w:rPr>
                <w:rFonts w:ascii="Barlow" w:hAnsi="Barlow" w:cs="Calibri"/>
                <w:b/>
                <w:bCs/>
                <w:color w:val="000000"/>
                <w:sz w:val="20"/>
                <w:szCs w:val="20"/>
                <w:lang w:eastAsia="es-MX"/>
              </w:rPr>
              <w:t xml:space="preserve"> </w:t>
            </w:r>
            <w:r w:rsidR="00EE49E5" w:rsidRPr="006D57F1">
              <w:rPr>
                <w:rFonts w:ascii="Barlow" w:hAnsi="Barlow" w:cs="Calibri"/>
                <w:b/>
                <w:bCs/>
                <w:color w:val="000000"/>
                <w:sz w:val="20"/>
                <w:szCs w:val="20"/>
                <w:lang w:eastAsia="es-MX"/>
              </w:rPr>
              <w:t>de</w:t>
            </w:r>
            <w:r w:rsidRPr="006D57F1">
              <w:rPr>
                <w:rFonts w:ascii="Barlow" w:hAnsi="Barlow" w:cs="Calibri"/>
                <w:b/>
                <w:bCs/>
                <w:color w:val="000000"/>
                <w:sz w:val="20"/>
                <w:szCs w:val="20"/>
                <w:lang w:eastAsia="es-MX"/>
              </w:rPr>
              <w:t xml:space="preserve"> 202</w:t>
            </w:r>
            <w:r w:rsidR="006F452C" w:rsidRPr="006D57F1">
              <w:rPr>
                <w:rFonts w:ascii="Barlow" w:hAnsi="Barlow" w:cs="Calibri"/>
                <w:b/>
                <w:bCs/>
                <w:color w:val="000000"/>
                <w:sz w:val="20"/>
                <w:szCs w:val="20"/>
                <w:lang w:eastAsia="es-MX"/>
              </w:rPr>
              <w:t>2</w:t>
            </w:r>
          </w:p>
        </w:tc>
        <w:tc>
          <w:tcPr>
            <w:tcW w:w="1559" w:type="dxa"/>
            <w:shd w:val="clear" w:color="auto" w:fill="auto"/>
            <w:noWrap/>
            <w:vAlign w:val="center"/>
            <w:hideMark/>
          </w:tcPr>
          <w:p w14:paraId="1495B451" w14:textId="474ECB51" w:rsidR="00DE2D2A" w:rsidRPr="006D57F1" w:rsidRDefault="00DE2D2A" w:rsidP="00DA363A">
            <w:pPr>
              <w:jc w:val="center"/>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SALDO DE ACTIVOS </w:t>
            </w:r>
            <w:r w:rsidR="006F452C" w:rsidRPr="006D57F1">
              <w:rPr>
                <w:rFonts w:ascii="Barlow" w:hAnsi="Barlow" w:cs="Calibri"/>
                <w:b/>
                <w:bCs/>
                <w:color w:val="000000"/>
                <w:sz w:val="20"/>
                <w:szCs w:val="20"/>
                <w:lang w:eastAsia="es-MX"/>
              </w:rPr>
              <w:t>Enero</w:t>
            </w:r>
            <w:r w:rsidR="00EE49E5" w:rsidRPr="006D57F1">
              <w:rPr>
                <w:rFonts w:ascii="Barlow" w:hAnsi="Barlow" w:cs="Calibri"/>
                <w:b/>
                <w:bCs/>
                <w:color w:val="000000"/>
                <w:sz w:val="20"/>
                <w:szCs w:val="20"/>
                <w:lang w:eastAsia="es-MX"/>
              </w:rPr>
              <w:t xml:space="preserve"> de</w:t>
            </w:r>
            <w:r w:rsidRPr="006D57F1">
              <w:rPr>
                <w:rFonts w:ascii="Barlow" w:hAnsi="Barlow" w:cs="Calibri"/>
                <w:b/>
                <w:bCs/>
                <w:color w:val="000000"/>
                <w:sz w:val="20"/>
                <w:szCs w:val="20"/>
                <w:lang w:eastAsia="es-MX"/>
              </w:rPr>
              <w:t xml:space="preserve"> 20</w:t>
            </w:r>
            <w:r w:rsidR="003C64F3" w:rsidRPr="006D57F1">
              <w:rPr>
                <w:rFonts w:ascii="Barlow" w:hAnsi="Barlow" w:cs="Calibri"/>
                <w:b/>
                <w:bCs/>
                <w:color w:val="000000"/>
                <w:sz w:val="20"/>
                <w:szCs w:val="20"/>
                <w:lang w:eastAsia="es-MX"/>
              </w:rPr>
              <w:t>2</w:t>
            </w:r>
            <w:r w:rsidR="006F452C" w:rsidRPr="006D57F1">
              <w:rPr>
                <w:rFonts w:ascii="Barlow" w:hAnsi="Barlow" w:cs="Calibri"/>
                <w:b/>
                <w:bCs/>
                <w:color w:val="000000"/>
                <w:sz w:val="20"/>
                <w:szCs w:val="20"/>
                <w:lang w:eastAsia="es-MX"/>
              </w:rPr>
              <w:t>1</w:t>
            </w:r>
          </w:p>
        </w:tc>
        <w:tc>
          <w:tcPr>
            <w:tcW w:w="1559" w:type="dxa"/>
            <w:shd w:val="clear" w:color="auto" w:fill="auto"/>
            <w:noWrap/>
            <w:vAlign w:val="center"/>
            <w:hideMark/>
          </w:tcPr>
          <w:p w14:paraId="4E334205" w14:textId="450DFE8A" w:rsidR="00DE2D2A" w:rsidRPr="006D57F1" w:rsidRDefault="00DE2D2A" w:rsidP="00DA363A">
            <w:pPr>
              <w:jc w:val="center"/>
              <w:rPr>
                <w:rFonts w:ascii="Barlow" w:hAnsi="Barlow" w:cs="Calibri"/>
                <w:b/>
                <w:bCs/>
                <w:color w:val="000000"/>
                <w:sz w:val="20"/>
                <w:szCs w:val="20"/>
                <w:lang w:eastAsia="es-MX"/>
              </w:rPr>
            </w:pPr>
            <w:r w:rsidRPr="006D57F1">
              <w:rPr>
                <w:rFonts w:ascii="Barlow" w:hAnsi="Barlow" w:cs="Calibri"/>
                <w:b/>
                <w:bCs/>
                <w:color w:val="000000"/>
                <w:sz w:val="20"/>
                <w:szCs w:val="20"/>
                <w:lang w:eastAsia="es-MX"/>
              </w:rPr>
              <w:t>AMORTIZACIÓN        DEL EJERCICIO 202</w:t>
            </w:r>
            <w:r w:rsidR="006F452C" w:rsidRPr="006D57F1">
              <w:rPr>
                <w:rFonts w:ascii="Barlow" w:hAnsi="Barlow" w:cs="Calibri"/>
                <w:b/>
                <w:bCs/>
                <w:color w:val="000000"/>
                <w:sz w:val="20"/>
                <w:szCs w:val="20"/>
                <w:lang w:eastAsia="es-MX"/>
              </w:rPr>
              <w:t>2</w:t>
            </w:r>
          </w:p>
        </w:tc>
        <w:tc>
          <w:tcPr>
            <w:tcW w:w="1560" w:type="dxa"/>
            <w:shd w:val="clear" w:color="auto" w:fill="auto"/>
            <w:noWrap/>
            <w:vAlign w:val="center"/>
            <w:hideMark/>
          </w:tcPr>
          <w:p w14:paraId="1F78954E" w14:textId="17B3726F" w:rsidR="00DE2D2A" w:rsidRPr="006D57F1" w:rsidRDefault="00DE2D2A" w:rsidP="00DA363A">
            <w:pPr>
              <w:jc w:val="center"/>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AMORTIZACIÓN            ACUMULADA </w:t>
            </w:r>
            <w:r w:rsidR="00B5499E" w:rsidRPr="006D57F1">
              <w:rPr>
                <w:rFonts w:ascii="Barlow" w:hAnsi="Barlow" w:cs="Calibri"/>
                <w:b/>
                <w:bCs/>
                <w:color w:val="000000"/>
                <w:sz w:val="20"/>
                <w:szCs w:val="20"/>
                <w:lang w:eastAsia="es-MX"/>
              </w:rPr>
              <w:t xml:space="preserve">27 </w:t>
            </w:r>
            <w:r w:rsidR="006F452C" w:rsidRPr="006D57F1">
              <w:rPr>
                <w:rFonts w:ascii="Barlow" w:hAnsi="Barlow" w:cs="Calibri"/>
                <w:b/>
                <w:bCs/>
                <w:color w:val="000000"/>
                <w:sz w:val="20"/>
                <w:szCs w:val="20"/>
                <w:lang w:eastAsia="es-MX"/>
              </w:rPr>
              <w:t>Enero</w:t>
            </w:r>
            <w:r w:rsidR="00EE49E5" w:rsidRPr="006D57F1">
              <w:rPr>
                <w:rFonts w:ascii="Barlow" w:hAnsi="Barlow" w:cs="Calibri"/>
                <w:b/>
                <w:bCs/>
                <w:color w:val="000000"/>
                <w:sz w:val="20"/>
                <w:szCs w:val="20"/>
                <w:lang w:eastAsia="es-MX"/>
              </w:rPr>
              <w:t xml:space="preserve"> de</w:t>
            </w:r>
            <w:r w:rsidRPr="006D57F1">
              <w:rPr>
                <w:rFonts w:ascii="Barlow" w:hAnsi="Barlow" w:cs="Calibri"/>
                <w:b/>
                <w:bCs/>
                <w:color w:val="000000"/>
                <w:sz w:val="20"/>
                <w:szCs w:val="20"/>
                <w:lang w:eastAsia="es-MX"/>
              </w:rPr>
              <w:t xml:space="preserve"> 202</w:t>
            </w:r>
            <w:r w:rsidR="006F452C" w:rsidRPr="006D57F1">
              <w:rPr>
                <w:rFonts w:ascii="Barlow" w:hAnsi="Barlow" w:cs="Calibri"/>
                <w:b/>
                <w:bCs/>
                <w:color w:val="000000"/>
                <w:sz w:val="20"/>
                <w:szCs w:val="20"/>
                <w:lang w:eastAsia="es-MX"/>
              </w:rPr>
              <w:t>2</w:t>
            </w:r>
          </w:p>
        </w:tc>
        <w:tc>
          <w:tcPr>
            <w:tcW w:w="1509" w:type="dxa"/>
            <w:shd w:val="clear" w:color="auto" w:fill="auto"/>
            <w:noWrap/>
            <w:vAlign w:val="center"/>
            <w:hideMark/>
          </w:tcPr>
          <w:p w14:paraId="7004A2DB" w14:textId="7344DB83" w:rsidR="00DE2D2A" w:rsidRPr="006D57F1" w:rsidRDefault="00DE2D2A" w:rsidP="00DA363A">
            <w:pPr>
              <w:jc w:val="center"/>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AMORTIZACIÓN            ACUMULADA </w:t>
            </w:r>
            <w:r w:rsidR="006F452C" w:rsidRPr="006D57F1">
              <w:rPr>
                <w:rFonts w:ascii="Barlow" w:hAnsi="Barlow" w:cs="Calibri"/>
                <w:b/>
                <w:bCs/>
                <w:color w:val="000000"/>
                <w:sz w:val="20"/>
                <w:szCs w:val="20"/>
                <w:lang w:eastAsia="es-MX"/>
              </w:rPr>
              <w:t>Enero</w:t>
            </w:r>
            <w:r w:rsidR="00EE49E5" w:rsidRPr="006D57F1">
              <w:rPr>
                <w:rFonts w:ascii="Barlow" w:hAnsi="Barlow" w:cs="Calibri"/>
                <w:b/>
                <w:bCs/>
                <w:color w:val="000000"/>
                <w:sz w:val="20"/>
                <w:szCs w:val="20"/>
                <w:lang w:eastAsia="es-MX"/>
              </w:rPr>
              <w:t xml:space="preserve"> de</w:t>
            </w:r>
            <w:r w:rsidR="003C64F3" w:rsidRPr="006D57F1">
              <w:rPr>
                <w:rFonts w:ascii="Barlow" w:hAnsi="Barlow" w:cs="Calibri"/>
                <w:b/>
                <w:bCs/>
                <w:color w:val="000000"/>
                <w:sz w:val="20"/>
                <w:szCs w:val="20"/>
                <w:lang w:eastAsia="es-MX"/>
              </w:rPr>
              <w:t xml:space="preserve"> </w:t>
            </w:r>
            <w:r w:rsidRPr="006D57F1">
              <w:rPr>
                <w:rFonts w:ascii="Barlow" w:hAnsi="Barlow" w:cs="Calibri"/>
                <w:b/>
                <w:bCs/>
                <w:color w:val="000000"/>
                <w:sz w:val="20"/>
                <w:szCs w:val="20"/>
                <w:lang w:eastAsia="es-MX"/>
              </w:rPr>
              <w:t xml:space="preserve"> 20</w:t>
            </w:r>
            <w:r w:rsidR="003C64F3" w:rsidRPr="006D57F1">
              <w:rPr>
                <w:rFonts w:ascii="Barlow" w:hAnsi="Barlow" w:cs="Calibri"/>
                <w:b/>
                <w:bCs/>
                <w:color w:val="000000"/>
                <w:sz w:val="20"/>
                <w:szCs w:val="20"/>
                <w:lang w:eastAsia="es-MX"/>
              </w:rPr>
              <w:t>2</w:t>
            </w:r>
            <w:r w:rsidR="006F452C" w:rsidRPr="006D57F1">
              <w:rPr>
                <w:rFonts w:ascii="Barlow" w:hAnsi="Barlow" w:cs="Calibri"/>
                <w:b/>
                <w:bCs/>
                <w:color w:val="000000"/>
                <w:sz w:val="20"/>
                <w:szCs w:val="20"/>
                <w:lang w:eastAsia="es-MX"/>
              </w:rPr>
              <w:t>1</w:t>
            </w:r>
          </w:p>
        </w:tc>
      </w:tr>
      <w:tr w:rsidR="00DE2D2A" w:rsidRPr="006D57F1" w14:paraId="721141AD" w14:textId="77777777" w:rsidTr="00DA363A">
        <w:trPr>
          <w:trHeight w:val="300"/>
        </w:trPr>
        <w:tc>
          <w:tcPr>
            <w:tcW w:w="4298" w:type="dxa"/>
            <w:shd w:val="clear" w:color="auto" w:fill="auto"/>
            <w:vAlign w:val="center"/>
            <w:hideMark/>
          </w:tcPr>
          <w:p w14:paraId="02EA426C" w14:textId="77777777" w:rsidR="00DE2D2A" w:rsidRPr="006D57F1" w:rsidRDefault="00DE2D2A" w:rsidP="00DA363A">
            <w:pPr>
              <w:jc w:val="center"/>
              <w:rPr>
                <w:rFonts w:ascii="Barlow" w:hAnsi="Barlow" w:cs="Calibri"/>
                <w:b/>
                <w:bCs/>
                <w:color w:val="000000"/>
                <w:sz w:val="20"/>
                <w:szCs w:val="20"/>
                <w:lang w:eastAsia="es-MX"/>
              </w:rPr>
            </w:pPr>
          </w:p>
        </w:tc>
        <w:tc>
          <w:tcPr>
            <w:tcW w:w="1559" w:type="dxa"/>
            <w:shd w:val="clear" w:color="auto" w:fill="auto"/>
            <w:noWrap/>
            <w:vAlign w:val="center"/>
            <w:hideMark/>
          </w:tcPr>
          <w:p w14:paraId="7002D4EA" w14:textId="77777777" w:rsidR="00DE2D2A" w:rsidRPr="006D57F1" w:rsidRDefault="00DE2D2A" w:rsidP="00DA363A">
            <w:pPr>
              <w:jc w:val="both"/>
              <w:rPr>
                <w:rFonts w:ascii="Barlow" w:hAnsi="Barlow"/>
                <w:sz w:val="20"/>
                <w:szCs w:val="20"/>
                <w:lang w:eastAsia="es-MX"/>
              </w:rPr>
            </w:pPr>
          </w:p>
        </w:tc>
        <w:tc>
          <w:tcPr>
            <w:tcW w:w="1559" w:type="dxa"/>
            <w:shd w:val="clear" w:color="auto" w:fill="auto"/>
            <w:noWrap/>
            <w:vAlign w:val="center"/>
            <w:hideMark/>
          </w:tcPr>
          <w:p w14:paraId="37AF113E" w14:textId="77777777" w:rsidR="00DE2D2A" w:rsidRPr="006D57F1" w:rsidRDefault="00DE2D2A" w:rsidP="00DA363A">
            <w:pPr>
              <w:jc w:val="right"/>
              <w:rPr>
                <w:rFonts w:ascii="Barlow" w:hAnsi="Barlow"/>
                <w:sz w:val="20"/>
                <w:szCs w:val="20"/>
                <w:lang w:eastAsia="es-MX"/>
              </w:rPr>
            </w:pPr>
          </w:p>
        </w:tc>
        <w:tc>
          <w:tcPr>
            <w:tcW w:w="1559" w:type="dxa"/>
            <w:shd w:val="clear" w:color="auto" w:fill="auto"/>
            <w:noWrap/>
            <w:vAlign w:val="center"/>
            <w:hideMark/>
          </w:tcPr>
          <w:p w14:paraId="52354838" w14:textId="77777777" w:rsidR="00DE2D2A" w:rsidRPr="006D57F1" w:rsidRDefault="00DE2D2A" w:rsidP="00DA363A">
            <w:pPr>
              <w:jc w:val="right"/>
              <w:rPr>
                <w:rFonts w:ascii="Barlow" w:hAnsi="Barlow"/>
                <w:sz w:val="20"/>
                <w:szCs w:val="20"/>
                <w:lang w:eastAsia="es-MX"/>
              </w:rPr>
            </w:pPr>
          </w:p>
        </w:tc>
        <w:tc>
          <w:tcPr>
            <w:tcW w:w="1560" w:type="dxa"/>
            <w:shd w:val="clear" w:color="auto" w:fill="auto"/>
            <w:noWrap/>
            <w:vAlign w:val="center"/>
            <w:hideMark/>
          </w:tcPr>
          <w:p w14:paraId="61207E3C" w14:textId="77777777" w:rsidR="00DE2D2A" w:rsidRPr="006D57F1" w:rsidRDefault="00DE2D2A" w:rsidP="00DA363A">
            <w:pPr>
              <w:jc w:val="right"/>
              <w:rPr>
                <w:rFonts w:ascii="Barlow" w:hAnsi="Barlow"/>
                <w:sz w:val="20"/>
                <w:szCs w:val="20"/>
                <w:lang w:eastAsia="es-MX"/>
              </w:rPr>
            </w:pPr>
          </w:p>
        </w:tc>
        <w:tc>
          <w:tcPr>
            <w:tcW w:w="1509" w:type="dxa"/>
            <w:shd w:val="clear" w:color="auto" w:fill="auto"/>
            <w:noWrap/>
            <w:vAlign w:val="center"/>
            <w:hideMark/>
          </w:tcPr>
          <w:p w14:paraId="3697A13C" w14:textId="77777777" w:rsidR="00DE2D2A" w:rsidRPr="006D57F1" w:rsidRDefault="00DE2D2A" w:rsidP="00DA363A">
            <w:pPr>
              <w:jc w:val="right"/>
              <w:rPr>
                <w:rFonts w:ascii="Barlow" w:hAnsi="Barlow"/>
                <w:sz w:val="20"/>
                <w:szCs w:val="20"/>
                <w:lang w:eastAsia="es-MX"/>
              </w:rPr>
            </w:pPr>
          </w:p>
        </w:tc>
      </w:tr>
      <w:tr w:rsidR="00DE2D2A" w:rsidRPr="006D57F1" w14:paraId="14E2C924" w14:textId="77777777" w:rsidTr="00DA363A">
        <w:trPr>
          <w:trHeight w:val="300"/>
        </w:trPr>
        <w:tc>
          <w:tcPr>
            <w:tcW w:w="4298" w:type="dxa"/>
            <w:shd w:val="clear" w:color="auto" w:fill="auto"/>
            <w:vAlign w:val="center"/>
            <w:hideMark/>
          </w:tcPr>
          <w:p w14:paraId="1B11839C" w14:textId="77777777" w:rsidR="00DE2D2A" w:rsidRPr="006D57F1" w:rsidRDefault="00DE2D2A"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LICENCIAS</w:t>
            </w:r>
          </w:p>
        </w:tc>
        <w:tc>
          <w:tcPr>
            <w:tcW w:w="1559" w:type="dxa"/>
            <w:shd w:val="clear" w:color="auto" w:fill="auto"/>
            <w:noWrap/>
            <w:hideMark/>
          </w:tcPr>
          <w:p w14:paraId="09F2B198" w14:textId="77777777" w:rsidR="00DE2D2A" w:rsidRPr="006D57F1" w:rsidRDefault="00DE2D2A" w:rsidP="00DA363A">
            <w:pPr>
              <w:jc w:val="both"/>
              <w:rPr>
                <w:rFonts w:ascii="Barlow" w:hAnsi="Barlow" w:cs="Calibri"/>
                <w:b/>
                <w:bCs/>
                <w:color w:val="000000"/>
                <w:sz w:val="20"/>
                <w:szCs w:val="20"/>
                <w:lang w:eastAsia="es-MX"/>
              </w:rPr>
            </w:pPr>
          </w:p>
        </w:tc>
        <w:tc>
          <w:tcPr>
            <w:tcW w:w="1559" w:type="dxa"/>
            <w:shd w:val="clear" w:color="auto" w:fill="auto"/>
            <w:noWrap/>
            <w:hideMark/>
          </w:tcPr>
          <w:p w14:paraId="3E93D75B" w14:textId="77777777" w:rsidR="00DE2D2A" w:rsidRPr="006D57F1" w:rsidRDefault="00DE2D2A" w:rsidP="00DA363A">
            <w:pPr>
              <w:rPr>
                <w:rFonts w:ascii="Barlow" w:hAnsi="Barlow"/>
                <w:sz w:val="20"/>
                <w:szCs w:val="20"/>
                <w:lang w:eastAsia="es-MX"/>
              </w:rPr>
            </w:pPr>
          </w:p>
        </w:tc>
        <w:tc>
          <w:tcPr>
            <w:tcW w:w="1559" w:type="dxa"/>
            <w:shd w:val="clear" w:color="auto" w:fill="auto"/>
            <w:noWrap/>
            <w:hideMark/>
          </w:tcPr>
          <w:p w14:paraId="48B98E4E" w14:textId="77777777" w:rsidR="00DE2D2A" w:rsidRPr="006D57F1" w:rsidRDefault="00DE2D2A" w:rsidP="00DA363A">
            <w:pPr>
              <w:rPr>
                <w:rFonts w:ascii="Barlow" w:hAnsi="Barlow"/>
                <w:sz w:val="20"/>
                <w:szCs w:val="20"/>
                <w:lang w:eastAsia="es-MX"/>
              </w:rPr>
            </w:pPr>
          </w:p>
        </w:tc>
        <w:tc>
          <w:tcPr>
            <w:tcW w:w="1560" w:type="dxa"/>
            <w:shd w:val="clear" w:color="auto" w:fill="auto"/>
            <w:noWrap/>
            <w:hideMark/>
          </w:tcPr>
          <w:p w14:paraId="119534C9" w14:textId="77777777" w:rsidR="00DE2D2A" w:rsidRPr="006D57F1" w:rsidRDefault="00DE2D2A" w:rsidP="00DA363A">
            <w:pPr>
              <w:rPr>
                <w:rFonts w:ascii="Barlow" w:hAnsi="Barlow"/>
                <w:sz w:val="20"/>
                <w:szCs w:val="20"/>
                <w:lang w:eastAsia="es-MX"/>
              </w:rPr>
            </w:pPr>
          </w:p>
        </w:tc>
        <w:tc>
          <w:tcPr>
            <w:tcW w:w="1509" w:type="dxa"/>
            <w:shd w:val="clear" w:color="auto" w:fill="auto"/>
            <w:noWrap/>
            <w:hideMark/>
          </w:tcPr>
          <w:p w14:paraId="2416AC75" w14:textId="77777777" w:rsidR="00DE2D2A" w:rsidRPr="006D57F1" w:rsidRDefault="00DE2D2A" w:rsidP="00DA363A">
            <w:pPr>
              <w:rPr>
                <w:rFonts w:ascii="Barlow" w:hAnsi="Barlow"/>
                <w:sz w:val="20"/>
                <w:szCs w:val="20"/>
                <w:lang w:eastAsia="es-MX"/>
              </w:rPr>
            </w:pPr>
          </w:p>
        </w:tc>
      </w:tr>
      <w:tr w:rsidR="00DE2D2A" w:rsidRPr="006D57F1" w14:paraId="6021B996" w14:textId="77777777" w:rsidTr="00DA363A">
        <w:trPr>
          <w:trHeight w:val="315"/>
        </w:trPr>
        <w:tc>
          <w:tcPr>
            <w:tcW w:w="4298" w:type="dxa"/>
            <w:shd w:val="clear" w:color="auto" w:fill="auto"/>
            <w:vAlign w:val="center"/>
            <w:hideMark/>
          </w:tcPr>
          <w:p w14:paraId="5B4B2C3D" w14:textId="77777777" w:rsidR="00DE2D2A" w:rsidRPr="006D57F1" w:rsidRDefault="00DE2D2A"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LICENCIAS INFORMATICAS E INTELECTUALES</w:t>
            </w:r>
          </w:p>
        </w:tc>
        <w:tc>
          <w:tcPr>
            <w:tcW w:w="1559" w:type="dxa"/>
            <w:shd w:val="clear" w:color="auto" w:fill="auto"/>
            <w:noWrap/>
            <w:vAlign w:val="center"/>
            <w:hideMark/>
          </w:tcPr>
          <w:p w14:paraId="6DED08E8" w14:textId="35E6E20E" w:rsidR="00DE2D2A" w:rsidRPr="006D57F1" w:rsidRDefault="00DE2D2A"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59" w:type="dxa"/>
            <w:shd w:val="clear" w:color="auto" w:fill="auto"/>
            <w:noWrap/>
            <w:vAlign w:val="center"/>
            <w:hideMark/>
          </w:tcPr>
          <w:p w14:paraId="397BA9F0" w14:textId="77777777" w:rsidR="00DE2D2A" w:rsidRPr="006D57F1" w:rsidRDefault="00DE2D2A"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35,000.00</w:t>
            </w:r>
          </w:p>
        </w:tc>
        <w:tc>
          <w:tcPr>
            <w:tcW w:w="1559" w:type="dxa"/>
            <w:shd w:val="clear" w:color="auto" w:fill="auto"/>
            <w:noWrap/>
            <w:vAlign w:val="center"/>
            <w:hideMark/>
          </w:tcPr>
          <w:p w14:paraId="58332731" w14:textId="7458E314" w:rsidR="00DE2D2A" w:rsidRPr="006D57F1" w:rsidRDefault="00EE49E5"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60" w:type="dxa"/>
            <w:shd w:val="clear" w:color="auto" w:fill="auto"/>
            <w:noWrap/>
            <w:vAlign w:val="center"/>
            <w:hideMark/>
          </w:tcPr>
          <w:p w14:paraId="3D7355D2" w14:textId="419C44DB" w:rsidR="00DE2D2A" w:rsidRPr="006D57F1" w:rsidRDefault="00B5499E" w:rsidP="004A685F">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09" w:type="dxa"/>
            <w:shd w:val="clear" w:color="auto" w:fill="auto"/>
            <w:noWrap/>
            <w:vAlign w:val="center"/>
            <w:hideMark/>
          </w:tcPr>
          <w:p w14:paraId="0CB03D06" w14:textId="69B08FDC" w:rsidR="00DE2D2A" w:rsidRPr="006D57F1" w:rsidRDefault="00DE2D2A"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w:t>
            </w:r>
            <w:r w:rsidR="00165EA7" w:rsidRPr="006D57F1">
              <w:rPr>
                <w:rFonts w:ascii="Barlow" w:hAnsi="Barlow" w:cs="Calibri"/>
                <w:color w:val="000000"/>
                <w:sz w:val="20"/>
                <w:szCs w:val="20"/>
                <w:lang w:eastAsia="es-MX"/>
              </w:rPr>
              <w:t>2</w:t>
            </w:r>
            <w:r w:rsidR="006F452C" w:rsidRPr="006D57F1">
              <w:rPr>
                <w:rFonts w:ascii="Barlow" w:hAnsi="Barlow" w:cs="Calibri"/>
                <w:color w:val="000000"/>
                <w:sz w:val="20"/>
                <w:szCs w:val="20"/>
                <w:lang w:eastAsia="es-MX"/>
              </w:rPr>
              <w:t>3,187.50</w:t>
            </w:r>
          </w:p>
        </w:tc>
      </w:tr>
      <w:tr w:rsidR="00DE2D2A" w:rsidRPr="006D57F1" w14:paraId="6961215C" w14:textId="77777777" w:rsidTr="00DA363A">
        <w:trPr>
          <w:trHeight w:val="315"/>
        </w:trPr>
        <w:tc>
          <w:tcPr>
            <w:tcW w:w="4298" w:type="dxa"/>
            <w:shd w:val="clear" w:color="auto" w:fill="auto"/>
            <w:vAlign w:val="center"/>
            <w:hideMark/>
          </w:tcPr>
          <w:p w14:paraId="08D9A85B" w14:textId="77777777" w:rsidR="00DE2D2A" w:rsidRPr="006D57F1" w:rsidRDefault="00DE2D2A"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TOTAL ACTIVOS INTANGIBLES </w:t>
            </w:r>
          </w:p>
        </w:tc>
        <w:tc>
          <w:tcPr>
            <w:tcW w:w="1559" w:type="dxa"/>
            <w:shd w:val="clear" w:color="auto" w:fill="auto"/>
            <w:noWrap/>
            <w:vAlign w:val="center"/>
            <w:hideMark/>
          </w:tcPr>
          <w:p w14:paraId="211C5E03" w14:textId="0BD18FF0" w:rsidR="00DE2D2A" w:rsidRPr="006D57F1" w:rsidRDefault="00DE2D2A"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559" w:type="dxa"/>
            <w:shd w:val="clear" w:color="auto" w:fill="auto"/>
            <w:noWrap/>
            <w:vAlign w:val="center"/>
            <w:hideMark/>
          </w:tcPr>
          <w:p w14:paraId="584F6058" w14:textId="77777777" w:rsidR="00DE2D2A" w:rsidRPr="006D57F1" w:rsidRDefault="00DE2D2A"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35,000.00</w:t>
            </w:r>
          </w:p>
        </w:tc>
        <w:tc>
          <w:tcPr>
            <w:tcW w:w="1559" w:type="dxa"/>
            <w:shd w:val="clear" w:color="auto" w:fill="auto"/>
            <w:noWrap/>
            <w:vAlign w:val="center"/>
            <w:hideMark/>
          </w:tcPr>
          <w:p w14:paraId="78300634" w14:textId="46FE3361" w:rsidR="00DE2D2A" w:rsidRPr="006D57F1" w:rsidRDefault="00EE49E5"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560" w:type="dxa"/>
            <w:shd w:val="clear" w:color="auto" w:fill="auto"/>
            <w:noWrap/>
            <w:vAlign w:val="center"/>
            <w:hideMark/>
          </w:tcPr>
          <w:p w14:paraId="656AEADB" w14:textId="4D1E47E6" w:rsidR="00DE2D2A" w:rsidRPr="006D57F1" w:rsidRDefault="00B5499E"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509" w:type="dxa"/>
            <w:shd w:val="clear" w:color="auto" w:fill="auto"/>
            <w:noWrap/>
            <w:vAlign w:val="center"/>
            <w:hideMark/>
          </w:tcPr>
          <w:p w14:paraId="51C0B809" w14:textId="1C5A1D77" w:rsidR="00DE2D2A" w:rsidRPr="006D57F1" w:rsidRDefault="00DE2D2A"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w:t>
            </w:r>
            <w:r w:rsidR="00165EA7" w:rsidRPr="006D57F1">
              <w:rPr>
                <w:rFonts w:ascii="Barlow" w:hAnsi="Barlow" w:cs="Calibri"/>
                <w:b/>
                <w:bCs/>
                <w:color w:val="000000"/>
                <w:sz w:val="20"/>
                <w:szCs w:val="20"/>
                <w:lang w:eastAsia="es-MX"/>
              </w:rPr>
              <w:t>2</w:t>
            </w:r>
            <w:r w:rsidR="006F452C" w:rsidRPr="006D57F1">
              <w:rPr>
                <w:rFonts w:ascii="Barlow" w:hAnsi="Barlow" w:cs="Calibri"/>
                <w:b/>
                <w:bCs/>
                <w:color w:val="000000"/>
                <w:sz w:val="20"/>
                <w:szCs w:val="20"/>
                <w:lang w:eastAsia="es-MX"/>
              </w:rPr>
              <w:t>3,187.50</w:t>
            </w:r>
          </w:p>
        </w:tc>
      </w:tr>
    </w:tbl>
    <w:p w14:paraId="0F58D6BC" w14:textId="52A91242" w:rsidR="00DE2D2A" w:rsidRPr="006D57F1" w:rsidRDefault="00DE2D2A" w:rsidP="00C4137E">
      <w:pPr>
        <w:autoSpaceDE w:val="0"/>
        <w:autoSpaceDN w:val="0"/>
        <w:adjustRightInd w:val="0"/>
        <w:spacing w:line="360" w:lineRule="auto"/>
        <w:jc w:val="both"/>
        <w:rPr>
          <w:rFonts w:ascii="Barlow" w:hAnsi="Barlow" w:cs="Arial"/>
          <w:b/>
          <w:sz w:val="20"/>
          <w:szCs w:val="20"/>
        </w:rPr>
      </w:pPr>
    </w:p>
    <w:p w14:paraId="53856A50" w14:textId="324EE233" w:rsidR="00D06563" w:rsidRPr="006D57F1" w:rsidRDefault="00D06563" w:rsidP="00D06563">
      <w:pPr>
        <w:pStyle w:val="Prrafodelista"/>
        <w:numPr>
          <w:ilvl w:val="0"/>
          <w:numId w:val="15"/>
        </w:numPr>
        <w:contextualSpacing w:val="0"/>
        <w:rPr>
          <w:rFonts w:ascii="Barlow" w:hAnsi="Barlow" w:cs="Arial"/>
          <w:sz w:val="20"/>
          <w:szCs w:val="20"/>
        </w:rPr>
      </w:pPr>
      <w:r w:rsidRPr="006D57F1">
        <w:rPr>
          <w:rFonts w:ascii="Barlow" w:hAnsi="Barlow" w:cs="Arial"/>
          <w:sz w:val="20"/>
          <w:szCs w:val="20"/>
        </w:rPr>
        <w:t xml:space="preserve">Para el cálculo de la </w:t>
      </w:r>
      <w:r w:rsidR="006D57F1" w:rsidRPr="006D57F1">
        <w:rPr>
          <w:rFonts w:ascii="Barlow" w:hAnsi="Barlow" w:cs="Arial"/>
          <w:sz w:val="20"/>
          <w:szCs w:val="20"/>
        </w:rPr>
        <w:t>Amortización se</w:t>
      </w:r>
      <w:r w:rsidRPr="006D57F1">
        <w:rPr>
          <w:rFonts w:ascii="Barlow" w:hAnsi="Barlow" w:cs="Arial"/>
          <w:sz w:val="20"/>
          <w:szCs w:val="20"/>
        </w:rPr>
        <w:t xml:space="preserve"> utiliza</w:t>
      </w:r>
      <w:r w:rsidR="00B5499E" w:rsidRPr="006D57F1">
        <w:rPr>
          <w:rFonts w:ascii="Barlow" w:hAnsi="Barlow" w:cs="Arial"/>
          <w:sz w:val="20"/>
          <w:szCs w:val="20"/>
        </w:rPr>
        <w:t>ba</w:t>
      </w:r>
      <w:r w:rsidRPr="006D57F1">
        <w:rPr>
          <w:rFonts w:ascii="Barlow" w:hAnsi="Barlow" w:cs="Arial"/>
          <w:sz w:val="20"/>
          <w:szCs w:val="20"/>
        </w:rPr>
        <w:t xml:space="preserve"> el método establecido por el CONAC mediante las Reglas Específicas del Registro y Valoración del Activo.</w:t>
      </w:r>
    </w:p>
    <w:p w14:paraId="61D35F89" w14:textId="5D901E97" w:rsidR="004361C1" w:rsidRPr="006D57F1" w:rsidRDefault="004361C1" w:rsidP="00C4137E">
      <w:pPr>
        <w:autoSpaceDE w:val="0"/>
        <w:autoSpaceDN w:val="0"/>
        <w:adjustRightInd w:val="0"/>
        <w:spacing w:line="360" w:lineRule="auto"/>
        <w:jc w:val="both"/>
        <w:rPr>
          <w:rFonts w:ascii="Barlow" w:hAnsi="Barlow" w:cs="Arial"/>
          <w:b/>
          <w:sz w:val="20"/>
          <w:szCs w:val="20"/>
        </w:rPr>
      </w:pPr>
    </w:p>
    <w:p w14:paraId="6D586AA1" w14:textId="5AC71F66" w:rsidR="00705583" w:rsidRPr="006D57F1" w:rsidRDefault="00705583"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Estimaciones y Deterioros</w:t>
      </w:r>
    </w:p>
    <w:p w14:paraId="4669669A" w14:textId="77777777" w:rsidR="00066595" w:rsidRPr="006D57F1" w:rsidRDefault="00066595" w:rsidP="00C4137E">
      <w:pPr>
        <w:autoSpaceDE w:val="0"/>
        <w:autoSpaceDN w:val="0"/>
        <w:adjustRightInd w:val="0"/>
        <w:spacing w:line="360" w:lineRule="auto"/>
        <w:jc w:val="both"/>
        <w:rPr>
          <w:rFonts w:ascii="Barlow" w:hAnsi="Barlow" w:cs="Arial"/>
          <w:sz w:val="20"/>
          <w:szCs w:val="20"/>
        </w:rPr>
      </w:pPr>
    </w:p>
    <w:p w14:paraId="73FF96B3" w14:textId="40D61AC3" w:rsidR="00705583" w:rsidRPr="006D57F1" w:rsidRDefault="00324DAC"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10</w:t>
      </w:r>
      <w:r w:rsidR="00705583" w:rsidRPr="006D57F1">
        <w:rPr>
          <w:rFonts w:ascii="Barlow" w:hAnsi="Barlow" w:cs="Arial"/>
          <w:sz w:val="20"/>
          <w:szCs w:val="20"/>
        </w:rPr>
        <w:t xml:space="preserve">.- </w:t>
      </w:r>
      <w:r w:rsidR="00D06563" w:rsidRPr="006D57F1">
        <w:rPr>
          <w:rFonts w:ascii="Barlow" w:hAnsi="Barlow" w:cs="Arial"/>
          <w:sz w:val="20"/>
          <w:szCs w:val="20"/>
        </w:rPr>
        <w:t>Instituto de Historia y Museos de Yucatán</w:t>
      </w:r>
      <w:r w:rsidR="00705583" w:rsidRPr="006D57F1">
        <w:rPr>
          <w:rFonts w:ascii="Barlow" w:hAnsi="Barlow" w:cs="Arial"/>
          <w:sz w:val="20"/>
          <w:szCs w:val="20"/>
        </w:rPr>
        <w:t xml:space="preserve"> no realiz</w:t>
      </w:r>
      <w:r w:rsidR="00FB00C1" w:rsidRPr="006D57F1">
        <w:rPr>
          <w:rFonts w:ascii="Barlow" w:hAnsi="Barlow" w:cs="Arial"/>
          <w:sz w:val="20"/>
          <w:szCs w:val="20"/>
        </w:rPr>
        <w:t xml:space="preserve">ó al </w:t>
      </w:r>
      <w:r w:rsidR="006F452C" w:rsidRPr="006D57F1">
        <w:rPr>
          <w:rFonts w:ascii="Barlow" w:hAnsi="Barlow" w:cs="Arial"/>
          <w:sz w:val="20"/>
          <w:szCs w:val="20"/>
        </w:rPr>
        <w:t>2</w:t>
      </w:r>
      <w:r w:rsidR="00B5499E" w:rsidRPr="006D57F1">
        <w:rPr>
          <w:rFonts w:ascii="Barlow" w:hAnsi="Barlow" w:cs="Arial"/>
          <w:sz w:val="20"/>
          <w:szCs w:val="20"/>
        </w:rPr>
        <w:t>7</w:t>
      </w:r>
      <w:r w:rsidR="00965E6D" w:rsidRPr="006D57F1">
        <w:rPr>
          <w:rFonts w:ascii="Barlow" w:hAnsi="Barlow" w:cs="Arial"/>
          <w:sz w:val="20"/>
          <w:szCs w:val="20"/>
        </w:rPr>
        <w:t xml:space="preserve"> </w:t>
      </w:r>
      <w:r w:rsidR="00FB00C1" w:rsidRPr="006D57F1">
        <w:rPr>
          <w:rFonts w:ascii="Barlow" w:hAnsi="Barlow" w:cs="Arial"/>
          <w:sz w:val="20"/>
          <w:szCs w:val="20"/>
        </w:rPr>
        <w:t xml:space="preserve">de </w:t>
      </w:r>
      <w:r w:rsidR="006D57F1" w:rsidRPr="006D57F1">
        <w:rPr>
          <w:rFonts w:ascii="Barlow" w:hAnsi="Barlow" w:cs="Arial"/>
          <w:sz w:val="20"/>
          <w:szCs w:val="20"/>
        </w:rPr>
        <w:t>enero de</w:t>
      </w:r>
      <w:r w:rsidR="003B3712" w:rsidRPr="006D57F1">
        <w:rPr>
          <w:rFonts w:ascii="Barlow" w:hAnsi="Barlow" w:cs="Arial"/>
          <w:sz w:val="20"/>
          <w:szCs w:val="20"/>
        </w:rPr>
        <w:t xml:space="preserve"> 20</w:t>
      </w:r>
      <w:r w:rsidR="00B212B8" w:rsidRPr="006D57F1">
        <w:rPr>
          <w:rFonts w:ascii="Barlow" w:hAnsi="Barlow" w:cs="Arial"/>
          <w:sz w:val="20"/>
          <w:szCs w:val="20"/>
        </w:rPr>
        <w:t>2</w:t>
      </w:r>
      <w:r w:rsidR="006F452C" w:rsidRPr="006D57F1">
        <w:rPr>
          <w:rFonts w:ascii="Barlow" w:hAnsi="Barlow" w:cs="Arial"/>
          <w:sz w:val="20"/>
          <w:szCs w:val="20"/>
        </w:rPr>
        <w:t>2</w:t>
      </w:r>
      <w:r w:rsidR="003B3712" w:rsidRPr="006D57F1">
        <w:rPr>
          <w:rFonts w:ascii="Barlow" w:hAnsi="Barlow" w:cs="Arial"/>
          <w:sz w:val="20"/>
          <w:szCs w:val="20"/>
        </w:rPr>
        <w:t>,</w:t>
      </w:r>
      <w:r w:rsidR="00705583" w:rsidRPr="006D57F1">
        <w:rPr>
          <w:rFonts w:ascii="Barlow" w:hAnsi="Barlow" w:cs="Arial"/>
          <w:sz w:val="20"/>
          <w:szCs w:val="20"/>
        </w:rPr>
        <w:t xml:space="preserve"> la determinación de estimaciones de cuentas incobrables, </w:t>
      </w:r>
      <w:r w:rsidR="00BC4311" w:rsidRPr="006D57F1">
        <w:rPr>
          <w:rFonts w:ascii="Barlow" w:hAnsi="Barlow" w:cs="Arial"/>
          <w:sz w:val="20"/>
          <w:szCs w:val="20"/>
        </w:rPr>
        <w:t xml:space="preserve">estimación de Inventarios, </w:t>
      </w:r>
      <w:r w:rsidR="00705583" w:rsidRPr="006D57F1">
        <w:rPr>
          <w:rFonts w:ascii="Barlow" w:hAnsi="Barlow" w:cs="Arial"/>
          <w:sz w:val="20"/>
          <w:szCs w:val="20"/>
        </w:rPr>
        <w:t xml:space="preserve">inversiones deterioro de activos </w:t>
      </w:r>
      <w:r w:rsidR="006E1089" w:rsidRPr="006D57F1">
        <w:rPr>
          <w:rFonts w:ascii="Barlow" w:hAnsi="Barlow" w:cs="Arial"/>
          <w:sz w:val="20"/>
          <w:szCs w:val="20"/>
        </w:rPr>
        <w:t>biológicos</w:t>
      </w:r>
      <w:r w:rsidR="00705583" w:rsidRPr="006D57F1">
        <w:rPr>
          <w:rFonts w:ascii="Barlow" w:hAnsi="Barlow" w:cs="Arial"/>
          <w:sz w:val="20"/>
          <w:szCs w:val="20"/>
        </w:rPr>
        <w:t>, etc.</w:t>
      </w:r>
    </w:p>
    <w:p w14:paraId="29EA5DBF" w14:textId="77777777" w:rsidR="00B95FDB" w:rsidRPr="006D57F1" w:rsidRDefault="00B95FDB" w:rsidP="00C4137E">
      <w:pPr>
        <w:autoSpaceDE w:val="0"/>
        <w:autoSpaceDN w:val="0"/>
        <w:adjustRightInd w:val="0"/>
        <w:spacing w:line="360" w:lineRule="auto"/>
        <w:jc w:val="both"/>
        <w:rPr>
          <w:rFonts w:ascii="Barlow" w:hAnsi="Barlow" w:cs="Arial"/>
          <w:b/>
          <w:sz w:val="20"/>
          <w:szCs w:val="20"/>
        </w:rPr>
      </w:pPr>
    </w:p>
    <w:p w14:paraId="0FB7A84A" w14:textId="7758EF89" w:rsidR="00705583" w:rsidRPr="006D57F1" w:rsidRDefault="00705583"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Otros Activos</w:t>
      </w:r>
    </w:p>
    <w:p w14:paraId="3D289E78" w14:textId="77777777" w:rsidR="00DD721F" w:rsidRPr="006D57F1" w:rsidRDefault="00DD721F" w:rsidP="00C4137E">
      <w:pPr>
        <w:autoSpaceDE w:val="0"/>
        <w:autoSpaceDN w:val="0"/>
        <w:adjustRightInd w:val="0"/>
        <w:spacing w:line="360" w:lineRule="auto"/>
        <w:jc w:val="both"/>
        <w:rPr>
          <w:rFonts w:ascii="Barlow" w:hAnsi="Barlow" w:cs="Arial"/>
          <w:sz w:val="20"/>
          <w:szCs w:val="20"/>
        </w:rPr>
      </w:pPr>
    </w:p>
    <w:p w14:paraId="13BFDA61" w14:textId="03650729" w:rsidR="00705583" w:rsidRPr="006D57F1" w:rsidRDefault="00324DAC"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11</w:t>
      </w:r>
      <w:r w:rsidR="00705583" w:rsidRPr="006D57F1">
        <w:rPr>
          <w:rFonts w:ascii="Barlow" w:hAnsi="Barlow" w:cs="Arial"/>
          <w:sz w:val="20"/>
          <w:szCs w:val="20"/>
        </w:rPr>
        <w:t xml:space="preserve">.- El </w:t>
      </w:r>
      <w:r w:rsidR="00BC4311" w:rsidRPr="006D57F1">
        <w:rPr>
          <w:rFonts w:ascii="Barlow" w:hAnsi="Barlow" w:cs="Arial"/>
          <w:sz w:val="20"/>
          <w:szCs w:val="20"/>
        </w:rPr>
        <w:t>instituto de Historia y Museos de Yucatán</w:t>
      </w:r>
      <w:r w:rsidR="00E27571" w:rsidRPr="006D57F1">
        <w:rPr>
          <w:rFonts w:ascii="Barlow" w:hAnsi="Barlow" w:cs="Arial"/>
          <w:sz w:val="20"/>
          <w:szCs w:val="20"/>
        </w:rPr>
        <w:t xml:space="preserve"> al </w:t>
      </w:r>
      <w:r w:rsidR="006F452C" w:rsidRPr="006D57F1">
        <w:rPr>
          <w:rFonts w:ascii="Barlow" w:hAnsi="Barlow" w:cs="Arial"/>
          <w:sz w:val="20"/>
          <w:szCs w:val="20"/>
        </w:rPr>
        <w:t>2</w:t>
      </w:r>
      <w:r w:rsidR="00B5499E" w:rsidRPr="006D57F1">
        <w:rPr>
          <w:rFonts w:ascii="Barlow" w:hAnsi="Barlow" w:cs="Arial"/>
          <w:sz w:val="20"/>
          <w:szCs w:val="20"/>
        </w:rPr>
        <w:t>7</w:t>
      </w:r>
      <w:r w:rsidR="00E27571" w:rsidRPr="006D57F1">
        <w:rPr>
          <w:rFonts w:ascii="Barlow" w:hAnsi="Barlow" w:cs="Arial"/>
          <w:sz w:val="20"/>
          <w:szCs w:val="20"/>
        </w:rPr>
        <w:t xml:space="preserve"> de </w:t>
      </w:r>
      <w:r w:rsidR="006D57F1" w:rsidRPr="006D57F1">
        <w:rPr>
          <w:rFonts w:ascii="Barlow" w:hAnsi="Barlow" w:cs="Arial"/>
          <w:sz w:val="20"/>
          <w:szCs w:val="20"/>
        </w:rPr>
        <w:t>enero</w:t>
      </w:r>
      <w:r w:rsidR="00BF1F48" w:rsidRPr="006D57F1">
        <w:rPr>
          <w:rFonts w:ascii="Barlow" w:hAnsi="Barlow" w:cs="Arial"/>
          <w:sz w:val="20"/>
          <w:szCs w:val="20"/>
        </w:rPr>
        <w:t xml:space="preserve"> </w:t>
      </w:r>
      <w:r w:rsidR="00E27571" w:rsidRPr="006D57F1">
        <w:rPr>
          <w:rFonts w:ascii="Barlow" w:hAnsi="Barlow" w:cs="Arial"/>
          <w:sz w:val="20"/>
          <w:szCs w:val="20"/>
        </w:rPr>
        <w:t xml:space="preserve">de </w:t>
      </w:r>
      <w:r w:rsidR="006D57F1" w:rsidRPr="006D57F1">
        <w:rPr>
          <w:rFonts w:ascii="Barlow" w:hAnsi="Barlow" w:cs="Arial"/>
          <w:sz w:val="20"/>
          <w:szCs w:val="20"/>
        </w:rPr>
        <w:t>2022 no</w:t>
      </w:r>
      <w:r w:rsidR="00BC4311" w:rsidRPr="006D57F1">
        <w:rPr>
          <w:rFonts w:ascii="Barlow" w:hAnsi="Barlow" w:cs="Arial"/>
          <w:sz w:val="20"/>
          <w:szCs w:val="20"/>
        </w:rPr>
        <w:t xml:space="preserve"> registra</w:t>
      </w:r>
      <w:r w:rsidR="00B71F24" w:rsidRPr="006D57F1">
        <w:rPr>
          <w:rFonts w:ascii="Barlow" w:hAnsi="Barlow" w:cs="Arial"/>
          <w:sz w:val="20"/>
          <w:szCs w:val="20"/>
        </w:rPr>
        <w:t xml:space="preserve"> en este rubro </w:t>
      </w:r>
      <w:r w:rsidR="00BC4311" w:rsidRPr="006D57F1">
        <w:rPr>
          <w:rFonts w:ascii="Barlow" w:hAnsi="Barlow" w:cs="Arial"/>
          <w:sz w:val="20"/>
          <w:szCs w:val="20"/>
        </w:rPr>
        <w:t xml:space="preserve">un saldo </w:t>
      </w:r>
      <w:r w:rsidR="006D57F1" w:rsidRPr="006D57F1">
        <w:rPr>
          <w:rFonts w:ascii="Barlow" w:hAnsi="Barlow" w:cs="Arial"/>
          <w:sz w:val="20"/>
          <w:szCs w:val="20"/>
        </w:rPr>
        <w:t>en otros activos circulantes</w:t>
      </w:r>
      <w:r w:rsidR="00E27571" w:rsidRPr="006D57F1">
        <w:rPr>
          <w:rFonts w:ascii="Barlow" w:hAnsi="Barlow" w:cs="Arial"/>
          <w:sz w:val="20"/>
          <w:szCs w:val="20"/>
        </w:rPr>
        <w:t>.</w:t>
      </w:r>
      <w:r w:rsidR="00705583" w:rsidRPr="006D57F1">
        <w:rPr>
          <w:rFonts w:ascii="Barlow" w:hAnsi="Barlow" w:cs="Arial"/>
          <w:sz w:val="20"/>
          <w:szCs w:val="20"/>
        </w:rPr>
        <w:t xml:space="preserve"> </w:t>
      </w:r>
    </w:p>
    <w:p w14:paraId="6DE767CB" w14:textId="77777777" w:rsidR="00CE30E1" w:rsidRPr="006D57F1" w:rsidRDefault="00CE30E1" w:rsidP="00C4137E">
      <w:pPr>
        <w:autoSpaceDE w:val="0"/>
        <w:autoSpaceDN w:val="0"/>
        <w:adjustRightInd w:val="0"/>
        <w:spacing w:line="360" w:lineRule="auto"/>
        <w:jc w:val="both"/>
        <w:rPr>
          <w:rFonts w:ascii="Barlow" w:hAnsi="Barlow" w:cs="Arial"/>
          <w:sz w:val="20"/>
          <w:szCs w:val="20"/>
        </w:rPr>
      </w:pPr>
    </w:p>
    <w:p w14:paraId="51FE69CB" w14:textId="73982F04" w:rsidR="00455288" w:rsidRPr="006D57F1" w:rsidRDefault="002D1B96"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sz w:val="20"/>
          <w:szCs w:val="20"/>
        </w:rPr>
        <w:t xml:space="preserve"> </w:t>
      </w:r>
      <w:r w:rsidR="00455288" w:rsidRPr="006D57F1">
        <w:rPr>
          <w:rFonts w:ascii="Barlow" w:hAnsi="Barlow" w:cs="Arial"/>
          <w:b/>
          <w:sz w:val="20"/>
          <w:szCs w:val="20"/>
        </w:rPr>
        <w:t>Pasivos</w:t>
      </w:r>
    </w:p>
    <w:p w14:paraId="282D608C" w14:textId="79574613" w:rsidR="008273DF" w:rsidRPr="006D57F1" w:rsidRDefault="00455288" w:rsidP="00C4137E">
      <w:pPr>
        <w:tabs>
          <w:tab w:val="left" w:pos="540"/>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1</w:t>
      </w:r>
      <w:r w:rsidR="008273DF" w:rsidRPr="006D57F1">
        <w:rPr>
          <w:rFonts w:ascii="Barlow" w:hAnsi="Barlow" w:cs="Arial"/>
          <w:sz w:val="20"/>
          <w:szCs w:val="20"/>
        </w:rPr>
        <w:t xml:space="preserve">.- </w:t>
      </w:r>
      <w:r w:rsidR="006F452C" w:rsidRPr="006D57F1">
        <w:rPr>
          <w:rFonts w:ascii="Barlow" w:hAnsi="Barlow" w:cs="Arial"/>
          <w:sz w:val="20"/>
          <w:szCs w:val="20"/>
        </w:rPr>
        <w:t xml:space="preserve">El </w:t>
      </w:r>
      <w:r w:rsidR="006D57F1" w:rsidRPr="006D57F1">
        <w:rPr>
          <w:rFonts w:ascii="Barlow" w:hAnsi="Barlow" w:cs="Arial"/>
          <w:sz w:val="20"/>
          <w:szCs w:val="20"/>
        </w:rPr>
        <w:t>instituto al</w:t>
      </w:r>
      <w:r w:rsidR="006F452C" w:rsidRPr="006D57F1">
        <w:rPr>
          <w:rFonts w:ascii="Barlow" w:hAnsi="Barlow" w:cs="Arial"/>
          <w:sz w:val="20"/>
          <w:szCs w:val="20"/>
        </w:rPr>
        <w:t xml:space="preserve"> 2</w:t>
      </w:r>
      <w:r w:rsidR="00B5499E" w:rsidRPr="006D57F1">
        <w:rPr>
          <w:rFonts w:ascii="Barlow" w:hAnsi="Barlow" w:cs="Arial"/>
          <w:sz w:val="20"/>
          <w:szCs w:val="20"/>
        </w:rPr>
        <w:t>7</w:t>
      </w:r>
      <w:r w:rsidR="006F452C" w:rsidRPr="006D57F1">
        <w:rPr>
          <w:rFonts w:ascii="Barlow" w:hAnsi="Barlow" w:cs="Arial"/>
          <w:sz w:val="20"/>
          <w:szCs w:val="20"/>
        </w:rPr>
        <w:t xml:space="preserve"> de </w:t>
      </w:r>
      <w:r w:rsidR="006D57F1" w:rsidRPr="006D57F1">
        <w:rPr>
          <w:rFonts w:ascii="Barlow" w:hAnsi="Barlow" w:cs="Arial"/>
          <w:sz w:val="20"/>
          <w:szCs w:val="20"/>
        </w:rPr>
        <w:t>enero</w:t>
      </w:r>
      <w:r w:rsidR="006F452C" w:rsidRPr="006D57F1">
        <w:rPr>
          <w:rFonts w:ascii="Barlow" w:hAnsi="Barlow" w:cs="Arial"/>
          <w:sz w:val="20"/>
          <w:szCs w:val="20"/>
        </w:rPr>
        <w:t xml:space="preserve"> de </w:t>
      </w:r>
      <w:r w:rsidR="006D57F1" w:rsidRPr="006D57F1">
        <w:rPr>
          <w:rFonts w:ascii="Barlow" w:hAnsi="Barlow" w:cs="Arial"/>
          <w:sz w:val="20"/>
          <w:szCs w:val="20"/>
        </w:rPr>
        <w:t>2022 no</w:t>
      </w:r>
      <w:r w:rsidR="006F452C" w:rsidRPr="006D57F1">
        <w:rPr>
          <w:rFonts w:ascii="Barlow" w:hAnsi="Barlow" w:cs="Arial"/>
          <w:sz w:val="20"/>
          <w:szCs w:val="20"/>
        </w:rPr>
        <w:t xml:space="preserve"> cuenta con saldo en </w:t>
      </w:r>
      <w:r w:rsidR="00C1329B" w:rsidRPr="006D57F1">
        <w:rPr>
          <w:rFonts w:ascii="Barlow" w:hAnsi="Barlow" w:cs="Arial"/>
          <w:sz w:val="20"/>
          <w:szCs w:val="20"/>
        </w:rPr>
        <w:t>cuenta por pagar a corto plazo</w:t>
      </w:r>
      <w:r w:rsidR="006F452C" w:rsidRPr="006D57F1">
        <w:rPr>
          <w:rFonts w:ascii="Barlow" w:hAnsi="Barlow" w:cs="Arial"/>
          <w:sz w:val="20"/>
          <w:szCs w:val="20"/>
        </w:rPr>
        <w:t>.</w:t>
      </w:r>
    </w:p>
    <w:p w14:paraId="1E349A91" w14:textId="77777777" w:rsidR="00B93FA0" w:rsidRPr="006D57F1" w:rsidRDefault="00B93FA0" w:rsidP="00C4137E">
      <w:pPr>
        <w:autoSpaceDE w:val="0"/>
        <w:autoSpaceDN w:val="0"/>
        <w:adjustRightInd w:val="0"/>
        <w:spacing w:line="360" w:lineRule="auto"/>
        <w:jc w:val="both"/>
        <w:rPr>
          <w:rFonts w:ascii="Barlow" w:hAnsi="Barlow" w:cs="Arial"/>
          <w:b/>
          <w:sz w:val="20"/>
          <w:szCs w:val="20"/>
        </w:rPr>
      </w:pPr>
    </w:p>
    <w:p w14:paraId="2DB33CA8" w14:textId="77777777" w:rsidR="00455288" w:rsidRPr="006D57F1" w:rsidRDefault="00455288"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lastRenderedPageBreak/>
        <w:t>II) NOTAS AL ESTADO DE ACTIVIDADES</w:t>
      </w:r>
    </w:p>
    <w:p w14:paraId="502ABC51" w14:textId="77777777" w:rsidR="0036136E" w:rsidRPr="006D57F1" w:rsidRDefault="0036136E" w:rsidP="00C4137E">
      <w:pPr>
        <w:autoSpaceDE w:val="0"/>
        <w:autoSpaceDN w:val="0"/>
        <w:adjustRightInd w:val="0"/>
        <w:spacing w:line="360" w:lineRule="auto"/>
        <w:jc w:val="both"/>
        <w:rPr>
          <w:rFonts w:ascii="Barlow" w:hAnsi="Barlow" w:cs="Arial"/>
          <w:b/>
          <w:sz w:val="20"/>
          <w:szCs w:val="20"/>
        </w:rPr>
      </w:pPr>
    </w:p>
    <w:p w14:paraId="12874D9D" w14:textId="77777777" w:rsidR="00F67ABD" w:rsidRPr="006D57F1" w:rsidRDefault="00F67ABD"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Ingresos de Gestión</w:t>
      </w:r>
    </w:p>
    <w:p w14:paraId="7D98E2E7" w14:textId="77777777" w:rsidR="007A3D91" w:rsidRPr="006D57F1" w:rsidRDefault="007A3D91" w:rsidP="00C4137E">
      <w:pPr>
        <w:autoSpaceDE w:val="0"/>
        <w:autoSpaceDN w:val="0"/>
        <w:adjustRightInd w:val="0"/>
        <w:spacing w:line="360" w:lineRule="auto"/>
        <w:jc w:val="both"/>
        <w:rPr>
          <w:rFonts w:ascii="Barlow" w:hAnsi="Barlow" w:cs="Arial"/>
          <w:sz w:val="20"/>
          <w:szCs w:val="20"/>
        </w:rPr>
      </w:pPr>
    </w:p>
    <w:p w14:paraId="26847149" w14:textId="37EF0BF9" w:rsidR="007A3D91" w:rsidRPr="006D57F1" w:rsidRDefault="007A3D91"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Los ingresos por venta de bienes y servicios se conforman por los siguientes conceptos de taquilla: Cuota Boleto Extranjero, Cuota Boleto Nacional, Cuota Boleto Niño Nacional, Cuota Boleto Residente Yucatán, Cuota Boleto Niño Yucateco, Cuota Boleto Estudiante, Cuota Boleto </w:t>
      </w:r>
      <w:r w:rsidR="006D57F1" w:rsidRPr="006D57F1">
        <w:rPr>
          <w:rFonts w:ascii="Barlow" w:hAnsi="Barlow" w:cs="Arial"/>
          <w:sz w:val="20"/>
          <w:szCs w:val="20"/>
        </w:rPr>
        <w:t>Adulto,</w:t>
      </w:r>
      <w:r w:rsidRPr="006D57F1">
        <w:rPr>
          <w:rFonts w:ascii="Barlow" w:hAnsi="Barlow" w:cs="Arial"/>
          <w:sz w:val="20"/>
          <w:szCs w:val="20"/>
        </w:rPr>
        <w:t xml:space="preserve"> Otros Ingresos; de igual manera lo conforman los ingresos por Estacionamiento y las rentas de locales y espacios del Gran Museo del Mundo Maya de Mérida.</w:t>
      </w:r>
    </w:p>
    <w:p w14:paraId="05C6E9BF" w14:textId="77777777" w:rsidR="00B5499E" w:rsidRPr="006D57F1" w:rsidRDefault="00B5499E" w:rsidP="00C4137E">
      <w:pPr>
        <w:autoSpaceDE w:val="0"/>
        <w:autoSpaceDN w:val="0"/>
        <w:adjustRightInd w:val="0"/>
        <w:spacing w:line="360" w:lineRule="auto"/>
        <w:jc w:val="both"/>
        <w:rPr>
          <w:rFonts w:ascii="Barlow" w:hAnsi="Barlow" w:cs="Arial"/>
          <w:sz w:val="20"/>
          <w:szCs w:val="20"/>
        </w:rPr>
      </w:pPr>
    </w:p>
    <w:p w14:paraId="31F0E7B5" w14:textId="675EA5B6" w:rsidR="008A19B7" w:rsidRDefault="00071FE0"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Cabe hacer mención que debido a que el Instituto se encuentra en proceso de extinción, los ingresos de bienes y servicios que forman parte de la taquilla s</w:t>
      </w:r>
      <w:r w:rsidR="00B5499E" w:rsidRPr="006D57F1">
        <w:rPr>
          <w:rFonts w:ascii="Barlow" w:hAnsi="Barlow" w:cs="Arial"/>
          <w:sz w:val="20"/>
          <w:szCs w:val="20"/>
        </w:rPr>
        <w:t>on</w:t>
      </w:r>
      <w:r w:rsidRPr="006D57F1">
        <w:rPr>
          <w:rFonts w:ascii="Barlow" w:hAnsi="Barlow" w:cs="Arial"/>
          <w:sz w:val="20"/>
          <w:szCs w:val="20"/>
        </w:rPr>
        <w:t xml:space="preserve"> cobr</w:t>
      </w:r>
      <w:r w:rsidR="00B743EF" w:rsidRPr="006D57F1">
        <w:rPr>
          <w:rFonts w:ascii="Barlow" w:hAnsi="Barlow" w:cs="Arial"/>
          <w:sz w:val="20"/>
          <w:szCs w:val="20"/>
        </w:rPr>
        <w:t xml:space="preserve">ados por la Agencia de Administración Fiscal de Yucatán la cual depende </w:t>
      </w:r>
      <w:r w:rsidR="00CE3CA5" w:rsidRPr="006D57F1">
        <w:rPr>
          <w:rFonts w:ascii="Barlow" w:hAnsi="Barlow" w:cs="Arial"/>
          <w:sz w:val="20"/>
          <w:szCs w:val="20"/>
        </w:rPr>
        <w:t xml:space="preserve">de </w:t>
      </w:r>
      <w:r w:rsidR="00B743EF" w:rsidRPr="006D57F1">
        <w:rPr>
          <w:rFonts w:ascii="Barlow" w:hAnsi="Barlow" w:cs="Arial"/>
          <w:sz w:val="20"/>
          <w:szCs w:val="20"/>
        </w:rPr>
        <w:t xml:space="preserve">la Secretaria de Administración y Finanzas. </w:t>
      </w:r>
    </w:p>
    <w:p w14:paraId="35081AD9" w14:textId="77777777" w:rsidR="006D57F1" w:rsidRPr="006D57F1" w:rsidRDefault="006D57F1" w:rsidP="00C4137E">
      <w:pPr>
        <w:autoSpaceDE w:val="0"/>
        <w:autoSpaceDN w:val="0"/>
        <w:adjustRightInd w:val="0"/>
        <w:spacing w:line="360" w:lineRule="auto"/>
        <w:jc w:val="both"/>
        <w:rPr>
          <w:rFonts w:ascii="Barlow" w:hAnsi="Barlow" w:cs="Arial"/>
          <w:sz w:val="20"/>
          <w:szCs w:val="20"/>
        </w:rPr>
      </w:pPr>
    </w:p>
    <w:p w14:paraId="5A35267C" w14:textId="2925C474" w:rsidR="00455288" w:rsidRPr="006D57F1" w:rsidRDefault="00455288" w:rsidP="00C4137E">
      <w:pPr>
        <w:autoSpaceDE w:val="0"/>
        <w:autoSpaceDN w:val="0"/>
        <w:adjustRightInd w:val="0"/>
        <w:spacing w:line="360" w:lineRule="auto"/>
        <w:jc w:val="both"/>
        <w:rPr>
          <w:rFonts w:ascii="Barlow" w:hAnsi="Barlow" w:cs="Arial"/>
          <w:bCs/>
          <w:sz w:val="20"/>
          <w:szCs w:val="20"/>
        </w:rPr>
      </w:pPr>
      <w:r w:rsidRPr="006D57F1">
        <w:rPr>
          <w:rFonts w:ascii="Barlow" w:hAnsi="Barlow" w:cs="Arial"/>
          <w:bCs/>
          <w:sz w:val="20"/>
          <w:szCs w:val="20"/>
        </w:rPr>
        <w:t xml:space="preserve"> Las cuentas que integran los ingresos de la gestión, presentan los siguientes saldos:</w:t>
      </w:r>
    </w:p>
    <w:p w14:paraId="0C7DE11C" w14:textId="4A856630" w:rsidR="00B743EF" w:rsidRPr="006D57F1" w:rsidRDefault="00B743EF" w:rsidP="00C4137E">
      <w:pPr>
        <w:autoSpaceDE w:val="0"/>
        <w:autoSpaceDN w:val="0"/>
        <w:adjustRightInd w:val="0"/>
        <w:spacing w:line="360" w:lineRule="auto"/>
        <w:jc w:val="both"/>
        <w:rPr>
          <w:rFonts w:ascii="Barlow" w:hAnsi="Barlow" w:cs="Arial"/>
          <w:bCs/>
          <w:sz w:val="20"/>
          <w:szCs w:val="20"/>
        </w:rPr>
      </w:pPr>
      <w:bookmarkStart w:id="3" w:name="m12"/>
      <w:bookmarkEnd w:id="3"/>
    </w:p>
    <w:tbl>
      <w:tblPr>
        <w:tblpPr w:leftFromText="141" w:rightFromText="141" w:vertAnchor="page" w:horzAnchor="page" w:tblpX="3316" w:tblpY="2641"/>
        <w:tblW w:w="5570" w:type="dxa"/>
        <w:tblCellMar>
          <w:left w:w="70" w:type="dxa"/>
          <w:right w:w="70" w:type="dxa"/>
        </w:tblCellMar>
        <w:tblLook w:val="04A0" w:firstRow="1" w:lastRow="0" w:firstColumn="1" w:lastColumn="0" w:noHBand="0" w:noVBand="1"/>
      </w:tblPr>
      <w:tblGrid>
        <w:gridCol w:w="2268"/>
        <w:gridCol w:w="1771"/>
        <w:gridCol w:w="1531"/>
      </w:tblGrid>
      <w:tr w:rsidR="008A19B7" w:rsidRPr="006D57F1" w14:paraId="0E038805" w14:textId="77777777" w:rsidTr="008A19B7">
        <w:trPr>
          <w:trHeight w:val="900"/>
        </w:trPr>
        <w:tc>
          <w:tcPr>
            <w:tcW w:w="2268" w:type="dxa"/>
            <w:tcBorders>
              <w:top w:val="nil"/>
              <w:left w:val="nil"/>
              <w:bottom w:val="nil"/>
              <w:right w:val="nil"/>
            </w:tcBorders>
            <w:shd w:val="clear" w:color="auto" w:fill="auto"/>
            <w:vAlign w:val="center"/>
            <w:hideMark/>
          </w:tcPr>
          <w:p w14:paraId="2C75F20B" w14:textId="77777777" w:rsidR="008A19B7" w:rsidRPr="006D57F1" w:rsidRDefault="008A19B7" w:rsidP="008A19B7">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lastRenderedPageBreak/>
              <w:t>INGRESOS Y OTROS BENEFICIOS</w:t>
            </w:r>
          </w:p>
        </w:tc>
        <w:tc>
          <w:tcPr>
            <w:tcW w:w="1771" w:type="dxa"/>
            <w:tcBorders>
              <w:top w:val="nil"/>
              <w:left w:val="nil"/>
              <w:bottom w:val="nil"/>
              <w:right w:val="nil"/>
            </w:tcBorders>
            <w:shd w:val="clear" w:color="auto" w:fill="auto"/>
            <w:vAlign w:val="center"/>
            <w:hideMark/>
          </w:tcPr>
          <w:p w14:paraId="43D35C0C" w14:textId="17B68CEF" w:rsidR="008A19B7" w:rsidRPr="006D57F1" w:rsidRDefault="008A19B7" w:rsidP="008A19B7">
            <w:pPr>
              <w:jc w:val="center"/>
              <w:rPr>
                <w:rFonts w:ascii="Barlow" w:hAnsi="Barlow" w:cs="Calibri"/>
                <w:b/>
                <w:bCs/>
                <w:color w:val="000000"/>
                <w:sz w:val="20"/>
                <w:szCs w:val="20"/>
                <w:lang w:eastAsia="es-MX"/>
              </w:rPr>
            </w:pPr>
            <w:r w:rsidRPr="006D57F1">
              <w:rPr>
                <w:rFonts w:ascii="Barlow" w:hAnsi="Barlow" w:cs="Calibri"/>
                <w:b/>
                <w:bCs/>
                <w:color w:val="000000"/>
                <w:sz w:val="20"/>
                <w:szCs w:val="20"/>
                <w:lang w:eastAsia="es-MX"/>
              </w:rPr>
              <w:t>INGRESO ACUMULADO A 2</w:t>
            </w:r>
            <w:r w:rsidR="00B5499E" w:rsidRPr="006D57F1">
              <w:rPr>
                <w:rFonts w:ascii="Barlow" w:hAnsi="Barlow" w:cs="Calibri"/>
                <w:b/>
                <w:bCs/>
                <w:color w:val="000000"/>
                <w:sz w:val="20"/>
                <w:szCs w:val="20"/>
                <w:lang w:eastAsia="es-MX"/>
              </w:rPr>
              <w:t>7</w:t>
            </w:r>
            <w:r w:rsidRPr="006D57F1">
              <w:rPr>
                <w:rFonts w:ascii="Barlow" w:hAnsi="Barlow" w:cs="Calibri"/>
                <w:b/>
                <w:bCs/>
                <w:color w:val="000000"/>
                <w:sz w:val="20"/>
                <w:szCs w:val="20"/>
                <w:lang w:eastAsia="es-MX"/>
              </w:rPr>
              <w:t xml:space="preserve"> Enero 2022</w:t>
            </w:r>
          </w:p>
        </w:tc>
        <w:tc>
          <w:tcPr>
            <w:tcW w:w="1531" w:type="dxa"/>
            <w:tcBorders>
              <w:top w:val="nil"/>
              <w:left w:val="nil"/>
              <w:bottom w:val="nil"/>
              <w:right w:val="nil"/>
            </w:tcBorders>
            <w:shd w:val="clear" w:color="auto" w:fill="auto"/>
            <w:vAlign w:val="center"/>
            <w:hideMark/>
          </w:tcPr>
          <w:p w14:paraId="1E7F2036" w14:textId="3B8BDE67" w:rsidR="008A19B7" w:rsidRPr="006D57F1" w:rsidRDefault="008A19B7" w:rsidP="008A19B7">
            <w:pPr>
              <w:jc w:val="center"/>
              <w:rPr>
                <w:rFonts w:ascii="Barlow" w:hAnsi="Barlow" w:cs="Calibri"/>
                <w:b/>
                <w:bCs/>
                <w:color w:val="000000"/>
                <w:sz w:val="20"/>
                <w:szCs w:val="20"/>
                <w:lang w:eastAsia="es-MX"/>
              </w:rPr>
            </w:pPr>
            <w:r w:rsidRPr="006D57F1">
              <w:rPr>
                <w:rFonts w:ascii="Barlow" w:hAnsi="Barlow" w:cs="Calibri"/>
                <w:b/>
                <w:bCs/>
                <w:color w:val="000000"/>
                <w:sz w:val="20"/>
                <w:szCs w:val="20"/>
                <w:lang w:eastAsia="es-MX"/>
              </w:rPr>
              <w:t>INGRESO ACUMULADO A Enero 2021</w:t>
            </w:r>
          </w:p>
        </w:tc>
      </w:tr>
      <w:tr w:rsidR="008A19B7" w:rsidRPr="006D57F1" w14:paraId="1EBA21BA" w14:textId="77777777" w:rsidTr="008A19B7">
        <w:trPr>
          <w:trHeight w:val="300"/>
        </w:trPr>
        <w:tc>
          <w:tcPr>
            <w:tcW w:w="2268" w:type="dxa"/>
            <w:tcBorders>
              <w:top w:val="nil"/>
              <w:left w:val="nil"/>
              <w:bottom w:val="nil"/>
              <w:right w:val="nil"/>
            </w:tcBorders>
            <w:shd w:val="clear" w:color="auto" w:fill="auto"/>
            <w:vAlign w:val="center"/>
            <w:hideMark/>
          </w:tcPr>
          <w:p w14:paraId="3885D779" w14:textId="77777777" w:rsidR="008A19B7" w:rsidRPr="006D57F1" w:rsidRDefault="008A19B7" w:rsidP="008A19B7">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1.- INGRESOS DE GESTIÓN</w:t>
            </w:r>
          </w:p>
        </w:tc>
        <w:tc>
          <w:tcPr>
            <w:tcW w:w="1771" w:type="dxa"/>
            <w:tcBorders>
              <w:top w:val="nil"/>
              <w:left w:val="nil"/>
              <w:bottom w:val="nil"/>
              <w:right w:val="nil"/>
            </w:tcBorders>
            <w:shd w:val="clear" w:color="auto" w:fill="auto"/>
            <w:vAlign w:val="center"/>
            <w:hideMark/>
          </w:tcPr>
          <w:p w14:paraId="01A80485" w14:textId="77777777" w:rsidR="008A19B7" w:rsidRPr="006D57F1" w:rsidRDefault="008A19B7" w:rsidP="008A19B7">
            <w:pPr>
              <w:jc w:val="both"/>
              <w:rPr>
                <w:rFonts w:ascii="Barlow" w:hAnsi="Barlow" w:cs="Calibri"/>
                <w:b/>
                <w:bCs/>
                <w:color w:val="000000"/>
                <w:sz w:val="20"/>
                <w:szCs w:val="20"/>
                <w:lang w:eastAsia="es-MX"/>
              </w:rPr>
            </w:pPr>
          </w:p>
        </w:tc>
        <w:tc>
          <w:tcPr>
            <w:tcW w:w="1531" w:type="dxa"/>
            <w:tcBorders>
              <w:top w:val="nil"/>
              <w:left w:val="nil"/>
              <w:bottom w:val="nil"/>
              <w:right w:val="nil"/>
            </w:tcBorders>
            <w:shd w:val="clear" w:color="auto" w:fill="auto"/>
            <w:vAlign w:val="center"/>
            <w:hideMark/>
          </w:tcPr>
          <w:p w14:paraId="25C20157" w14:textId="77777777" w:rsidR="008A19B7" w:rsidRPr="006D57F1" w:rsidRDefault="008A19B7" w:rsidP="008A19B7">
            <w:pPr>
              <w:rPr>
                <w:rFonts w:ascii="Barlow" w:hAnsi="Barlow"/>
                <w:sz w:val="20"/>
                <w:szCs w:val="20"/>
                <w:lang w:eastAsia="es-MX"/>
              </w:rPr>
            </w:pPr>
          </w:p>
        </w:tc>
      </w:tr>
      <w:tr w:rsidR="008A19B7" w:rsidRPr="006D57F1" w14:paraId="3A3B638A" w14:textId="77777777" w:rsidTr="008A19B7">
        <w:trPr>
          <w:trHeight w:val="540"/>
        </w:trPr>
        <w:tc>
          <w:tcPr>
            <w:tcW w:w="2268" w:type="dxa"/>
            <w:tcBorders>
              <w:top w:val="nil"/>
              <w:left w:val="nil"/>
              <w:bottom w:val="nil"/>
              <w:right w:val="nil"/>
            </w:tcBorders>
            <w:shd w:val="clear" w:color="auto" w:fill="auto"/>
            <w:vAlign w:val="center"/>
            <w:hideMark/>
          </w:tcPr>
          <w:p w14:paraId="65ACA79C" w14:textId="77777777" w:rsidR="008A19B7" w:rsidRPr="006D57F1" w:rsidRDefault="008A19B7" w:rsidP="008A19B7">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INGRESOS POR VENTA DE VIENES Y SERVICIOS</w:t>
            </w:r>
          </w:p>
        </w:tc>
        <w:tc>
          <w:tcPr>
            <w:tcW w:w="1771" w:type="dxa"/>
            <w:tcBorders>
              <w:top w:val="nil"/>
              <w:left w:val="nil"/>
              <w:bottom w:val="nil"/>
              <w:right w:val="nil"/>
            </w:tcBorders>
            <w:shd w:val="clear" w:color="auto" w:fill="auto"/>
            <w:vAlign w:val="center"/>
            <w:hideMark/>
          </w:tcPr>
          <w:p w14:paraId="2BA6F55C" w14:textId="77777777"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1" w:type="dxa"/>
            <w:tcBorders>
              <w:top w:val="nil"/>
              <w:left w:val="nil"/>
              <w:bottom w:val="nil"/>
              <w:right w:val="nil"/>
            </w:tcBorders>
            <w:shd w:val="clear" w:color="auto" w:fill="auto"/>
            <w:vAlign w:val="center"/>
            <w:hideMark/>
          </w:tcPr>
          <w:p w14:paraId="3F1F98F2" w14:textId="69F50DBA"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r>
      <w:tr w:rsidR="008A19B7" w:rsidRPr="006D57F1" w14:paraId="2CF22B8B" w14:textId="77777777" w:rsidTr="008A19B7">
        <w:trPr>
          <w:trHeight w:val="810"/>
        </w:trPr>
        <w:tc>
          <w:tcPr>
            <w:tcW w:w="2268" w:type="dxa"/>
            <w:tcBorders>
              <w:top w:val="nil"/>
              <w:left w:val="nil"/>
              <w:bottom w:val="nil"/>
              <w:right w:val="nil"/>
            </w:tcBorders>
            <w:shd w:val="clear" w:color="auto" w:fill="auto"/>
            <w:vAlign w:val="center"/>
            <w:hideMark/>
          </w:tcPr>
          <w:p w14:paraId="136686FE" w14:textId="77777777" w:rsidR="008A19B7" w:rsidRPr="006D57F1" w:rsidRDefault="008A19B7" w:rsidP="008A19B7">
            <w:pPr>
              <w:jc w:val="both"/>
              <w:rPr>
                <w:rFonts w:ascii="Barlow" w:hAnsi="Barlow" w:cs="Calibri"/>
                <w:b/>
                <w:bCs/>
                <w:color w:val="000000"/>
                <w:sz w:val="20"/>
                <w:szCs w:val="20"/>
                <w:lang w:eastAsia="es-MX"/>
              </w:rPr>
            </w:pPr>
          </w:p>
          <w:p w14:paraId="5F557A4A" w14:textId="77777777" w:rsidR="008A19B7" w:rsidRPr="006D57F1" w:rsidRDefault="008A19B7" w:rsidP="008A19B7">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2.- PARTICIPACION Y APORTACIONES, TRANSFERENCIAS </w:t>
            </w:r>
          </w:p>
        </w:tc>
        <w:tc>
          <w:tcPr>
            <w:tcW w:w="1771" w:type="dxa"/>
            <w:tcBorders>
              <w:top w:val="nil"/>
              <w:left w:val="nil"/>
              <w:bottom w:val="nil"/>
              <w:right w:val="nil"/>
            </w:tcBorders>
            <w:shd w:val="clear" w:color="auto" w:fill="auto"/>
            <w:vAlign w:val="center"/>
            <w:hideMark/>
          </w:tcPr>
          <w:p w14:paraId="6D4155AD" w14:textId="77777777" w:rsidR="008A19B7" w:rsidRPr="006D57F1" w:rsidRDefault="008A19B7" w:rsidP="008A19B7">
            <w:pPr>
              <w:jc w:val="both"/>
              <w:rPr>
                <w:rFonts w:ascii="Barlow" w:hAnsi="Barlow" w:cs="Calibri"/>
                <w:b/>
                <w:bCs/>
                <w:color w:val="000000"/>
                <w:sz w:val="20"/>
                <w:szCs w:val="20"/>
                <w:lang w:eastAsia="es-MX"/>
              </w:rPr>
            </w:pPr>
          </w:p>
        </w:tc>
        <w:tc>
          <w:tcPr>
            <w:tcW w:w="1531" w:type="dxa"/>
            <w:tcBorders>
              <w:top w:val="nil"/>
              <w:left w:val="nil"/>
              <w:bottom w:val="nil"/>
              <w:right w:val="nil"/>
            </w:tcBorders>
            <w:shd w:val="clear" w:color="auto" w:fill="auto"/>
            <w:vAlign w:val="center"/>
            <w:hideMark/>
          </w:tcPr>
          <w:p w14:paraId="7E80C428" w14:textId="77777777" w:rsidR="008A19B7" w:rsidRPr="006D57F1" w:rsidRDefault="008A19B7" w:rsidP="008A19B7">
            <w:pPr>
              <w:jc w:val="right"/>
              <w:rPr>
                <w:rFonts w:ascii="Barlow" w:hAnsi="Barlow"/>
                <w:sz w:val="20"/>
                <w:szCs w:val="20"/>
                <w:lang w:eastAsia="es-MX"/>
              </w:rPr>
            </w:pPr>
          </w:p>
        </w:tc>
      </w:tr>
      <w:tr w:rsidR="008A19B7" w:rsidRPr="006D57F1" w14:paraId="20F4EAF7" w14:textId="77777777" w:rsidTr="008A19B7">
        <w:trPr>
          <w:trHeight w:val="540"/>
        </w:trPr>
        <w:tc>
          <w:tcPr>
            <w:tcW w:w="2268" w:type="dxa"/>
            <w:tcBorders>
              <w:top w:val="nil"/>
              <w:left w:val="nil"/>
              <w:bottom w:val="nil"/>
              <w:right w:val="nil"/>
            </w:tcBorders>
            <w:shd w:val="clear" w:color="auto" w:fill="auto"/>
            <w:vAlign w:val="center"/>
            <w:hideMark/>
          </w:tcPr>
          <w:p w14:paraId="617D3475" w14:textId="77777777" w:rsidR="008A19B7" w:rsidRPr="006D57F1" w:rsidRDefault="008A19B7" w:rsidP="008A19B7">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xml:space="preserve">PARTICIPACION Y APORTACIONES </w:t>
            </w:r>
          </w:p>
        </w:tc>
        <w:tc>
          <w:tcPr>
            <w:tcW w:w="1771" w:type="dxa"/>
            <w:tcBorders>
              <w:top w:val="nil"/>
              <w:left w:val="nil"/>
              <w:bottom w:val="nil"/>
              <w:right w:val="nil"/>
            </w:tcBorders>
            <w:shd w:val="clear" w:color="auto" w:fill="auto"/>
            <w:vAlign w:val="center"/>
            <w:hideMark/>
          </w:tcPr>
          <w:p w14:paraId="1B5258DA" w14:textId="77777777"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1" w:type="dxa"/>
            <w:tcBorders>
              <w:top w:val="nil"/>
              <w:left w:val="nil"/>
              <w:bottom w:val="nil"/>
              <w:right w:val="nil"/>
            </w:tcBorders>
            <w:shd w:val="clear" w:color="auto" w:fill="auto"/>
            <w:vAlign w:val="center"/>
            <w:hideMark/>
          </w:tcPr>
          <w:p w14:paraId="41276FB3" w14:textId="77777777"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r>
      <w:tr w:rsidR="008A19B7" w:rsidRPr="006D57F1" w14:paraId="1CC68CBC" w14:textId="77777777" w:rsidTr="008A19B7">
        <w:trPr>
          <w:trHeight w:val="540"/>
        </w:trPr>
        <w:tc>
          <w:tcPr>
            <w:tcW w:w="2268" w:type="dxa"/>
            <w:tcBorders>
              <w:top w:val="nil"/>
              <w:left w:val="nil"/>
              <w:bottom w:val="nil"/>
              <w:right w:val="nil"/>
            </w:tcBorders>
            <w:shd w:val="clear" w:color="auto" w:fill="auto"/>
            <w:vAlign w:val="center"/>
            <w:hideMark/>
          </w:tcPr>
          <w:p w14:paraId="6EE6BD66" w14:textId="77777777" w:rsidR="008A19B7" w:rsidRPr="006D57F1" w:rsidRDefault="008A19B7" w:rsidP="008A19B7">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xml:space="preserve">TRANSFERENCIAS Y ASIGNACIONES </w:t>
            </w:r>
          </w:p>
        </w:tc>
        <w:tc>
          <w:tcPr>
            <w:tcW w:w="1771" w:type="dxa"/>
            <w:tcBorders>
              <w:top w:val="nil"/>
              <w:left w:val="nil"/>
              <w:bottom w:val="nil"/>
              <w:right w:val="nil"/>
            </w:tcBorders>
            <w:shd w:val="clear" w:color="auto" w:fill="auto"/>
            <w:vAlign w:val="center"/>
            <w:hideMark/>
          </w:tcPr>
          <w:p w14:paraId="24FCF0AF" w14:textId="77777777"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1" w:type="dxa"/>
            <w:tcBorders>
              <w:top w:val="nil"/>
              <w:left w:val="nil"/>
              <w:bottom w:val="nil"/>
              <w:right w:val="nil"/>
            </w:tcBorders>
            <w:shd w:val="clear" w:color="auto" w:fill="auto"/>
            <w:vAlign w:val="center"/>
            <w:hideMark/>
          </w:tcPr>
          <w:p w14:paraId="16AA4284" w14:textId="77777777"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r>
      <w:tr w:rsidR="008A19B7" w:rsidRPr="006D57F1" w14:paraId="7252BBBE" w14:textId="77777777" w:rsidTr="008A19B7">
        <w:trPr>
          <w:trHeight w:val="540"/>
        </w:trPr>
        <w:tc>
          <w:tcPr>
            <w:tcW w:w="2268" w:type="dxa"/>
            <w:tcBorders>
              <w:top w:val="nil"/>
              <w:left w:val="nil"/>
              <w:bottom w:val="nil"/>
              <w:right w:val="nil"/>
            </w:tcBorders>
            <w:shd w:val="clear" w:color="auto" w:fill="auto"/>
            <w:vAlign w:val="center"/>
            <w:hideMark/>
          </w:tcPr>
          <w:p w14:paraId="0811C66B" w14:textId="77777777" w:rsidR="008A19B7" w:rsidRPr="006D57F1" w:rsidRDefault="008A19B7" w:rsidP="008A19B7">
            <w:pPr>
              <w:jc w:val="both"/>
              <w:rPr>
                <w:rFonts w:ascii="Barlow" w:hAnsi="Barlow" w:cs="Calibri"/>
                <w:b/>
                <w:bCs/>
                <w:color w:val="000000"/>
                <w:sz w:val="20"/>
                <w:szCs w:val="20"/>
                <w:lang w:eastAsia="es-MX"/>
              </w:rPr>
            </w:pPr>
          </w:p>
          <w:p w14:paraId="2CF59A3D" w14:textId="77777777" w:rsidR="008A19B7" w:rsidRPr="006D57F1" w:rsidRDefault="008A19B7" w:rsidP="008A19B7">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3.- OTROS INGRESOS Y BENEFICIOS </w:t>
            </w:r>
          </w:p>
        </w:tc>
        <w:tc>
          <w:tcPr>
            <w:tcW w:w="1771" w:type="dxa"/>
            <w:tcBorders>
              <w:top w:val="nil"/>
              <w:left w:val="nil"/>
              <w:bottom w:val="nil"/>
              <w:right w:val="nil"/>
            </w:tcBorders>
            <w:shd w:val="clear" w:color="auto" w:fill="auto"/>
            <w:vAlign w:val="center"/>
            <w:hideMark/>
          </w:tcPr>
          <w:p w14:paraId="652AE5CF" w14:textId="77777777" w:rsidR="008A19B7" w:rsidRPr="006D57F1" w:rsidRDefault="008A19B7" w:rsidP="008A19B7">
            <w:pPr>
              <w:jc w:val="both"/>
              <w:rPr>
                <w:rFonts w:ascii="Barlow" w:hAnsi="Barlow" w:cs="Calibri"/>
                <w:b/>
                <w:bCs/>
                <w:color w:val="000000"/>
                <w:sz w:val="20"/>
                <w:szCs w:val="20"/>
                <w:lang w:eastAsia="es-MX"/>
              </w:rPr>
            </w:pPr>
          </w:p>
        </w:tc>
        <w:tc>
          <w:tcPr>
            <w:tcW w:w="1531" w:type="dxa"/>
            <w:tcBorders>
              <w:top w:val="nil"/>
              <w:left w:val="nil"/>
              <w:bottom w:val="nil"/>
              <w:right w:val="nil"/>
            </w:tcBorders>
            <w:shd w:val="clear" w:color="auto" w:fill="auto"/>
            <w:vAlign w:val="center"/>
            <w:hideMark/>
          </w:tcPr>
          <w:p w14:paraId="39BF1343" w14:textId="77777777" w:rsidR="008A19B7" w:rsidRPr="006D57F1" w:rsidRDefault="008A19B7" w:rsidP="008A19B7">
            <w:pPr>
              <w:jc w:val="right"/>
              <w:rPr>
                <w:rFonts w:ascii="Barlow" w:hAnsi="Barlow"/>
                <w:sz w:val="20"/>
                <w:szCs w:val="20"/>
                <w:lang w:eastAsia="es-MX"/>
              </w:rPr>
            </w:pPr>
          </w:p>
        </w:tc>
      </w:tr>
      <w:tr w:rsidR="008A19B7" w:rsidRPr="006D57F1" w14:paraId="3D01432F" w14:textId="77777777" w:rsidTr="008A19B7">
        <w:trPr>
          <w:trHeight w:val="300"/>
        </w:trPr>
        <w:tc>
          <w:tcPr>
            <w:tcW w:w="2268" w:type="dxa"/>
            <w:tcBorders>
              <w:top w:val="nil"/>
              <w:left w:val="nil"/>
              <w:bottom w:val="nil"/>
              <w:right w:val="nil"/>
            </w:tcBorders>
            <w:shd w:val="clear" w:color="auto" w:fill="auto"/>
            <w:vAlign w:val="center"/>
            <w:hideMark/>
          </w:tcPr>
          <w:p w14:paraId="6AF95006" w14:textId="77777777" w:rsidR="008A19B7" w:rsidRPr="006D57F1" w:rsidRDefault="008A19B7" w:rsidP="008A19B7">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PRODUCTOS</w:t>
            </w:r>
          </w:p>
        </w:tc>
        <w:tc>
          <w:tcPr>
            <w:tcW w:w="1771" w:type="dxa"/>
            <w:tcBorders>
              <w:top w:val="nil"/>
              <w:left w:val="nil"/>
              <w:bottom w:val="nil"/>
              <w:right w:val="nil"/>
            </w:tcBorders>
            <w:shd w:val="clear" w:color="auto" w:fill="auto"/>
            <w:vAlign w:val="center"/>
            <w:hideMark/>
          </w:tcPr>
          <w:p w14:paraId="797FD483" w14:textId="5CC9D864"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1" w:type="dxa"/>
            <w:tcBorders>
              <w:top w:val="nil"/>
              <w:left w:val="nil"/>
              <w:bottom w:val="nil"/>
              <w:right w:val="nil"/>
            </w:tcBorders>
            <w:shd w:val="clear" w:color="auto" w:fill="auto"/>
            <w:vAlign w:val="center"/>
            <w:hideMark/>
          </w:tcPr>
          <w:p w14:paraId="380899CE" w14:textId="550B6883"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2,653.19</w:t>
            </w:r>
          </w:p>
        </w:tc>
      </w:tr>
      <w:tr w:rsidR="008A19B7" w:rsidRPr="006D57F1" w14:paraId="18D26C26" w14:textId="77777777" w:rsidTr="008A19B7">
        <w:trPr>
          <w:trHeight w:val="315"/>
        </w:trPr>
        <w:tc>
          <w:tcPr>
            <w:tcW w:w="2268" w:type="dxa"/>
            <w:tcBorders>
              <w:top w:val="nil"/>
              <w:left w:val="nil"/>
              <w:bottom w:val="nil"/>
              <w:right w:val="nil"/>
            </w:tcBorders>
            <w:shd w:val="clear" w:color="auto" w:fill="auto"/>
            <w:vAlign w:val="center"/>
            <w:hideMark/>
          </w:tcPr>
          <w:p w14:paraId="747B499F" w14:textId="77777777" w:rsidR="008A19B7" w:rsidRPr="006D57F1" w:rsidRDefault="008A19B7" w:rsidP="008A19B7">
            <w:pPr>
              <w:jc w:val="right"/>
              <w:rPr>
                <w:rFonts w:ascii="Barlow" w:hAnsi="Barlow" w:cs="Calibri"/>
                <w:color w:val="000000"/>
                <w:sz w:val="20"/>
                <w:szCs w:val="20"/>
                <w:lang w:eastAsia="es-MX"/>
              </w:rPr>
            </w:pPr>
          </w:p>
        </w:tc>
        <w:tc>
          <w:tcPr>
            <w:tcW w:w="1771" w:type="dxa"/>
            <w:tcBorders>
              <w:top w:val="nil"/>
              <w:left w:val="nil"/>
              <w:bottom w:val="single" w:sz="8" w:space="0" w:color="auto"/>
              <w:right w:val="nil"/>
            </w:tcBorders>
            <w:shd w:val="clear" w:color="auto" w:fill="auto"/>
            <w:vAlign w:val="center"/>
            <w:hideMark/>
          </w:tcPr>
          <w:p w14:paraId="38C45A04" w14:textId="77777777" w:rsidR="008A19B7" w:rsidRPr="006D57F1" w:rsidRDefault="008A19B7" w:rsidP="008A19B7">
            <w:pPr>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1" w:type="dxa"/>
            <w:tcBorders>
              <w:top w:val="nil"/>
              <w:left w:val="nil"/>
              <w:bottom w:val="single" w:sz="8" w:space="0" w:color="auto"/>
              <w:right w:val="nil"/>
            </w:tcBorders>
            <w:shd w:val="clear" w:color="auto" w:fill="auto"/>
            <w:vAlign w:val="center"/>
            <w:hideMark/>
          </w:tcPr>
          <w:p w14:paraId="5FBE0BAA" w14:textId="77777777" w:rsidR="008A19B7" w:rsidRPr="006D57F1" w:rsidRDefault="008A19B7" w:rsidP="008A19B7">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r>
      <w:tr w:rsidR="008A19B7" w:rsidRPr="006D57F1" w14:paraId="4F242D6F" w14:textId="77777777" w:rsidTr="008A19B7">
        <w:trPr>
          <w:trHeight w:val="315"/>
        </w:trPr>
        <w:tc>
          <w:tcPr>
            <w:tcW w:w="2268" w:type="dxa"/>
            <w:tcBorders>
              <w:top w:val="nil"/>
              <w:left w:val="nil"/>
              <w:bottom w:val="nil"/>
              <w:right w:val="nil"/>
            </w:tcBorders>
            <w:shd w:val="clear" w:color="auto" w:fill="auto"/>
            <w:noWrap/>
            <w:hideMark/>
          </w:tcPr>
          <w:p w14:paraId="5B8BBD27" w14:textId="77777777" w:rsidR="008A19B7" w:rsidRPr="006D57F1" w:rsidRDefault="008A19B7" w:rsidP="008A19B7">
            <w:pPr>
              <w:jc w:val="right"/>
              <w:rPr>
                <w:rFonts w:ascii="Barlow" w:hAnsi="Barlow" w:cs="Calibri"/>
                <w:color w:val="000000"/>
                <w:sz w:val="20"/>
                <w:szCs w:val="20"/>
                <w:lang w:eastAsia="es-MX"/>
              </w:rPr>
            </w:pPr>
          </w:p>
        </w:tc>
        <w:tc>
          <w:tcPr>
            <w:tcW w:w="1771" w:type="dxa"/>
            <w:tcBorders>
              <w:top w:val="nil"/>
              <w:left w:val="nil"/>
              <w:bottom w:val="single" w:sz="8" w:space="0" w:color="auto"/>
              <w:right w:val="nil"/>
            </w:tcBorders>
            <w:shd w:val="clear" w:color="auto" w:fill="auto"/>
            <w:noWrap/>
            <w:vAlign w:val="center"/>
            <w:hideMark/>
          </w:tcPr>
          <w:p w14:paraId="1AE468B9" w14:textId="7B04464D" w:rsidR="008A19B7" w:rsidRPr="006D57F1" w:rsidRDefault="008A19B7" w:rsidP="008A19B7">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c>
          <w:tcPr>
            <w:tcW w:w="1531" w:type="dxa"/>
            <w:tcBorders>
              <w:top w:val="nil"/>
              <w:left w:val="nil"/>
              <w:bottom w:val="single" w:sz="8" w:space="0" w:color="auto"/>
              <w:right w:val="nil"/>
            </w:tcBorders>
            <w:shd w:val="clear" w:color="auto" w:fill="auto"/>
            <w:vAlign w:val="center"/>
            <w:hideMark/>
          </w:tcPr>
          <w:p w14:paraId="479235BB" w14:textId="2E9D6B72" w:rsidR="008A19B7" w:rsidRPr="006D57F1" w:rsidRDefault="008A19B7" w:rsidP="008A19B7">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2,653.19</w:t>
            </w:r>
          </w:p>
        </w:tc>
      </w:tr>
    </w:tbl>
    <w:p w14:paraId="7AAE27F6" w14:textId="77777777"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1297E52F" w14:textId="683FE668" w:rsidR="00B743EF" w:rsidRPr="006D57F1" w:rsidRDefault="00B743EF" w:rsidP="00C4137E">
      <w:pPr>
        <w:autoSpaceDE w:val="0"/>
        <w:autoSpaceDN w:val="0"/>
        <w:adjustRightInd w:val="0"/>
        <w:spacing w:line="360" w:lineRule="auto"/>
        <w:jc w:val="both"/>
        <w:rPr>
          <w:rFonts w:ascii="Barlow" w:hAnsi="Barlow" w:cs="Arial"/>
          <w:bCs/>
          <w:sz w:val="20"/>
          <w:szCs w:val="20"/>
        </w:rPr>
      </w:pPr>
    </w:p>
    <w:p w14:paraId="767715AB" w14:textId="518744EB" w:rsidR="00B743EF" w:rsidRPr="006D57F1" w:rsidRDefault="00B743EF" w:rsidP="00C4137E">
      <w:pPr>
        <w:autoSpaceDE w:val="0"/>
        <w:autoSpaceDN w:val="0"/>
        <w:adjustRightInd w:val="0"/>
        <w:spacing w:line="360" w:lineRule="auto"/>
        <w:jc w:val="both"/>
        <w:rPr>
          <w:rFonts w:ascii="Barlow" w:hAnsi="Barlow" w:cs="Arial"/>
          <w:bCs/>
          <w:sz w:val="20"/>
          <w:szCs w:val="20"/>
        </w:rPr>
      </w:pPr>
    </w:p>
    <w:p w14:paraId="4D6BD8B1" w14:textId="063FF11F" w:rsidR="00B743EF" w:rsidRPr="006D57F1" w:rsidRDefault="00B743EF" w:rsidP="00C4137E">
      <w:pPr>
        <w:autoSpaceDE w:val="0"/>
        <w:autoSpaceDN w:val="0"/>
        <w:adjustRightInd w:val="0"/>
        <w:spacing w:line="360" w:lineRule="auto"/>
        <w:jc w:val="both"/>
        <w:rPr>
          <w:rFonts w:ascii="Barlow" w:hAnsi="Barlow" w:cs="Arial"/>
          <w:bCs/>
          <w:sz w:val="20"/>
          <w:szCs w:val="20"/>
        </w:rPr>
      </w:pPr>
    </w:p>
    <w:p w14:paraId="5E11E357" w14:textId="6F4B5978"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38B43AC5" w14:textId="753F59E0"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1A67DD10" w14:textId="1D987DDD"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7E2152F6" w14:textId="5F7892BD"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2FA241BD" w14:textId="7EC0CAC5"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452FE2F9" w14:textId="59234A97"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39F15E6B" w14:textId="7BC0075C"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10E7421F" w14:textId="12E04FBE"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425FF381" w14:textId="77777777" w:rsidR="008A19B7" w:rsidRPr="006D57F1" w:rsidRDefault="008A19B7" w:rsidP="00C4137E">
      <w:pPr>
        <w:autoSpaceDE w:val="0"/>
        <w:autoSpaceDN w:val="0"/>
        <w:adjustRightInd w:val="0"/>
        <w:spacing w:line="360" w:lineRule="auto"/>
        <w:jc w:val="both"/>
        <w:rPr>
          <w:rFonts w:ascii="Barlow" w:hAnsi="Barlow" w:cs="Arial"/>
          <w:bCs/>
          <w:sz w:val="20"/>
          <w:szCs w:val="20"/>
        </w:rPr>
      </w:pPr>
    </w:p>
    <w:p w14:paraId="19AC673A" w14:textId="77777777" w:rsidR="007A3D91" w:rsidRPr="006D57F1" w:rsidRDefault="007A3D91" w:rsidP="00C4137E">
      <w:pPr>
        <w:autoSpaceDE w:val="0"/>
        <w:autoSpaceDN w:val="0"/>
        <w:adjustRightInd w:val="0"/>
        <w:spacing w:line="360" w:lineRule="auto"/>
        <w:jc w:val="both"/>
        <w:rPr>
          <w:rFonts w:ascii="Barlow" w:hAnsi="Barlow" w:cs="Arial"/>
          <w:bCs/>
          <w:sz w:val="20"/>
          <w:szCs w:val="20"/>
        </w:rPr>
      </w:pPr>
    </w:p>
    <w:p w14:paraId="18C7F345" w14:textId="49CC5776" w:rsidR="00F052ED" w:rsidRPr="006D57F1" w:rsidRDefault="00F052ED" w:rsidP="00C4137E">
      <w:pPr>
        <w:autoSpaceDE w:val="0"/>
        <w:autoSpaceDN w:val="0"/>
        <w:adjustRightInd w:val="0"/>
        <w:spacing w:line="360" w:lineRule="auto"/>
        <w:jc w:val="both"/>
        <w:rPr>
          <w:rFonts w:ascii="Barlow" w:hAnsi="Barlow" w:cs="Arial"/>
          <w:bCs/>
          <w:sz w:val="20"/>
          <w:szCs w:val="20"/>
        </w:rPr>
      </w:pPr>
    </w:p>
    <w:p w14:paraId="3F4428F4" w14:textId="34E3DF60" w:rsidR="00F052ED" w:rsidRPr="006D57F1" w:rsidRDefault="00F052ED" w:rsidP="00C4137E">
      <w:pPr>
        <w:autoSpaceDE w:val="0"/>
        <w:autoSpaceDN w:val="0"/>
        <w:adjustRightInd w:val="0"/>
        <w:spacing w:line="360" w:lineRule="auto"/>
        <w:jc w:val="both"/>
        <w:rPr>
          <w:rFonts w:ascii="Barlow" w:hAnsi="Barlow" w:cs="Arial"/>
          <w:bCs/>
          <w:sz w:val="20"/>
          <w:szCs w:val="20"/>
        </w:rPr>
      </w:pPr>
    </w:p>
    <w:p w14:paraId="3B2DB9CC" w14:textId="77777777" w:rsidR="00331938" w:rsidRPr="006D57F1" w:rsidRDefault="00331938" w:rsidP="00C4137E">
      <w:pPr>
        <w:autoSpaceDE w:val="0"/>
        <w:autoSpaceDN w:val="0"/>
        <w:adjustRightInd w:val="0"/>
        <w:spacing w:line="360" w:lineRule="auto"/>
        <w:jc w:val="both"/>
        <w:rPr>
          <w:rFonts w:ascii="Barlow" w:hAnsi="Barlow" w:cs="Arial"/>
          <w:b/>
          <w:sz w:val="20"/>
          <w:szCs w:val="20"/>
        </w:rPr>
      </w:pPr>
    </w:p>
    <w:p w14:paraId="0345C4F8" w14:textId="77777777" w:rsidR="0094498C" w:rsidRPr="006D57F1" w:rsidRDefault="0094498C" w:rsidP="00C4137E">
      <w:pPr>
        <w:autoSpaceDE w:val="0"/>
        <w:autoSpaceDN w:val="0"/>
        <w:adjustRightInd w:val="0"/>
        <w:spacing w:line="360" w:lineRule="auto"/>
        <w:jc w:val="both"/>
        <w:rPr>
          <w:rFonts w:ascii="Barlow" w:hAnsi="Barlow" w:cs="Arial"/>
          <w:b/>
          <w:sz w:val="20"/>
          <w:szCs w:val="20"/>
        </w:rPr>
      </w:pPr>
    </w:p>
    <w:p w14:paraId="308EF67A" w14:textId="77777777" w:rsidR="0094498C" w:rsidRPr="006D57F1" w:rsidRDefault="0094498C" w:rsidP="00C4137E">
      <w:pPr>
        <w:autoSpaceDE w:val="0"/>
        <w:autoSpaceDN w:val="0"/>
        <w:adjustRightInd w:val="0"/>
        <w:spacing w:line="360" w:lineRule="auto"/>
        <w:jc w:val="both"/>
        <w:rPr>
          <w:rFonts w:ascii="Barlow" w:hAnsi="Barlow" w:cs="Arial"/>
          <w:b/>
          <w:sz w:val="20"/>
          <w:szCs w:val="20"/>
        </w:rPr>
      </w:pPr>
    </w:p>
    <w:p w14:paraId="4762F810" w14:textId="77777777" w:rsidR="0094498C" w:rsidRPr="006D57F1" w:rsidRDefault="0094498C" w:rsidP="00C4137E">
      <w:pPr>
        <w:autoSpaceDE w:val="0"/>
        <w:autoSpaceDN w:val="0"/>
        <w:adjustRightInd w:val="0"/>
        <w:spacing w:line="360" w:lineRule="auto"/>
        <w:jc w:val="both"/>
        <w:rPr>
          <w:rFonts w:ascii="Barlow" w:hAnsi="Barlow" w:cs="Arial"/>
          <w:b/>
          <w:sz w:val="20"/>
          <w:szCs w:val="20"/>
        </w:rPr>
      </w:pPr>
    </w:p>
    <w:p w14:paraId="40387861" w14:textId="77777777" w:rsidR="0094498C" w:rsidRPr="006D57F1" w:rsidRDefault="0094498C" w:rsidP="00C4137E">
      <w:pPr>
        <w:autoSpaceDE w:val="0"/>
        <w:autoSpaceDN w:val="0"/>
        <w:adjustRightInd w:val="0"/>
        <w:spacing w:line="360" w:lineRule="auto"/>
        <w:jc w:val="both"/>
        <w:rPr>
          <w:rFonts w:ascii="Barlow" w:hAnsi="Barlow" w:cs="Arial"/>
          <w:b/>
          <w:sz w:val="20"/>
          <w:szCs w:val="20"/>
        </w:rPr>
      </w:pPr>
    </w:p>
    <w:p w14:paraId="27FC72F3" w14:textId="77777777" w:rsidR="0094498C" w:rsidRPr="006D57F1" w:rsidRDefault="0094498C" w:rsidP="00C4137E">
      <w:pPr>
        <w:autoSpaceDE w:val="0"/>
        <w:autoSpaceDN w:val="0"/>
        <w:adjustRightInd w:val="0"/>
        <w:spacing w:line="360" w:lineRule="auto"/>
        <w:jc w:val="both"/>
        <w:rPr>
          <w:rFonts w:ascii="Barlow" w:hAnsi="Barlow" w:cs="Arial"/>
          <w:b/>
          <w:sz w:val="20"/>
          <w:szCs w:val="20"/>
        </w:rPr>
      </w:pPr>
    </w:p>
    <w:p w14:paraId="50F3F188" w14:textId="2F4A7E5B" w:rsidR="0034445C" w:rsidRPr="006D57F1" w:rsidRDefault="0034445C"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Gastos y Otras Pérdidas</w:t>
      </w:r>
    </w:p>
    <w:p w14:paraId="3985BEA8" w14:textId="77777777" w:rsidR="00F2495B" w:rsidRPr="006D57F1" w:rsidRDefault="00F2495B" w:rsidP="00C4137E">
      <w:pPr>
        <w:autoSpaceDE w:val="0"/>
        <w:autoSpaceDN w:val="0"/>
        <w:adjustRightInd w:val="0"/>
        <w:spacing w:line="360" w:lineRule="auto"/>
        <w:jc w:val="both"/>
        <w:rPr>
          <w:rFonts w:ascii="Barlow" w:hAnsi="Barlow" w:cs="Arial"/>
          <w:sz w:val="20"/>
          <w:szCs w:val="20"/>
        </w:rPr>
      </w:pPr>
    </w:p>
    <w:p w14:paraId="34941423" w14:textId="2D990275" w:rsidR="00CA1A19" w:rsidRPr="006D57F1" w:rsidRDefault="0034445C" w:rsidP="008A19B7">
      <w:pPr>
        <w:autoSpaceDE w:val="0"/>
        <w:autoSpaceDN w:val="0"/>
        <w:adjustRightInd w:val="0"/>
        <w:spacing w:line="360" w:lineRule="auto"/>
        <w:jc w:val="both"/>
        <w:rPr>
          <w:rFonts w:ascii="Barlow" w:hAnsi="Barlow" w:cs="Arial"/>
          <w:b/>
          <w:sz w:val="20"/>
          <w:szCs w:val="20"/>
        </w:rPr>
      </w:pPr>
      <w:r w:rsidRPr="006D57F1">
        <w:rPr>
          <w:rFonts w:ascii="Barlow" w:hAnsi="Barlow" w:cs="Arial"/>
          <w:bCs/>
          <w:sz w:val="20"/>
          <w:szCs w:val="20"/>
        </w:rPr>
        <w:t xml:space="preserve">1.- </w:t>
      </w:r>
      <w:r w:rsidR="008A19B7" w:rsidRPr="006D57F1">
        <w:rPr>
          <w:rFonts w:ascii="Barlow" w:hAnsi="Barlow" w:cs="Arial"/>
          <w:bCs/>
          <w:sz w:val="20"/>
          <w:szCs w:val="20"/>
        </w:rPr>
        <w:t>El instituto no genero gastos al 2</w:t>
      </w:r>
      <w:r w:rsidR="00B5499E" w:rsidRPr="006D57F1">
        <w:rPr>
          <w:rFonts w:ascii="Barlow" w:hAnsi="Barlow" w:cs="Arial"/>
          <w:bCs/>
          <w:sz w:val="20"/>
          <w:szCs w:val="20"/>
        </w:rPr>
        <w:t>7</w:t>
      </w:r>
      <w:r w:rsidR="008A19B7" w:rsidRPr="006D57F1">
        <w:rPr>
          <w:rFonts w:ascii="Barlow" w:hAnsi="Barlow" w:cs="Arial"/>
          <w:bCs/>
          <w:sz w:val="20"/>
          <w:szCs w:val="20"/>
        </w:rPr>
        <w:t xml:space="preserve"> de enero de 2022 </w:t>
      </w:r>
    </w:p>
    <w:p w14:paraId="7AAA2562" w14:textId="4C6690E8" w:rsidR="005C6B9D" w:rsidRPr="006D57F1" w:rsidRDefault="004F1940"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ab/>
      </w:r>
      <w:r w:rsidRPr="006D57F1">
        <w:rPr>
          <w:rFonts w:ascii="Barlow" w:hAnsi="Barlow" w:cs="Arial"/>
          <w:b/>
          <w:sz w:val="20"/>
          <w:szCs w:val="20"/>
        </w:rPr>
        <w:tab/>
      </w:r>
    </w:p>
    <w:p w14:paraId="6D0F0969" w14:textId="77777777" w:rsidR="007272F7" w:rsidRPr="006D57F1" w:rsidRDefault="007272F7" w:rsidP="00C4137E">
      <w:pPr>
        <w:autoSpaceDE w:val="0"/>
        <w:autoSpaceDN w:val="0"/>
        <w:adjustRightInd w:val="0"/>
        <w:spacing w:line="360" w:lineRule="auto"/>
        <w:jc w:val="both"/>
        <w:rPr>
          <w:rFonts w:ascii="Barlow" w:hAnsi="Barlow" w:cs="Arial"/>
          <w:b/>
          <w:sz w:val="20"/>
          <w:szCs w:val="20"/>
        </w:rPr>
      </w:pPr>
    </w:p>
    <w:p w14:paraId="16654696" w14:textId="41C2E66F" w:rsidR="00051C2B" w:rsidRPr="006D57F1" w:rsidRDefault="00051C2B" w:rsidP="00C4137E">
      <w:pPr>
        <w:autoSpaceDE w:val="0"/>
        <w:autoSpaceDN w:val="0"/>
        <w:adjustRightInd w:val="0"/>
        <w:spacing w:line="360" w:lineRule="auto"/>
        <w:jc w:val="both"/>
        <w:rPr>
          <w:rFonts w:ascii="Barlow" w:hAnsi="Barlow" w:cs="Arial"/>
          <w:sz w:val="20"/>
          <w:szCs w:val="20"/>
        </w:rPr>
      </w:pPr>
      <w:r w:rsidRPr="006D57F1">
        <w:rPr>
          <w:rFonts w:ascii="Barlow" w:hAnsi="Barlow" w:cs="Arial"/>
          <w:b/>
          <w:sz w:val="20"/>
          <w:szCs w:val="20"/>
        </w:rPr>
        <w:t>III) NOTAS AL ESTADO DE VARIACIONES EN LA HACIENDA PÚBLICA.</w:t>
      </w:r>
    </w:p>
    <w:p w14:paraId="482ED8D8" w14:textId="6EAEF77E" w:rsidR="008273DF" w:rsidRPr="006D57F1" w:rsidRDefault="008273DF" w:rsidP="00C4137E">
      <w:pPr>
        <w:autoSpaceDE w:val="0"/>
        <w:autoSpaceDN w:val="0"/>
        <w:adjustRightInd w:val="0"/>
        <w:spacing w:line="360" w:lineRule="auto"/>
        <w:ind w:left="360"/>
        <w:jc w:val="both"/>
        <w:rPr>
          <w:rFonts w:ascii="Barlow" w:hAnsi="Barlow" w:cs="Arial"/>
          <w:sz w:val="20"/>
          <w:szCs w:val="20"/>
        </w:rPr>
      </w:pPr>
      <w:r w:rsidRPr="006D57F1">
        <w:rPr>
          <w:rFonts w:ascii="Barlow" w:hAnsi="Barlow" w:cs="Arial"/>
          <w:sz w:val="20"/>
          <w:szCs w:val="20"/>
        </w:rPr>
        <w:t xml:space="preserve">1.- En la cuenta de patrimonio </w:t>
      </w:r>
      <w:r w:rsidR="00672CB0" w:rsidRPr="006D57F1">
        <w:rPr>
          <w:rFonts w:ascii="Barlow" w:hAnsi="Barlow" w:cs="Arial"/>
          <w:sz w:val="20"/>
          <w:szCs w:val="20"/>
        </w:rPr>
        <w:t>contribuido</w:t>
      </w:r>
      <w:r w:rsidRPr="006D57F1">
        <w:rPr>
          <w:rFonts w:ascii="Barlow" w:hAnsi="Barlow" w:cs="Arial"/>
          <w:sz w:val="20"/>
          <w:szCs w:val="20"/>
        </w:rPr>
        <w:t xml:space="preserve"> </w:t>
      </w:r>
      <w:r w:rsidR="00672CB0" w:rsidRPr="006D57F1">
        <w:rPr>
          <w:rFonts w:ascii="Barlow" w:hAnsi="Barlow" w:cs="Arial"/>
          <w:sz w:val="20"/>
          <w:szCs w:val="20"/>
        </w:rPr>
        <w:t>presenta las siguientes variaciones</w:t>
      </w:r>
      <w:r w:rsidR="00B5499E" w:rsidRPr="006D57F1">
        <w:rPr>
          <w:rFonts w:ascii="Barlow" w:hAnsi="Barlow" w:cs="Arial"/>
          <w:sz w:val="20"/>
          <w:szCs w:val="20"/>
        </w:rPr>
        <w:t xml:space="preserve"> por el proceso de liquidación del Instituto de historia y Museos de Yucatán.</w:t>
      </w:r>
    </w:p>
    <w:tbl>
      <w:tblPr>
        <w:tblW w:w="8838" w:type="dxa"/>
        <w:tblCellMar>
          <w:left w:w="70" w:type="dxa"/>
          <w:right w:w="70" w:type="dxa"/>
        </w:tblCellMar>
        <w:tblLook w:val="04A0" w:firstRow="1" w:lastRow="0" w:firstColumn="1" w:lastColumn="0" w:noHBand="0" w:noVBand="1"/>
      </w:tblPr>
      <w:tblGrid>
        <w:gridCol w:w="4457"/>
        <w:gridCol w:w="1449"/>
        <w:gridCol w:w="1466"/>
        <w:gridCol w:w="1466"/>
      </w:tblGrid>
      <w:tr w:rsidR="0035580E" w:rsidRPr="006D57F1" w14:paraId="184A8760" w14:textId="77777777" w:rsidTr="0035580E">
        <w:trPr>
          <w:trHeight w:val="300"/>
        </w:trPr>
        <w:tc>
          <w:tcPr>
            <w:tcW w:w="4457" w:type="dxa"/>
            <w:tcBorders>
              <w:top w:val="nil"/>
              <w:left w:val="nil"/>
              <w:bottom w:val="nil"/>
              <w:right w:val="nil"/>
            </w:tcBorders>
            <w:shd w:val="clear" w:color="auto" w:fill="auto"/>
            <w:noWrap/>
            <w:hideMark/>
          </w:tcPr>
          <w:p w14:paraId="61BD4E95" w14:textId="77777777" w:rsidR="0035580E" w:rsidRPr="006D57F1" w:rsidRDefault="0035580E" w:rsidP="0035580E">
            <w:pPr>
              <w:rPr>
                <w:rFonts w:ascii="Barlow" w:hAnsi="Barlow"/>
                <w:sz w:val="20"/>
                <w:szCs w:val="20"/>
                <w:lang w:eastAsia="es-MX"/>
              </w:rPr>
            </w:pPr>
          </w:p>
        </w:tc>
        <w:tc>
          <w:tcPr>
            <w:tcW w:w="1449" w:type="dxa"/>
            <w:tcBorders>
              <w:top w:val="nil"/>
              <w:left w:val="nil"/>
              <w:bottom w:val="nil"/>
              <w:right w:val="nil"/>
            </w:tcBorders>
            <w:shd w:val="clear" w:color="auto" w:fill="auto"/>
            <w:noWrap/>
            <w:vAlign w:val="center"/>
            <w:hideMark/>
          </w:tcPr>
          <w:p w14:paraId="367C8CCF" w14:textId="63022888" w:rsidR="0035580E" w:rsidRPr="006D57F1" w:rsidRDefault="0035580E" w:rsidP="007272F7">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 xml:space="preserve">SALDO </w:t>
            </w:r>
            <w:r w:rsidR="008A19B7" w:rsidRPr="006D57F1">
              <w:rPr>
                <w:rFonts w:ascii="Barlow" w:hAnsi="Barlow" w:cs="Arial"/>
                <w:b/>
                <w:bCs/>
                <w:color w:val="000000"/>
                <w:sz w:val="20"/>
                <w:szCs w:val="20"/>
                <w:lang w:eastAsia="es-MX"/>
              </w:rPr>
              <w:t xml:space="preserve"> Diciembre </w:t>
            </w:r>
            <w:r w:rsidR="007272F7" w:rsidRPr="006D57F1">
              <w:rPr>
                <w:rFonts w:ascii="Barlow" w:hAnsi="Barlow" w:cs="Arial"/>
                <w:b/>
                <w:bCs/>
                <w:color w:val="000000"/>
                <w:sz w:val="20"/>
                <w:szCs w:val="20"/>
                <w:lang w:eastAsia="es-MX"/>
              </w:rPr>
              <w:t>20</w:t>
            </w:r>
            <w:r w:rsidR="00677ECB" w:rsidRPr="006D57F1">
              <w:rPr>
                <w:rFonts w:ascii="Barlow" w:hAnsi="Barlow" w:cs="Arial"/>
                <w:b/>
                <w:bCs/>
                <w:color w:val="000000"/>
                <w:sz w:val="20"/>
                <w:szCs w:val="20"/>
                <w:lang w:eastAsia="es-MX"/>
              </w:rPr>
              <w:t>2</w:t>
            </w:r>
            <w:r w:rsidR="008A19B7" w:rsidRPr="006D57F1">
              <w:rPr>
                <w:rFonts w:ascii="Barlow" w:hAnsi="Barlow" w:cs="Arial"/>
                <w:b/>
                <w:bCs/>
                <w:color w:val="000000"/>
                <w:sz w:val="20"/>
                <w:szCs w:val="20"/>
                <w:lang w:eastAsia="es-MX"/>
              </w:rPr>
              <w:t>1</w:t>
            </w:r>
          </w:p>
        </w:tc>
        <w:tc>
          <w:tcPr>
            <w:tcW w:w="1466" w:type="dxa"/>
            <w:tcBorders>
              <w:top w:val="nil"/>
              <w:left w:val="nil"/>
              <w:bottom w:val="nil"/>
              <w:right w:val="nil"/>
            </w:tcBorders>
            <w:shd w:val="clear" w:color="auto" w:fill="auto"/>
            <w:noWrap/>
            <w:vAlign w:val="center"/>
            <w:hideMark/>
          </w:tcPr>
          <w:p w14:paraId="6332C381" w14:textId="20E24605" w:rsidR="0035580E" w:rsidRPr="006D57F1" w:rsidRDefault="0035580E" w:rsidP="007272F7">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VARIACIONES</w:t>
            </w:r>
            <w:r w:rsidR="007272F7" w:rsidRPr="006D57F1">
              <w:rPr>
                <w:rFonts w:ascii="Barlow" w:hAnsi="Barlow" w:cs="Arial"/>
                <w:b/>
                <w:bCs/>
                <w:color w:val="000000"/>
                <w:sz w:val="20"/>
                <w:szCs w:val="20"/>
                <w:lang w:eastAsia="es-MX"/>
              </w:rPr>
              <w:t xml:space="preserve"> EN EL 202</w:t>
            </w:r>
            <w:r w:rsidR="008A19B7" w:rsidRPr="006D57F1">
              <w:rPr>
                <w:rFonts w:ascii="Barlow" w:hAnsi="Barlow" w:cs="Arial"/>
                <w:b/>
                <w:bCs/>
                <w:color w:val="000000"/>
                <w:sz w:val="20"/>
                <w:szCs w:val="20"/>
                <w:lang w:eastAsia="es-MX"/>
              </w:rPr>
              <w:t>2</w:t>
            </w:r>
          </w:p>
        </w:tc>
        <w:tc>
          <w:tcPr>
            <w:tcW w:w="1466" w:type="dxa"/>
            <w:tcBorders>
              <w:top w:val="nil"/>
              <w:left w:val="nil"/>
              <w:bottom w:val="nil"/>
              <w:right w:val="nil"/>
            </w:tcBorders>
            <w:shd w:val="clear" w:color="auto" w:fill="auto"/>
            <w:noWrap/>
            <w:vAlign w:val="center"/>
            <w:hideMark/>
          </w:tcPr>
          <w:p w14:paraId="2D8311B1" w14:textId="4A06AE4E" w:rsidR="0035580E" w:rsidRPr="006D57F1" w:rsidRDefault="0035580E" w:rsidP="007272F7">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SALDO</w:t>
            </w:r>
            <w:r w:rsidR="007272F7" w:rsidRPr="006D57F1">
              <w:rPr>
                <w:rFonts w:ascii="Barlow" w:hAnsi="Barlow" w:cs="Arial"/>
                <w:b/>
                <w:bCs/>
                <w:color w:val="000000"/>
                <w:sz w:val="20"/>
                <w:szCs w:val="20"/>
                <w:lang w:eastAsia="es-MX"/>
              </w:rPr>
              <w:t xml:space="preserve"> </w:t>
            </w:r>
            <w:r w:rsidR="008A19B7" w:rsidRPr="006D57F1">
              <w:rPr>
                <w:rFonts w:ascii="Barlow" w:hAnsi="Barlow" w:cs="Arial"/>
                <w:b/>
                <w:bCs/>
                <w:color w:val="000000"/>
                <w:sz w:val="20"/>
                <w:szCs w:val="20"/>
                <w:lang w:eastAsia="es-MX"/>
              </w:rPr>
              <w:t xml:space="preserve"> al 2</w:t>
            </w:r>
            <w:r w:rsidR="00B5499E" w:rsidRPr="006D57F1">
              <w:rPr>
                <w:rFonts w:ascii="Barlow" w:hAnsi="Barlow" w:cs="Arial"/>
                <w:b/>
                <w:bCs/>
                <w:color w:val="000000"/>
                <w:sz w:val="20"/>
                <w:szCs w:val="20"/>
                <w:lang w:eastAsia="es-MX"/>
              </w:rPr>
              <w:t>7</w:t>
            </w:r>
            <w:r w:rsidR="008A19B7" w:rsidRPr="006D57F1">
              <w:rPr>
                <w:rFonts w:ascii="Barlow" w:hAnsi="Barlow" w:cs="Arial"/>
                <w:b/>
                <w:bCs/>
                <w:color w:val="000000"/>
                <w:sz w:val="20"/>
                <w:szCs w:val="20"/>
                <w:lang w:eastAsia="es-MX"/>
              </w:rPr>
              <w:t xml:space="preserve"> Enero</w:t>
            </w:r>
            <w:r w:rsidR="007272F7" w:rsidRPr="006D57F1">
              <w:rPr>
                <w:rFonts w:ascii="Barlow" w:hAnsi="Barlow" w:cs="Arial"/>
                <w:b/>
                <w:bCs/>
                <w:color w:val="000000"/>
                <w:sz w:val="20"/>
                <w:szCs w:val="20"/>
                <w:lang w:eastAsia="es-MX"/>
              </w:rPr>
              <w:t xml:space="preserve"> 202</w:t>
            </w:r>
            <w:r w:rsidR="008A19B7" w:rsidRPr="006D57F1">
              <w:rPr>
                <w:rFonts w:ascii="Barlow" w:hAnsi="Barlow" w:cs="Arial"/>
                <w:b/>
                <w:bCs/>
                <w:color w:val="000000"/>
                <w:sz w:val="20"/>
                <w:szCs w:val="20"/>
                <w:lang w:eastAsia="es-MX"/>
              </w:rPr>
              <w:t>2</w:t>
            </w:r>
          </w:p>
        </w:tc>
      </w:tr>
      <w:tr w:rsidR="0035580E" w:rsidRPr="006D57F1" w14:paraId="65BCEF89" w14:textId="77777777" w:rsidTr="0035580E">
        <w:trPr>
          <w:trHeight w:val="600"/>
        </w:trPr>
        <w:tc>
          <w:tcPr>
            <w:tcW w:w="4457" w:type="dxa"/>
            <w:tcBorders>
              <w:top w:val="nil"/>
              <w:left w:val="nil"/>
              <w:bottom w:val="nil"/>
              <w:right w:val="nil"/>
            </w:tcBorders>
            <w:shd w:val="clear" w:color="auto" w:fill="auto"/>
            <w:noWrap/>
            <w:vAlign w:val="center"/>
            <w:hideMark/>
          </w:tcPr>
          <w:p w14:paraId="7E3819B4" w14:textId="77777777" w:rsidR="0035580E" w:rsidRPr="006D57F1" w:rsidRDefault="0035580E" w:rsidP="0035580E">
            <w:pPr>
              <w:jc w:val="both"/>
              <w:rPr>
                <w:rFonts w:ascii="Barlow" w:hAnsi="Barlow" w:cs="Arial"/>
                <w:b/>
                <w:bCs/>
                <w:color w:val="000000"/>
                <w:sz w:val="20"/>
                <w:szCs w:val="20"/>
                <w:lang w:eastAsia="es-MX"/>
              </w:rPr>
            </w:pPr>
            <w:r w:rsidRPr="006D57F1">
              <w:rPr>
                <w:rFonts w:ascii="Barlow" w:hAnsi="Barlow" w:cs="Arial"/>
                <w:b/>
                <w:bCs/>
                <w:color w:val="000000"/>
                <w:sz w:val="20"/>
                <w:szCs w:val="20"/>
                <w:lang w:eastAsia="es-MX"/>
              </w:rPr>
              <w:t>HACIENDA PUBLICA/PATRIMONIO CONTRIBUIDO</w:t>
            </w:r>
          </w:p>
        </w:tc>
        <w:tc>
          <w:tcPr>
            <w:tcW w:w="1449" w:type="dxa"/>
            <w:tcBorders>
              <w:top w:val="nil"/>
              <w:left w:val="nil"/>
              <w:bottom w:val="nil"/>
              <w:right w:val="nil"/>
            </w:tcBorders>
            <w:shd w:val="clear" w:color="auto" w:fill="auto"/>
            <w:noWrap/>
            <w:hideMark/>
          </w:tcPr>
          <w:p w14:paraId="493F188F" w14:textId="77777777" w:rsidR="0035580E" w:rsidRPr="006D57F1" w:rsidRDefault="0035580E" w:rsidP="0035580E">
            <w:pPr>
              <w:jc w:val="both"/>
              <w:rPr>
                <w:rFonts w:ascii="Barlow" w:hAnsi="Barlow" w:cs="Arial"/>
                <w:b/>
                <w:bCs/>
                <w:color w:val="000000"/>
                <w:sz w:val="20"/>
                <w:szCs w:val="20"/>
                <w:lang w:eastAsia="es-MX"/>
              </w:rPr>
            </w:pPr>
          </w:p>
        </w:tc>
        <w:tc>
          <w:tcPr>
            <w:tcW w:w="1466" w:type="dxa"/>
            <w:tcBorders>
              <w:top w:val="nil"/>
              <w:left w:val="nil"/>
              <w:bottom w:val="nil"/>
              <w:right w:val="nil"/>
            </w:tcBorders>
            <w:shd w:val="clear" w:color="auto" w:fill="auto"/>
            <w:noWrap/>
            <w:hideMark/>
          </w:tcPr>
          <w:p w14:paraId="149DFDB1" w14:textId="77777777" w:rsidR="0035580E" w:rsidRPr="006D57F1" w:rsidRDefault="0035580E" w:rsidP="0035580E">
            <w:pPr>
              <w:rPr>
                <w:rFonts w:ascii="Barlow" w:hAnsi="Barlow"/>
                <w:sz w:val="20"/>
                <w:szCs w:val="20"/>
                <w:lang w:eastAsia="es-MX"/>
              </w:rPr>
            </w:pPr>
          </w:p>
        </w:tc>
        <w:tc>
          <w:tcPr>
            <w:tcW w:w="1466" w:type="dxa"/>
            <w:tcBorders>
              <w:top w:val="nil"/>
              <w:left w:val="nil"/>
              <w:bottom w:val="nil"/>
              <w:right w:val="nil"/>
            </w:tcBorders>
            <w:shd w:val="clear" w:color="auto" w:fill="auto"/>
            <w:noWrap/>
            <w:hideMark/>
          </w:tcPr>
          <w:p w14:paraId="0C1A3DAE" w14:textId="77777777" w:rsidR="0035580E" w:rsidRPr="006D57F1" w:rsidRDefault="0035580E" w:rsidP="0035580E">
            <w:pPr>
              <w:rPr>
                <w:rFonts w:ascii="Barlow" w:hAnsi="Barlow"/>
                <w:sz w:val="20"/>
                <w:szCs w:val="20"/>
                <w:lang w:eastAsia="es-MX"/>
              </w:rPr>
            </w:pPr>
          </w:p>
        </w:tc>
      </w:tr>
      <w:tr w:rsidR="0035580E" w:rsidRPr="006D57F1" w14:paraId="561E9521" w14:textId="77777777" w:rsidTr="0035580E">
        <w:trPr>
          <w:trHeight w:val="300"/>
        </w:trPr>
        <w:tc>
          <w:tcPr>
            <w:tcW w:w="4457" w:type="dxa"/>
            <w:tcBorders>
              <w:top w:val="nil"/>
              <w:left w:val="nil"/>
              <w:bottom w:val="nil"/>
              <w:right w:val="nil"/>
            </w:tcBorders>
            <w:shd w:val="clear" w:color="auto" w:fill="auto"/>
            <w:noWrap/>
            <w:vAlign w:val="center"/>
            <w:hideMark/>
          </w:tcPr>
          <w:p w14:paraId="1C3E44DF" w14:textId="38A23067" w:rsidR="0035580E" w:rsidRPr="006D57F1" w:rsidRDefault="0035580E" w:rsidP="0035580E">
            <w:pPr>
              <w:jc w:val="both"/>
              <w:rPr>
                <w:rFonts w:ascii="Barlow" w:hAnsi="Barlow" w:cs="Arial"/>
                <w:color w:val="000000"/>
                <w:sz w:val="20"/>
                <w:szCs w:val="20"/>
                <w:lang w:eastAsia="es-MX"/>
              </w:rPr>
            </w:pPr>
          </w:p>
        </w:tc>
        <w:tc>
          <w:tcPr>
            <w:tcW w:w="1449" w:type="dxa"/>
            <w:tcBorders>
              <w:top w:val="nil"/>
              <w:left w:val="nil"/>
              <w:bottom w:val="nil"/>
              <w:right w:val="nil"/>
            </w:tcBorders>
            <w:shd w:val="clear" w:color="auto" w:fill="auto"/>
            <w:noWrap/>
            <w:hideMark/>
          </w:tcPr>
          <w:p w14:paraId="1BE4DA48" w14:textId="77777777" w:rsidR="0035580E" w:rsidRPr="006D57F1" w:rsidRDefault="0035580E" w:rsidP="0035580E">
            <w:pPr>
              <w:jc w:val="both"/>
              <w:rPr>
                <w:rFonts w:ascii="Barlow" w:hAnsi="Barlow" w:cs="Arial"/>
                <w:color w:val="000000"/>
                <w:sz w:val="20"/>
                <w:szCs w:val="20"/>
                <w:lang w:eastAsia="es-MX"/>
              </w:rPr>
            </w:pPr>
          </w:p>
        </w:tc>
        <w:tc>
          <w:tcPr>
            <w:tcW w:w="1466" w:type="dxa"/>
            <w:tcBorders>
              <w:top w:val="nil"/>
              <w:left w:val="nil"/>
              <w:bottom w:val="nil"/>
              <w:right w:val="nil"/>
            </w:tcBorders>
            <w:shd w:val="clear" w:color="auto" w:fill="auto"/>
            <w:noWrap/>
            <w:hideMark/>
          </w:tcPr>
          <w:p w14:paraId="3596C9A2" w14:textId="77777777" w:rsidR="0035580E" w:rsidRPr="006D57F1" w:rsidRDefault="0035580E" w:rsidP="0035580E">
            <w:pPr>
              <w:rPr>
                <w:rFonts w:ascii="Barlow" w:hAnsi="Barlow"/>
                <w:sz w:val="20"/>
                <w:szCs w:val="20"/>
                <w:lang w:eastAsia="es-MX"/>
              </w:rPr>
            </w:pPr>
          </w:p>
        </w:tc>
        <w:tc>
          <w:tcPr>
            <w:tcW w:w="1466" w:type="dxa"/>
            <w:tcBorders>
              <w:top w:val="nil"/>
              <w:left w:val="nil"/>
              <w:bottom w:val="nil"/>
              <w:right w:val="nil"/>
            </w:tcBorders>
            <w:shd w:val="clear" w:color="auto" w:fill="auto"/>
            <w:noWrap/>
            <w:hideMark/>
          </w:tcPr>
          <w:p w14:paraId="74C21EA5" w14:textId="77777777" w:rsidR="0035580E" w:rsidRPr="006D57F1" w:rsidRDefault="0035580E" w:rsidP="0035580E">
            <w:pPr>
              <w:rPr>
                <w:rFonts w:ascii="Barlow" w:hAnsi="Barlow"/>
                <w:sz w:val="20"/>
                <w:szCs w:val="20"/>
                <w:lang w:eastAsia="es-MX"/>
              </w:rPr>
            </w:pPr>
          </w:p>
        </w:tc>
      </w:tr>
      <w:tr w:rsidR="0035580E" w:rsidRPr="006D57F1" w14:paraId="1D4EABAB" w14:textId="77777777" w:rsidTr="0035580E">
        <w:trPr>
          <w:trHeight w:val="270"/>
        </w:trPr>
        <w:tc>
          <w:tcPr>
            <w:tcW w:w="4457" w:type="dxa"/>
            <w:tcBorders>
              <w:top w:val="nil"/>
              <w:left w:val="nil"/>
              <w:bottom w:val="nil"/>
              <w:right w:val="nil"/>
            </w:tcBorders>
            <w:shd w:val="clear" w:color="auto" w:fill="auto"/>
            <w:noWrap/>
            <w:vAlign w:val="center"/>
            <w:hideMark/>
          </w:tcPr>
          <w:p w14:paraId="6E4BF01F" w14:textId="1B7BFC33" w:rsidR="0035580E" w:rsidRPr="006D57F1" w:rsidRDefault="005C6B9D" w:rsidP="0035580E">
            <w:pPr>
              <w:jc w:val="both"/>
              <w:rPr>
                <w:rFonts w:ascii="Barlow" w:hAnsi="Barlow" w:cs="Arial"/>
                <w:color w:val="000000"/>
                <w:sz w:val="20"/>
                <w:szCs w:val="20"/>
                <w:lang w:eastAsia="es-MX"/>
              </w:rPr>
            </w:pPr>
            <w:r w:rsidRPr="006D57F1">
              <w:rPr>
                <w:rFonts w:ascii="Barlow" w:hAnsi="Barlow" w:cs="Arial"/>
                <w:color w:val="000000"/>
                <w:sz w:val="20"/>
                <w:szCs w:val="20"/>
                <w:lang w:eastAsia="es-MX"/>
              </w:rPr>
              <w:t xml:space="preserve">APORTACIONES </w:t>
            </w:r>
          </w:p>
        </w:tc>
        <w:tc>
          <w:tcPr>
            <w:tcW w:w="1449" w:type="dxa"/>
            <w:tcBorders>
              <w:top w:val="nil"/>
              <w:left w:val="nil"/>
              <w:bottom w:val="nil"/>
              <w:right w:val="nil"/>
            </w:tcBorders>
            <w:shd w:val="clear" w:color="auto" w:fill="auto"/>
            <w:noWrap/>
            <w:vAlign w:val="center"/>
            <w:hideMark/>
          </w:tcPr>
          <w:p w14:paraId="7247CCFF" w14:textId="662C7D3D" w:rsidR="0035580E" w:rsidRPr="006D57F1" w:rsidRDefault="005C6B9D" w:rsidP="0035580E">
            <w:pPr>
              <w:jc w:val="right"/>
              <w:rPr>
                <w:rFonts w:ascii="Barlow" w:hAnsi="Barlow" w:cs="Arial"/>
                <w:color w:val="000000"/>
                <w:sz w:val="20"/>
                <w:szCs w:val="20"/>
                <w:lang w:eastAsia="es-MX"/>
              </w:rPr>
            </w:pPr>
            <w:r w:rsidRPr="006D57F1">
              <w:rPr>
                <w:rFonts w:ascii="Barlow" w:hAnsi="Barlow" w:cs="Arial"/>
                <w:color w:val="000000"/>
                <w:sz w:val="20"/>
                <w:szCs w:val="20"/>
                <w:lang w:eastAsia="es-MX"/>
              </w:rPr>
              <w:t>1,192.00</w:t>
            </w:r>
          </w:p>
        </w:tc>
        <w:tc>
          <w:tcPr>
            <w:tcW w:w="1466" w:type="dxa"/>
            <w:tcBorders>
              <w:top w:val="nil"/>
              <w:left w:val="nil"/>
              <w:bottom w:val="nil"/>
              <w:right w:val="nil"/>
            </w:tcBorders>
            <w:shd w:val="clear" w:color="auto" w:fill="auto"/>
            <w:noWrap/>
            <w:vAlign w:val="center"/>
            <w:hideMark/>
          </w:tcPr>
          <w:p w14:paraId="2508FF27" w14:textId="77777777" w:rsidR="00B5499E" w:rsidRPr="006D57F1" w:rsidRDefault="00B5499E" w:rsidP="007323B1">
            <w:pPr>
              <w:jc w:val="center"/>
              <w:rPr>
                <w:rFonts w:ascii="Barlow" w:hAnsi="Barlow" w:cs="Arial"/>
                <w:color w:val="000000"/>
                <w:sz w:val="20"/>
                <w:szCs w:val="20"/>
                <w:lang w:eastAsia="es-MX"/>
              </w:rPr>
            </w:pPr>
            <w:r w:rsidRPr="006D57F1">
              <w:rPr>
                <w:rFonts w:ascii="Barlow" w:hAnsi="Barlow" w:cs="Arial"/>
                <w:color w:val="000000"/>
                <w:sz w:val="20"/>
                <w:szCs w:val="20"/>
                <w:lang w:eastAsia="es-MX"/>
              </w:rPr>
              <w:t xml:space="preserve">   </w:t>
            </w:r>
            <w:r w:rsidR="007323B1" w:rsidRPr="006D57F1">
              <w:rPr>
                <w:rFonts w:ascii="Barlow" w:hAnsi="Barlow" w:cs="Arial"/>
                <w:color w:val="000000"/>
                <w:sz w:val="20"/>
                <w:szCs w:val="20"/>
                <w:lang w:eastAsia="es-MX"/>
              </w:rPr>
              <w:t xml:space="preserve">                 </w:t>
            </w:r>
          </w:p>
          <w:p w14:paraId="479036AA" w14:textId="091847DF" w:rsidR="0035580E" w:rsidRPr="006D57F1" w:rsidRDefault="007323B1" w:rsidP="007323B1">
            <w:pPr>
              <w:jc w:val="center"/>
              <w:rPr>
                <w:rFonts w:ascii="Barlow" w:hAnsi="Barlow" w:cs="Arial"/>
                <w:color w:val="000000"/>
                <w:sz w:val="20"/>
                <w:szCs w:val="20"/>
                <w:lang w:eastAsia="es-MX"/>
              </w:rPr>
            </w:pPr>
            <w:r w:rsidRPr="006D57F1">
              <w:rPr>
                <w:rFonts w:ascii="Barlow" w:hAnsi="Barlow" w:cs="Arial"/>
                <w:color w:val="000000"/>
                <w:sz w:val="20"/>
                <w:szCs w:val="20"/>
                <w:lang w:eastAsia="es-MX"/>
              </w:rPr>
              <w:t xml:space="preserve"> </w:t>
            </w:r>
            <w:r w:rsidR="00B5499E" w:rsidRPr="006D57F1">
              <w:rPr>
                <w:rFonts w:ascii="Barlow" w:hAnsi="Barlow" w:cs="Arial"/>
                <w:color w:val="000000"/>
                <w:sz w:val="20"/>
                <w:szCs w:val="20"/>
                <w:lang w:eastAsia="es-MX"/>
              </w:rPr>
              <w:t>-1,192.00</w:t>
            </w:r>
          </w:p>
        </w:tc>
        <w:tc>
          <w:tcPr>
            <w:tcW w:w="1466" w:type="dxa"/>
            <w:tcBorders>
              <w:top w:val="nil"/>
              <w:left w:val="nil"/>
              <w:bottom w:val="nil"/>
              <w:right w:val="nil"/>
            </w:tcBorders>
            <w:shd w:val="clear" w:color="auto" w:fill="auto"/>
            <w:noWrap/>
            <w:vAlign w:val="center"/>
            <w:hideMark/>
          </w:tcPr>
          <w:p w14:paraId="028E047C" w14:textId="02C89E6A" w:rsidR="0035580E" w:rsidRPr="006D57F1" w:rsidRDefault="00B5499E" w:rsidP="007323B1">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r w:rsidR="0035580E" w:rsidRPr="006D57F1" w14:paraId="3BB0AF40" w14:textId="77777777" w:rsidTr="0035580E">
        <w:trPr>
          <w:trHeight w:val="300"/>
        </w:trPr>
        <w:tc>
          <w:tcPr>
            <w:tcW w:w="4457" w:type="dxa"/>
            <w:tcBorders>
              <w:top w:val="nil"/>
              <w:left w:val="nil"/>
              <w:bottom w:val="nil"/>
              <w:right w:val="nil"/>
            </w:tcBorders>
            <w:shd w:val="clear" w:color="auto" w:fill="auto"/>
            <w:noWrap/>
            <w:vAlign w:val="center"/>
            <w:hideMark/>
          </w:tcPr>
          <w:p w14:paraId="6E1C6F73" w14:textId="77777777" w:rsidR="0035580E" w:rsidRPr="006D57F1" w:rsidRDefault="0035580E" w:rsidP="0035580E">
            <w:pPr>
              <w:jc w:val="both"/>
              <w:rPr>
                <w:rFonts w:ascii="Barlow" w:hAnsi="Barlow" w:cs="Arial"/>
                <w:color w:val="000000"/>
                <w:sz w:val="20"/>
                <w:szCs w:val="20"/>
                <w:lang w:eastAsia="es-MX"/>
              </w:rPr>
            </w:pPr>
            <w:r w:rsidRPr="006D57F1">
              <w:rPr>
                <w:rFonts w:ascii="Barlow" w:hAnsi="Barlow" w:cs="Arial"/>
                <w:color w:val="000000"/>
                <w:sz w:val="20"/>
                <w:szCs w:val="20"/>
                <w:lang w:eastAsia="es-MX"/>
              </w:rPr>
              <w:t>DONACIONES DE CAPITAL</w:t>
            </w:r>
          </w:p>
        </w:tc>
        <w:tc>
          <w:tcPr>
            <w:tcW w:w="1449" w:type="dxa"/>
            <w:tcBorders>
              <w:top w:val="nil"/>
              <w:left w:val="nil"/>
              <w:bottom w:val="nil"/>
              <w:right w:val="nil"/>
            </w:tcBorders>
            <w:shd w:val="clear" w:color="auto" w:fill="auto"/>
            <w:noWrap/>
            <w:hideMark/>
          </w:tcPr>
          <w:p w14:paraId="53EC85B0" w14:textId="3495B273" w:rsidR="0035580E" w:rsidRPr="006D57F1" w:rsidRDefault="007323B1" w:rsidP="0035580E">
            <w:pPr>
              <w:jc w:val="both"/>
              <w:rPr>
                <w:rFonts w:ascii="Barlow" w:hAnsi="Barlow" w:cs="Arial"/>
                <w:color w:val="000000"/>
                <w:sz w:val="20"/>
                <w:szCs w:val="20"/>
                <w:lang w:eastAsia="es-MX"/>
              </w:rPr>
            </w:pPr>
            <w:r w:rsidRPr="006D57F1">
              <w:rPr>
                <w:rFonts w:ascii="Barlow" w:hAnsi="Barlow" w:cs="Arial"/>
                <w:color w:val="000000"/>
                <w:sz w:val="20"/>
                <w:szCs w:val="20"/>
                <w:lang w:eastAsia="es-MX"/>
              </w:rPr>
              <w:t xml:space="preserve">                 </w:t>
            </w:r>
            <w:r w:rsidR="00677ECB" w:rsidRPr="006D57F1">
              <w:rPr>
                <w:rFonts w:ascii="Barlow" w:hAnsi="Barlow" w:cs="Arial"/>
                <w:color w:val="000000"/>
                <w:sz w:val="20"/>
                <w:szCs w:val="20"/>
                <w:lang w:eastAsia="es-MX"/>
              </w:rPr>
              <w:t>64</w:t>
            </w:r>
            <w:r w:rsidRPr="006D57F1">
              <w:rPr>
                <w:rFonts w:ascii="Barlow" w:hAnsi="Barlow" w:cs="Arial"/>
                <w:color w:val="000000"/>
                <w:sz w:val="20"/>
                <w:szCs w:val="20"/>
                <w:lang w:eastAsia="es-MX"/>
              </w:rPr>
              <w:t>.00</w:t>
            </w:r>
          </w:p>
        </w:tc>
        <w:tc>
          <w:tcPr>
            <w:tcW w:w="1466" w:type="dxa"/>
            <w:tcBorders>
              <w:top w:val="nil"/>
              <w:left w:val="nil"/>
              <w:bottom w:val="nil"/>
              <w:right w:val="nil"/>
            </w:tcBorders>
            <w:shd w:val="clear" w:color="auto" w:fill="auto"/>
            <w:noWrap/>
            <w:hideMark/>
          </w:tcPr>
          <w:p w14:paraId="33D194F8" w14:textId="630E2B3E" w:rsidR="0035580E" w:rsidRPr="006D57F1" w:rsidRDefault="007323B1" w:rsidP="0035580E">
            <w:pPr>
              <w:rPr>
                <w:rFonts w:ascii="Barlow" w:hAnsi="Barlow"/>
                <w:sz w:val="20"/>
                <w:szCs w:val="20"/>
                <w:lang w:eastAsia="es-MX"/>
              </w:rPr>
            </w:pPr>
            <w:r w:rsidRPr="006D57F1">
              <w:rPr>
                <w:rFonts w:ascii="Barlow" w:hAnsi="Barlow"/>
                <w:sz w:val="20"/>
                <w:szCs w:val="20"/>
                <w:lang w:eastAsia="es-MX"/>
              </w:rPr>
              <w:t xml:space="preserve">     </w:t>
            </w:r>
            <w:r w:rsidR="00C4072B" w:rsidRPr="006D57F1">
              <w:rPr>
                <w:rFonts w:ascii="Barlow" w:hAnsi="Barlow"/>
                <w:sz w:val="20"/>
                <w:szCs w:val="20"/>
                <w:lang w:eastAsia="es-MX"/>
              </w:rPr>
              <w:t xml:space="preserve">  </w:t>
            </w:r>
            <w:r w:rsidR="00A31A81" w:rsidRPr="006D57F1">
              <w:rPr>
                <w:rFonts w:ascii="Barlow" w:hAnsi="Barlow"/>
                <w:sz w:val="20"/>
                <w:szCs w:val="20"/>
                <w:lang w:eastAsia="es-MX"/>
              </w:rPr>
              <w:t xml:space="preserve">  </w:t>
            </w:r>
            <w:r w:rsidR="00B5499E" w:rsidRPr="006D57F1">
              <w:rPr>
                <w:rFonts w:ascii="Barlow" w:hAnsi="Barlow"/>
                <w:sz w:val="20"/>
                <w:szCs w:val="20"/>
                <w:lang w:eastAsia="es-MX"/>
              </w:rPr>
              <w:t>-64</w:t>
            </w:r>
            <w:r w:rsidRPr="006D57F1">
              <w:rPr>
                <w:rFonts w:ascii="Barlow" w:hAnsi="Barlow"/>
                <w:sz w:val="20"/>
                <w:szCs w:val="20"/>
                <w:lang w:eastAsia="es-MX"/>
              </w:rPr>
              <w:t>.00</w:t>
            </w:r>
          </w:p>
        </w:tc>
        <w:tc>
          <w:tcPr>
            <w:tcW w:w="1466" w:type="dxa"/>
            <w:tcBorders>
              <w:top w:val="nil"/>
              <w:left w:val="nil"/>
              <w:bottom w:val="nil"/>
              <w:right w:val="nil"/>
            </w:tcBorders>
            <w:shd w:val="clear" w:color="auto" w:fill="auto"/>
            <w:noWrap/>
            <w:hideMark/>
          </w:tcPr>
          <w:p w14:paraId="0A4CB461" w14:textId="034BC2E8" w:rsidR="0035580E" w:rsidRPr="006D57F1" w:rsidRDefault="00A31A81" w:rsidP="007323B1">
            <w:pPr>
              <w:jc w:val="right"/>
              <w:rPr>
                <w:rFonts w:ascii="Barlow" w:hAnsi="Barlow" w:cs="Arial"/>
                <w:color w:val="000000"/>
                <w:sz w:val="20"/>
                <w:szCs w:val="20"/>
                <w:lang w:eastAsia="es-MX"/>
              </w:rPr>
            </w:pPr>
            <w:r w:rsidRPr="006D57F1">
              <w:rPr>
                <w:rFonts w:ascii="Barlow" w:hAnsi="Barlow" w:cs="Arial"/>
                <w:color w:val="000000"/>
                <w:sz w:val="20"/>
                <w:szCs w:val="20"/>
                <w:lang w:eastAsia="es-MX"/>
              </w:rPr>
              <w:t xml:space="preserve">                   </w:t>
            </w:r>
            <w:r w:rsidR="00B5499E" w:rsidRPr="006D57F1">
              <w:rPr>
                <w:rFonts w:ascii="Barlow" w:hAnsi="Barlow" w:cs="Arial"/>
                <w:color w:val="000000"/>
                <w:sz w:val="20"/>
                <w:szCs w:val="20"/>
                <w:lang w:eastAsia="es-MX"/>
              </w:rPr>
              <w:t>0.00</w:t>
            </w:r>
          </w:p>
        </w:tc>
      </w:tr>
      <w:tr w:rsidR="0035580E" w:rsidRPr="006D57F1" w14:paraId="66C7D645" w14:textId="77777777" w:rsidTr="007272F7">
        <w:trPr>
          <w:trHeight w:val="80"/>
        </w:trPr>
        <w:tc>
          <w:tcPr>
            <w:tcW w:w="4457" w:type="dxa"/>
            <w:tcBorders>
              <w:top w:val="nil"/>
              <w:left w:val="nil"/>
              <w:bottom w:val="nil"/>
              <w:right w:val="nil"/>
            </w:tcBorders>
            <w:shd w:val="clear" w:color="auto" w:fill="auto"/>
            <w:noWrap/>
            <w:vAlign w:val="center"/>
          </w:tcPr>
          <w:p w14:paraId="04400511" w14:textId="4A5E9D11" w:rsidR="0035580E" w:rsidRPr="006D57F1" w:rsidRDefault="0035580E" w:rsidP="0035580E">
            <w:pPr>
              <w:jc w:val="both"/>
              <w:rPr>
                <w:rFonts w:ascii="Barlow" w:hAnsi="Barlow" w:cs="Arial"/>
                <w:color w:val="000000"/>
                <w:sz w:val="20"/>
                <w:szCs w:val="20"/>
                <w:lang w:eastAsia="es-MX"/>
              </w:rPr>
            </w:pPr>
          </w:p>
        </w:tc>
        <w:tc>
          <w:tcPr>
            <w:tcW w:w="1449" w:type="dxa"/>
            <w:tcBorders>
              <w:top w:val="nil"/>
              <w:left w:val="nil"/>
              <w:bottom w:val="nil"/>
              <w:right w:val="nil"/>
            </w:tcBorders>
            <w:shd w:val="clear" w:color="auto" w:fill="auto"/>
            <w:noWrap/>
            <w:vAlign w:val="center"/>
          </w:tcPr>
          <w:p w14:paraId="270F1659" w14:textId="7C405089" w:rsidR="0035580E" w:rsidRPr="006D57F1" w:rsidRDefault="0035580E" w:rsidP="0035580E">
            <w:pPr>
              <w:jc w:val="right"/>
              <w:rPr>
                <w:rFonts w:ascii="Barlow" w:hAnsi="Barlow" w:cs="Arial"/>
                <w:color w:val="000000"/>
                <w:sz w:val="20"/>
                <w:szCs w:val="20"/>
                <w:lang w:eastAsia="es-MX"/>
              </w:rPr>
            </w:pPr>
          </w:p>
        </w:tc>
        <w:tc>
          <w:tcPr>
            <w:tcW w:w="1466" w:type="dxa"/>
            <w:tcBorders>
              <w:top w:val="nil"/>
              <w:left w:val="nil"/>
              <w:bottom w:val="nil"/>
              <w:right w:val="nil"/>
            </w:tcBorders>
            <w:shd w:val="clear" w:color="auto" w:fill="auto"/>
            <w:noWrap/>
            <w:vAlign w:val="center"/>
          </w:tcPr>
          <w:p w14:paraId="08D91E84" w14:textId="200BB58B" w:rsidR="0035580E" w:rsidRPr="006D57F1" w:rsidRDefault="0035580E" w:rsidP="0035580E">
            <w:pPr>
              <w:jc w:val="center"/>
              <w:rPr>
                <w:rFonts w:ascii="Barlow" w:hAnsi="Barlow" w:cs="Arial"/>
                <w:color w:val="000000"/>
                <w:sz w:val="20"/>
                <w:szCs w:val="20"/>
                <w:lang w:eastAsia="es-MX"/>
              </w:rPr>
            </w:pPr>
          </w:p>
        </w:tc>
        <w:tc>
          <w:tcPr>
            <w:tcW w:w="1466" w:type="dxa"/>
            <w:tcBorders>
              <w:top w:val="nil"/>
              <w:left w:val="nil"/>
              <w:bottom w:val="nil"/>
              <w:right w:val="nil"/>
            </w:tcBorders>
            <w:shd w:val="clear" w:color="auto" w:fill="auto"/>
            <w:noWrap/>
            <w:vAlign w:val="center"/>
          </w:tcPr>
          <w:p w14:paraId="0C745AB0" w14:textId="454C6D58" w:rsidR="0035580E" w:rsidRPr="006D57F1" w:rsidRDefault="0035580E" w:rsidP="0035580E">
            <w:pPr>
              <w:jc w:val="right"/>
              <w:rPr>
                <w:rFonts w:ascii="Barlow" w:hAnsi="Barlow" w:cs="Arial"/>
                <w:color w:val="000000"/>
                <w:sz w:val="20"/>
                <w:szCs w:val="20"/>
                <w:lang w:eastAsia="es-MX"/>
              </w:rPr>
            </w:pPr>
          </w:p>
        </w:tc>
      </w:tr>
      <w:tr w:rsidR="0035580E" w:rsidRPr="006D57F1" w14:paraId="73345E15" w14:textId="77777777" w:rsidTr="00C4072B">
        <w:trPr>
          <w:trHeight w:val="270"/>
        </w:trPr>
        <w:tc>
          <w:tcPr>
            <w:tcW w:w="4457" w:type="dxa"/>
            <w:tcBorders>
              <w:top w:val="nil"/>
              <w:left w:val="nil"/>
              <w:bottom w:val="nil"/>
              <w:right w:val="nil"/>
            </w:tcBorders>
            <w:shd w:val="clear" w:color="auto" w:fill="auto"/>
            <w:noWrap/>
            <w:vAlign w:val="center"/>
          </w:tcPr>
          <w:p w14:paraId="1B740815" w14:textId="471201E8" w:rsidR="0035580E" w:rsidRPr="006D57F1" w:rsidRDefault="0035580E" w:rsidP="0035580E">
            <w:pPr>
              <w:rPr>
                <w:rFonts w:ascii="Barlow" w:hAnsi="Barlow" w:cs="Arial"/>
                <w:color w:val="000000"/>
                <w:sz w:val="20"/>
                <w:szCs w:val="20"/>
                <w:lang w:eastAsia="es-MX"/>
              </w:rPr>
            </w:pPr>
          </w:p>
        </w:tc>
        <w:tc>
          <w:tcPr>
            <w:tcW w:w="1449" w:type="dxa"/>
            <w:tcBorders>
              <w:top w:val="nil"/>
              <w:left w:val="nil"/>
              <w:bottom w:val="nil"/>
              <w:right w:val="nil"/>
            </w:tcBorders>
            <w:shd w:val="clear" w:color="auto" w:fill="auto"/>
            <w:noWrap/>
            <w:vAlign w:val="center"/>
          </w:tcPr>
          <w:p w14:paraId="4D66E080" w14:textId="3A937C3D" w:rsidR="0035580E" w:rsidRPr="006D57F1" w:rsidRDefault="0035580E" w:rsidP="0035580E">
            <w:pPr>
              <w:jc w:val="right"/>
              <w:rPr>
                <w:rFonts w:ascii="Barlow" w:hAnsi="Barlow" w:cs="Arial"/>
                <w:color w:val="000000"/>
                <w:sz w:val="20"/>
                <w:szCs w:val="20"/>
                <w:lang w:eastAsia="es-MX"/>
              </w:rPr>
            </w:pPr>
          </w:p>
        </w:tc>
        <w:tc>
          <w:tcPr>
            <w:tcW w:w="1466" w:type="dxa"/>
            <w:tcBorders>
              <w:top w:val="nil"/>
              <w:left w:val="nil"/>
              <w:bottom w:val="nil"/>
              <w:right w:val="nil"/>
            </w:tcBorders>
            <w:shd w:val="clear" w:color="auto" w:fill="auto"/>
            <w:noWrap/>
            <w:vAlign w:val="center"/>
          </w:tcPr>
          <w:p w14:paraId="7EBF644A" w14:textId="56DB6A8D" w:rsidR="0035580E" w:rsidRPr="006D57F1" w:rsidRDefault="0035580E" w:rsidP="0035580E">
            <w:pPr>
              <w:jc w:val="center"/>
              <w:rPr>
                <w:rFonts w:ascii="Barlow" w:hAnsi="Barlow" w:cs="Arial"/>
                <w:color w:val="000000"/>
                <w:sz w:val="20"/>
                <w:szCs w:val="20"/>
                <w:lang w:eastAsia="es-MX"/>
              </w:rPr>
            </w:pPr>
          </w:p>
        </w:tc>
        <w:tc>
          <w:tcPr>
            <w:tcW w:w="1466" w:type="dxa"/>
            <w:tcBorders>
              <w:top w:val="nil"/>
              <w:left w:val="nil"/>
              <w:bottom w:val="nil"/>
              <w:right w:val="nil"/>
            </w:tcBorders>
            <w:shd w:val="clear" w:color="auto" w:fill="auto"/>
            <w:noWrap/>
            <w:vAlign w:val="center"/>
          </w:tcPr>
          <w:p w14:paraId="0F776A44" w14:textId="37A1D7AA" w:rsidR="0035580E" w:rsidRPr="006D57F1" w:rsidRDefault="0035580E" w:rsidP="0035580E">
            <w:pPr>
              <w:jc w:val="right"/>
              <w:rPr>
                <w:rFonts w:ascii="Barlow" w:hAnsi="Barlow" w:cs="Arial"/>
                <w:color w:val="000000"/>
                <w:sz w:val="20"/>
                <w:szCs w:val="20"/>
                <w:lang w:eastAsia="es-MX"/>
              </w:rPr>
            </w:pPr>
          </w:p>
        </w:tc>
      </w:tr>
    </w:tbl>
    <w:p w14:paraId="5E696D22" w14:textId="72881378" w:rsidR="00672CB0" w:rsidRDefault="00672CB0" w:rsidP="00C4137E">
      <w:pPr>
        <w:autoSpaceDE w:val="0"/>
        <w:autoSpaceDN w:val="0"/>
        <w:adjustRightInd w:val="0"/>
        <w:spacing w:line="360" w:lineRule="auto"/>
        <w:ind w:left="360"/>
        <w:jc w:val="both"/>
        <w:rPr>
          <w:rFonts w:ascii="Barlow" w:hAnsi="Barlow" w:cs="Arial"/>
          <w:sz w:val="20"/>
          <w:szCs w:val="20"/>
        </w:rPr>
      </w:pPr>
      <w:r w:rsidRPr="006D57F1">
        <w:rPr>
          <w:rFonts w:ascii="Barlow" w:hAnsi="Barlow" w:cs="Arial"/>
          <w:sz w:val="20"/>
          <w:szCs w:val="20"/>
        </w:rPr>
        <w:t xml:space="preserve">2.- </w:t>
      </w:r>
      <w:r w:rsidR="00B5499E" w:rsidRPr="006D57F1">
        <w:rPr>
          <w:rFonts w:ascii="Barlow" w:hAnsi="Barlow" w:cs="Arial"/>
          <w:sz w:val="20"/>
          <w:szCs w:val="20"/>
        </w:rPr>
        <w:t xml:space="preserve">El Instituto de Historia no cuenta con saldo al 27 de </w:t>
      </w:r>
      <w:r w:rsidR="006D57F1" w:rsidRPr="006D57F1">
        <w:rPr>
          <w:rFonts w:ascii="Barlow" w:hAnsi="Barlow" w:cs="Arial"/>
          <w:sz w:val="20"/>
          <w:szCs w:val="20"/>
        </w:rPr>
        <w:t>enero</w:t>
      </w:r>
      <w:r w:rsidR="00B5499E" w:rsidRPr="006D57F1">
        <w:rPr>
          <w:rFonts w:ascii="Barlow" w:hAnsi="Barlow" w:cs="Arial"/>
          <w:sz w:val="20"/>
          <w:szCs w:val="20"/>
        </w:rPr>
        <w:t xml:space="preserve"> de 2022 e</w:t>
      </w:r>
      <w:r w:rsidRPr="006D57F1">
        <w:rPr>
          <w:rFonts w:ascii="Barlow" w:hAnsi="Barlow" w:cs="Arial"/>
          <w:sz w:val="20"/>
          <w:szCs w:val="20"/>
        </w:rPr>
        <w:t xml:space="preserve">n la cuenta de patrimonio generado se acumula </w:t>
      </w:r>
      <w:r w:rsidR="00112D72" w:rsidRPr="006D57F1">
        <w:rPr>
          <w:rFonts w:ascii="Barlow" w:hAnsi="Barlow" w:cs="Arial"/>
          <w:sz w:val="20"/>
          <w:szCs w:val="20"/>
        </w:rPr>
        <w:t>e</w:t>
      </w:r>
      <w:r w:rsidRPr="006D57F1">
        <w:rPr>
          <w:rFonts w:ascii="Barlow" w:hAnsi="Barlow" w:cs="Arial"/>
          <w:sz w:val="20"/>
          <w:szCs w:val="20"/>
        </w:rPr>
        <w:t xml:space="preserve">l resultado de ejercicios anteriores </w:t>
      </w:r>
      <w:r w:rsidR="00B5499E" w:rsidRPr="006D57F1">
        <w:rPr>
          <w:rFonts w:ascii="Barlow" w:hAnsi="Barlow" w:cs="Arial"/>
          <w:sz w:val="20"/>
          <w:szCs w:val="20"/>
        </w:rPr>
        <w:t xml:space="preserve">debido </w:t>
      </w:r>
      <w:r w:rsidR="006D57F1" w:rsidRPr="006D57F1">
        <w:rPr>
          <w:rFonts w:ascii="Barlow" w:hAnsi="Barlow" w:cs="Arial"/>
          <w:sz w:val="20"/>
          <w:szCs w:val="20"/>
        </w:rPr>
        <w:t>al proceso</w:t>
      </w:r>
      <w:r w:rsidR="00B5499E" w:rsidRPr="006D57F1">
        <w:rPr>
          <w:rFonts w:ascii="Barlow" w:hAnsi="Barlow" w:cs="Arial"/>
          <w:sz w:val="20"/>
          <w:szCs w:val="20"/>
        </w:rPr>
        <w:t xml:space="preserve"> de liquidación.</w:t>
      </w:r>
    </w:p>
    <w:p w14:paraId="695FD48F" w14:textId="1C6A566E" w:rsidR="006D57F1" w:rsidRDefault="006D57F1" w:rsidP="00C4137E">
      <w:pPr>
        <w:autoSpaceDE w:val="0"/>
        <w:autoSpaceDN w:val="0"/>
        <w:adjustRightInd w:val="0"/>
        <w:spacing w:line="360" w:lineRule="auto"/>
        <w:ind w:left="360"/>
        <w:jc w:val="both"/>
        <w:rPr>
          <w:rFonts w:ascii="Barlow" w:hAnsi="Barlow" w:cs="Arial"/>
          <w:sz w:val="20"/>
          <w:szCs w:val="20"/>
        </w:rPr>
      </w:pPr>
    </w:p>
    <w:p w14:paraId="368283B1" w14:textId="77777777" w:rsidR="006D57F1" w:rsidRPr="006D57F1" w:rsidRDefault="006D57F1" w:rsidP="00C4137E">
      <w:pPr>
        <w:autoSpaceDE w:val="0"/>
        <w:autoSpaceDN w:val="0"/>
        <w:adjustRightInd w:val="0"/>
        <w:spacing w:line="360" w:lineRule="auto"/>
        <w:ind w:left="360"/>
        <w:jc w:val="both"/>
        <w:rPr>
          <w:rFonts w:ascii="Barlow" w:hAnsi="Barlow" w:cs="Arial"/>
          <w:sz w:val="20"/>
          <w:szCs w:val="20"/>
        </w:rPr>
      </w:pPr>
    </w:p>
    <w:tbl>
      <w:tblPr>
        <w:tblW w:w="9097" w:type="dxa"/>
        <w:tblCellMar>
          <w:left w:w="70" w:type="dxa"/>
          <w:right w:w="70" w:type="dxa"/>
        </w:tblCellMar>
        <w:tblLook w:val="04A0" w:firstRow="1" w:lastRow="0" w:firstColumn="1" w:lastColumn="0" w:noHBand="0" w:noVBand="1"/>
      </w:tblPr>
      <w:tblGrid>
        <w:gridCol w:w="4766"/>
        <w:gridCol w:w="1346"/>
        <w:gridCol w:w="1622"/>
        <w:gridCol w:w="1363"/>
      </w:tblGrid>
      <w:tr w:rsidR="0035580E" w:rsidRPr="006D57F1" w14:paraId="2D1D1D29" w14:textId="77777777" w:rsidTr="00DE1B6C">
        <w:trPr>
          <w:trHeight w:val="300"/>
        </w:trPr>
        <w:tc>
          <w:tcPr>
            <w:tcW w:w="4766" w:type="dxa"/>
            <w:tcBorders>
              <w:top w:val="nil"/>
              <w:left w:val="nil"/>
              <w:bottom w:val="nil"/>
              <w:right w:val="nil"/>
            </w:tcBorders>
            <w:shd w:val="clear" w:color="auto" w:fill="auto"/>
            <w:noWrap/>
            <w:hideMark/>
          </w:tcPr>
          <w:p w14:paraId="7E60355D" w14:textId="77777777" w:rsidR="0035580E" w:rsidRPr="006D57F1" w:rsidRDefault="0035580E" w:rsidP="002358C5">
            <w:pPr>
              <w:jc w:val="center"/>
              <w:rPr>
                <w:rFonts w:ascii="Barlow" w:hAnsi="Barlow"/>
                <w:sz w:val="20"/>
                <w:szCs w:val="20"/>
                <w:lang w:eastAsia="es-MX"/>
              </w:rPr>
            </w:pPr>
          </w:p>
        </w:tc>
        <w:tc>
          <w:tcPr>
            <w:tcW w:w="1346" w:type="dxa"/>
            <w:tcBorders>
              <w:top w:val="nil"/>
              <w:left w:val="nil"/>
              <w:bottom w:val="nil"/>
              <w:right w:val="nil"/>
            </w:tcBorders>
            <w:shd w:val="clear" w:color="auto" w:fill="auto"/>
            <w:noWrap/>
            <w:vAlign w:val="center"/>
            <w:hideMark/>
          </w:tcPr>
          <w:p w14:paraId="4BEC2F0A" w14:textId="5FFCD6D5" w:rsidR="0035580E" w:rsidRPr="006D57F1" w:rsidRDefault="0035580E" w:rsidP="002358C5">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SALDO</w:t>
            </w:r>
            <w:r w:rsidR="002358C5" w:rsidRPr="006D57F1">
              <w:rPr>
                <w:rFonts w:ascii="Barlow" w:hAnsi="Barlow" w:cs="Arial"/>
                <w:b/>
                <w:bCs/>
                <w:color w:val="000000"/>
                <w:sz w:val="20"/>
                <w:szCs w:val="20"/>
                <w:lang w:eastAsia="es-MX"/>
              </w:rPr>
              <w:t xml:space="preserve"> FINAL 20</w:t>
            </w:r>
            <w:r w:rsidR="006E7C6F" w:rsidRPr="006D57F1">
              <w:rPr>
                <w:rFonts w:ascii="Barlow" w:hAnsi="Barlow" w:cs="Arial"/>
                <w:b/>
                <w:bCs/>
                <w:color w:val="000000"/>
                <w:sz w:val="20"/>
                <w:szCs w:val="20"/>
                <w:lang w:eastAsia="es-MX"/>
              </w:rPr>
              <w:t>2</w:t>
            </w:r>
            <w:r w:rsidR="008A19B7" w:rsidRPr="006D57F1">
              <w:rPr>
                <w:rFonts w:ascii="Barlow" w:hAnsi="Barlow" w:cs="Arial"/>
                <w:b/>
                <w:bCs/>
                <w:color w:val="000000"/>
                <w:sz w:val="20"/>
                <w:szCs w:val="20"/>
                <w:lang w:eastAsia="es-MX"/>
              </w:rPr>
              <w:t>1</w:t>
            </w:r>
          </w:p>
        </w:tc>
        <w:tc>
          <w:tcPr>
            <w:tcW w:w="1622" w:type="dxa"/>
            <w:tcBorders>
              <w:top w:val="nil"/>
              <w:left w:val="nil"/>
              <w:bottom w:val="nil"/>
              <w:right w:val="nil"/>
            </w:tcBorders>
            <w:shd w:val="clear" w:color="auto" w:fill="auto"/>
            <w:noWrap/>
            <w:vAlign w:val="center"/>
            <w:hideMark/>
          </w:tcPr>
          <w:p w14:paraId="3ED56F05" w14:textId="70D5167D" w:rsidR="0035580E" w:rsidRPr="006D57F1" w:rsidRDefault="0035580E" w:rsidP="002358C5">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VARIACIONES</w:t>
            </w:r>
            <w:r w:rsidR="002358C5" w:rsidRPr="006D57F1">
              <w:rPr>
                <w:rFonts w:ascii="Barlow" w:hAnsi="Barlow" w:cs="Arial"/>
                <w:b/>
                <w:bCs/>
                <w:color w:val="000000"/>
                <w:sz w:val="20"/>
                <w:szCs w:val="20"/>
                <w:lang w:eastAsia="es-MX"/>
              </w:rPr>
              <w:t>EN EL 202</w:t>
            </w:r>
            <w:r w:rsidR="008A19B7" w:rsidRPr="006D57F1">
              <w:rPr>
                <w:rFonts w:ascii="Barlow" w:hAnsi="Barlow" w:cs="Arial"/>
                <w:b/>
                <w:bCs/>
                <w:color w:val="000000"/>
                <w:sz w:val="20"/>
                <w:szCs w:val="20"/>
                <w:lang w:eastAsia="es-MX"/>
              </w:rPr>
              <w:t>2</w:t>
            </w:r>
          </w:p>
        </w:tc>
        <w:tc>
          <w:tcPr>
            <w:tcW w:w="1363" w:type="dxa"/>
            <w:tcBorders>
              <w:top w:val="nil"/>
              <w:left w:val="nil"/>
              <w:bottom w:val="nil"/>
              <w:right w:val="nil"/>
            </w:tcBorders>
            <w:shd w:val="clear" w:color="auto" w:fill="auto"/>
            <w:noWrap/>
            <w:vAlign w:val="center"/>
            <w:hideMark/>
          </w:tcPr>
          <w:p w14:paraId="1D10EB3C" w14:textId="19260CBA" w:rsidR="0035580E" w:rsidRPr="006D57F1" w:rsidRDefault="0035580E" w:rsidP="002358C5">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SALDO</w:t>
            </w:r>
            <w:r w:rsidR="004A6C7E" w:rsidRPr="006D57F1">
              <w:rPr>
                <w:rFonts w:ascii="Barlow" w:hAnsi="Barlow" w:cs="Arial"/>
                <w:b/>
                <w:bCs/>
                <w:color w:val="000000"/>
                <w:sz w:val="20"/>
                <w:szCs w:val="20"/>
                <w:lang w:eastAsia="es-MX"/>
              </w:rPr>
              <w:t xml:space="preserve"> </w:t>
            </w:r>
            <w:r w:rsidR="00B5499E" w:rsidRPr="006D57F1">
              <w:rPr>
                <w:rFonts w:ascii="Barlow" w:hAnsi="Barlow" w:cs="Arial"/>
                <w:b/>
                <w:bCs/>
                <w:color w:val="000000"/>
                <w:sz w:val="20"/>
                <w:szCs w:val="20"/>
                <w:lang w:eastAsia="es-MX"/>
              </w:rPr>
              <w:t>27 DE ENERO</w:t>
            </w:r>
            <w:r w:rsidR="00B27303" w:rsidRPr="006D57F1">
              <w:rPr>
                <w:rFonts w:ascii="Barlow" w:hAnsi="Barlow" w:cs="Arial"/>
                <w:b/>
                <w:bCs/>
                <w:color w:val="000000"/>
                <w:sz w:val="20"/>
                <w:szCs w:val="20"/>
                <w:lang w:eastAsia="es-MX"/>
              </w:rPr>
              <w:t xml:space="preserve"> </w:t>
            </w:r>
            <w:r w:rsidR="002358C5" w:rsidRPr="006D57F1">
              <w:rPr>
                <w:rFonts w:ascii="Barlow" w:hAnsi="Barlow" w:cs="Arial"/>
                <w:b/>
                <w:bCs/>
                <w:color w:val="000000"/>
                <w:sz w:val="20"/>
                <w:szCs w:val="20"/>
                <w:lang w:eastAsia="es-MX"/>
              </w:rPr>
              <w:t>202</w:t>
            </w:r>
            <w:r w:rsidR="000A3FB1" w:rsidRPr="006D57F1">
              <w:rPr>
                <w:rFonts w:ascii="Barlow" w:hAnsi="Barlow" w:cs="Arial"/>
                <w:b/>
                <w:bCs/>
                <w:color w:val="000000"/>
                <w:sz w:val="20"/>
                <w:szCs w:val="20"/>
                <w:lang w:eastAsia="es-MX"/>
              </w:rPr>
              <w:t>1</w:t>
            </w:r>
          </w:p>
        </w:tc>
      </w:tr>
      <w:tr w:rsidR="0035580E" w:rsidRPr="006D57F1" w14:paraId="738061B7" w14:textId="77777777" w:rsidTr="00DE1B6C">
        <w:trPr>
          <w:trHeight w:val="615"/>
        </w:trPr>
        <w:tc>
          <w:tcPr>
            <w:tcW w:w="4766" w:type="dxa"/>
            <w:tcBorders>
              <w:top w:val="nil"/>
              <w:left w:val="nil"/>
              <w:bottom w:val="nil"/>
              <w:right w:val="nil"/>
            </w:tcBorders>
            <w:shd w:val="clear" w:color="auto" w:fill="auto"/>
            <w:noWrap/>
            <w:vAlign w:val="center"/>
            <w:hideMark/>
          </w:tcPr>
          <w:p w14:paraId="50F488DB" w14:textId="77777777" w:rsidR="0035580E" w:rsidRPr="006D57F1" w:rsidRDefault="0035580E" w:rsidP="0035580E">
            <w:pPr>
              <w:jc w:val="both"/>
              <w:rPr>
                <w:rFonts w:ascii="Barlow" w:hAnsi="Barlow" w:cs="Arial"/>
                <w:b/>
                <w:bCs/>
                <w:color w:val="000000"/>
                <w:sz w:val="20"/>
                <w:szCs w:val="20"/>
                <w:lang w:eastAsia="es-MX"/>
              </w:rPr>
            </w:pPr>
            <w:r w:rsidRPr="006D57F1">
              <w:rPr>
                <w:rFonts w:ascii="Barlow" w:hAnsi="Barlow" w:cs="Arial"/>
                <w:b/>
                <w:bCs/>
                <w:color w:val="000000"/>
                <w:sz w:val="20"/>
                <w:szCs w:val="20"/>
                <w:lang w:eastAsia="es-MX"/>
              </w:rPr>
              <w:t>HACIENDA PUBLICA /PATRIMONIO GENERADO</w:t>
            </w:r>
          </w:p>
        </w:tc>
        <w:tc>
          <w:tcPr>
            <w:tcW w:w="1346" w:type="dxa"/>
            <w:tcBorders>
              <w:top w:val="nil"/>
              <w:left w:val="nil"/>
              <w:bottom w:val="nil"/>
              <w:right w:val="nil"/>
            </w:tcBorders>
            <w:shd w:val="clear" w:color="auto" w:fill="auto"/>
            <w:noWrap/>
            <w:hideMark/>
          </w:tcPr>
          <w:p w14:paraId="50332707" w14:textId="77777777" w:rsidR="0035580E" w:rsidRPr="006D57F1" w:rsidRDefault="0035580E" w:rsidP="0035580E">
            <w:pPr>
              <w:jc w:val="both"/>
              <w:rPr>
                <w:rFonts w:ascii="Barlow" w:hAnsi="Barlow" w:cs="Arial"/>
                <w:b/>
                <w:bCs/>
                <w:color w:val="000000"/>
                <w:sz w:val="20"/>
                <w:szCs w:val="20"/>
                <w:lang w:eastAsia="es-MX"/>
              </w:rPr>
            </w:pPr>
          </w:p>
        </w:tc>
        <w:tc>
          <w:tcPr>
            <w:tcW w:w="1622" w:type="dxa"/>
            <w:tcBorders>
              <w:top w:val="nil"/>
              <w:left w:val="nil"/>
              <w:bottom w:val="nil"/>
              <w:right w:val="nil"/>
            </w:tcBorders>
            <w:shd w:val="clear" w:color="auto" w:fill="auto"/>
            <w:noWrap/>
            <w:hideMark/>
          </w:tcPr>
          <w:p w14:paraId="556D1FD8" w14:textId="77777777" w:rsidR="0035580E" w:rsidRPr="006D57F1" w:rsidRDefault="0035580E" w:rsidP="0035580E">
            <w:pPr>
              <w:rPr>
                <w:rFonts w:ascii="Barlow" w:hAnsi="Barlow"/>
                <w:sz w:val="20"/>
                <w:szCs w:val="20"/>
                <w:lang w:eastAsia="es-MX"/>
              </w:rPr>
            </w:pPr>
          </w:p>
        </w:tc>
        <w:tc>
          <w:tcPr>
            <w:tcW w:w="1363" w:type="dxa"/>
            <w:tcBorders>
              <w:top w:val="nil"/>
              <w:left w:val="nil"/>
              <w:bottom w:val="nil"/>
              <w:right w:val="nil"/>
            </w:tcBorders>
            <w:shd w:val="clear" w:color="auto" w:fill="auto"/>
            <w:noWrap/>
            <w:hideMark/>
          </w:tcPr>
          <w:p w14:paraId="566B7550" w14:textId="77777777" w:rsidR="0035580E" w:rsidRPr="006D57F1" w:rsidRDefault="0035580E" w:rsidP="0035580E">
            <w:pPr>
              <w:rPr>
                <w:rFonts w:ascii="Barlow" w:hAnsi="Barlow"/>
                <w:sz w:val="20"/>
                <w:szCs w:val="20"/>
                <w:lang w:eastAsia="es-MX"/>
              </w:rPr>
            </w:pPr>
          </w:p>
        </w:tc>
      </w:tr>
      <w:tr w:rsidR="0035580E" w:rsidRPr="006D57F1" w14:paraId="015D86D0" w14:textId="77777777" w:rsidTr="00DE1B6C">
        <w:trPr>
          <w:trHeight w:val="540"/>
        </w:trPr>
        <w:tc>
          <w:tcPr>
            <w:tcW w:w="4766" w:type="dxa"/>
            <w:tcBorders>
              <w:top w:val="nil"/>
              <w:left w:val="nil"/>
              <w:bottom w:val="nil"/>
              <w:right w:val="nil"/>
            </w:tcBorders>
            <w:shd w:val="clear" w:color="auto" w:fill="auto"/>
            <w:noWrap/>
            <w:vAlign w:val="center"/>
            <w:hideMark/>
          </w:tcPr>
          <w:p w14:paraId="1F3199A7" w14:textId="77777777" w:rsidR="0035580E" w:rsidRPr="006D57F1" w:rsidRDefault="0035580E" w:rsidP="0035580E">
            <w:pPr>
              <w:jc w:val="both"/>
              <w:rPr>
                <w:rFonts w:ascii="Barlow" w:hAnsi="Barlow" w:cs="Arial"/>
                <w:color w:val="000000"/>
                <w:sz w:val="20"/>
                <w:szCs w:val="20"/>
                <w:lang w:eastAsia="es-MX"/>
              </w:rPr>
            </w:pPr>
            <w:r w:rsidRPr="006D57F1">
              <w:rPr>
                <w:rFonts w:ascii="Barlow" w:hAnsi="Barlow" w:cs="Arial"/>
                <w:color w:val="000000"/>
                <w:sz w:val="20"/>
                <w:szCs w:val="20"/>
                <w:lang w:eastAsia="es-MX"/>
              </w:rPr>
              <w:t>RESULTADOS DE EJERCICIOS ANTERIORES</w:t>
            </w:r>
          </w:p>
        </w:tc>
        <w:tc>
          <w:tcPr>
            <w:tcW w:w="1346" w:type="dxa"/>
            <w:tcBorders>
              <w:top w:val="nil"/>
              <w:left w:val="nil"/>
              <w:bottom w:val="nil"/>
              <w:right w:val="nil"/>
            </w:tcBorders>
            <w:shd w:val="clear" w:color="auto" w:fill="auto"/>
            <w:noWrap/>
            <w:vAlign w:val="center"/>
            <w:hideMark/>
          </w:tcPr>
          <w:p w14:paraId="4CE04BFF" w14:textId="6855D73E" w:rsidR="0035580E" w:rsidRPr="006D57F1" w:rsidRDefault="006E7C6F" w:rsidP="0035580E">
            <w:pPr>
              <w:jc w:val="right"/>
              <w:rPr>
                <w:rFonts w:ascii="Barlow" w:hAnsi="Barlow" w:cs="Arial"/>
                <w:color w:val="000000"/>
                <w:sz w:val="20"/>
                <w:szCs w:val="20"/>
                <w:lang w:eastAsia="es-MX"/>
              </w:rPr>
            </w:pPr>
            <w:r w:rsidRPr="006D57F1">
              <w:rPr>
                <w:rFonts w:ascii="Barlow" w:hAnsi="Barlow" w:cs="Arial"/>
                <w:color w:val="000000"/>
                <w:sz w:val="20"/>
                <w:szCs w:val="20"/>
                <w:lang w:eastAsia="es-MX"/>
              </w:rPr>
              <w:t>1</w:t>
            </w:r>
            <w:r w:rsidR="008A19B7" w:rsidRPr="006D57F1">
              <w:rPr>
                <w:rFonts w:ascii="Barlow" w:hAnsi="Barlow" w:cs="Arial"/>
                <w:color w:val="000000"/>
                <w:sz w:val="20"/>
                <w:szCs w:val="20"/>
                <w:lang w:eastAsia="es-MX"/>
              </w:rPr>
              <w:t>3,484,500.46</w:t>
            </w:r>
          </w:p>
        </w:tc>
        <w:tc>
          <w:tcPr>
            <w:tcW w:w="1622" w:type="dxa"/>
            <w:tcBorders>
              <w:top w:val="nil"/>
              <w:left w:val="nil"/>
              <w:bottom w:val="nil"/>
              <w:right w:val="nil"/>
            </w:tcBorders>
            <w:shd w:val="clear" w:color="auto" w:fill="auto"/>
            <w:noWrap/>
            <w:vAlign w:val="center"/>
            <w:hideMark/>
          </w:tcPr>
          <w:p w14:paraId="53D0558B" w14:textId="32403AA1" w:rsidR="0035580E" w:rsidRPr="006D57F1" w:rsidRDefault="00B5499E" w:rsidP="0035580E">
            <w:pPr>
              <w:jc w:val="right"/>
              <w:rPr>
                <w:rFonts w:ascii="Barlow" w:hAnsi="Barlow" w:cs="Arial"/>
                <w:color w:val="000000"/>
                <w:sz w:val="20"/>
                <w:szCs w:val="20"/>
                <w:lang w:eastAsia="es-MX"/>
              </w:rPr>
            </w:pPr>
            <w:r w:rsidRPr="006D57F1">
              <w:rPr>
                <w:rFonts w:ascii="Barlow" w:hAnsi="Barlow" w:cs="Arial"/>
                <w:color w:val="000000"/>
                <w:sz w:val="20"/>
                <w:szCs w:val="20"/>
                <w:lang w:eastAsia="es-MX"/>
              </w:rPr>
              <w:t>13,484,500.46</w:t>
            </w:r>
          </w:p>
        </w:tc>
        <w:tc>
          <w:tcPr>
            <w:tcW w:w="1363" w:type="dxa"/>
            <w:tcBorders>
              <w:top w:val="nil"/>
              <w:left w:val="nil"/>
              <w:bottom w:val="nil"/>
              <w:right w:val="nil"/>
            </w:tcBorders>
            <w:shd w:val="clear" w:color="auto" w:fill="auto"/>
            <w:noWrap/>
            <w:vAlign w:val="center"/>
            <w:hideMark/>
          </w:tcPr>
          <w:p w14:paraId="7A6EA283" w14:textId="69A6E8C7" w:rsidR="0035580E" w:rsidRPr="006D57F1" w:rsidRDefault="00B5499E" w:rsidP="0035580E">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bl>
    <w:p w14:paraId="4FB1E2FD" w14:textId="77777777" w:rsidR="0058376F" w:rsidRPr="006D57F1" w:rsidRDefault="0058376F" w:rsidP="00C4137E">
      <w:pPr>
        <w:autoSpaceDE w:val="0"/>
        <w:autoSpaceDN w:val="0"/>
        <w:adjustRightInd w:val="0"/>
        <w:spacing w:line="360" w:lineRule="auto"/>
        <w:jc w:val="both"/>
        <w:rPr>
          <w:rFonts w:ascii="Barlow" w:hAnsi="Barlow" w:cs="Arial"/>
          <w:b/>
          <w:sz w:val="20"/>
          <w:szCs w:val="20"/>
        </w:rPr>
      </w:pPr>
    </w:p>
    <w:p w14:paraId="6F32AE3C" w14:textId="72C376CF" w:rsidR="00C850B8" w:rsidRPr="006D57F1" w:rsidRDefault="00C850B8" w:rsidP="00C4137E">
      <w:pPr>
        <w:autoSpaceDE w:val="0"/>
        <w:autoSpaceDN w:val="0"/>
        <w:adjustRightInd w:val="0"/>
        <w:spacing w:line="360" w:lineRule="auto"/>
        <w:jc w:val="both"/>
        <w:rPr>
          <w:rFonts w:ascii="Barlow" w:hAnsi="Barlow" w:cs="Arial"/>
          <w:sz w:val="20"/>
          <w:szCs w:val="20"/>
        </w:rPr>
      </w:pPr>
      <w:r w:rsidRPr="006D57F1">
        <w:rPr>
          <w:rFonts w:ascii="Barlow" w:hAnsi="Barlow" w:cs="Arial"/>
          <w:b/>
          <w:sz w:val="20"/>
          <w:szCs w:val="20"/>
        </w:rPr>
        <w:t>IV) NOTAS AL ESTADO DE FLUJO DE EFECTIVO.</w:t>
      </w:r>
    </w:p>
    <w:p w14:paraId="065315A8" w14:textId="77777777" w:rsidR="008273DF" w:rsidRPr="006D57F1" w:rsidRDefault="008273DF" w:rsidP="00C4137E">
      <w:pPr>
        <w:autoSpaceDE w:val="0"/>
        <w:autoSpaceDN w:val="0"/>
        <w:adjustRightInd w:val="0"/>
        <w:spacing w:line="360" w:lineRule="auto"/>
        <w:ind w:left="708"/>
        <w:jc w:val="both"/>
        <w:rPr>
          <w:rFonts w:ascii="Barlow" w:hAnsi="Barlow" w:cs="Arial"/>
          <w:bCs/>
          <w:sz w:val="20"/>
          <w:szCs w:val="20"/>
        </w:rPr>
      </w:pPr>
      <w:r w:rsidRPr="006D57F1">
        <w:rPr>
          <w:rFonts w:ascii="Barlow" w:hAnsi="Barlow" w:cs="Arial"/>
          <w:bCs/>
          <w:sz w:val="20"/>
          <w:szCs w:val="20"/>
        </w:rPr>
        <w:t>1.- El análisis de los saldos inicial y final que figuran en la última parte del estado de flujo de efectivo en la cuenta de efectivo y equivalentes es como sigue:</w:t>
      </w:r>
    </w:p>
    <w:tbl>
      <w:tblPr>
        <w:tblW w:w="6617" w:type="dxa"/>
        <w:tblInd w:w="3301" w:type="dxa"/>
        <w:tblCellMar>
          <w:left w:w="70" w:type="dxa"/>
          <w:right w:w="70" w:type="dxa"/>
        </w:tblCellMar>
        <w:tblLook w:val="04A0" w:firstRow="1" w:lastRow="0" w:firstColumn="1" w:lastColumn="0" w:noHBand="0" w:noVBand="1"/>
      </w:tblPr>
      <w:tblGrid>
        <w:gridCol w:w="2856"/>
        <w:gridCol w:w="1918"/>
        <w:gridCol w:w="1843"/>
      </w:tblGrid>
      <w:tr w:rsidR="005977D6" w:rsidRPr="006D57F1" w14:paraId="3A9168D7" w14:textId="77777777" w:rsidTr="00FC5CFD">
        <w:trPr>
          <w:trHeight w:val="300"/>
        </w:trPr>
        <w:tc>
          <w:tcPr>
            <w:tcW w:w="28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45EA6" w14:textId="77777777" w:rsidR="005977D6" w:rsidRPr="006D57F1" w:rsidRDefault="005977D6" w:rsidP="005977D6">
            <w:pPr>
              <w:jc w:val="center"/>
              <w:rPr>
                <w:rFonts w:ascii="Barlow" w:hAnsi="Barlow" w:cs="Arial"/>
                <w:b/>
                <w:sz w:val="20"/>
                <w:szCs w:val="20"/>
              </w:rPr>
            </w:pPr>
            <w:bookmarkStart w:id="4" w:name="m13"/>
            <w:bookmarkEnd w:id="4"/>
            <w:r w:rsidRPr="006D57F1">
              <w:rPr>
                <w:rFonts w:ascii="Barlow" w:hAnsi="Barlow" w:cs="Arial"/>
                <w:b/>
                <w:sz w:val="20"/>
                <w:szCs w:val="20"/>
              </w:rPr>
              <w:t xml:space="preserve">Concepto </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3AAFEF48" w14:textId="6A13169E" w:rsidR="005977D6" w:rsidRPr="006D57F1" w:rsidRDefault="00B5499E" w:rsidP="005977D6">
            <w:pPr>
              <w:jc w:val="center"/>
              <w:rPr>
                <w:rFonts w:ascii="Barlow" w:hAnsi="Barlow" w:cs="Arial"/>
                <w:b/>
                <w:sz w:val="20"/>
                <w:szCs w:val="20"/>
              </w:rPr>
            </w:pPr>
            <w:r w:rsidRPr="006D57F1">
              <w:rPr>
                <w:rFonts w:ascii="Barlow" w:hAnsi="Barlow" w:cs="Arial"/>
                <w:b/>
                <w:sz w:val="20"/>
                <w:szCs w:val="20"/>
              </w:rPr>
              <w:t>27</w:t>
            </w:r>
            <w:r w:rsidR="00C63E54" w:rsidRPr="006D57F1">
              <w:rPr>
                <w:rFonts w:ascii="Barlow" w:hAnsi="Barlow" w:cs="Arial"/>
                <w:b/>
                <w:sz w:val="20"/>
                <w:szCs w:val="20"/>
              </w:rPr>
              <w:t xml:space="preserve"> ENERO</w:t>
            </w:r>
            <w:r w:rsidR="00FC5CFD" w:rsidRPr="006D57F1">
              <w:rPr>
                <w:rFonts w:ascii="Barlow" w:hAnsi="Barlow" w:cs="Arial"/>
                <w:b/>
                <w:sz w:val="20"/>
                <w:szCs w:val="20"/>
              </w:rPr>
              <w:t xml:space="preserve"> </w:t>
            </w:r>
            <w:r w:rsidR="000A3FB1" w:rsidRPr="006D57F1">
              <w:rPr>
                <w:rFonts w:ascii="Barlow" w:hAnsi="Barlow" w:cs="Arial"/>
                <w:b/>
                <w:sz w:val="20"/>
                <w:szCs w:val="20"/>
              </w:rPr>
              <w:t xml:space="preserve"> </w:t>
            </w:r>
            <w:r w:rsidR="005977D6" w:rsidRPr="006D57F1">
              <w:rPr>
                <w:rFonts w:ascii="Barlow" w:hAnsi="Barlow" w:cs="Arial"/>
                <w:b/>
                <w:sz w:val="20"/>
                <w:szCs w:val="20"/>
              </w:rPr>
              <w:t>202</w:t>
            </w:r>
            <w:r w:rsidR="00C63E54" w:rsidRPr="006D57F1">
              <w:rPr>
                <w:rFonts w:ascii="Barlow" w:hAnsi="Barlow" w:cs="Arial"/>
                <w:b/>
                <w:sz w:val="20"/>
                <w:szCs w:val="20"/>
              </w:rPr>
              <w:t>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A7B62FE" w14:textId="6CED881A" w:rsidR="005977D6" w:rsidRPr="006D57F1" w:rsidRDefault="00C63E54" w:rsidP="005977D6">
            <w:pPr>
              <w:jc w:val="center"/>
              <w:rPr>
                <w:rFonts w:ascii="Barlow" w:hAnsi="Barlow" w:cs="Arial"/>
                <w:b/>
                <w:sz w:val="20"/>
                <w:szCs w:val="20"/>
              </w:rPr>
            </w:pPr>
            <w:r w:rsidRPr="006D57F1">
              <w:rPr>
                <w:rFonts w:ascii="Barlow" w:hAnsi="Barlow" w:cs="Arial"/>
                <w:b/>
                <w:sz w:val="20"/>
                <w:szCs w:val="20"/>
              </w:rPr>
              <w:t>ENERO</w:t>
            </w:r>
            <w:r w:rsidR="000A3FB1" w:rsidRPr="006D57F1">
              <w:rPr>
                <w:rFonts w:ascii="Barlow" w:hAnsi="Barlow" w:cs="Arial"/>
                <w:b/>
                <w:sz w:val="20"/>
                <w:szCs w:val="20"/>
              </w:rPr>
              <w:t xml:space="preserve"> </w:t>
            </w:r>
            <w:r w:rsidR="005977D6" w:rsidRPr="006D57F1">
              <w:rPr>
                <w:rFonts w:ascii="Barlow" w:hAnsi="Barlow" w:cs="Arial"/>
                <w:b/>
                <w:sz w:val="20"/>
                <w:szCs w:val="20"/>
              </w:rPr>
              <w:t>202</w:t>
            </w:r>
            <w:r w:rsidRPr="006D57F1">
              <w:rPr>
                <w:rFonts w:ascii="Barlow" w:hAnsi="Barlow" w:cs="Arial"/>
                <w:b/>
                <w:sz w:val="20"/>
                <w:szCs w:val="20"/>
              </w:rPr>
              <w:t>1</w:t>
            </w:r>
            <w:r w:rsidR="000A3FB1" w:rsidRPr="006D57F1">
              <w:rPr>
                <w:rFonts w:ascii="Barlow" w:hAnsi="Barlow" w:cs="Arial"/>
                <w:b/>
                <w:sz w:val="20"/>
                <w:szCs w:val="20"/>
              </w:rPr>
              <w:t xml:space="preserve"> </w:t>
            </w:r>
          </w:p>
        </w:tc>
      </w:tr>
      <w:tr w:rsidR="005977D6" w:rsidRPr="006D57F1" w14:paraId="5AB97AEE" w14:textId="77777777" w:rsidTr="00FC5CFD">
        <w:trPr>
          <w:trHeight w:val="3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776FCD47" w14:textId="77777777" w:rsidR="005977D6" w:rsidRPr="006D57F1" w:rsidRDefault="005977D6" w:rsidP="005977D6">
            <w:pPr>
              <w:rPr>
                <w:rFonts w:ascii="Barlow" w:hAnsi="Barlow" w:cs="Calibri"/>
                <w:color w:val="000000"/>
                <w:sz w:val="20"/>
                <w:szCs w:val="20"/>
                <w:lang w:eastAsia="es-MX"/>
              </w:rPr>
            </w:pPr>
            <w:r w:rsidRPr="006D57F1">
              <w:rPr>
                <w:rFonts w:ascii="Barlow" w:hAnsi="Barlow" w:cs="Calibri"/>
                <w:color w:val="000000"/>
                <w:sz w:val="20"/>
                <w:szCs w:val="20"/>
                <w:lang w:eastAsia="es-MX"/>
              </w:rPr>
              <w:t xml:space="preserve">Efectivo </w:t>
            </w:r>
          </w:p>
        </w:tc>
        <w:tc>
          <w:tcPr>
            <w:tcW w:w="1918" w:type="dxa"/>
            <w:tcBorders>
              <w:top w:val="nil"/>
              <w:left w:val="nil"/>
              <w:bottom w:val="single" w:sz="4" w:space="0" w:color="auto"/>
              <w:right w:val="single" w:sz="4" w:space="0" w:color="auto"/>
            </w:tcBorders>
            <w:shd w:val="clear" w:color="auto" w:fill="auto"/>
            <w:noWrap/>
            <w:vAlign w:val="bottom"/>
            <w:hideMark/>
          </w:tcPr>
          <w:p w14:paraId="17232072" w14:textId="58948FB4"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DE1B6C" w:rsidRPr="006D57F1">
              <w:rPr>
                <w:rFonts w:ascii="Barlow" w:hAnsi="Barlow" w:cs="Calibri"/>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39A06E6F" w14:textId="1D7BA415"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8A1FA7" w:rsidRPr="006D57F1">
              <w:rPr>
                <w:rFonts w:ascii="Barlow" w:hAnsi="Barlow" w:cs="Calibri"/>
                <w:color w:val="000000"/>
                <w:sz w:val="20"/>
                <w:szCs w:val="20"/>
                <w:lang w:eastAsia="es-MX"/>
              </w:rPr>
              <w:t>1</w:t>
            </w:r>
            <w:r w:rsidR="001D3924" w:rsidRPr="006D57F1">
              <w:rPr>
                <w:rFonts w:ascii="Barlow" w:hAnsi="Barlow" w:cs="Calibri"/>
                <w:color w:val="000000"/>
                <w:sz w:val="20"/>
                <w:szCs w:val="20"/>
                <w:lang w:eastAsia="es-MX"/>
              </w:rPr>
              <w:t>,1</w:t>
            </w:r>
            <w:r w:rsidR="008A1FA7" w:rsidRPr="006D57F1">
              <w:rPr>
                <w:rFonts w:ascii="Barlow" w:hAnsi="Barlow" w:cs="Calibri"/>
                <w:color w:val="000000"/>
                <w:sz w:val="20"/>
                <w:szCs w:val="20"/>
                <w:lang w:eastAsia="es-MX"/>
              </w:rPr>
              <w:t>5</w:t>
            </w:r>
            <w:r w:rsidR="001D3924" w:rsidRPr="006D57F1">
              <w:rPr>
                <w:rFonts w:ascii="Barlow" w:hAnsi="Barlow" w:cs="Calibri"/>
                <w:color w:val="000000"/>
                <w:sz w:val="20"/>
                <w:szCs w:val="20"/>
                <w:lang w:eastAsia="es-MX"/>
              </w:rPr>
              <w:t>0</w:t>
            </w:r>
            <w:r w:rsidR="008A1FA7" w:rsidRPr="006D57F1">
              <w:rPr>
                <w:rFonts w:ascii="Barlow" w:hAnsi="Barlow" w:cs="Calibri"/>
                <w:color w:val="000000"/>
                <w:sz w:val="20"/>
                <w:szCs w:val="20"/>
                <w:lang w:eastAsia="es-MX"/>
              </w:rPr>
              <w:t>.00</w:t>
            </w:r>
          </w:p>
        </w:tc>
      </w:tr>
      <w:tr w:rsidR="005977D6" w:rsidRPr="006D57F1" w14:paraId="206BD729" w14:textId="77777777" w:rsidTr="00FC5CFD">
        <w:trPr>
          <w:trHeight w:val="3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18ADD7CD" w14:textId="326FB078" w:rsidR="005977D6" w:rsidRPr="006D57F1" w:rsidRDefault="005977D6" w:rsidP="005977D6">
            <w:pPr>
              <w:rPr>
                <w:rFonts w:ascii="Barlow" w:hAnsi="Barlow" w:cs="Calibri"/>
                <w:color w:val="000000"/>
                <w:sz w:val="20"/>
                <w:szCs w:val="20"/>
                <w:lang w:eastAsia="es-MX"/>
              </w:rPr>
            </w:pPr>
            <w:r w:rsidRPr="006D57F1">
              <w:rPr>
                <w:rFonts w:ascii="Barlow" w:hAnsi="Barlow" w:cs="Calibri"/>
                <w:color w:val="000000"/>
                <w:sz w:val="20"/>
                <w:szCs w:val="20"/>
                <w:lang w:eastAsia="es-MX"/>
              </w:rPr>
              <w:t xml:space="preserve">Bancos/Tesorería </w:t>
            </w:r>
          </w:p>
        </w:tc>
        <w:tc>
          <w:tcPr>
            <w:tcW w:w="1918" w:type="dxa"/>
            <w:tcBorders>
              <w:top w:val="nil"/>
              <w:left w:val="nil"/>
              <w:bottom w:val="single" w:sz="4" w:space="0" w:color="auto"/>
              <w:right w:val="single" w:sz="4" w:space="0" w:color="auto"/>
            </w:tcBorders>
            <w:shd w:val="clear" w:color="auto" w:fill="auto"/>
            <w:noWrap/>
            <w:vAlign w:val="bottom"/>
            <w:hideMark/>
          </w:tcPr>
          <w:p w14:paraId="603C970E" w14:textId="641F0498"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B5499E" w:rsidRPr="006D57F1">
              <w:rPr>
                <w:rFonts w:ascii="Barlow" w:hAnsi="Barlow" w:cs="Calibri"/>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0F7BEE26" w14:textId="639606ED"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8A1FA7" w:rsidRPr="006D57F1">
              <w:rPr>
                <w:rFonts w:ascii="Barlow" w:hAnsi="Barlow" w:cs="Calibri"/>
                <w:color w:val="000000"/>
                <w:sz w:val="20"/>
                <w:szCs w:val="20"/>
                <w:lang w:eastAsia="es-MX"/>
              </w:rPr>
              <w:t>1</w:t>
            </w:r>
            <w:r w:rsidR="001D3924" w:rsidRPr="006D57F1">
              <w:rPr>
                <w:rFonts w:ascii="Barlow" w:hAnsi="Barlow" w:cs="Calibri"/>
                <w:color w:val="000000"/>
                <w:sz w:val="20"/>
                <w:szCs w:val="20"/>
                <w:lang w:eastAsia="es-MX"/>
              </w:rPr>
              <w:t>1,79</w:t>
            </w:r>
            <w:r w:rsidR="00C63E54" w:rsidRPr="006D57F1">
              <w:rPr>
                <w:rFonts w:ascii="Barlow" w:hAnsi="Barlow" w:cs="Calibri"/>
                <w:color w:val="000000"/>
                <w:sz w:val="20"/>
                <w:szCs w:val="20"/>
                <w:lang w:eastAsia="es-MX"/>
              </w:rPr>
              <w:t>2</w:t>
            </w:r>
            <w:r w:rsidR="001D3924" w:rsidRPr="006D57F1">
              <w:rPr>
                <w:rFonts w:ascii="Barlow" w:hAnsi="Barlow" w:cs="Calibri"/>
                <w:color w:val="000000"/>
                <w:sz w:val="20"/>
                <w:szCs w:val="20"/>
                <w:lang w:eastAsia="es-MX"/>
              </w:rPr>
              <w:t>,</w:t>
            </w:r>
            <w:r w:rsidR="00C63E54" w:rsidRPr="006D57F1">
              <w:rPr>
                <w:rFonts w:ascii="Barlow" w:hAnsi="Barlow" w:cs="Calibri"/>
                <w:color w:val="000000"/>
                <w:sz w:val="20"/>
                <w:szCs w:val="20"/>
                <w:lang w:eastAsia="es-MX"/>
              </w:rPr>
              <w:t>840.14</w:t>
            </w:r>
          </w:p>
        </w:tc>
      </w:tr>
      <w:tr w:rsidR="005977D6" w:rsidRPr="006D57F1" w14:paraId="5E0E072F" w14:textId="77777777" w:rsidTr="00FC5CFD">
        <w:trPr>
          <w:trHeight w:val="3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642A11F0" w14:textId="77777777" w:rsidR="005977D6" w:rsidRPr="006D57F1" w:rsidRDefault="005977D6" w:rsidP="005977D6">
            <w:pPr>
              <w:rPr>
                <w:rFonts w:ascii="Barlow" w:hAnsi="Barlow" w:cs="Calibri"/>
                <w:color w:val="000000"/>
                <w:sz w:val="20"/>
                <w:szCs w:val="20"/>
                <w:lang w:eastAsia="es-MX"/>
              </w:rPr>
            </w:pPr>
            <w:r w:rsidRPr="006D57F1">
              <w:rPr>
                <w:rFonts w:ascii="Barlow" w:hAnsi="Barlow" w:cs="Calibri"/>
                <w:color w:val="000000"/>
                <w:sz w:val="20"/>
                <w:szCs w:val="20"/>
                <w:lang w:eastAsia="es-MX"/>
              </w:rPr>
              <w:t xml:space="preserve">Bancos/Dependencias y Otros </w:t>
            </w:r>
          </w:p>
        </w:tc>
        <w:tc>
          <w:tcPr>
            <w:tcW w:w="1918" w:type="dxa"/>
            <w:tcBorders>
              <w:top w:val="nil"/>
              <w:left w:val="nil"/>
              <w:bottom w:val="single" w:sz="4" w:space="0" w:color="auto"/>
              <w:right w:val="single" w:sz="4" w:space="0" w:color="auto"/>
            </w:tcBorders>
            <w:shd w:val="clear" w:color="auto" w:fill="auto"/>
            <w:noWrap/>
            <w:vAlign w:val="bottom"/>
            <w:hideMark/>
          </w:tcPr>
          <w:p w14:paraId="3CFF206B" w14:textId="07ACDAB2"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DE1B6C" w:rsidRPr="006D57F1">
              <w:rPr>
                <w:rFonts w:ascii="Barlow" w:hAnsi="Barlow" w:cs="Calibri"/>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228B88DB" w14:textId="6A394397" w:rsidR="005977D6" w:rsidRPr="006D57F1" w:rsidRDefault="008A1FA7"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r w:rsidR="005977D6" w:rsidRPr="006D57F1">
              <w:rPr>
                <w:rFonts w:ascii="Barlow" w:hAnsi="Barlow" w:cs="Calibri"/>
                <w:color w:val="000000"/>
                <w:sz w:val="20"/>
                <w:szCs w:val="20"/>
                <w:lang w:eastAsia="es-MX"/>
              </w:rPr>
              <w:t> </w:t>
            </w:r>
          </w:p>
        </w:tc>
      </w:tr>
      <w:tr w:rsidR="005977D6" w:rsidRPr="006D57F1" w14:paraId="0AF70DD4" w14:textId="77777777" w:rsidTr="00FC5CFD">
        <w:trPr>
          <w:trHeight w:val="6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5B3676CE" w14:textId="58BEA25C" w:rsidR="005977D6" w:rsidRPr="006D57F1" w:rsidRDefault="005977D6" w:rsidP="005977D6">
            <w:pPr>
              <w:rPr>
                <w:rFonts w:ascii="Barlow" w:hAnsi="Barlow" w:cs="Calibri"/>
                <w:color w:val="000000"/>
                <w:sz w:val="20"/>
                <w:szCs w:val="20"/>
                <w:lang w:eastAsia="es-MX"/>
              </w:rPr>
            </w:pPr>
            <w:r w:rsidRPr="006D57F1">
              <w:rPr>
                <w:rFonts w:ascii="Barlow" w:hAnsi="Barlow" w:cs="Calibri"/>
                <w:color w:val="000000"/>
                <w:sz w:val="20"/>
                <w:szCs w:val="20"/>
                <w:lang w:eastAsia="es-MX"/>
              </w:rPr>
              <w:t>Inversiones Temporales (Hasta 3 Meses)</w:t>
            </w:r>
          </w:p>
        </w:tc>
        <w:tc>
          <w:tcPr>
            <w:tcW w:w="1918" w:type="dxa"/>
            <w:tcBorders>
              <w:top w:val="nil"/>
              <w:left w:val="nil"/>
              <w:bottom w:val="single" w:sz="4" w:space="0" w:color="auto"/>
              <w:right w:val="single" w:sz="4" w:space="0" w:color="auto"/>
            </w:tcBorders>
            <w:shd w:val="clear" w:color="auto" w:fill="auto"/>
            <w:noWrap/>
            <w:vAlign w:val="bottom"/>
            <w:hideMark/>
          </w:tcPr>
          <w:p w14:paraId="5378A9C8" w14:textId="55D4192E"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DE1B6C" w:rsidRPr="006D57F1">
              <w:rPr>
                <w:rFonts w:ascii="Barlow" w:hAnsi="Barlow" w:cs="Calibri"/>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57163B8A" w14:textId="61A66DE2" w:rsidR="005977D6" w:rsidRPr="006D57F1" w:rsidRDefault="008A1FA7"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r w:rsidR="005977D6" w:rsidRPr="006D57F1">
              <w:rPr>
                <w:rFonts w:ascii="Barlow" w:hAnsi="Barlow" w:cs="Calibri"/>
                <w:color w:val="000000"/>
                <w:sz w:val="20"/>
                <w:szCs w:val="20"/>
                <w:lang w:eastAsia="es-MX"/>
              </w:rPr>
              <w:t> </w:t>
            </w:r>
          </w:p>
        </w:tc>
      </w:tr>
      <w:tr w:rsidR="005977D6" w:rsidRPr="006D57F1" w14:paraId="0A92B688" w14:textId="77777777" w:rsidTr="00FC5CFD">
        <w:trPr>
          <w:trHeight w:val="3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42DA38AF" w14:textId="77777777" w:rsidR="005977D6" w:rsidRPr="006D57F1" w:rsidRDefault="005977D6" w:rsidP="005977D6">
            <w:pPr>
              <w:rPr>
                <w:rFonts w:ascii="Barlow" w:hAnsi="Barlow" w:cs="Calibri"/>
                <w:color w:val="000000"/>
                <w:sz w:val="20"/>
                <w:szCs w:val="20"/>
                <w:lang w:eastAsia="es-MX"/>
              </w:rPr>
            </w:pPr>
            <w:r w:rsidRPr="006D57F1">
              <w:rPr>
                <w:rFonts w:ascii="Barlow" w:hAnsi="Barlow" w:cs="Calibri"/>
                <w:color w:val="000000"/>
                <w:sz w:val="20"/>
                <w:szCs w:val="20"/>
                <w:lang w:eastAsia="es-MX"/>
              </w:rPr>
              <w:t xml:space="preserve">Fondos con afectaciones Especifica </w:t>
            </w:r>
          </w:p>
        </w:tc>
        <w:tc>
          <w:tcPr>
            <w:tcW w:w="1918" w:type="dxa"/>
            <w:tcBorders>
              <w:top w:val="nil"/>
              <w:left w:val="nil"/>
              <w:bottom w:val="single" w:sz="4" w:space="0" w:color="auto"/>
              <w:right w:val="single" w:sz="4" w:space="0" w:color="auto"/>
            </w:tcBorders>
            <w:shd w:val="clear" w:color="auto" w:fill="auto"/>
            <w:noWrap/>
            <w:vAlign w:val="bottom"/>
            <w:hideMark/>
          </w:tcPr>
          <w:p w14:paraId="48BD7408" w14:textId="75037534"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DE1B6C" w:rsidRPr="006D57F1">
              <w:rPr>
                <w:rFonts w:ascii="Barlow" w:hAnsi="Barlow" w:cs="Calibri"/>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2719244F" w14:textId="058B2F05" w:rsidR="005977D6" w:rsidRPr="006D57F1" w:rsidRDefault="008A1FA7"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r w:rsidR="005977D6" w:rsidRPr="006D57F1">
              <w:rPr>
                <w:rFonts w:ascii="Barlow" w:hAnsi="Barlow" w:cs="Calibri"/>
                <w:color w:val="000000"/>
                <w:sz w:val="20"/>
                <w:szCs w:val="20"/>
                <w:lang w:eastAsia="es-MX"/>
              </w:rPr>
              <w:t> </w:t>
            </w:r>
          </w:p>
        </w:tc>
      </w:tr>
      <w:tr w:rsidR="005977D6" w:rsidRPr="006D57F1" w14:paraId="3DFCF75C" w14:textId="77777777" w:rsidTr="00FC5CFD">
        <w:trPr>
          <w:trHeight w:val="6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39712BFD" w14:textId="329075C1" w:rsidR="005977D6" w:rsidRPr="006D57F1" w:rsidRDefault="005977D6" w:rsidP="005977D6">
            <w:pPr>
              <w:rPr>
                <w:rFonts w:ascii="Barlow" w:hAnsi="Barlow" w:cs="Calibri"/>
                <w:color w:val="000000"/>
                <w:sz w:val="20"/>
                <w:szCs w:val="20"/>
                <w:lang w:eastAsia="es-MX"/>
              </w:rPr>
            </w:pPr>
            <w:r w:rsidRPr="006D57F1">
              <w:rPr>
                <w:rFonts w:ascii="Barlow" w:hAnsi="Barlow" w:cs="Calibri"/>
                <w:color w:val="000000"/>
                <w:sz w:val="20"/>
                <w:szCs w:val="20"/>
                <w:lang w:eastAsia="es-MX"/>
              </w:rPr>
              <w:t>Depósito de Fondos de Terceros en Garantía y/o Administración</w:t>
            </w:r>
          </w:p>
        </w:tc>
        <w:tc>
          <w:tcPr>
            <w:tcW w:w="1918" w:type="dxa"/>
            <w:tcBorders>
              <w:top w:val="nil"/>
              <w:left w:val="nil"/>
              <w:bottom w:val="single" w:sz="4" w:space="0" w:color="auto"/>
              <w:right w:val="single" w:sz="4" w:space="0" w:color="auto"/>
            </w:tcBorders>
            <w:shd w:val="clear" w:color="auto" w:fill="auto"/>
            <w:noWrap/>
            <w:vAlign w:val="bottom"/>
            <w:hideMark/>
          </w:tcPr>
          <w:p w14:paraId="45B165AC" w14:textId="3812D87E"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DE1B6C" w:rsidRPr="006D57F1">
              <w:rPr>
                <w:rFonts w:ascii="Barlow" w:hAnsi="Barlow" w:cs="Calibri"/>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41964C61" w14:textId="2286D791" w:rsidR="005977D6" w:rsidRPr="006D57F1" w:rsidRDefault="008A1FA7"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r w:rsidR="005977D6" w:rsidRPr="006D57F1">
              <w:rPr>
                <w:rFonts w:ascii="Barlow" w:hAnsi="Barlow" w:cs="Calibri"/>
                <w:color w:val="000000"/>
                <w:sz w:val="20"/>
                <w:szCs w:val="20"/>
                <w:lang w:eastAsia="es-MX"/>
              </w:rPr>
              <w:t> </w:t>
            </w:r>
          </w:p>
        </w:tc>
      </w:tr>
      <w:tr w:rsidR="005977D6" w:rsidRPr="006D57F1" w14:paraId="284AF305" w14:textId="77777777" w:rsidTr="00FC5CFD">
        <w:trPr>
          <w:trHeight w:val="3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2CAA6142" w14:textId="77777777" w:rsidR="005977D6" w:rsidRPr="006D57F1" w:rsidRDefault="005977D6" w:rsidP="005977D6">
            <w:pPr>
              <w:rPr>
                <w:rFonts w:ascii="Barlow" w:hAnsi="Barlow" w:cs="Calibri"/>
                <w:color w:val="000000"/>
                <w:sz w:val="20"/>
                <w:szCs w:val="20"/>
                <w:lang w:eastAsia="es-MX"/>
              </w:rPr>
            </w:pPr>
            <w:r w:rsidRPr="006D57F1">
              <w:rPr>
                <w:rFonts w:ascii="Barlow" w:hAnsi="Barlow" w:cs="Calibri"/>
                <w:color w:val="000000"/>
                <w:sz w:val="20"/>
                <w:szCs w:val="20"/>
                <w:lang w:eastAsia="es-MX"/>
              </w:rPr>
              <w:t xml:space="preserve">Otros Efectivos y Equivalentes </w:t>
            </w:r>
          </w:p>
        </w:tc>
        <w:tc>
          <w:tcPr>
            <w:tcW w:w="1918" w:type="dxa"/>
            <w:tcBorders>
              <w:top w:val="nil"/>
              <w:left w:val="nil"/>
              <w:bottom w:val="single" w:sz="4" w:space="0" w:color="auto"/>
              <w:right w:val="single" w:sz="4" w:space="0" w:color="auto"/>
            </w:tcBorders>
            <w:shd w:val="clear" w:color="auto" w:fill="auto"/>
            <w:noWrap/>
            <w:vAlign w:val="bottom"/>
            <w:hideMark/>
          </w:tcPr>
          <w:p w14:paraId="1F61FCD7" w14:textId="0B2AD4A1" w:rsidR="005977D6" w:rsidRPr="006D57F1" w:rsidRDefault="005977D6"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r w:rsidR="004A6C7E" w:rsidRPr="006D57F1">
              <w:rPr>
                <w:rFonts w:ascii="Barlow" w:hAnsi="Barlow" w:cs="Calibri"/>
                <w:color w:val="000000"/>
                <w:sz w:val="20"/>
                <w:szCs w:val="20"/>
                <w:lang w:eastAsia="es-MX"/>
              </w:rPr>
              <w:t>0</w:t>
            </w:r>
            <w:r w:rsidR="00DE1B6C" w:rsidRPr="006D57F1">
              <w:rPr>
                <w:rFonts w:ascii="Barlow" w:hAnsi="Barlow" w:cs="Calibri"/>
                <w:color w:val="000000"/>
                <w:sz w:val="20"/>
                <w:szCs w:val="20"/>
                <w:lang w:eastAsia="es-MX"/>
              </w:rPr>
              <w:t>.00</w:t>
            </w:r>
          </w:p>
        </w:tc>
        <w:tc>
          <w:tcPr>
            <w:tcW w:w="1843" w:type="dxa"/>
            <w:tcBorders>
              <w:top w:val="nil"/>
              <w:left w:val="nil"/>
              <w:bottom w:val="single" w:sz="4" w:space="0" w:color="auto"/>
              <w:right w:val="single" w:sz="4" w:space="0" w:color="auto"/>
            </w:tcBorders>
            <w:shd w:val="clear" w:color="auto" w:fill="auto"/>
            <w:noWrap/>
            <w:vAlign w:val="bottom"/>
            <w:hideMark/>
          </w:tcPr>
          <w:p w14:paraId="0D2D921C" w14:textId="7C9C331C" w:rsidR="005977D6" w:rsidRPr="006D57F1" w:rsidRDefault="00DE1B6C" w:rsidP="00DE1B6C">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r w:rsidR="005977D6" w:rsidRPr="006D57F1">
              <w:rPr>
                <w:rFonts w:ascii="Barlow" w:hAnsi="Barlow" w:cs="Calibri"/>
                <w:color w:val="000000"/>
                <w:sz w:val="20"/>
                <w:szCs w:val="20"/>
                <w:lang w:eastAsia="es-MX"/>
              </w:rPr>
              <w:t> </w:t>
            </w:r>
          </w:p>
        </w:tc>
      </w:tr>
      <w:tr w:rsidR="005977D6" w:rsidRPr="006D57F1" w14:paraId="2DF39AD4" w14:textId="77777777" w:rsidTr="00FC5CFD">
        <w:trPr>
          <w:trHeight w:val="300"/>
        </w:trPr>
        <w:tc>
          <w:tcPr>
            <w:tcW w:w="2856" w:type="dxa"/>
            <w:tcBorders>
              <w:top w:val="nil"/>
              <w:left w:val="single" w:sz="4" w:space="0" w:color="auto"/>
              <w:bottom w:val="single" w:sz="4" w:space="0" w:color="auto"/>
              <w:right w:val="single" w:sz="4" w:space="0" w:color="auto"/>
            </w:tcBorders>
            <w:shd w:val="clear" w:color="auto" w:fill="auto"/>
            <w:vAlign w:val="bottom"/>
            <w:hideMark/>
          </w:tcPr>
          <w:p w14:paraId="5E59DF28" w14:textId="77777777" w:rsidR="005977D6" w:rsidRPr="006D57F1" w:rsidRDefault="005977D6" w:rsidP="005977D6">
            <w:pPr>
              <w:rPr>
                <w:rFonts w:ascii="Barlow" w:hAnsi="Barlow" w:cs="Calibri"/>
                <w:b/>
                <w:bCs/>
                <w:color w:val="000000"/>
                <w:sz w:val="20"/>
                <w:szCs w:val="20"/>
                <w:lang w:eastAsia="es-MX"/>
              </w:rPr>
            </w:pPr>
            <w:r w:rsidRPr="006D57F1">
              <w:rPr>
                <w:rFonts w:ascii="Barlow" w:hAnsi="Barlow" w:cs="Calibri"/>
                <w:b/>
                <w:bCs/>
                <w:color w:val="000000"/>
                <w:sz w:val="20"/>
                <w:szCs w:val="20"/>
                <w:lang w:eastAsia="es-MX"/>
              </w:rPr>
              <w:t xml:space="preserve">Total de Efectivo y Equivalentes </w:t>
            </w:r>
          </w:p>
        </w:tc>
        <w:tc>
          <w:tcPr>
            <w:tcW w:w="1918" w:type="dxa"/>
            <w:tcBorders>
              <w:top w:val="nil"/>
              <w:left w:val="nil"/>
              <w:bottom w:val="single" w:sz="4" w:space="0" w:color="auto"/>
              <w:right w:val="single" w:sz="4" w:space="0" w:color="auto"/>
            </w:tcBorders>
            <w:shd w:val="clear" w:color="auto" w:fill="auto"/>
            <w:noWrap/>
            <w:vAlign w:val="bottom"/>
            <w:hideMark/>
          </w:tcPr>
          <w:p w14:paraId="38D2E14A" w14:textId="545C7E85" w:rsidR="005977D6" w:rsidRPr="006D57F1" w:rsidRDefault="00B5499E" w:rsidP="00DE1B6C">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0D19B2F8" w14:textId="1ECCDA87" w:rsidR="005977D6" w:rsidRPr="006D57F1" w:rsidRDefault="005977D6" w:rsidP="00DE1B6C">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 </w:t>
            </w:r>
            <w:r w:rsidR="00DE1B6C" w:rsidRPr="006D57F1">
              <w:rPr>
                <w:rFonts w:ascii="Barlow" w:hAnsi="Barlow" w:cs="Calibri"/>
                <w:b/>
                <w:bCs/>
                <w:color w:val="000000"/>
                <w:sz w:val="20"/>
                <w:szCs w:val="20"/>
                <w:lang w:eastAsia="es-MX"/>
              </w:rPr>
              <w:t>1</w:t>
            </w:r>
            <w:r w:rsidR="001D3924" w:rsidRPr="006D57F1">
              <w:rPr>
                <w:rFonts w:ascii="Barlow" w:hAnsi="Barlow" w:cs="Calibri"/>
                <w:b/>
                <w:bCs/>
                <w:color w:val="000000"/>
                <w:sz w:val="20"/>
                <w:szCs w:val="20"/>
                <w:lang w:eastAsia="es-MX"/>
              </w:rPr>
              <w:t>1,79</w:t>
            </w:r>
            <w:r w:rsidR="00C63E54" w:rsidRPr="006D57F1">
              <w:rPr>
                <w:rFonts w:ascii="Barlow" w:hAnsi="Barlow" w:cs="Calibri"/>
                <w:b/>
                <w:bCs/>
                <w:color w:val="000000"/>
                <w:sz w:val="20"/>
                <w:szCs w:val="20"/>
                <w:lang w:eastAsia="es-MX"/>
              </w:rPr>
              <w:t>3,990.14</w:t>
            </w:r>
          </w:p>
        </w:tc>
      </w:tr>
    </w:tbl>
    <w:p w14:paraId="6BA6FAFE" w14:textId="4AA98C76" w:rsidR="007A3D91" w:rsidRPr="006D57F1" w:rsidRDefault="007A3D91" w:rsidP="00C4137E">
      <w:pPr>
        <w:autoSpaceDE w:val="0"/>
        <w:autoSpaceDN w:val="0"/>
        <w:adjustRightInd w:val="0"/>
        <w:spacing w:line="360" w:lineRule="auto"/>
        <w:ind w:left="708"/>
        <w:jc w:val="both"/>
        <w:rPr>
          <w:rFonts w:ascii="Barlow" w:hAnsi="Barlow" w:cs="Arial"/>
          <w:bCs/>
          <w:sz w:val="20"/>
          <w:szCs w:val="20"/>
          <w:highlight w:val="yellow"/>
        </w:rPr>
      </w:pPr>
    </w:p>
    <w:p w14:paraId="657E5545" w14:textId="3A9A2011" w:rsidR="00FC5CFD" w:rsidRPr="006D57F1" w:rsidRDefault="00FC5CFD" w:rsidP="00C4137E">
      <w:pPr>
        <w:autoSpaceDE w:val="0"/>
        <w:autoSpaceDN w:val="0"/>
        <w:adjustRightInd w:val="0"/>
        <w:spacing w:line="360" w:lineRule="auto"/>
        <w:ind w:left="708"/>
        <w:jc w:val="both"/>
        <w:rPr>
          <w:rFonts w:ascii="Barlow" w:hAnsi="Barlow" w:cs="Arial"/>
          <w:bCs/>
          <w:sz w:val="20"/>
          <w:szCs w:val="20"/>
          <w:highlight w:val="yellow"/>
        </w:rPr>
      </w:pPr>
    </w:p>
    <w:p w14:paraId="45CD0A83" w14:textId="77777777" w:rsidR="00FC5CFD" w:rsidRPr="006D57F1" w:rsidRDefault="00FC5CFD" w:rsidP="00C4137E">
      <w:pPr>
        <w:autoSpaceDE w:val="0"/>
        <w:autoSpaceDN w:val="0"/>
        <w:adjustRightInd w:val="0"/>
        <w:spacing w:line="360" w:lineRule="auto"/>
        <w:ind w:left="708"/>
        <w:jc w:val="both"/>
        <w:rPr>
          <w:rFonts w:ascii="Barlow" w:hAnsi="Barlow" w:cs="Arial"/>
          <w:bCs/>
          <w:sz w:val="20"/>
          <w:szCs w:val="20"/>
          <w:highlight w:val="yellow"/>
        </w:rPr>
      </w:pPr>
    </w:p>
    <w:p w14:paraId="7F4FF3E2" w14:textId="39E229D3" w:rsidR="00B83254" w:rsidRPr="006D57F1" w:rsidRDefault="00B83254" w:rsidP="00C4137E">
      <w:pPr>
        <w:autoSpaceDE w:val="0"/>
        <w:autoSpaceDN w:val="0"/>
        <w:adjustRightInd w:val="0"/>
        <w:spacing w:line="360" w:lineRule="auto"/>
        <w:ind w:left="708"/>
        <w:jc w:val="both"/>
        <w:rPr>
          <w:rFonts w:ascii="Barlow" w:hAnsi="Barlow" w:cs="Arial"/>
          <w:bCs/>
          <w:sz w:val="20"/>
          <w:szCs w:val="20"/>
        </w:rPr>
      </w:pPr>
      <w:bookmarkStart w:id="5" w:name="m14"/>
      <w:bookmarkEnd w:id="5"/>
      <w:r w:rsidRPr="006D57F1">
        <w:rPr>
          <w:rFonts w:ascii="Barlow" w:hAnsi="Barlow" w:cs="Arial"/>
          <w:bCs/>
          <w:sz w:val="20"/>
          <w:szCs w:val="20"/>
        </w:rPr>
        <w:t xml:space="preserve">3.- Se presenta la </w:t>
      </w:r>
      <w:r w:rsidR="006E1089" w:rsidRPr="006D57F1">
        <w:rPr>
          <w:rFonts w:ascii="Barlow" w:hAnsi="Barlow" w:cs="Arial"/>
          <w:bCs/>
          <w:sz w:val="20"/>
          <w:szCs w:val="20"/>
        </w:rPr>
        <w:t>conciliación</w:t>
      </w:r>
      <w:r w:rsidRPr="006D57F1">
        <w:rPr>
          <w:rFonts w:ascii="Barlow" w:hAnsi="Barlow" w:cs="Arial"/>
          <w:bCs/>
          <w:sz w:val="20"/>
          <w:szCs w:val="20"/>
        </w:rPr>
        <w:t xml:space="preserve"> de flujos de efectivo ne</w:t>
      </w:r>
      <w:r w:rsidR="00D265A1" w:rsidRPr="006D57F1">
        <w:rPr>
          <w:rFonts w:ascii="Barlow" w:hAnsi="Barlow" w:cs="Arial"/>
          <w:bCs/>
          <w:sz w:val="20"/>
          <w:szCs w:val="20"/>
        </w:rPr>
        <w:t>to</w:t>
      </w:r>
      <w:r w:rsidRPr="006D57F1">
        <w:rPr>
          <w:rFonts w:ascii="Barlow" w:hAnsi="Barlow" w:cs="Arial"/>
          <w:bCs/>
          <w:sz w:val="20"/>
          <w:szCs w:val="20"/>
        </w:rPr>
        <w:t xml:space="preserve"> de las actividades de operación y la cuenta de ahorro/desahorro antes de rubros extraordinarios</w:t>
      </w:r>
      <w:r w:rsidR="00251A08" w:rsidRPr="006D57F1">
        <w:rPr>
          <w:rFonts w:ascii="Barlow" w:hAnsi="Barlow" w:cs="Arial"/>
          <w:bCs/>
          <w:sz w:val="20"/>
          <w:szCs w:val="20"/>
        </w:rPr>
        <w:t>.</w:t>
      </w:r>
    </w:p>
    <w:tbl>
      <w:tblPr>
        <w:tblW w:w="8760" w:type="dxa"/>
        <w:tblInd w:w="1991" w:type="dxa"/>
        <w:tblCellMar>
          <w:left w:w="70" w:type="dxa"/>
          <w:right w:w="70" w:type="dxa"/>
        </w:tblCellMar>
        <w:tblLook w:val="04A0" w:firstRow="1" w:lastRow="0" w:firstColumn="1" w:lastColumn="0" w:noHBand="0" w:noVBand="1"/>
      </w:tblPr>
      <w:tblGrid>
        <w:gridCol w:w="4460"/>
        <w:gridCol w:w="2040"/>
        <w:gridCol w:w="2260"/>
      </w:tblGrid>
      <w:tr w:rsidR="00DF1596" w:rsidRPr="006D57F1" w14:paraId="6D743F21" w14:textId="77777777" w:rsidTr="00DF1596">
        <w:trPr>
          <w:trHeight w:val="285"/>
        </w:trPr>
        <w:tc>
          <w:tcPr>
            <w:tcW w:w="4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233E75" w14:textId="77777777" w:rsidR="00DF1596" w:rsidRPr="006D57F1" w:rsidRDefault="00DF1596" w:rsidP="00DF1596">
            <w:pPr>
              <w:rPr>
                <w:rFonts w:ascii="Barlow" w:hAnsi="Barlow" w:cs="Arial"/>
                <w:color w:val="000000"/>
                <w:sz w:val="20"/>
                <w:szCs w:val="20"/>
                <w:highlight w:val="yellow"/>
                <w:lang w:eastAsia="es-MX"/>
              </w:rPr>
            </w:pPr>
            <w:r w:rsidRPr="006D57F1">
              <w:rPr>
                <w:rFonts w:ascii="Barlow" w:hAnsi="Barlow" w:cs="Arial"/>
                <w:color w:val="000000"/>
                <w:sz w:val="20"/>
                <w:szCs w:val="20"/>
                <w:highlight w:val="yellow"/>
                <w:lang w:eastAsia="es-MX"/>
              </w:rPr>
              <w:t> </w:t>
            </w:r>
          </w:p>
        </w:tc>
        <w:tc>
          <w:tcPr>
            <w:tcW w:w="2040" w:type="dxa"/>
            <w:tcBorders>
              <w:top w:val="single" w:sz="8" w:space="0" w:color="auto"/>
              <w:left w:val="nil"/>
              <w:bottom w:val="single" w:sz="8" w:space="0" w:color="auto"/>
              <w:right w:val="single" w:sz="8" w:space="0" w:color="auto"/>
            </w:tcBorders>
            <w:shd w:val="clear" w:color="auto" w:fill="auto"/>
            <w:noWrap/>
            <w:vAlign w:val="center"/>
            <w:hideMark/>
          </w:tcPr>
          <w:p w14:paraId="592002DE" w14:textId="5183AAFA" w:rsidR="00DF1596" w:rsidRPr="006D57F1" w:rsidRDefault="00DF1596" w:rsidP="00DF1596">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20</w:t>
            </w:r>
            <w:r w:rsidR="00AD6EB8" w:rsidRPr="006D57F1">
              <w:rPr>
                <w:rFonts w:ascii="Barlow" w:hAnsi="Barlow" w:cs="Arial"/>
                <w:b/>
                <w:bCs/>
                <w:color w:val="000000"/>
                <w:sz w:val="20"/>
                <w:szCs w:val="20"/>
                <w:lang w:eastAsia="es-MX"/>
              </w:rPr>
              <w:t>2</w:t>
            </w:r>
            <w:r w:rsidR="00412E0B" w:rsidRPr="006D57F1">
              <w:rPr>
                <w:rFonts w:ascii="Barlow" w:hAnsi="Barlow" w:cs="Arial"/>
                <w:b/>
                <w:bCs/>
                <w:color w:val="000000"/>
                <w:sz w:val="20"/>
                <w:szCs w:val="20"/>
                <w:lang w:eastAsia="es-MX"/>
              </w:rPr>
              <w:t>2</w:t>
            </w:r>
          </w:p>
        </w:tc>
        <w:tc>
          <w:tcPr>
            <w:tcW w:w="2260" w:type="dxa"/>
            <w:tcBorders>
              <w:top w:val="single" w:sz="8" w:space="0" w:color="auto"/>
              <w:left w:val="nil"/>
              <w:bottom w:val="single" w:sz="8" w:space="0" w:color="auto"/>
              <w:right w:val="single" w:sz="8" w:space="0" w:color="auto"/>
            </w:tcBorders>
            <w:shd w:val="clear" w:color="auto" w:fill="auto"/>
            <w:noWrap/>
            <w:vAlign w:val="center"/>
            <w:hideMark/>
          </w:tcPr>
          <w:p w14:paraId="3C1ADBEF" w14:textId="6E47FC8D" w:rsidR="00DF1596" w:rsidRPr="006D57F1" w:rsidRDefault="00DF1596" w:rsidP="00DF1596">
            <w:pPr>
              <w:jc w:val="center"/>
              <w:rPr>
                <w:rFonts w:ascii="Barlow" w:hAnsi="Barlow" w:cs="Arial"/>
                <w:b/>
                <w:bCs/>
                <w:color w:val="000000"/>
                <w:sz w:val="20"/>
                <w:szCs w:val="20"/>
                <w:lang w:eastAsia="es-MX"/>
              </w:rPr>
            </w:pPr>
            <w:r w:rsidRPr="006D57F1">
              <w:rPr>
                <w:rFonts w:ascii="Barlow" w:hAnsi="Barlow" w:cs="Arial"/>
                <w:b/>
                <w:bCs/>
                <w:color w:val="000000"/>
                <w:sz w:val="20"/>
                <w:szCs w:val="20"/>
                <w:lang w:eastAsia="es-MX"/>
              </w:rPr>
              <w:t>20</w:t>
            </w:r>
            <w:r w:rsidR="008C74C7" w:rsidRPr="006D57F1">
              <w:rPr>
                <w:rFonts w:ascii="Barlow" w:hAnsi="Barlow" w:cs="Arial"/>
                <w:b/>
                <w:bCs/>
                <w:color w:val="000000"/>
                <w:sz w:val="20"/>
                <w:szCs w:val="20"/>
                <w:lang w:eastAsia="es-MX"/>
              </w:rPr>
              <w:t>2</w:t>
            </w:r>
            <w:r w:rsidR="00C63E54" w:rsidRPr="006D57F1">
              <w:rPr>
                <w:rFonts w:ascii="Barlow" w:hAnsi="Barlow" w:cs="Arial"/>
                <w:b/>
                <w:bCs/>
                <w:color w:val="000000"/>
                <w:sz w:val="20"/>
                <w:szCs w:val="20"/>
                <w:lang w:eastAsia="es-MX"/>
              </w:rPr>
              <w:t>1</w:t>
            </w:r>
          </w:p>
        </w:tc>
      </w:tr>
      <w:tr w:rsidR="00DF1596" w:rsidRPr="006D57F1" w14:paraId="0BCE9C51" w14:textId="77777777" w:rsidTr="00DF1596">
        <w:trPr>
          <w:trHeight w:val="55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1FA6D6FE" w14:textId="4564C039" w:rsidR="00DF1596" w:rsidRPr="006D57F1" w:rsidRDefault="00000227" w:rsidP="00DF1596">
            <w:pPr>
              <w:rPr>
                <w:rFonts w:ascii="Barlow" w:hAnsi="Barlow" w:cs="Arial"/>
                <w:b/>
                <w:bCs/>
                <w:color w:val="000000"/>
                <w:sz w:val="20"/>
                <w:szCs w:val="20"/>
                <w:lang w:eastAsia="es-MX"/>
              </w:rPr>
            </w:pPr>
            <w:r w:rsidRPr="006D57F1">
              <w:rPr>
                <w:rFonts w:ascii="Barlow" w:hAnsi="Barlow" w:cs="Arial"/>
                <w:b/>
                <w:bCs/>
                <w:color w:val="000000"/>
                <w:sz w:val="20"/>
                <w:szCs w:val="20"/>
                <w:lang w:eastAsia="es-MX"/>
              </w:rPr>
              <w:t xml:space="preserve">Resultados del ejercicio </w:t>
            </w:r>
            <w:r w:rsidR="00DF1596" w:rsidRPr="006D57F1">
              <w:rPr>
                <w:rFonts w:ascii="Barlow" w:hAnsi="Barlow" w:cs="Arial"/>
                <w:b/>
                <w:bCs/>
                <w:color w:val="000000"/>
                <w:sz w:val="20"/>
                <w:szCs w:val="20"/>
                <w:lang w:eastAsia="es-MX"/>
              </w:rPr>
              <w:t>Ahorro/Desahorro antes de rubros extraordinarios</w:t>
            </w:r>
          </w:p>
        </w:tc>
        <w:tc>
          <w:tcPr>
            <w:tcW w:w="2040" w:type="dxa"/>
            <w:tcBorders>
              <w:top w:val="nil"/>
              <w:left w:val="nil"/>
              <w:bottom w:val="single" w:sz="8" w:space="0" w:color="auto"/>
              <w:right w:val="single" w:sz="8" w:space="0" w:color="auto"/>
            </w:tcBorders>
            <w:shd w:val="clear" w:color="auto" w:fill="auto"/>
            <w:noWrap/>
            <w:vAlign w:val="center"/>
            <w:hideMark/>
          </w:tcPr>
          <w:p w14:paraId="5E928771" w14:textId="6EBE7A5B" w:rsidR="00DF1596" w:rsidRPr="006D57F1" w:rsidRDefault="00412E0B" w:rsidP="00DF1596">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c>
          <w:tcPr>
            <w:tcW w:w="2260" w:type="dxa"/>
            <w:tcBorders>
              <w:top w:val="nil"/>
              <w:left w:val="nil"/>
              <w:bottom w:val="single" w:sz="8" w:space="0" w:color="auto"/>
              <w:right w:val="single" w:sz="8" w:space="0" w:color="auto"/>
            </w:tcBorders>
            <w:shd w:val="clear" w:color="auto" w:fill="auto"/>
            <w:noWrap/>
            <w:vAlign w:val="center"/>
            <w:hideMark/>
          </w:tcPr>
          <w:p w14:paraId="3662EA98" w14:textId="00DF72EA" w:rsidR="00DF1596" w:rsidRPr="006D57F1" w:rsidRDefault="00C63E54" w:rsidP="00DF1596">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-245,682.11</w:t>
            </w:r>
          </w:p>
        </w:tc>
      </w:tr>
      <w:tr w:rsidR="00DF1596" w:rsidRPr="006D57F1" w14:paraId="6476BFBB" w14:textId="77777777" w:rsidTr="00DF1596">
        <w:trPr>
          <w:trHeight w:val="55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104F93C3" w14:textId="77777777" w:rsidR="00DF1596" w:rsidRPr="006D57F1" w:rsidRDefault="00DF1596" w:rsidP="00DF1596">
            <w:pPr>
              <w:rPr>
                <w:rFonts w:ascii="Barlow" w:hAnsi="Barlow" w:cs="Arial"/>
                <w:color w:val="000000"/>
                <w:sz w:val="20"/>
                <w:szCs w:val="20"/>
                <w:lang w:eastAsia="es-MX"/>
              </w:rPr>
            </w:pPr>
            <w:r w:rsidRPr="006D57F1">
              <w:rPr>
                <w:rFonts w:ascii="Barlow" w:hAnsi="Barlow" w:cs="Arial"/>
                <w:color w:val="000000"/>
                <w:sz w:val="20"/>
                <w:szCs w:val="20"/>
                <w:lang w:eastAsia="es-MX"/>
              </w:rPr>
              <w:t>Movimientos de partidas o rubros que no afectan efectivo</w:t>
            </w:r>
          </w:p>
        </w:tc>
        <w:tc>
          <w:tcPr>
            <w:tcW w:w="2040" w:type="dxa"/>
            <w:tcBorders>
              <w:top w:val="nil"/>
              <w:left w:val="nil"/>
              <w:bottom w:val="single" w:sz="8" w:space="0" w:color="auto"/>
              <w:right w:val="single" w:sz="8" w:space="0" w:color="auto"/>
            </w:tcBorders>
            <w:shd w:val="clear" w:color="auto" w:fill="auto"/>
            <w:noWrap/>
            <w:vAlign w:val="center"/>
            <w:hideMark/>
          </w:tcPr>
          <w:p w14:paraId="57E46C7E" w14:textId="1499EAB7" w:rsidR="00DF1596" w:rsidRPr="006D57F1" w:rsidRDefault="00DF1596" w:rsidP="00DF1596">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r w:rsidR="00412E0B" w:rsidRPr="006D57F1">
              <w:rPr>
                <w:rFonts w:ascii="Barlow" w:hAnsi="Barlow" w:cs="Arial"/>
                <w:color w:val="000000"/>
                <w:sz w:val="20"/>
                <w:szCs w:val="20"/>
                <w:lang w:eastAsia="es-MX"/>
              </w:rPr>
              <w:t>.00</w:t>
            </w:r>
          </w:p>
        </w:tc>
        <w:tc>
          <w:tcPr>
            <w:tcW w:w="2260" w:type="dxa"/>
            <w:tcBorders>
              <w:top w:val="nil"/>
              <w:left w:val="nil"/>
              <w:bottom w:val="single" w:sz="8" w:space="0" w:color="auto"/>
              <w:right w:val="single" w:sz="8" w:space="0" w:color="auto"/>
            </w:tcBorders>
            <w:shd w:val="clear" w:color="auto" w:fill="auto"/>
            <w:noWrap/>
            <w:vAlign w:val="center"/>
            <w:hideMark/>
          </w:tcPr>
          <w:p w14:paraId="7122F0A4" w14:textId="4FB8017B" w:rsidR="00DF1596" w:rsidRPr="006D57F1" w:rsidRDefault="00946A14" w:rsidP="00DF1596">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r w:rsidR="00DF1596" w:rsidRPr="006D57F1">
              <w:rPr>
                <w:rFonts w:ascii="Barlow" w:hAnsi="Barlow" w:cs="Arial"/>
                <w:color w:val="000000"/>
                <w:sz w:val="20"/>
                <w:szCs w:val="20"/>
                <w:lang w:eastAsia="es-MX"/>
              </w:rPr>
              <w:t> </w:t>
            </w:r>
          </w:p>
        </w:tc>
      </w:tr>
      <w:tr w:rsidR="00DF1596" w:rsidRPr="006D57F1" w14:paraId="286E7F42" w14:textId="77777777" w:rsidTr="00DF1596">
        <w:trPr>
          <w:trHeight w:val="28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3AA66863" w14:textId="77777777" w:rsidR="00DF1596" w:rsidRPr="006D57F1" w:rsidRDefault="00DF1596" w:rsidP="00DF1596">
            <w:pPr>
              <w:rPr>
                <w:rFonts w:ascii="Barlow" w:hAnsi="Barlow" w:cs="Arial"/>
                <w:color w:val="000000"/>
                <w:sz w:val="20"/>
                <w:szCs w:val="20"/>
                <w:lang w:eastAsia="es-MX"/>
              </w:rPr>
            </w:pPr>
            <w:r w:rsidRPr="006D57F1">
              <w:rPr>
                <w:rFonts w:ascii="Barlow" w:hAnsi="Barlow" w:cs="Arial"/>
                <w:color w:val="000000"/>
                <w:sz w:val="20"/>
                <w:szCs w:val="20"/>
                <w:lang w:eastAsia="es-MX"/>
              </w:rPr>
              <w:t>Depreciación</w:t>
            </w:r>
          </w:p>
        </w:tc>
        <w:tc>
          <w:tcPr>
            <w:tcW w:w="2040" w:type="dxa"/>
            <w:tcBorders>
              <w:top w:val="nil"/>
              <w:left w:val="nil"/>
              <w:bottom w:val="single" w:sz="8" w:space="0" w:color="auto"/>
              <w:right w:val="single" w:sz="8" w:space="0" w:color="auto"/>
            </w:tcBorders>
            <w:shd w:val="clear" w:color="auto" w:fill="auto"/>
            <w:noWrap/>
            <w:vAlign w:val="center"/>
            <w:hideMark/>
          </w:tcPr>
          <w:p w14:paraId="1CFF76AF" w14:textId="08F28B6E" w:rsidR="00DF1596" w:rsidRPr="006D57F1" w:rsidRDefault="00412E0B" w:rsidP="007811C5">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c>
          <w:tcPr>
            <w:tcW w:w="2260" w:type="dxa"/>
            <w:tcBorders>
              <w:top w:val="nil"/>
              <w:left w:val="nil"/>
              <w:bottom w:val="single" w:sz="8" w:space="0" w:color="auto"/>
              <w:right w:val="single" w:sz="8" w:space="0" w:color="auto"/>
            </w:tcBorders>
            <w:shd w:val="clear" w:color="auto" w:fill="auto"/>
            <w:noWrap/>
            <w:vAlign w:val="center"/>
            <w:hideMark/>
          </w:tcPr>
          <w:p w14:paraId="0F78CD73" w14:textId="47B7E83D" w:rsidR="00DF1596" w:rsidRPr="006D57F1" w:rsidRDefault="007F2B5F" w:rsidP="00DF1596">
            <w:pPr>
              <w:jc w:val="right"/>
              <w:rPr>
                <w:rFonts w:ascii="Barlow" w:hAnsi="Barlow" w:cs="Arial"/>
                <w:color w:val="000000"/>
                <w:sz w:val="20"/>
                <w:szCs w:val="20"/>
                <w:lang w:eastAsia="es-MX"/>
              </w:rPr>
            </w:pPr>
            <w:r w:rsidRPr="006D57F1">
              <w:rPr>
                <w:rFonts w:ascii="Barlow" w:hAnsi="Barlow" w:cs="Arial"/>
                <w:color w:val="000000"/>
                <w:sz w:val="20"/>
                <w:szCs w:val="20"/>
                <w:lang w:eastAsia="es-MX"/>
              </w:rPr>
              <w:t>-485,</w:t>
            </w:r>
            <w:r w:rsidR="00C63E54" w:rsidRPr="006D57F1">
              <w:rPr>
                <w:rFonts w:ascii="Barlow" w:hAnsi="Barlow" w:cs="Arial"/>
                <w:color w:val="000000"/>
                <w:sz w:val="20"/>
                <w:szCs w:val="20"/>
                <w:lang w:eastAsia="es-MX"/>
              </w:rPr>
              <w:t>322.50</w:t>
            </w:r>
          </w:p>
        </w:tc>
      </w:tr>
      <w:tr w:rsidR="00DF1596" w:rsidRPr="006D57F1" w14:paraId="41EBD90C" w14:textId="77777777" w:rsidTr="00DF1596">
        <w:trPr>
          <w:trHeight w:val="28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3214CF95" w14:textId="77777777" w:rsidR="00DF1596" w:rsidRPr="006D57F1" w:rsidRDefault="00DF1596" w:rsidP="00DF1596">
            <w:pPr>
              <w:rPr>
                <w:rFonts w:ascii="Barlow" w:hAnsi="Barlow" w:cs="Arial"/>
                <w:color w:val="000000"/>
                <w:sz w:val="20"/>
                <w:szCs w:val="20"/>
                <w:lang w:eastAsia="es-MX"/>
              </w:rPr>
            </w:pPr>
            <w:r w:rsidRPr="006D57F1">
              <w:rPr>
                <w:rFonts w:ascii="Barlow" w:hAnsi="Barlow" w:cs="Arial"/>
                <w:color w:val="000000"/>
                <w:sz w:val="20"/>
                <w:szCs w:val="20"/>
                <w:lang w:eastAsia="es-MX"/>
              </w:rPr>
              <w:t>Provisiones</w:t>
            </w:r>
          </w:p>
        </w:tc>
        <w:tc>
          <w:tcPr>
            <w:tcW w:w="2040" w:type="dxa"/>
            <w:tcBorders>
              <w:top w:val="nil"/>
              <w:left w:val="nil"/>
              <w:bottom w:val="single" w:sz="8" w:space="0" w:color="auto"/>
              <w:right w:val="single" w:sz="8" w:space="0" w:color="auto"/>
            </w:tcBorders>
            <w:shd w:val="clear" w:color="auto" w:fill="auto"/>
            <w:noWrap/>
            <w:vAlign w:val="center"/>
            <w:hideMark/>
          </w:tcPr>
          <w:p w14:paraId="636C6157" w14:textId="5AEC9119" w:rsidR="00DF1596" w:rsidRPr="006D57F1" w:rsidRDefault="00381BCE" w:rsidP="00DF1596">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c>
          <w:tcPr>
            <w:tcW w:w="2260" w:type="dxa"/>
            <w:tcBorders>
              <w:top w:val="nil"/>
              <w:left w:val="nil"/>
              <w:bottom w:val="single" w:sz="8" w:space="0" w:color="auto"/>
              <w:right w:val="single" w:sz="8" w:space="0" w:color="auto"/>
            </w:tcBorders>
            <w:shd w:val="clear" w:color="auto" w:fill="auto"/>
            <w:noWrap/>
            <w:vAlign w:val="center"/>
            <w:hideMark/>
          </w:tcPr>
          <w:p w14:paraId="4FDF3B1E" w14:textId="694084BE" w:rsidR="00DF1596" w:rsidRPr="006D57F1" w:rsidRDefault="00381BCE" w:rsidP="00DF1596">
            <w:pPr>
              <w:jc w:val="right"/>
              <w:rPr>
                <w:rFonts w:ascii="Barlow" w:hAnsi="Barlow" w:cs="Arial"/>
                <w:color w:val="000000"/>
                <w:sz w:val="20"/>
                <w:szCs w:val="20"/>
                <w:lang w:eastAsia="es-MX"/>
              </w:rPr>
            </w:pPr>
            <w:r w:rsidRPr="006D57F1">
              <w:rPr>
                <w:rFonts w:ascii="Barlow" w:hAnsi="Barlow" w:cs="Arial"/>
                <w:color w:val="000000"/>
                <w:sz w:val="20"/>
                <w:szCs w:val="20"/>
                <w:lang w:eastAsia="es-MX"/>
              </w:rPr>
              <w:t>0.0</w:t>
            </w:r>
            <w:r w:rsidR="00946A14" w:rsidRPr="006D57F1">
              <w:rPr>
                <w:rFonts w:ascii="Barlow" w:hAnsi="Barlow" w:cs="Arial"/>
                <w:color w:val="000000"/>
                <w:sz w:val="20"/>
                <w:szCs w:val="20"/>
                <w:lang w:eastAsia="es-MX"/>
              </w:rPr>
              <w:t>0</w:t>
            </w:r>
            <w:r w:rsidR="00DF1596" w:rsidRPr="006D57F1">
              <w:rPr>
                <w:rFonts w:ascii="Barlow" w:hAnsi="Barlow" w:cs="Arial"/>
                <w:color w:val="000000"/>
                <w:sz w:val="20"/>
                <w:szCs w:val="20"/>
                <w:lang w:eastAsia="es-MX"/>
              </w:rPr>
              <w:t> </w:t>
            </w:r>
          </w:p>
        </w:tc>
      </w:tr>
      <w:tr w:rsidR="007F2B5F" w:rsidRPr="006D57F1" w14:paraId="5871C13C" w14:textId="77777777" w:rsidTr="00DF1596">
        <w:trPr>
          <w:trHeight w:val="28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0FF27176" w14:textId="77777777" w:rsidR="007F2B5F" w:rsidRPr="006D57F1" w:rsidRDefault="007F2B5F" w:rsidP="007F2B5F">
            <w:pPr>
              <w:rPr>
                <w:rFonts w:ascii="Barlow" w:hAnsi="Barlow" w:cs="Arial"/>
                <w:color w:val="000000"/>
                <w:sz w:val="20"/>
                <w:szCs w:val="20"/>
                <w:lang w:eastAsia="es-MX"/>
              </w:rPr>
            </w:pPr>
            <w:r w:rsidRPr="006D57F1">
              <w:rPr>
                <w:rFonts w:ascii="Barlow" w:hAnsi="Barlow" w:cs="Arial"/>
                <w:color w:val="000000"/>
                <w:sz w:val="20"/>
                <w:szCs w:val="20"/>
                <w:lang w:eastAsia="es-MX"/>
              </w:rPr>
              <w:t xml:space="preserve">Amortización </w:t>
            </w:r>
          </w:p>
        </w:tc>
        <w:tc>
          <w:tcPr>
            <w:tcW w:w="2040" w:type="dxa"/>
            <w:tcBorders>
              <w:top w:val="nil"/>
              <w:left w:val="nil"/>
              <w:bottom w:val="single" w:sz="8" w:space="0" w:color="auto"/>
              <w:right w:val="single" w:sz="8" w:space="0" w:color="auto"/>
            </w:tcBorders>
            <w:shd w:val="clear" w:color="auto" w:fill="auto"/>
            <w:noWrap/>
            <w:vAlign w:val="center"/>
            <w:hideMark/>
          </w:tcPr>
          <w:p w14:paraId="62F77602" w14:textId="432285AC" w:rsidR="007F2B5F" w:rsidRPr="006D57F1" w:rsidRDefault="00E528BB"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c>
          <w:tcPr>
            <w:tcW w:w="2260" w:type="dxa"/>
            <w:tcBorders>
              <w:top w:val="nil"/>
              <w:left w:val="nil"/>
              <w:bottom w:val="single" w:sz="8" w:space="0" w:color="auto"/>
              <w:right w:val="single" w:sz="8" w:space="0" w:color="auto"/>
            </w:tcBorders>
            <w:shd w:val="clear" w:color="auto" w:fill="auto"/>
            <w:noWrap/>
            <w:vAlign w:val="center"/>
            <w:hideMark/>
          </w:tcPr>
          <w:p w14:paraId="4A772921" w14:textId="1133DC9B"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-5,250.00</w:t>
            </w:r>
          </w:p>
        </w:tc>
      </w:tr>
      <w:tr w:rsidR="007F2B5F" w:rsidRPr="006D57F1" w14:paraId="23633597" w14:textId="77777777" w:rsidTr="00DF1596">
        <w:trPr>
          <w:trHeight w:val="28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1F0F0A5E" w14:textId="77777777" w:rsidR="007F2B5F" w:rsidRPr="006D57F1" w:rsidRDefault="007F2B5F" w:rsidP="007F2B5F">
            <w:pPr>
              <w:rPr>
                <w:rFonts w:ascii="Barlow" w:hAnsi="Barlow" w:cs="Arial"/>
                <w:color w:val="000000"/>
                <w:sz w:val="20"/>
                <w:szCs w:val="20"/>
                <w:lang w:eastAsia="es-MX"/>
              </w:rPr>
            </w:pPr>
            <w:r w:rsidRPr="006D57F1">
              <w:rPr>
                <w:rFonts w:ascii="Barlow" w:hAnsi="Barlow" w:cs="Arial"/>
                <w:color w:val="000000"/>
                <w:sz w:val="20"/>
                <w:szCs w:val="20"/>
                <w:lang w:eastAsia="es-MX"/>
              </w:rPr>
              <w:t>Incremento en las provisiones</w:t>
            </w:r>
          </w:p>
        </w:tc>
        <w:tc>
          <w:tcPr>
            <w:tcW w:w="2040" w:type="dxa"/>
            <w:tcBorders>
              <w:top w:val="nil"/>
              <w:left w:val="nil"/>
              <w:bottom w:val="single" w:sz="8" w:space="0" w:color="auto"/>
              <w:right w:val="single" w:sz="8" w:space="0" w:color="auto"/>
            </w:tcBorders>
            <w:shd w:val="clear" w:color="auto" w:fill="auto"/>
            <w:noWrap/>
            <w:vAlign w:val="center"/>
            <w:hideMark/>
          </w:tcPr>
          <w:p w14:paraId="1F0D7D62" w14:textId="77777777"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c>
          <w:tcPr>
            <w:tcW w:w="2260" w:type="dxa"/>
            <w:tcBorders>
              <w:top w:val="nil"/>
              <w:left w:val="nil"/>
              <w:bottom w:val="single" w:sz="8" w:space="0" w:color="auto"/>
              <w:right w:val="single" w:sz="8" w:space="0" w:color="auto"/>
            </w:tcBorders>
            <w:shd w:val="clear" w:color="auto" w:fill="auto"/>
            <w:noWrap/>
            <w:vAlign w:val="center"/>
            <w:hideMark/>
          </w:tcPr>
          <w:p w14:paraId="638FEC25" w14:textId="47D16975"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0 </w:t>
            </w:r>
          </w:p>
        </w:tc>
      </w:tr>
      <w:tr w:rsidR="007F2B5F" w:rsidRPr="006D57F1" w14:paraId="77EA6F79" w14:textId="77777777" w:rsidTr="00DF1596">
        <w:trPr>
          <w:trHeight w:val="55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300B95C8" w14:textId="77777777" w:rsidR="007F2B5F" w:rsidRPr="006D57F1" w:rsidRDefault="007F2B5F" w:rsidP="007F2B5F">
            <w:pPr>
              <w:rPr>
                <w:rFonts w:ascii="Barlow" w:hAnsi="Barlow" w:cs="Arial"/>
                <w:color w:val="000000"/>
                <w:sz w:val="20"/>
                <w:szCs w:val="20"/>
                <w:lang w:eastAsia="es-MX"/>
              </w:rPr>
            </w:pPr>
            <w:r w:rsidRPr="006D57F1">
              <w:rPr>
                <w:rFonts w:ascii="Barlow" w:hAnsi="Barlow" w:cs="Arial"/>
                <w:color w:val="000000"/>
                <w:sz w:val="20"/>
                <w:szCs w:val="20"/>
                <w:lang w:eastAsia="es-MX"/>
              </w:rPr>
              <w:t>Incremento en inversiones producido por reevaluación</w:t>
            </w:r>
          </w:p>
        </w:tc>
        <w:tc>
          <w:tcPr>
            <w:tcW w:w="2040" w:type="dxa"/>
            <w:tcBorders>
              <w:top w:val="nil"/>
              <w:left w:val="nil"/>
              <w:bottom w:val="single" w:sz="8" w:space="0" w:color="auto"/>
              <w:right w:val="single" w:sz="8" w:space="0" w:color="auto"/>
            </w:tcBorders>
            <w:shd w:val="clear" w:color="auto" w:fill="auto"/>
            <w:noWrap/>
            <w:vAlign w:val="center"/>
            <w:hideMark/>
          </w:tcPr>
          <w:p w14:paraId="477DEEC6" w14:textId="28B215A6"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c>
          <w:tcPr>
            <w:tcW w:w="2260" w:type="dxa"/>
            <w:tcBorders>
              <w:top w:val="nil"/>
              <w:left w:val="nil"/>
              <w:bottom w:val="single" w:sz="8" w:space="0" w:color="auto"/>
              <w:right w:val="single" w:sz="8" w:space="0" w:color="auto"/>
            </w:tcBorders>
            <w:shd w:val="clear" w:color="auto" w:fill="auto"/>
            <w:noWrap/>
            <w:vAlign w:val="center"/>
            <w:hideMark/>
          </w:tcPr>
          <w:p w14:paraId="453E08F5" w14:textId="77777777"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r>
      <w:tr w:rsidR="007F2B5F" w:rsidRPr="006D57F1" w14:paraId="561FFFAD" w14:textId="77777777" w:rsidTr="00DF1596">
        <w:trPr>
          <w:trHeight w:val="55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77C3784E" w14:textId="7DC51669" w:rsidR="007F2B5F" w:rsidRPr="006D57F1" w:rsidRDefault="007F2B5F" w:rsidP="007F2B5F">
            <w:pPr>
              <w:rPr>
                <w:rFonts w:ascii="Barlow" w:hAnsi="Barlow" w:cs="Arial"/>
                <w:color w:val="000000"/>
                <w:sz w:val="20"/>
                <w:szCs w:val="20"/>
                <w:lang w:eastAsia="es-MX"/>
              </w:rPr>
            </w:pPr>
            <w:r w:rsidRPr="006D57F1">
              <w:rPr>
                <w:rFonts w:ascii="Barlow" w:hAnsi="Barlow" w:cs="Arial"/>
                <w:color w:val="000000"/>
                <w:sz w:val="20"/>
                <w:szCs w:val="20"/>
                <w:lang w:eastAsia="es-MX"/>
              </w:rPr>
              <w:t>Ganancia/pérdida en venta de bienes muebles, inmuebles e intangibles</w:t>
            </w:r>
          </w:p>
        </w:tc>
        <w:tc>
          <w:tcPr>
            <w:tcW w:w="2040" w:type="dxa"/>
            <w:tcBorders>
              <w:top w:val="nil"/>
              <w:left w:val="nil"/>
              <w:bottom w:val="single" w:sz="8" w:space="0" w:color="auto"/>
              <w:right w:val="single" w:sz="8" w:space="0" w:color="auto"/>
            </w:tcBorders>
            <w:shd w:val="clear" w:color="auto" w:fill="auto"/>
            <w:noWrap/>
            <w:vAlign w:val="center"/>
            <w:hideMark/>
          </w:tcPr>
          <w:p w14:paraId="20EB3236" w14:textId="30BE1E1C"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0 </w:t>
            </w:r>
          </w:p>
        </w:tc>
        <w:tc>
          <w:tcPr>
            <w:tcW w:w="2260" w:type="dxa"/>
            <w:tcBorders>
              <w:top w:val="nil"/>
              <w:left w:val="nil"/>
              <w:bottom w:val="single" w:sz="8" w:space="0" w:color="auto"/>
              <w:right w:val="single" w:sz="8" w:space="0" w:color="auto"/>
            </w:tcBorders>
            <w:shd w:val="clear" w:color="auto" w:fill="auto"/>
            <w:noWrap/>
            <w:vAlign w:val="center"/>
            <w:hideMark/>
          </w:tcPr>
          <w:p w14:paraId="79F20E6A" w14:textId="21EA3348"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r>
      <w:tr w:rsidR="007F2B5F" w:rsidRPr="006D57F1" w14:paraId="37ADD29A" w14:textId="77777777" w:rsidTr="00DF1596">
        <w:trPr>
          <w:trHeight w:val="28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24A083C4" w14:textId="77777777" w:rsidR="007F2B5F" w:rsidRPr="006D57F1" w:rsidRDefault="007F2B5F" w:rsidP="007F2B5F">
            <w:pPr>
              <w:rPr>
                <w:rFonts w:ascii="Barlow" w:hAnsi="Barlow" w:cs="Arial"/>
                <w:color w:val="000000"/>
                <w:sz w:val="20"/>
                <w:szCs w:val="20"/>
                <w:lang w:eastAsia="es-MX"/>
              </w:rPr>
            </w:pPr>
            <w:r w:rsidRPr="006D57F1">
              <w:rPr>
                <w:rFonts w:ascii="Barlow" w:hAnsi="Barlow" w:cs="Arial"/>
                <w:color w:val="000000"/>
                <w:sz w:val="20"/>
                <w:szCs w:val="20"/>
                <w:lang w:eastAsia="es-MX"/>
              </w:rPr>
              <w:t>Incremento en cuentas por cobrar</w:t>
            </w:r>
          </w:p>
        </w:tc>
        <w:tc>
          <w:tcPr>
            <w:tcW w:w="2040" w:type="dxa"/>
            <w:tcBorders>
              <w:top w:val="nil"/>
              <w:left w:val="nil"/>
              <w:bottom w:val="single" w:sz="8" w:space="0" w:color="auto"/>
              <w:right w:val="single" w:sz="8" w:space="0" w:color="auto"/>
            </w:tcBorders>
            <w:shd w:val="clear" w:color="auto" w:fill="auto"/>
            <w:noWrap/>
            <w:vAlign w:val="center"/>
            <w:hideMark/>
          </w:tcPr>
          <w:p w14:paraId="3CEBA99B" w14:textId="77777777"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c>
          <w:tcPr>
            <w:tcW w:w="2260" w:type="dxa"/>
            <w:tcBorders>
              <w:top w:val="nil"/>
              <w:left w:val="nil"/>
              <w:bottom w:val="single" w:sz="8" w:space="0" w:color="auto"/>
              <w:right w:val="single" w:sz="8" w:space="0" w:color="auto"/>
            </w:tcBorders>
            <w:shd w:val="clear" w:color="auto" w:fill="auto"/>
            <w:noWrap/>
            <w:vAlign w:val="center"/>
            <w:hideMark/>
          </w:tcPr>
          <w:p w14:paraId="37D66A03" w14:textId="77777777" w:rsidR="007F2B5F" w:rsidRPr="006D57F1" w:rsidRDefault="007F2B5F"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r>
      <w:tr w:rsidR="007F2B5F" w:rsidRPr="006D57F1" w14:paraId="0CDDAFBB" w14:textId="77777777" w:rsidTr="00DF1596">
        <w:trPr>
          <w:trHeight w:val="285"/>
        </w:trPr>
        <w:tc>
          <w:tcPr>
            <w:tcW w:w="4460" w:type="dxa"/>
            <w:tcBorders>
              <w:top w:val="nil"/>
              <w:left w:val="single" w:sz="8" w:space="0" w:color="auto"/>
              <w:bottom w:val="single" w:sz="8" w:space="0" w:color="auto"/>
              <w:right w:val="single" w:sz="8" w:space="0" w:color="auto"/>
            </w:tcBorders>
            <w:shd w:val="clear" w:color="auto" w:fill="auto"/>
            <w:vAlign w:val="center"/>
          </w:tcPr>
          <w:p w14:paraId="3FDF9E1D" w14:textId="76FD28B6" w:rsidR="007F2B5F" w:rsidRPr="006D57F1" w:rsidRDefault="007F2B5F" w:rsidP="007F2B5F">
            <w:pPr>
              <w:rPr>
                <w:rFonts w:ascii="Barlow" w:hAnsi="Barlow" w:cs="Arial"/>
                <w:color w:val="000000"/>
                <w:sz w:val="20"/>
                <w:szCs w:val="20"/>
                <w:lang w:eastAsia="es-MX"/>
              </w:rPr>
            </w:pPr>
            <w:r w:rsidRPr="006D57F1">
              <w:rPr>
                <w:rFonts w:ascii="Barlow" w:hAnsi="Barlow" w:cs="Arial"/>
                <w:color w:val="000000"/>
                <w:sz w:val="20"/>
                <w:szCs w:val="20"/>
                <w:lang w:eastAsia="es-MX"/>
              </w:rPr>
              <w:t>Partidas extraordinarias</w:t>
            </w:r>
          </w:p>
        </w:tc>
        <w:tc>
          <w:tcPr>
            <w:tcW w:w="2040" w:type="dxa"/>
            <w:tcBorders>
              <w:top w:val="nil"/>
              <w:left w:val="nil"/>
              <w:bottom w:val="single" w:sz="8" w:space="0" w:color="auto"/>
              <w:right w:val="single" w:sz="8" w:space="0" w:color="auto"/>
            </w:tcBorders>
            <w:shd w:val="clear" w:color="auto" w:fill="auto"/>
            <w:noWrap/>
            <w:vAlign w:val="center"/>
          </w:tcPr>
          <w:p w14:paraId="00C186EC" w14:textId="3948624D" w:rsidR="007F2B5F" w:rsidRPr="006D57F1" w:rsidRDefault="00E528BB"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r w:rsidR="00412E0B" w:rsidRPr="006D57F1">
              <w:rPr>
                <w:rFonts w:ascii="Barlow" w:hAnsi="Barlow" w:cs="Arial"/>
                <w:color w:val="000000"/>
                <w:sz w:val="20"/>
                <w:szCs w:val="20"/>
                <w:lang w:eastAsia="es-MX"/>
              </w:rPr>
              <w:t>00</w:t>
            </w:r>
          </w:p>
        </w:tc>
        <w:tc>
          <w:tcPr>
            <w:tcW w:w="2260" w:type="dxa"/>
            <w:tcBorders>
              <w:top w:val="nil"/>
              <w:left w:val="nil"/>
              <w:bottom w:val="single" w:sz="8" w:space="0" w:color="auto"/>
              <w:right w:val="single" w:sz="8" w:space="0" w:color="auto"/>
            </w:tcBorders>
            <w:shd w:val="clear" w:color="auto" w:fill="auto"/>
            <w:noWrap/>
            <w:vAlign w:val="center"/>
          </w:tcPr>
          <w:p w14:paraId="1B61AAAF" w14:textId="2DB38DB1" w:rsidR="007F2B5F" w:rsidRPr="006D57F1" w:rsidRDefault="00E528BB" w:rsidP="007F2B5F">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r w:rsidR="007F2B5F" w:rsidRPr="006D57F1">
              <w:rPr>
                <w:rFonts w:ascii="Barlow" w:hAnsi="Barlow" w:cs="Arial"/>
                <w:color w:val="000000"/>
                <w:sz w:val="20"/>
                <w:szCs w:val="20"/>
                <w:lang w:eastAsia="es-MX"/>
              </w:rPr>
              <w:t>.</w:t>
            </w:r>
            <w:r w:rsidR="00C63E54" w:rsidRPr="006D57F1">
              <w:rPr>
                <w:rFonts w:ascii="Barlow" w:hAnsi="Barlow" w:cs="Arial"/>
                <w:color w:val="000000"/>
                <w:sz w:val="20"/>
                <w:szCs w:val="20"/>
                <w:lang w:eastAsia="es-MX"/>
              </w:rPr>
              <w:t>43</w:t>
            </w:r>
          </w:p>
        </w:tc>
      </w:tr>
      <w:tr w:rsidR="007F2B5F" w:rsidRPr="006D57F1" w14:paraId="6D053A15" w14:textId="77777777" w:rsidTr="00DF1596">
        <w:trPr>
          <w:trHeight w:val="285"/>
        </w:trPr>
        <w:tc>
          <w:tcPr>
            <w:tcW w:w="4460" w:type="dxa"/>
            <w:tcBorders>
              <w:top w:val="nil"/>
              <w:left w:val="single" w:sz="8" w:space="0" w:color="auto"/>
              <w:bottom w:val="single" w:sz="8" w:space="0" w:color="auto"/>
              <w:right w:val="single" w:sz="8" w:space="0" w:color="auto"/>
            </w:tcBorders>
            <w:shd w:val="clear" w:color="auto" w:fill="auto"/>
            <w:vAlign w:val="center"/>
            <w:hideMark/>
          </w:tcPr>
          <w:p w14:paraId="22752BCC" w14:textId="2F337F97" w:rsidR="007F2B5F" w:rsidRPr="006D57F1" w:rsidRDefault="007F2B5F" w:rsidP="007F2B5F">
            <w:pPr>
              <w:rPr>
                <w:rFonts w:ascii="Barlow" w:hAnsi="Barlow" w:cs="Arial"/>
                <w:b/>
                <w:color w:val="000000"/>
                <w:sz w:val="20"/>
                <w:szCs w:val="20"/>
                <w:lang w:eastAsia="es-MX"/>
              </w:rPr>
            </w:pPr>
            <w:r w:rsidRPr="006D57F1">
              <w:rPr>
                <w:rFonts w:ascii="Barlow" w:hAnsi="Barlow" w:cs="Arial"/>
                <w:b/>
                <w:sz w:val="20"/>
                <w:szCs w:val="20"/>
              </w:rPr>
              <w:t>Flujos de Efectivo Netos de las Actividades de Operación</w:t>
            </w:r>
          </w:p>
        </w:tc>
        <w:tc>
          <w:tcPr>
            <w:tcW w:w="2040" w:type="dxa"/>
            <w:tcBorders>
              <w:top w:val="nil"/>
              <w:left w:val="nil"/>
              <w:bottom w:val="single" w:sz="8" w:space="0" w:color="auto"/>
              <w:right w:val="single" w:sz="8" w:space="0" w:color="auto"/>
            </w:tcBorders>
            <w:shd w:val="clear" w:color="auto" w:fill="auto"/>
            <w:noWrap/>
            <w:vAlign w:val="center"/>
            <w:hideMark/>
          </w:tcPr>
          <w:p w14:paraId="041E0063" w14:textId="6BFF395C" w:rsidR="007F2B5F" w:rsidRPr="006D57F1" w:rsidRDefault="00412E0B" w:rsidP="007F2B5F">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c>
          <w:tcPr>
            <w:tcW w:w="2260" w:type="dxa"/>
            <w:tcBorders>
              <w:top w:val="nil"/>
              <w:left w:val="nil"/>
              <w:bottom w:val="single" w:sz="8" w:space="0" w:color="auto"/>
              <w:right w:val="single" w:sz="8" w:space="0" w:color="auto"/>
            </w:tcBorders>
            <w:shd w:val="clear" w:color="auto" w:fill="auto"/>
            <w:noWrap/>
            <w:vAlign w:val="center"/>
            <w:hideMark/>
          </w:tcPr>
          <w:p w14:paraId="0E019030" w14:textId="6DC2A25C" w:rsidR="007F2B5F" w:rsidRPr="006D57F1" w:rsidRDefault="007F2B5F" w:rsidP="007F2B5F">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w:t>
            </w:r>
            <w:r w:rsidR="00C63E54" w:rsidRPr="006D57F1">
              <w:rPr>
                <w:rFonts w:ascii="Barlow" w:hAnsi="Barlow" w:cs="Arial"/>
                <w:b/>
                <w:bCs/>
                <w:color w:val="000000"/>
                <w:sz w:val="20"/>
                <w:szCs w:val="20"/>
                <w:lang w:eastAsia="es-MX"/>
              </w:rPr>
              <w:t>736,255.04</w:t>
            </w:r>
          </w:p>
        </w:tc>
      </w:tr>
    </w:tbl>
    <w:p w14:paraId="06D049B9" w14:textId="65B294C7" w:rsidR="00EF7EFA" w:rsidRPr="006D57F1" w:rsidRDefault="00EF7EFA" w:rsidP="00C4137E">
      <w:pPr>
        <w:autoSpaceDE w:val="0"/>
        <w:autoSpaceDN w:val="0"/>
        <w:adjustRightInd w:val="0"/>
        <w:spacing w:line="360" w:lineRule="auto"/>
        <w:ind w:left="708"/>
        <w:jc w:val="both"/>
        <w:rPr>
          <w:rFonts w:ascii="Barlow" w:hAnsi="Barlow" w:cs="Arial"/>
          <w:bCs/>
          <w:sz w:val="20"/>
          <w:szCs w:val="20"/>
        </w:rPr>
      </w:pPr>
      <w:r w:rsidRPr="006D57F1">
        <w:rPr>
          <w:rFonts w:ascii="Barlow" w:hAnsi="Barlow" w:cs="Arial"/>
          <w:bCs/>
          <w:sz w:val="20"/>
          <w:szCs w:val="20"/>
        </w:rPr>
        <w:t xml:space="preserve">                                </w:t>
      </w:r>
    </w:p>
    <w:p w14:paraId="6FCD3A70" w14:textId="22A7FF05" w:rsidR="00EF7EFA" w:rsidRPr="006D57F1" w:rsidRDefault="00EF7EFA" w:rsidP="00C4137E">
      <w:pPr>
        <w:autoSpaceDE w:val="0"/>
        <w:autoSpaceDN w:val="0"/>
        <w:adjustRightInd w:val="0"/>
        <w:spacing w:line="360" w:lineRule="auto"/>
        <w:ind w:left="708"/>
        <w:jc w:val="both"/>
        <w:rPr>
          <w:rFonts w:ascii="Barlow" w:hAnsi="Barlow" w:cs="Arial"/>
          <w:bCs/>
          <w:sz w:val="20"/>
          <w:szCs w:val="20"/>
        </w:rPr>
      </w:pPr>
    </w:p>
    <w:p w14:paraId="21EF1864" w14:textId="458EB2FF" w:rsidR="008C74C7" w:rsidRPr="006D57F1" w:rsidRDefault="008C74C7" w:rsidP="00C4137E">
      <w:pPr>
        <w:autoSpaceDE w:val="0"/>
        <w:autoSpaceDN w:val="0"/>
        <w:adjustRightInd w:val="0"/>
        <w:spacing w:line="360" w:lineRule="auto"/>
        <w:ind w:left="708"/>
        <w:jc w:val="both"/>
        <w:rPr>
          <w:rFonts w:ascii="Barlow" w:hAnsi="Barlow" w:cs="Arial"/>
          <w:bCs/>
          <w:sz w:val="20"/>
          <w:szCs w:val="20"/>
        </w:rPr>
      </w:pPr>
    </w:p>
    <w:p w14:paraId="0E75CA97" w14:textId="57E9B030" w:rsidR="00FC5CFD" w:rsidRPr="006D57F1" w:rsidRDefault="00FC5CFD" w:rsidP="00C4137E">
      <w:pPr>
        <w:autoSpaceDE w:val="0"/>
        <w:autoSpaceDN w:val="0"/>
        <w:adjustRightInd w:val="0"/>
        <w:spacing w:line="360" w:lineRule="auto"/>
        <w:ind w:left="708"/>
        <w:jc w:val="both"/>
        <w:rPr>
          <w:rFonts w:ascii="Barlow" w:hAnsi="Barlow" w:cs="Arial"/>
          <w:bCs/>
          <w:sz w:val="20"/>
          <w:szCs w:val="20"/>
        </w:rPr>
      </w:pPr>
    </w:p>
    <w:p w14:paraId="3B18F728" w14:textId="47CE8B94" w:rsidR="00FC5CFD" w:rsidRPr="006D57F1" w:rsidRDefault="00FC5CFD" w:rsidP="00C4137E">
      <w:pPr>
        <w:autoSpaceDE w:val="0"/>
        <w:autoSpaceDN w:val="0"/>
        <w:adjustRightInd w:val="0"/>
        <w:spacing w:line="360" w:lineRule="auto"/>
        <w:ind w:left="708"/>
        <w:jc w:val="both"/>
        <w:rPr>
          <w:rFonts w:ascii="Barlow" w:hAnsi="Barlow" w:cs="Arial"/>
          <w:bCs/>
          <w:sz w:val="20"/>
          <w:szCs w:val="20"/>
        </w:rPr>
      </w:pPr>
    </w:p>
    <w:p w14:paraId="6B43C1BD" w14:textId="77777777" w:rsidR="00251A08" w:rsidRPr="006D57F1" w:rsidRDefault="00251A08"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V) CONCILIACIÓN ENTRE LOS INGRESOS PRESUP</w:t>
      </w:r>
      <w:r w:rsidR="006720EF" w:rsidRPr="006D57F1">
        <w:rPr>
          <w:rFonts w:ascii="Barlow" w:hAnsi="Barlow" w:cs="Arial"/>
          <w:b/>
          <w:sz w:val="20"/>
          <w:szCs w:val="20"/>
        </w:rPr>
        <w:t>U</w:t>
      </w:r>
      <w:r w:rsidRPr="006D57F1">
        <w:rPr>
          <w:rFonts w:ascii="Barlow" w:hAnsi="Barlow" w:cs="Arial"/>
          <w:b/>
          <w:sz w:val="20"/>
          <w:szCs w:val="20"/>
        </w:rPr>
        <w:t>ESTARIOS Y CONTABLES, ASI COMO ENTRE LOS EGRESOS PRESUPUESTARIOS Y GASTOS CONTABLES.</w:t>
      </w:r>
    </w:p>
    <w:p w14:paraId="216C6D64" w14:textId="69CC3A81" w:rsidR="008273DF" w:rsidRPr="006D57F1" w:rsidRDefault="008273DF" w:rsidP="00DD19DB">
      <w:pPr>
        <w:autoSpaceDE w:val="0"/>
        <w:autoSpaceDN w:val="0"/>
        <w:adjustRightInd w:val="0"/>
        <w:spacing w:line="360" w:lineRule="auto"/>
        <w:ind w:left="708"/>
        <w:jc w:val="both"/>
        <w:rPr>
          <w:rFonts w:ascii="Barlow" w:hAnsi="Barlow" w:cs="Arial"/>
          <w:bCs/>
          <w:sz w:val="20"/>
          <w:szCs w:val="20"/>
        </w:rPr>
      </w:pPr>
      <w:r w:rsidRPr="006D57F1">
        <w:rPr>
          <w:rFonts w:ascii="Barlow" w:hAnsi="Barlow" w:cs="Arial"/>
          <w:bCs/>
          <w:sz w:val="20"/>
          <w:szCs w:val="20"/>
        </w:rPr>
        <w:t xml:space="preserve">A. Conciliación de ingresos presupuestarios y contables </w:t>
      </w:r>
      <w:r w:rsidR="000C1476" w:rsidRPr="006D57F1">
        <w:rPr>
          <w:rFonts w:ascii="Barlow" w:hAnsi="Barlow" w:cs="Arial"/>
          <w:bCs/>
          <w:sz w:val="20"/>
          <w:szCs w:val="20"/>
        </w:rPr>
        <w:t>de</w:t>
      </w:r>
      <w:r w:rsidR="008C74C7" w:rsidRPr="006D57F1">
        <w:rPr>
          <w:rFonts w:ascii="Barlow" w:hAnsi="Barlow" w:cs="Arial"/>
          <w:bCs/>
          <w:sz w:val="20"/>
          <w:szCs w:val="20"/>
        </w:rPr>
        <w:t xml:space="preserve">l </w:t>
      </w:r>
      <w:r w:rsidR="007216B9" w:rsidRPr="006D57F1">
        <w:rPr>
          <w:rFonts w:ascii="Barlow" w:hAnsi="Barlow" w:cs="Arial"/>
          <w:bCs/>
          <w:sz w:val="20"/>
          <w:szCs w:val="20"/>
        </w:rPr>
        <w:t>1</w:t>
      </w:r>
      <w:r w:rsidR="00412E0B" w:rsidRPr="006D57F1">
        <w:rPr>
          <w:rFonts w:ascii="Barlow" w:hAnsi="Barlow" w:cs="Arial"/>
          <w:bCs/>
          <w:sz w:val="20"/>
          <w:szCs w:val="20"/>
        </w:rPr>
        <w:t xml:space="preserve"> al </w:t>
      </w:r>
      <w:r w:rsidR="006D57F1" w:rsidRPr="006D57F1">
        <w:rPr>
          <w:rFonts w:ascii="Barlow" w:hAnsi="Barlow" w:cs="Arial"/>
          <w:bCs/>
          <w:sz w:val="20"/>
          <w:szCs w:val="20"/>
        </w:rPr>
        <w:t>27 de</w:t>
      </w:r>
      <w:r w:rsidR="006038CC" w:rsidRPr="006D57F1">
        <w:rPr>
          <w:rFonts w:ascii="Barlow" w:hAnsi="Barlow" w:cs="Arial"/>
          <w:bCs/>
          <w:sz w:val="20"/>
          <w:szCs w:val="20"/>
        </w:rPr>
        <w:t xml:space="preserve"> </w:t>
      </w:r>
      <w:r w:rsidR="006D57F1" w:rsidRPr="006D57F1">
        <w:rPr>
          <w:rFonts w:ascii="Barlow" w:hAnsi="Barlow" w:cs="Arial"/>
          <w:bCs/>
          <w:sz w:val="20"/>
          <w:szCs w:val="20"/>
        </w:rPr>
        <w:t>enero del</w:t>
      </w:r>
      <w:r w:rsidR="007E7FA6" w:rsidRPr="006D57F1">
        <w:rPr>
          <w:rFonts w:ascii="Barlow" w:hAnsi="Barlow" w:cs="Arial"/>
          <w:bCs/>
          <w:sz w:val="20"/>
          <w:szCs w:val="20"/>
        </w:rPr>
        <w:t xml:space="preserve"> 20</w:t>
      </w:r>
      <w:r w:rsidR="00A65D9F" w:rsidRPr="006D57F1">
        <w:rPr>
          <w:rFonts w:ascii="Barlow" w:hAnsi="Barlow" w:cs="Arial"/>
          <w:bCs/>
          <w:sz w:val="20"/>
          <w:szCs w:val="20"/>
        </w:rPr>
        <w:t>2</w:t>
      </w:r>
      <w:r w:rsidR="00412E0B" w:rsidRPr="006D57F1">
        <w:rPr>
          <w:rFonts w:ascii="Barlow" w:hAnsi="Barlow" w:cs="Arial"/>
          <w:bCs/>
          <w:sz w:val="20"/>
          <w:szCs w:val="20"/>
        </w:rPr>
        <w:t>2</w:t>
      </w:r>
      <w:r w:rsidR="005B439A" w:rsidRPr="006D57F1">
        <w:rPr>
          <w:rFonts w:ascii="Barlow" w:hAnsi="Barlow" w:cs="Arial"/>
          <w:bCs/>
          <w:sz w:val="20"/>
          <w:szCs w:val="20"/>
        </w:rPr>
        <w:t xml:space="preserve"> y 20</w:t>
      </w:r>
      <w:r w:rsidR="008C74C7" w:rsidRPr="006D57F1">
        <w:rPr>
          <w:rFonts w:ascii="Barlow" w:hAnsi="Barlow" w:cs="Arial"/>
          <w:bCs/>
          <w:sz w:val="20"/>
          <w:szCs w:val="20"/>
        </w:rPr>
        <w:t>2</w:t>
      </w:r>
      <w:r w:rsidR="00412E0B" w:rsidRPr="006D57F1">
        <w:rPr>
          <w:rFonts w:ascii="Barlow" w:hAnsi="Barlow" w:cs="Arial"/>
          <w:bCs/>
          <w:sz w:val="20"/>
          <w:szCs w:val="20"/>
        </w:rPr>
        <w:t>1</w:t>
      </w:r>
      <w:r w:rsidR="005B439A" w:rsidRPr="006D57F1">
        <w:rPr>
          <w:rFonts w:ascii="Barlow" w:hAnsi="Barlow" w:cs="Arial"/>
          <w:bCs/>
          <w:sz w:val="20"/>
          <w:szCs w:val="20"/>
        </w:rPr>
        <w:t>.</w:t>
      </w:r>
    </w:p>
    <w:tbl>
      <w:tblPr>
        <w:tblW w:w="13608" w:type="dxa"/>
        <w:tblLayout w:type="fixed"/>
        <w:tblCellMar>
          <w:left w:w="70" w:type="dxa"/>
          <w:right w:w="70" w:type="dxa"/>
        </w:tblCellMar>
        <w:tblLook w:val="04A0" w:firstRow="1" w:lastRow="0" w:firstColumn="1" w:lastColumn="0" w:noHBand="0" w:noVBand="1"/>
      </w:tblPr>
      <w:tblGrid>
        <w:gridCol w:w="7736"/>
        <w:gridCol w:w="140"/>
        <w:gridCol w:w="160"/>
        <w:gridCol w:w="1198"/>
        <w:gridCol w:w="1539"/>
        <w:gridCol w:w="1134"/>
        <w:gridCol w:w="1701"/>
      </w:tblGrid>
      <w:tr w:rsidR="002F63A8" w:rsidRPr="006D57F1" w14:paraId="279CF406" w14:textId="77777777" w:rsidTr="00DA363A">
        <w:trPr>
          <w:trHeight w:val="315"/>
        </w:trPr>
        <w:tc>
          <w:tcPr>
            <w:tcW w:w="7876" w:type="dxa"/>
            <w:gridSpan w:val="2"/>
            <w:tcBorders>
              <w:top w:val="nil"/>
              <w:left w:val="nil"/>
              <w:bottom w:val="nil"/>
              <w:right w:val="nil"/>
            </w:tcBorders>
            <w:shd w:val="clear" w:color="auto" w:fill="auto"/>
            <w:noWrap/>
            <w:vAlign w:val="bottom"/>
            <w:hideMark/>
          </w:tcPr>
          <w:p w14:paraId="1BA4E5B0" w14:textId="77777777" w:rsidR="002F63A8" w:rsidRPr="006D57F1" w:rsidRDefault="002F63A8" w:rsidP="00DA363A">
            <w:pPr>
              <w:rPr>
                <w:rFonts w:ascii="Barlow" w:hAnsi="Barlow"/>
                <w:sz w:val="20"/>
                <w:szCs w:val="20"/>
                <w:lang w:eastAsia="es-MX"/>
              </w:rPr>
            </w:pPr>
          </w:p>
        </w:tc>
        <w:tc>
          <w:tcPr>
            <w:tcW w:w="160" w:type="dxa"/>
            <w:tcBorders>
              <w:top w:val="nil"/>
              <w:left w:val="nil"/>
              <w:bottom w:val="nil"/>
              <w:right w:val="nil"/>
            </w:tcBorders>
            <w:shd w:val="clear" w:color="auto" w:fill="auto"/>
            <w:noWrap/>
            <w:vAlign w:val="bottom"/>
            <w:hideMark/>
          </w:tcPr>
          <w:p w14:paraId="200C4D08" w14:textId="77777777" w:rsidR="002F63A8" w:rsidRPr="006D57F1" w:rsidRDefault="002F63A8" w:rsidP="00DA363A">
            <w:pPr>
              <w:rPr>
                <w:rFonts w:ascii="Barlow" w:hAnsi="Barlow"/>
                <w:sz w:val="20"/>
                <w:szCs w:val="20"/>
                <w:lang w:eastAsia="es-MX"/>
              </w:rPr>
            </w:pPr>
          </w:p>
        </w:tc>
        <w:tc>
          <w:tcPr>
            <w:tcW w:w="1198" w:type="dxa"/>
            <w:tcBorders>
              <w:top w:val="nil"/>
              <w:left w:val="nil"/>
              <w:bottom w:val="nil"/>
              <w:right w:val="nil"/>
            </w:tcBorders>
            <w:shd w:val="clear" w:color="auto" w:fill="auto"/>
            <w:noWrap/>
            <w:vAlign w:val="bottom"/>
            <w:hideMark/>
          </w:tcPr>
          <w:p w14:paraId="12F3F94F" w14:textId="77777777" w:rsidR="002F63A8" w:rsidRPr="006D57F1" w:rsidRDefault="002F63A8" w:rsidP="00DA363A">
            <w:pPr>
              <w:rPr>
                <w:rFonts w:ascii="Barlow" w:hAnsi="Barlow"/>
                <w:sz w:val="20"/>
                <w:szCs w:val="20"/>
                <w:lang w:eastAsia="es-MX"/>
              </w:rPr>
            </w:pPr>
          </w:p>
          <w:p w14:paraId="34B01787" w14:textId="77777777" w:rsidR="002F63A8" w:rsidRPr="006D57F1" w:rsidRDefault="002F63A8" w:rsidP="00DA363A">
            <w:pPr>
              <w:rPr>
                <w:rFonts w:ascii="Barlow" w:hAnsi="Barlow"/>
                <w:sz w:val="20"/>
                <w:szCs w:val="20"/>
                <w:lang w:eastAsia="es-MX"/>
              </w:rPr>
            </w:pPr>
          </w:p>
          <w:p w14:paraId="628368FD" w14:textId="77777777" w:rsidR="002F63A8" w:rsidRPr="006D57F1" w:rsidRDefault="002F63A8" w:rsidP="00DA363A">
            <w:pPr>
              <w:rPr>
                <w:rFonts w:ascii="Barlow" w:hAnsi="Barlow"/>
                <w:sz w:val="20"/>
                <w:szCs w:val="20"/>
                <w:lang w:eastAsia="es-MX"/>
              </w:rPr>
            </w:pPr>
          </w:p>
          <w:p w14:paraId="665F8EAB" w14:textId="77777777" w:rsidR="002F63A8" w:rsidRPr="006D57F1" w:rsidRDefault="002F63A8" w:rsidP="00DA363A">
            <w:pPr>
              <w:rPr>
                <w:rFonts w:ascii="Barlow" w:hAnsi="Barlow"/>
                <w:sz w:val="20"/>
                <w:szCs w:val="20"/>
                <w:lang w:eastAsia="es-MX"/>
              </w:rPr>
            </w:pPr>
          </w:p>
          <w:p w14:paraId="7AF13160" w14:textId="77777777" w:rsidR="002F63A8" w:rsidRPr="006D57F1" w:rsidRDefault="002F63A8" w:rsidP="00DA363A">
            <w:pPr>
              <w:rPr>
                <w:rFonts w:ascii="Barlow" w:hAnsi="Barlow"/>
                <w:sz w:val="20"/>
                <w:szCs w:val="20"/>
                <w:lang w:eastAsia="es-MX"/>
              </w:rPr>
            </w:pPr>
          </w:p>
          <w:p w14:paraId="1200285D" w14:textId="77777777" w:rsidR="002F63A8" w:rsidRPr="006D57F1" w:rsidRDefault="002F63A8" w:rsidP="00DA363A">
            <w:pPr>
              <w:rPr>
                <w:rFonts w:ascii="Barlow" w:hAnsi="Barlow"/>
                <w:sz w:val="20"/>
                <w:szCs w:val="20"/>
                <w:lang w:eastAsia="es-MX"/>
              </w:rPr>
            </w:pPr>
          </w:p>
        </w:tc>
        <w:tc>
          <w:tcPr>
            <w:tcW w:w="2673" w:type="dxa"/>
            <w:gridSpan w:val="2"/>
            <w:tcBorders>
              <w:top w:val="nil"/>
              <w:left w:val="nil"/>
              <w:bottom w:val="nil"/>
              <w:right w:val="nil"/>
            </w:tcBorders>
            <w:shd w:val="clear" w:color="auto" w:fill="auto"/>
            <w:noWrap/>
            <w:vAlign w:val="bottom"/>
            <w:hideMark/>
          </w:tcPr>
          <w:p w14:paraId="618CD091" w14:textId="77777777" w:rsidR="00FC5CFD" w:rsidRPr="006D57F1" w:rsidRDefault="002F63A8" w:rsidP="00DA363A">
            <w:pPr>
              <w:rPr>
                <w:rFonts w:ascii="Barlow" w:hAnsi="Barlow" w:cs="Calibri"/>
                <w:b/>
                <w:bCs/>
                <w:color w:val="000000"/>
                <w:sz w:val="20"/>
                <w:szCs w:val="20"/>
                <w:lang w:eastAsia="es-MX"/>
              </w:rPr>
            </w:pPr>
            <w:r w:rsidRPr="006D57F1">
              <w:rPr>
                <w:rFonts w:ascii="Barlow" w:hAnsi="Barlow" w:cs="Calibri"/>
                <w:b/>
                <w:bCs/>
                <w:color w:val="000000"/>
                <w:sz w:val="20"/>
                <w:szCs w:val="20"/>
                <w:lang w:eastAsia="es-MX"/>
              </w:rPr>
              <w:t>ACUMULAD</w:t>
            </w:r>
            <w:r w:rsidR="00FC5CFD" w:rsidRPr="006D57F1">
              <w:rPr>
                <w:rFonts w:ascii="Barlow" w:hAnsi="Barlow" w:cs="Calibri"/>
                <w:b/>
                <w:bCs/>
                <w:color w:val="000000"/>
                <w:sz w:val="20"/>
                <w:szCs w:val="20"/>
                <w:lang w:eastAsia="es-MX"/>
              </w:rPr>
              <w:t xml:space="preserve"> </w:t>
            </w:r>
            <w:r w:rsidR="00F3706B" w:rsidRPr="006D57F1">
              <w:rPr>
                <w:rFonts w:ascii="Barlow" w:hAnsi="Barlow" w:cs="Calibri"/>
                <w:b/>
                <w:bCs/>
                <w:color w:val="000000"/>
                <w:sz w:val="20"/>
                <w:szCs w:val="20"/>
                <w:lang w:eastAsia="es-MX"/>
              </w:rPr>
              <w:t xml:space="preserve">DE </w:t>
            </w:r>
          </w:p>
          <w:p w14:paraId="001075D8" w14:textId="12530126" w:rsidR="002F63A8" w:rsidRPr="006D57F1" w:rsidRDefault="00412E0B" w:rsidP="00DA363A">
            <w:pPr>
              <w:rPr>
                <w:rFonts w:ascii="Barlow" w:hAnsi="Barlow" w:cs="Calibri"/>
                <w:b/>
                <w:bCs/>
                <w:color w:val="000000"/>
                <w:sz w:val="20"/>
                <w:szCs w:val="20"/>
                <w:lang w:eastAsia="es-MX"/>
              </w:rPr>
            </w:pPr>
            <w:r w:rsidRPr="006D57F1">
              <w:rPr>
                <w:rFonts w:ascii="Barlow" w:hAnsi="Barlow" w:cs="Calibri"/>
                <w:b/>
                <w:bCs/>
                <w:color w:val="000000"/>
                <w:sz w:val="20"/>
                <w:szCs w:val="20"/>
                <w:lang w:eastAsia="es-MX"/>
              </w:rPr>
              <w:t>2</w:t>
            </w:r>
            <w:r w:rsidR="00B5499E" w:rsidRPr="006D57F1">
              <w:rPr>
                <w:rFonts w:ascii="Barlow" w:hAnsi="Barlow" w:cs="Calibri"/>
                <w:b/>
                <w:bCs/>
                <w:color w:val="000000"/>
                <w:sz w:val="20"/>
                <w:szCs w:val="20"/>
                <w:lang w:eastAsia="es-MX"/>
              </w:rPr>
              <w:t>7</w:t>
            </w:r>
            <w:r w:rsidRPr="006D57F1">
              <w:rPr>
                <w:rFonts w:ascii="Barlow" w:hAnsi="Barlow" w:cs="Calibri"/>
                <w:b/>
                <w:bCs/>
                <w:color w:val="000000"/>
                <w:sz w:val="20"/>
                <w:szCs w:val="20"/>
                <w:lang w:eastAsia="es-MX"/>
              </w:rPr>
              <w:t xml:space="preserve"> Enero</w:t>
            </w:r>
            <w:r w:rsidR="00F3706B" w:rsidRPr="006D57F1">
              <w:rPr>
                <w:rFonts w:ascii="Barlow" w:hAnsi="Barlow" w:cs="Calibri"/>
                <w:b/>
                <w:bCs/>
                <w:color w:val="000000"/>
                <w:sz w:val="20"/>
                <w:szCs w:val="20"/>
                <w:lang w:eastAsia="es-MX"/>
              </w:rPr>
              <w:t xml:space="preserve"> </w:t>
            </w:r>
            <w:r w:rsidR="002F63A8" w:rsidRPr="006D57F1">
              <w:rPr>
                <w:rFonts w:ascii="Barlow" w:hAnsi="Barlow" w:cs="Calibri"/>
                <w:b/>
                <w:bCs/>
                <w:color w:val="000000"/>
                <w:sz w:val="20"/>
                <w:szCs w:val="20"/>
                <w:lang w:eastAsia="es-MX"/>
              </w:rPr>
              <w:t>202</w:t>
            </w:r>
            <w:r w:rsidRPr="006D57F1">
              <w:rPr>
                <w:rFonts w:ascii="Barlow" w:hAnsi="Barlow" w:cs="Calibri"/>
                <w:b/>
                <w:bCs/>
                <w:color w:val="000000"/>
                <w:sz w:val="20"/>
                <w:szCs w:val="20"/>
                <w:lang w:eastAsia="es-MX"/>
              </w:rPr>
              <w:t>2</w:t>
            </w:r>
          </w:p>
        </w:tc>
        <w:tc>
          <w:tcPr>
            <w:tcW w:w="1701" w:type="dxa"/>
            <w:tcBorders>
              <w:top w:val="nil"/>
              <w:left w:val="nil"/>
              <w:bottom w:val="nil"/>
              <w:right w:val="nil"/>
            </w:tcBorders>
            <w:shd w:val="clear" w:color="auto" w:fill="auto"/>
            <w:noWrap/>
            <w:vAlign w:val="bottom"/>
            <w:hideMark/>
          </w:tcPr>
          <w:p w14:paraId="1285871C" w14:textId="6248EAC8" w:rsidR="002F63A8" w:rsidRPr="006D57F1" w:rsidRDefault="002F63A8" w:rsidP="00DA363A">
            <w:pPr>
              <w:jc w:val="center"/>
              <w:rPr>
                <w:rFonts w:ascii="Barlow" w:hAnsi="Barlow" w:cs="Calibri"/>
                <w:color w:val="000000"/>
                <w:sz w:val="20"/>
                <w:szCs w:val="20"/>
                <w:lang w:eastAsia="es-MX"/>
              </w:rPr>
            </w:pPr>
            <w:r w:rsidRPr="006D57F1">
              <w:rPr>
                <w:rFonts w:ascii="Barlow" w:hAnsi="Barlow" w:cs="Calibri"/>
                <w:b/>
                <w:bCs/>
                <w:color w:val="000000"/>
                <w:sz w:val="20"/>
                <w:szCs w:val="20"/>
                <w:lang w:eastAsia="es-MX"/>
              </w:rPr>
              <w:t xml:space="preserve">ACUMULADO  </w:t>
            </w:r>
            <w:r w:rsidR="00F3706B" w:rsidRPr="006D57F1">
              <w:rPr>
                <w:rFonts w:ascii="Barlow" w:hAnsi="Barlow" w:cs="Calibri"/>
                <w:b/>
                <w:bCs/>
                <w:color w:val="000000"/>
                <w:sz w:val="20"/>
                <w:szCs w:val="20"/>
                <w:lang w:eastAsia="es-MX"/>
              </w:rPr>
              <w:t>DE</w:t>
            </w:r>
            <w:r w:rsidR="00FC5CFD" w:rsidRPr="006D57F1">
              <w:rPr>
                <w:rFonts w:ascii="Barlow" w:hAnsi="Barlow" w:cs="Calibri"/>
                <w:b/>
                <w:bCs/>
                <w:color w:val="000000"/>
                <w:sz w:val="20"/>
                <w:szCs w:val="20"/>
                <w:lang w:eastAsia="es-MX"/>
              </w:rPr>
              <w:t xml:space="preserve"> </w:t>
            </w:r>
            <w:r w:rsidR="00E528BB" w:rsidRPr="006D57F1">
              <w:rPr>
                <w:rFonts w:ascii="Barlow" w:hAnsi="Barlow" w:cs="Calibri"/>
                <w:b/>
                <w:bCs/>
                <w:color w:val="000000"/>
                <w:sz w:val="20"/>
                <w:szCs w:val="20"/>
                <w:lang w:eastAsia="es-MX"/>
              </w:rPr>
              <w:t>DICIEMBRE</w:t>
            </w:r>
            <w:r w:rsidR="008C74C7" w:rsidRPr="006D57F1">
              <w:rPr>
                <w:rFonts w:ascii="Barlow" w:hAnsi="Barlow" w:cs="Calibri"/>
                <w:b/>
                <w:bCs/>
                <w:color w:val="000000"/>
                <w:sz w:val="20"/>
                <w:szCs w:val="20"/>
                <w:lang w:eastAsia="es-MX"/>
              </w:rPr>
              <w:t xml:space="preserve"> </w:t>
            </w:r>
            <w:r w:rsidRPr="006D57F1">
              <w:rPr>
                <w:rFonts w:ascii="Barlow" w:hAnsi="Barlow" w:cs="Calibri"/>
                <w:b/>
                <w:bCs/>
                <w:color w:val="000000"/>
                <w:sz w:val="20"/>
                <w:szCs w:val="20"/>
                <w:lang w:eastAsia="es-MX"/>
              </w:rPr>
              <w:t>20</w:t>
            </w:r>
            <w:r w:rsidR="008C74C7" w:rsidRPr="006D57F1">
              <w:rPr>
                <w:rFonts w:ascii="Barlow" w:hAnsi="Barlow" w:cs="Calibri"/>
                <w:b/>
                <w:bCs/>
                <w:color w:val="000000"/>
                <w:sz w:val="20"/>
                <w:szCs w:val="20"/>
                <w:lang w:eastAsia="es-MX"/>
              </w:rPr>
              <w:t>2</w:t>
            </w:r>
            <w:r w:rsidR="00412E0B" w:rsidRPr="006D57F1">
              <w:rPr>
                <w:rFonts w:ascii="Barlow" w:hAnsi="Barlow" w:cs="Calibri"/>
                <w:b/>
                <w:bCs/>
                <w:color w:val="000000"/>
                <w:sz w:val="20"/>
                <w:szCs w:val="20"/>
                <w:lang w:eastAsia="es-MX"/>
              </w:rPr>
              <w:t>1</w:t>
            </w:r>
          </w:p>
        </w:tc>
      </w:tr>
      <w:tr w:rsidR="002F63A8" w:rsidRPr="006D57F1" w14:paraId="6445CEEA" w14:textId="77777777" w:rsidTr="00DA363A">
        <w:trPr>
          <w:trHeight w:val="540"/>
        </w:trPr>
        <w:tc>
          <w:tcPr>
            <w:tcW w:w="7736"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4B4A49D0"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1. Ingresos Presupuestarios</w:t>
            </w:r>
          </w:p>
        </w:tc>
        <w:tc>
          <w:tcPr>
            <w:tcW w:w="1498" w:type="dxa"/>
            <w:gridSpan w:val="3"/>
            <w:tcBorders>
              <w:top w:val="nil"/>
              <w:left w:val="nil"/>
              <w:bottom w:val="nil"/>
              <w:right w:val="single" w:sz="8" w:space="0" w:color="auto"/>
            </w:tcBorders>
            <w:shd w:val="clear" w:color="auto" w:fill="auto"/>
            <w:vAlign w:val="center"/>
            <w:hideMark/>
          </w:tcPr>
          <w:p w14:paraId="7BFE8AB3"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single" w:sz="8" w:space="0" w:color="auto"/>
            </w:tcBorders>
            <w:shd w:val="clear" w:color="000000" w:fill="C0C0C0"/>
            <w:vAlign w:val="center"/>
            <w:hideMark/>
          </w:tcPr>
          <w:p w14:paraId="6F1BE292" w14:textId="4031B35D"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134" w:type="dxa"/>
            <w:tcBorders>
              <w:top w:val="nil"/>
              <w:left w:val="nil"/>
              <w:bottom w:val="nil"/>
              <w:right w:val="nil"/>
            </w:tcBorders>
            <w:shd w:val="clear" w:color="auto" w:fill="auto"/>
            <w:vAlign w:val="center"/>
            <w:hideMark/>
          </w:tcPr>
          <w:p w14:paraId="1BCFEA76" w14:textId="77777777" w:rsidR="002F63A8" w:rsidRPr="006D57F1" w:rsidRDefault="002F63A8" w:rsidP="00DA363A">
            <w:pPr>
              <w:jc w:val="right"/>
              <w:rPr>
                <w:rFonts w:ascii="Barlow" w:hAnsi="Barlow" w:cs="Calibri"/>
                <w:b/>
                <w:bCs/>
                <w:color w:val="000000"/>
                <w:sz w:val="20"/>
                <w:szCs w:val="20"/>
                <w:lang w:eastAsia="es-MX"/>
              </w:rPr>
            </w:pPr>
          </w:p>
        </w:tc>
        <w:tc>
          <w:tcPr>
            <w:tcW w:w="1701" w:type="dxa"/>
            <w:tcBorders>
              <w:top w:val="nil"/>
              <w:left w:val="nil"/>
              <w:bottom w:val="single" w:sz="8" w:space="0" w:color="auto"/>
              <w:right w:val="single" w:sz="8" w:space="0" w:color="auto"/>
            </w:tcBorders>
            <w:shd w:val="clear" w:color="000000" w:fill="C0C0C0"/>
            <w:vAlign w:val="center"/>
            <w:hideMark/>
          </w:tcPr>
          <w:p w14:paraId="1262683E" w14:textId="30AF6AAE"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30,785.06</w:t>
            </w:r>
          </w:p>
        </w:tc>
      </w:tr>
      <w:tr w:rsidR="002F63A8" w:rsidRPr="006D57F1" w14:paraId="3C28B0A0" w14:textId="77777777" w:rsidTr="00DA363A">
        <w:trPr>
          <w:trHeight w:val="315"/>
        </w:trPr>
        <w:tc>
          <w:tcPr>
            <w:tcW w:w="7736" w:type="dxa"/>
            <w:tcBorders>
              <w:top w:val="single" w:sz="8" w:space="0" w:color="auto"/>
              <w:left w:val="nil"/>
              <w:bottom w:val="single" w:sz="8" w:space="0" w:color="auto"/>
              <w:right w:val="nil"/>
            </w:tcBorders>
            <w:shd w:val="clear" w:color="auto" w:fill="auto"/>
            <w:vAlign w:val="center"/>
            <w:hideMark/>
          </w:tcPr>
          <w:p w14:paraId="651FD048"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498" w:type="dxa"/>
            <w:gridSpan w:val="3"/>
            <w:tcBorders>
              <w:top w:val="single" w:sz="8" w:space="0" w:color="auto"/>
              <w:left w:val="nil"/>
              <w:bottom w:val="single" w:sz="8" w:space="0" w:color="auto"/>
              <w:right w:val="nil"/>
            </w:tcBorders>
            <w:shd w:val="clear" w:color="auto" w:fill="auto"/>
            <w:vAlign w:val="center"/>
            <w:hideMark/>
          </w:tcPr>
          <w:p w14:paraId="10863BDE"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nil"/>
            </w:tcBorders>
            <w:shd w:val="clear" w:color="auto" w:fill="auto"/>
            <w:vAlign w:val="center"/>
            <w:hideMark/>
          </w:tcPr>
          <w:p w14:paraId="08B361BC"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34" w:type="dxa"/>
            <w:tcBorders>
              <w:top w:val="nil"/>
              <w:left w:val="nil"/>
              <w:bottom w:val="nil"/>
              <w:right w:val="nil"/>
            </w:tcBorders>
            <w:shd w:val="clear" w:color="auto" w:fill="auto"/>
            <w:vAlign w:val="center"/>
            <w:hideMark/>
          </w:tcPr>
          <w:p w14:paraId="64B9119B" w14:textId="77777777" w:rsidR="002F63A8" w:rsidRPr="006D57F1" w:rsidRDefault="002F63A8" w:rsidP="00DA363A">
            <w:pPr>
              <w:jc w:val="both"/>
              <w:rPr>
                <w:rFonts w:ascii="Barlow" w:hAnsi="Barlow" w:cs="Calibri"/>
                <w:color w:val="000000"/>
                <w:sz w:val="20"/>
                <w:szCs w:val="20"/>
                <w:lang w:eastAsia="es-MX"/>
              </w:rPr>
            </w:pPr>
          </w:p>
        </w:tc>
        <w:tc>
          <w:tcPr>
            <w:tcW w:w="1701" w:type="dxa"/>
            <w:tcBorders>
              <w:top w:val="nil"/>
              <w:left w:val="nil"/>
              <w:bottom w:val="nil"/>
              <w:right w:val="nil"/>
            </w:tcBorders>
            <w:shd w:val="clear" w:color="auto" w:fill="auto"/>
            <w:noWrap/>
            <w:vAlign w:val="bottom"/>
            <w:hideMark/>
          </w:tcPr>
          <w:p w14:paraId="2AE55CDF" w14:textId="77777777" w:rsidR="002F63A8" w:rsidRPr="006D57F1" w:rsidRDefault="002F63A8" w:rsidP="00DA363A">
            <w:pPr>
              <w:jc w:val="both"/>
              <w:rPr>
                <w:rFonts w:ascii="Barlow" w:hAnsi="Barlow"/>
                <w:sz w:val="20"/>
                <w:szCs w:val="20"/>
                <w:lang w:eastAsia="es-MX"/>
              </w:rPr>
            </w:pPr>
          </w:p>
        </w:tc>
      </w:tr>
      <w:tr w:rsidR="002F63A8" w:rsidRPr="006D57F1" w14:paraId="452157AE" w14:textId="77777777" w:rsidTr="00DA363A">
        <w:trPr>
          <w:trHeight w:val="315"/>
        </w:trPr>
        <w:tc>
          <w:tcPr>
            <w:tcW w:w="7736" w:type="dxa"/>
            <w:tcBorders>
              <w:top w:val="single" w:sz="8" w:space="0" w:color="auto"/>
              <w:left w:val="nil"/>
              <w:bottom w:val="single" w:sz="8" w:space="0" w:color="auto"/>
              <w:right w:val="nil"/>
            </w:tcBorders>
            <w:shd w:val="clear" w:color="auto" w:fill="auto"/>
            <w:vAlign w:val="center"/>
            <w:hideMark/>
          </w:tcPr>
          <w:p w14:paraId="000CCD42"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498" w:type="dxa"/>
            <w:gridSpan w:val="3"/>
            <w:tcBorders>
              <w:top w:val="nil"/>
              <w:left w:val="nil"/>
              <w:bottom w:val="single" w:sz="8" w:space="0" w:color="auto"/>
              <w:right w:val="nil"/>
            </w:tcBorders>
            <w:shd w:val="clear" w:color="auto" w:fill="auto"/>
            <w:vAlign w:val="center"/>
            <w:hideMark/>
          </w:tcPr>
          <w:p w14:paraId="062B1C5F"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nil"/>
            </w:tcBorders>
            <w:shd w:val="clear" w:color="auto" w:fill="auto"/>
            <w:vAlign w:val="center"/>
            <w:hideMark/>
          </w:tcPr>
          <w:p w14:paraId="3EEC0F40"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34" w:type="dxa"/>
            <w:tcBorders>
              <w:top w:val="nil"/>
              <w:left w:val="nil"/>
              <w:bottom w:val="nil"/>
              <w:right w:val="nil"/>
            </w:tcBorders>
            <w:shd w:val="clear" w:color="auto" w:fill="auto"/>
            <w:vAlign w:val="center"/>
            <w:hideMark/>
          </w:tcPr>
          <w:p w14:paraId="0111EE3A" w14:textId="77777777" w:rsidR="002F63A8" w:rsidRPr="006D57F1" w:rsidRDefault="002F63A8" w:rsidP="00DA363A">
            <w:pPr>
              <w:jc w:val="both"/>
              <w:rPr>
                <w:rFonts w:ascii="Barlow" w:hAnsi="Barlow" w:cs="Calibri"/>
                <w:color w:val="000000"/>
                <w:sz w:val="20"/>
                <w:szCs w:val="20"/>
                <w:lang w:eastAsia="es-MX"/>
              </w:rPr>
            </w:pPr>
          </w:p>
        </w:tc>
        <w:tc>
          <w:tcPr>
            <w:tcW w:w="1701" w:type="dxa"/>
            <w:tcBorders>
              <w:top w:val="nil"/>
              <w:left w:val="nil"/>
              <w:bottom w:val="nil"/>
              <w:right w:val="nil"/>
            </w:tcBorders>
            <w:shd w:val="clear" w:color="auto" w:fill="auto"/>
            <w:noWrap/>
            <w:vAlign w:val="bottom"/>
            <w:hideMark/>
          </w:tcPr>
          <w:p w14:paraId="27ECDE85" w14:textId="77777777" w:rsidR="002F63A8" w:rsidRPr="006D57F1" w:rsidRDefault="002F63A8" w:rsidP="00DA363A">
            <w:pPr>
              <w:jc w:val="both"/>
              <w:rPr>
                <w:rFonts w:ascii="Barlow" w:hAnsi="Barlow"/>
                <w:sz w:val="20"/>
                <w:szCs w:val="20"/>
                <w:lang w:eastAsia="es-MX"/>
              </w:rPr>
            </w:pPr>
          </w:p>
        </w:tc>
      </w:tr>
      <w:tr w:rsidR="002F63A8" w:rsidRPr="006D57F1" w14:paraId="5A0ECE44" w14:textId="77777777" w:rsidTr="00DA363A">
        <w:trPr>
          <w:trHeight w:val="54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B2D7881"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2. Más ingresos contables no presupuestarios</w:t>
            </w:r>
          </w:p>
        </w:tc>
        <w:tc>
          <w:tcPr>
            <w:tcW w:w="1498" w:type="dxa"/>
            <w:gridSpan w:val="3"/>
            <w:tcBorders>
              <w:top w:val="nil"/>
              <w:left w:val="nil"/>
              <w:bottom w:val="single" w:sz="8" w:space="0" w:color="auto"/>
              <w:right w:val="single" w:sz="8" w:space="0" w:color="auto"/>
            </w:tcBorders>
            <w:shd w:val="clear" w:color="auto" w:fill="auto"/>
            <w:vAlign w:val="center"/>
            <w:hideMark/>
          </w:tcPr>
          <w:p w14:paraId="0A74B73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single" w:sz="8" w:space="0" w:color="auto"/>
            </w:tcBorders>
            <w:shd w:val="clear" w:color="auto" w:fill="auto"/>
            <w:vAlign w:val="center"/>
            <w:hideMark/>
          </w:tcPr>
          <w:p w14:paraId="3AA4B3D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134" w:type="dxa"/>
            <w:tcBorders>
              <w:top w:val="nil"/>
              <w:left w:val="nil"/>
              <w:bottom w:val="nil"/>
              <w:right w:val="nil"/>
            </w:tcBorders>
            <w:shd w:val="clear" w:color="auto" w:fill="auto"/>
            <w:vAlign w:val="center"/>
            <w:hideMark/>
          </w:tcPr>
          <w:p w14:paraId="5B93D4D5" w14:textId="77777777" w:rsidR="002F63A8" w:rsidRPr="006D57F1" w:rsidRDefault="002F63A8" w:rsidP="00DA363A">
            <w:pPr>
              <w:jc w:val="right"/>
              <w:rPr>
                <w:rFonts w:ascii="Barlow" w:hAnsi="Barlow" w:cs="Calibri"/>
                <w:color w:val="000000"/>
                <w:sz w:val="20"/>
                <w:szCs w:val="20"/>
                <w:lang w:eastAsia="es-MX"/>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58E324"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r>
      <w:tr w:rsidR="002F63A8" w:rsidRPr="006D57F1" w14:paraId="2AAF26B2"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050C0004"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Ingresos Financieros</w:t>
            </w:r>
          </w:p>
        </w:tc>
        <w:tc>
          <w:tcPr>
            <w:tcW w:w="160" w:type="dxa"/>
            <w:tcBorders>
              <w:top w:val="nil"/>
              <w:left w:val="nil"/>
              <w:bottom w:val="single" w:sz="8" w:space="0" w:color="auto"/>
              <w:right w:val="single" w:sz="8" w:space="0" w:color="auto"/>
            </w:tcBorders>
            <w:shd w:val="clear" w:color="auto" w:fill="auto"/>
            <w:noWrap/>
            <w:vAlign w:val="center"/>
            <w:hideMark/>
          </w:tcPr>
          <w:p w14:paraId="38694FDA"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3B293317"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3699CB7A"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1FE428"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7380AE64"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0FE20AF7"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1C6C3197"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Incremento por variación de inventarios</w:t>
            </w:r>
          </w:p>
        </w:tc>
        <w:tc>
          <w:tcPr>
            <w:tcW w:w="160" w:type="dxa"/>
            <w:tcBorders>
              <w:top w:val="nil"/>
              <w:left w:val="nil"/>
              <w:bottom w:val="single" w:sz="8" w:space="0" w:color="auto"/>
              <w:right w:val="single" w:sz="8" w:space="0" w:color="auto"/>
            </w:tcBorders>
            <w:shd w:val="clear" w:color="auto" w:fill="auto"/>
            <w:noWrap/>
            <w:vAlign w:val="center"/>
            <w:hideMark/>
          </w:tcPr>
          <w:p w14:paraId="7DB726CC"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7658621B"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37B8ABB5"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2A0090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10866BCB"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01774B62" w14:textId="77777777" w:rsidTr="00DA363A">
        <w:trPr>
          <w:trHeight w:val="825"/>
        </w:trPr>
        <w:tc>
          <w:tcPr>
            <w:tcW w:w="7876" w:type="dxa"/>
            <w:gridSpan w:val="2"/>
            <w:tcBorders>
              <w:top w:val="nil"/>
              <w:left w:val="single" w:sz="8" w:space="0" w:color="auto"/>
              <w:bottom w:val="single" w:sz="8" w:space="0" w:color="auto"/>
              <w:right w:val="nil"/>
            </w:tcBorders>
            <w:shd w:val="clear" w:color="auto" w:fill="auto"/>
            <w:vAlign w:val="center"/>
            <w:hideMark/>
          </w:tcPr>
          <w:p w14:paraId="6DCB4C64"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Disminución del Exceso de Estimaciones por Pérdida o Deterioro u Obsolescencia</w:t>
            </w:r>
          </w:p>
        </w:tc>
        <w:tc>
          <w:tcPr>
            <w:tcW w:w="160" w:type="dxa"/>
            <w:tcBorders>
              <w:top w:val="nil"/>
              <w:left w:val="nil"/>
              <w:bottom w:val="single" w:sz="8" w:space="0" w:color="auto"/>
              <w:right w:val="single" w:sz="8" w:space="0" w:color="auto"/>
            </w:tcBorders>
            <w:shd w:val="clear" w:color="auto" w:fill="auto"/>
            <w:noWrap/>
            <w:vAlign w:val="center"/>
            <w:hideMark/>
          </w:tcPr>
          <w:p w14:paraId="2B3E8E0B"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19DBFD4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278FAED6"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E3303C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16241646"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3D9604AC" w14:textId="77777777" w:rsidTr="00DA363A">
        <w:trPr>
          <w:trHeight w:val="555"/>
        </w:trPr>
        <w:tc>
          <w:tcPr>
            <w:tcW w:w="7876" w:type="dxa"/>
            <w:gridSpan w:val="2"/>
            <w:tcBorders>
              <w:top w:val="nil"/>
              <w:left w:val="single" w:sz="8" w:space="0" w:color="auto"/>
              <w:bottom w:val="nil"/>
              <w:right w:val="nil"/>
            </w:tcBorders>
            <w:shd w:val="clear" w:color="auto" w:fill="auto"/>
            <w:vAlign w:val="center"/>
            <w:hideMark/>
          </w:tcPr>
          <w:p w14:paraId="58939ACF"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Disminución del Exceso de Provisiones</w:t>
            </w:r>
          </w:p>
        </w:tc>
        <w:tc>
          <w:tcPr>
            <w:tcW w:w="160" w:type="dxa"/>
            <w:tcBorders>
              <w:top w:val="nil"/>
              <w:left w:val="nil"/>
              <w:bottom w:val="nil"/>
              <w:right w:val="single" w:sz="8" w:space="0" w:color="auto"/>
            </w:tcBorders>
            <w:shd w:val="clear" w:color="auto" w:fill="auto"/>
            <w:noWrap/>
            <w:vAlign w:val="center"/>
            <w:hideMark/>
          </w:tcPr>
          <w:p w14:paraId="31A6D77C"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68A57EA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2FF86E8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8B55B8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1084469F"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780844A4" w14:textId="77777777" w:rsidTr="00DA363A">
        <w:trPr>
          <w:trHeight w:val="315"/>
        </w:trPr>
        <w:tc>
          <w:tcPr>
            <w:tcW w:w="7876" w:type="dxa"/>
            <w:gridSpan w:val="2"/>
            <w:tcBorders>
              <w:top w:val="single" w:sz="8" w:space="0" w:color="auto"/>
              <w:left w:val="single" w:sz="8" w:space="0" w:color="auto"/>
              <w:bottom w:val="single" w:sz="8" w:space="0" w:color="auto"/>
              <w:right w:val="nil"/>
            </w:tcBorders>
            <w:shd w:val="clear" w:color="auto" w:fill="auto"/>
            <w:vAlign w:val="center"/>
            <w:hideMark/>
          </w:tcPr>
          <w:p w14:paraId="3F3E1C31"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Otros Ingresos y Beneficios Varios</w:t>
            </w:r>
          </w:p>
        </w:tc>
        <w:tc>
          <w:tcPr>
            <w:tcW w:w="160" w:type="dxa"/>
            <w:tcBorders>
              <w:top w:val="single" w:sz="8" w:space="0" w:color="auto"/>
              <w:left w:val="nil"/>
              <w:bottom w:val="single" w:sz="8" w:space="0" w:color="auto"/>
              <w:right w:val="single" w:sz="8" w:space="0" w:color="auto"/>
            </w:tcBorders>
            <w:shd w:val="clear" w:color="auto" w:fill="auto"/>
            <w:noWrap/>
            <w:vAlign w:val="center"/>
            <w:hideMark/>
          </w:tcPr>
          <w:p w14:paraId="4CCC583F"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5662378F"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10FA5E84"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008A134"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161D2B06"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5F77284E" w14:textId="77777777" w:rsidTr="00DA363A">
        <w:trPr>
          <w:trHeight w:val="54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03E4202"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xml:space="preserve"> Otros Ingresos Contables No Presupuestarios</w:t>
            </w:r>
          </w:p>
        </w:tc>
        <w:tc>
          <w:tcPr>
            <w:tcW w:w="1498" w:type="dxa"/>
            <w:gridSpan w:val="3"/>
            <w:tcBorders>
              <w:top w:val="nil"/>
              <w:left w:val="nil"/>
              <w:bottom w:val="single" w:sz="8" w:space="0" w:color="auto"/>
              <w:right w:val="single" w:sz="8" w:space="0" w:color="auto"/>
            </w:tcBorders>
            <w:shd w:val="clear" w:color="auto" w:fill="auto"/>
            <w:vAlign w:val="center"/>
            <w:hideMark/>
          </w:tcPr>
          <w:p w14:paraId="1F773F70"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3CC97724"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7EC768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658CA3DC"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169EB477" w14:textId="77777777" w:rsidTr="00DA363A">
        <w:trPr>
          <w:trHeight w:val="315"/>
        </w:trPr>
        <w:tc>
          <w:tcPr>
            <w:tcW w:w="7736" w:type="dxa"/>
            <w:tcBorders>
              <w:top w:val="single" w:sz="8" w:space="0" w:color="auto"/>
              <w:left w:val="nil"/>
              <w:bottom w:val="single" w:sz="8" w:space="0" w:color="auto"/>
              <w:right w:val="nil"/>
            </w:tcBorders>
            <w:shd w:val="clear" w:color="auto" w:fill="auto"/>
            <w:vAlign w:val="center"/>
            <w:hideMark/>
          </w:tcPr>
          <w:p w14:paraId="79521C10"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lastRenderedPageBreak/>
              <w:t> </w:t>
            </w:r>
          </w:p>
        </w:tc>
        <w:tc>
          <w:tcPr>
            <w:tcW w:w="1498" w:type="dxa"/>
            <w:gridSpan w:val="3"/>
            <w:tcBorders>
              <w:top w:val="nil"/>
              <w:left w:val="nil"/>
              <w:bottom w:val="single" w:sz="8" w:space="0" w:color="auto"/>
              <w:right w:val="nil"/>
            </w:tcBorders>
            <w:shd w:val="clear" w:color="auto" w:fill="auto"/>
            <w:vAlign w:val="center"/>
            <w:hideMark/>
          </w:tcPr>
          <w:p w14:paraId="5E0B88F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nil"/>
            </w:tcBorders>
            <w:shd w:val="clear" w:color="auto" w:fill="auto"/>
            <w:vAlign w:val="center"/>
            <w:hideMark/>
          </w:tcPr>
          <w:p w14:paraId="7B91A4E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34" w:type="dxa"/>
            <w:tcBorders>
              <w:top w:val="nil"/>
              <w:left w:val="nil"/>
              <w:bottom w:val="nil"/>
              <w:right w:val="nil"/>
            </w:tcBorders>
            <w:shd w:val="clear" w:color="auto" w:fill="auto"/>
            <w:vAlign w:val="center"/>
            <w:hideMark/>
          </w:tcPr>
          <w:p w14:paraId="1D70D8FD" w14:textId="77777777" w:rsidR="002F63A8" w:rsidRPr="006D57F1" w:rsidRDefault="002F63A8" w:rsidP="00DA363A">
            <w:pPr>
              <w:jc w:val="right"/>
              <w:rPr>
                <w:rFonts w:ascii="Barlow" w:hAnsi="Barlow" w:cs="Calibri"/>
                <w:color w:val="000000"/>
                <w:sz w:val="20"/>
                <w:szCs w:val="20"/>
                <w:lang w:eastAsia="es-MX"/>
              </w:rPr>
            </w:pPr>
          </w:p>
        </w:tc>
        <w:tc>
          <w:tcPr>
            <w:tcW w:w="1701" w:type="dxa"/>
            <w:tcBorders>
              <w:top w:val="nil"/>
              <w:left w:val="nil"/>
              <w:bottom w:val="nil"/>
              <w:right w:val="nil"/>
            </w:tcBorders>
            <w:shd w:val="clear" w:color="auto" w:fill="auto"/>
            <w:noWrap/>
            <w:vAlign w:val="bottom"/>
            <w:hideMark/>
          </w:tcPr>
          <w:p w14:paraId="0D412114" w14:textId="77777777" w:rsidR="002F63A8" w:rsidRPr="006D57F1" w:rsidRDefault="002F63A8" w:rsidP="00DA363A">
            <w:pPr>
              <w:jc w:val="right"/>
              <w:rPr>
                <w:rFonts w:ascii="Barlow" w:hAnsi="Barlow"/>
                <w:sz w:val="20"/>
                <w:szCs w:val="20"/>
                <w:lang w:eastAsia="es-MX"/>
              </w:rPr>
            </w:pPr>
          </w:p>
        </w:tc>
      </w:tr>
      <w:tr w:rsidR="002F63A8" w:rsidRPr="006D57F1" w14:paraId="4FEDDB88" w14:textId="77777777" w:rsidTr="00DA363A">
        <w:trPr>
          <w:trHeight w:val="81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17DF58C"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3. Menos ingresos presupuestarios No contables</w:t>
            </w:r>
          </w:p>
        </w:tc>
        <w:tc>
          <w:tcPr>
            <w:tcW w:w="1498" w:type="dxa"/>
            <w:gridSpan w:val="3"/>
            <w:tcBorders>
              <w:top w:val="nil"/>
              <w:left w:val="nil"/>
              <w:bottom w:val="single" w:sz="8" w:space="0" w:color="auto"/>
              <w:right w:val="single" w:sz="8" w:space="0" w:color="auto"/>
            </w:tcBorders>
            <w:shd w:val="clear" w:color="auto" w:fill="auto"/>
            <w:vAlign w:val="center"/>
            <w:hideMark/>
          </w:tcPr>
          <w:p w14:paraId="3841DE2B"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single" w:sz="8" w:space="0" w:color="auto"/>
            </w:tcBorders>
            <w:shd w:val="clear" w:color="auto" w:fill="auto"/>
            <w:vAlign w:val="center"/>
            <w:hideMark/>
          </w:tcPr>
          <w:p w14:paraId="51F4D716"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134" w:type="dxa"/>
            <w:tcBorders>
              <w:top w:val="nil"/>
              <w:left w:val="nil"/>
              <w:bottom w:val="nil"/>
              <w:right w:val="nil"/>
            </w:tcBorders>
            <w:shd w:val="clear" w:color="auto" w:fill="auto"/>
            <w:vAlign w:val="center"/>
            <w:hideMark/>
          </w:tcPr>
          <w:p w14:paraId="38EC3B10" w14:textId="77777777" w:rsidR="002F63A8" w:rsidRPr="006D57F1" w:rsidRDefault="002F63A8" w:rsidP="00DA363A">
            <w:pPr>
              <w:jc w:val="right"/>
              <w:rPr>
                <w:rFonts w:ascii="Barlow" w:hAnsi="Barlow" w:cs="Calibri"/>
                <w:color w:val="000000"/>
                <w:sz w:val="20"/>
                <w:szCs w:val="20"/>
                <w:lang w:eastAsia="es-MX"/>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A2A70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r>
      <w:tr w:rsidR="002F63A8" w:rsidRPr="006D57F1" w14:paraId="36917698"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730BC825"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Aprovechamientos patrimoniales</w:t>
            </w:r>
          </w:p>
        </w:tc>
        <w:tc>
          <w:tcPr>
            <w:tcW w:w="160" w:type="dxa"/>
            <w:tcBorders>
              <w:top w:val="nil"/>
              <w:left w:val="nil"/>
              <w:bottom w:val="single" w:sz="8" w:space="0" w:color="auto"/>
              <w:right w:val="single" w:sz="8" w:space="0" w:color="auto"/>
            </w:tcBorders>
            <w:shd w:val="clear" w:color="auto" w:fill="auto"/>
            <w:noWrap/>
            <w:vAlign w:val="center"/>
            <w:hideMark/>
          </w:tcPr>
          <w:p w14:paraId="260A282E"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6EB4468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150360E6"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90ABB"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190D8419"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0E64AF93"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057F71F3"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Ingresos derivados de financiamientos</w:t>
            </w:r>
          </w:p>
        </w:tc>
        <w:tc>
          <w:tcPr>
            <w:tcW w:w="160" w:type="dxa"/>
            <w:tcBorders>
              <w:top w:val="nil"/>
              <w:left w:val="nil"/>
              <w:bottom w:val="single" w:sz="8" w:space="0" w:color="auto"/>
              <w:right w:val="single" w:sz="8" w:space="0" w:color="auto"/>
            </w:tcBorders>
            <w:shd w:val="clear" w:color="auto" w:fill="auto"/>
            <w:noWrap/>
            <w:vAlign w:val="center"/>
            <w:hideMark/>
          </w:tcPr>
          <w:p w14:paraId="05432AC2"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7CCBFFC8"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39209B6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F6D97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4300BD23"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444209FD" w14:textId="77777777" w:rsidTr="00DA363A">
        <w:trPr>
          <w:trHeight w:val="81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7B0554C" w14:textId="77777777" w:rsidR="002F63A8" w:rsidRPr="006D57F1" w:rsidRDefault="002F63A8" w:rsidP="00DA363A">
            <w:pPr>
              <w:rPr>
                <w:rFonts w:ascii="Barlow" w:hAnsi="Barlow" w:cs="Calibri"/>
                <w:color w:val="000000"/>
                <w:sz w:val="20"/>
                <w:szCs w:val="20"/>
                <w:lang w:eastAsia="es-MX"/>
              </w:rPr>
            </w:pPr>
            <w:r w:rsidRPr="006D57F1">
              <w:rPr>
                <w:rFonts w:ascii="Barlow" w:hAnsi="Barlow" w:cs="Calibri"/>
                <w:color w:val="000000"/>
                <w:sz w:val="20"/>
                <w:szCs w:val="20"/>
                <w:lang w:eastAsia="es-MX"/>
              </w:rPr>
              <w:t>Otros Ingresos presupuestarios no contables</w:t>
            </w:r>
          </w:p>
        </w:tc>
        <w:tc>
          <w:tcPr>
            <w:tcW w:w="1498" w:type="dxa"/>
            <w:gridSpan w:val="3"/>
            <w:tcBorders>
              <w:top w:val="nil"/>
              <w:left w:val="nil"/>
              <w:bottom w:val="single" w:sz="8" w:space="0" w:color="auto"/>
              <w:right w:val="single" w:sz="8" w:space="0" w:color="auto"/>
            </w:tcBorders>
            <w:shd w:val="clear" w:color="auto" w:fill="auto"/>
            <w:vAlign w:val="center"/>
            <w:hideMark/>
          </w:tcPr>
          <w:p w14:paraId="52C5159B"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0 </w:t>
            </w:r>
          </w:p>
        </w:tc>
        <w:tc>
          <w:tcPr>
            <w:tcW w:w="1539" w:type="dxa"/>
            <w:tcBorders>
              <w:top w:val="nil"/>
              <w:left w:val="nil"/>
              <w:bottom w:val="nil"/>
              <w:right w:val="nil"/>
            </w:tcBorders>
            <w:shd w:val="clear" w:color="auto" w:fill="auto"/>
            <w:vAlign w:val="center"/>
            <w:hideMark/>
          </w:tcPr>
          <w:p w14:paraId="6DDAC2B5"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6C8D1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6B6CB3FE"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318B9A44" w14:textId="77777777" w:rsidTr="00DA363A">
        <w:trPr>
          <w:trHeight w:val="315"/>
        </w:trPr>
        <w:tc>
          <w:tcPr>
            <w:tcW w:w="7736" w:type="dxa"/>
            <w:tcBorders>
              <w:top w:val="single" w:sz="8" w:space="0" w:color="auto"/>
              <w:left w:val="nil"/>
              <w:bottom w:val="single" w:sz="8" w:space="0" w:color="auto"/>
              <w:right w:val="nil"/>
            </w:tcBorders>
            <w:shd w:val="clear" w:color="auto" w:fill="auto"/>
            <w:vAlign w:val="center"/>
            <w:hideMark/>
          </w:tcPr>
          <w:p w14:paraId="34860C59"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498" w:type="dxa"/>
            <w:gridSpan w:val="3"/>
            <w:tcBorders>
              <w:top w:val="nil"/>
              <w:left w:val="nil"/>
              <w:bottom w:val="nil"/>
              <w:right w:val="nil"/>
            </w:tcBorders>
            <w:shd w:val="clear" w:color="auto" w:fill="auto"/>
            <w:vAlign w:val="center"/>
            <w:hideMark/>
          </w:tcPr>
          <w:p w14:paraId="15947938" w14:textId="77777777" w:rsidR="002F63A8" w:rsidRPr="006D57F1" w:rsidRDefault="002F63A8" w:rsidP="00DA363A">
            <w:pPr>
              <w:jc w:val="both"/>
              <w:rPr>
                <w:rFonts w:ascii="Barlow" w:hAnsi="Barlow" w:cs="Calibri"/>
                <w:color w:val="000000"/>
                <w:sz w:val="20"/>
                <w:szCs w:val="20"/>
                <w:lang w:eastAsia="es-MX"/>
              </w:rPr>
            </w:pPr>
          </w:p>
        </w:tc>
        <w:tc>
          <w:tcPr>
            <w:tcW w:w="1539" w:type="dxa"/>
            <w:tcBorders>
              <w:top w:val="nil"/>
              <w:left w:val="nil"/>
              <w:bottom w:val="single" w:sz="8" w:space="0" w:color="auto"/>
              <w:right w:val="nil"/>
            </w:tcBorders>
            <w:shd w:val="clear" w:color="auto" w:fill="auto"/>
            <w:vAlign w:val="center"/>
            <w:hideMark/>
          </w:tcPr>
          <w:p w14:paraId="7BFB065F"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34" w:type="dxa"/>
            <w:tcBorders>
              <w:top w:val="nil"/>
              <w:left w:val="nil"/>
              <w:bottom w:val="nil"/>
              <w:right w:val="nil"/>
            </w:tcBorders>
            <w:shd w:val="clear" w:color="auto" w:fill="auto"/>
            <w:vAlign w:val="center"/>
            <w:hideMark/>
          </w:tcPr>
          <w:p w14:paraId="68307115" w14:textId="77777777" w:rsidR="002F63A8" w:rsidRPr="006D57F1" w:rsidRDefault="002F63A8" w:rsidP="00DA363A">
            <w:pPr>
              <w:jc w:val="both"/>
              <w:rPr>
                <w:rFonts w:ascii="Barlow" w:hAnsi="Barlow" w:cs="Calibri"/>
                <w:color w:val="000000"/>
                <w:sz w:val="20"/>
                <w:szCs w:val="20"/>
                <w:lang w:eastAsia="es-MX"/>
              </w:rPr>
            </w:pPr>
          </w:p>
        </w:tc>
        <w:tc>
          <w:tcPr>
            <w:tcW w:w="1701" w:type="dxa"/>
            <w:tcBorders>
              <w:top w:val="nil"/>
              <w:left w:val="nil"/>
              <w:bottom w:val="nil"/>
              <w:right w:val="nil"/>
            </w:tcBorders>
            <w:shd w:val="clear" w:color="auto" w:fill="auto"/>
            <w:noWrap/>
            <w:vAlign w:val="bottom"/>
            <w:hideMark/>
          </w:tcPr>
          <w:p w14:paraId="256F1529" w14:textId="77777777" w:rsidR="002F63A8" w:rsidRPr="006D57F1" w:rsidRDefault="002F63A8" w:rsidP="00DA363A">
            <w:pPr>
              <w:jc w:val="both"/>
              <w:rPr>
                <w:rFonts w:ascii="Barlow" w:hAnsi="Barlow"/>
                <w:sz w:val="20"/>
                <w:szCs w:val="20"/>
                <w:lang w:eastAsia="es-MX"/>
              </w:rPr>
            </w:pPr>
          </w:p>
        </w:tc>
      </w:tr>
      <w:tr w:rsidR="002F63A8" w:rsidRPr="006D57F1" w14:paraId="27FF9655" w14:textId="77777777" w:rsidTr="00DA363A">
        <w:trPr>
          <w:trHeight w:val="540"/>
        </w:trPr>
        <w:tc>
          <w:tcPr>
            <w:tcW w:w="7736"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53A9EA69"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4. Total de Ingresos Contables (4 = 1 + 2 - 3)</w:t>
            </w:r>
          </w:p>
        </w:tc>
        <w:tc>
          <w:tcPr>
            <w:tcW w:w="1498" w:type="dxa"/>
            <w:gridSpan w:val="3"/>
            <w:tcBorders>
              <w:top w:val="nil"/>
              <w:left w:val="nil"/>
              <w:bottom w:val="nil"/>
              <w:right w:val="single" w:sz="8" w:space="0" w:color="auto"/>
            </w:tcBorders>
            <w:shd w:val="clear" w:color="auto" w:fill="auto"/>
            <w:vAlign w:val="center"/>
            <w:hideMark/>
          </w:tcPr>
          <w:p w14:paraId="38929177"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single" w:sz="8" w:space="0" w:color="auto"/>
            </w:tcBorders>
            <w:shd w:val="clear" w:color="000000" w:fill="C0C0C0"/>
            <w:vAlign w:val="center"/>
            <w:hideMark/>
          </w:tcPr>
          <w:p w14:paraId="69E35B78" w14:textId="7E216AC1"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134" w:type="dxa"/>
            <w:tcBorders>
              <w:top w:val="nil"/>
              <w:left w:val="nil"/>
              <w:bottom w:val="nil"/>
              <w:right w:val="nil"/>
            </w:tcBorders>
            <w:shd w:val="clear" w:color="auto" w:fill="auto"/>
            <w:vAlign w:val="center"/>
            <w:hideMark/>
          </w:tcPr>
          <w:p w14:paraId="5238F13F" w14:textId="77777777" w:rsidR="002F63A8" w:rsidRPr="006D57F1" w:rsidRDefault="002F63A8" w:rsidP="00DA363A">
            <w:pPr>
              <w:jc w:val="right"/>
              <w:rPr>
                <w:rFonts w:ascii="Barlow" w:hAnsi="Barlow" w:cs="Calibri"/>
                <w:b/>
                <w:bCs/>
                <w:color w:val="000000"/>
                <w:sz w:val="20"/>
                <w:szCs w:val="20"/>
                <w:lang w:eastAsia="es-MX"/>
              </w:rPr>
            </w:pPr>
          </w:p>
        </w:tc>
        <w:tc>
          <w:tcPr>
            <w:tcW w:w="1701" w:type="dxa"/>
            <w:tcBorders>
              <w:top w:val="nil"/>
              <w:left w:val="nil"/>
              <w:bottom w:val="single" w:sz="8" w:space="0" w:color="auto"/>
              <w:right w:val="single" w:sz="8" w:space="0" w:color="auto"/>
            </w:tcBorders>
            <w:shd w:val="clear" w:color="000000" w:fill="C0C0C0"/>
            <w:vAlign w:val="center"/>
            <w:hideMark/>
          </w:tcPr>
          <w:p w14:paraId="6D8BD1E1" w14:textId="3600AA6B"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30,785.06</w:t>
            </w:r>
          </w:p>
        </w:tc>
      </w:tr>
      <w:tr w:rsidR="002F63A8" w:rsidRPr="006D57F1" w14:paraId="6A5E5C2B" w14:textId="77777777" w:rsidTr="00DA363A">
        <w:trPr>
          <w:trHeight w:val="300"/>
        </w:trPr>
        <w:tc>
          <w:tcPr>
            <w:tcW w:w="7876" w:type="dxa"/>
            <w:gridSpan w:val="2"/>
            <w:tcBorders>
              <w:top w:val="nil"/>
              <w:left w:val="nil"/>
              <w:bottom w:val="nil"/>
              <w:right w:val="nil"/>
            </w:tcBorders>
            <w:shd w:val="clear" w:color="auto" w:fill="auto"/>
            <w:noWrap/>
            <w:vAlign w:val="center"/>
            <w:hideMark/>
          </w:tcPr>
          <w:p w14:paraId="1336FC72" w14:textId="77777777" w:rsidR="002F63A8" w:rsidRPr="006D57F1" w:rsidRDefault="002F63A8" w:rsidP="00DA363A">
            <w:pPr>
              <w:jc w:val="right"/>
              <w:rPr>
                <w:rFonts w:ascii="Barlow" w:hAnsi="Barlow" w:cs="Calibri"/>
                <w:b/>
                <w:bCs/>
                <w:color w:val="000000"/>
                <w:sz w:val="20"/>
                <w:szCs w:val="20"/>
                <w:lang w:eastAsia="es-MX"/>
              </w:rPr>
            </w:pPr>
          </w:p>
        </w:tc>
        <w:tc>
          <w:tcPr>
            <w:tcW w:w="160" w:type="dxa"/>
            <w:tcBorders>
              <w:top w:val="nil"/>
              <w:left w:val="nil"/>
              <w:bottom w:val="nil"/>
              <w:right w:val="nil"/>
            </w:tcBorders>
            <w:shd w:val="clear" w:color="auto" w:fill="auto"/>
            <w:noWrap/>
            <w:hideMark/>
          </w:tcPr>
          <w:p w14:paraId="3F7F526B" w14:textId="77777777" w:rsidR="002F63A8" w:rsidRPr="006D57F1" w:rsidRDefault="002F63A8" w:rsidP="00DA363A">
            <w:pPr>
              <w:rPr>
                <w:rFonts w:ascii="Barlow" w:hAnsi="Barlow"/>
                <w:sz w:val="20"/>
                <w:szCs w:val="20"/>
                <w:lang w:eastAsia="es-MX"/>
              </w:rPr>
            </w:pPr>
          </w:p>
        </w:tc>
        <w:tc>
          <w:tcPr>
            <w:tcW w:w="1198" w:type="dxa"/>
            <w:tcBorders>
              <w:top w:val="nil"/>
              <w:left w:val="nil"/>
              <w:bottom w:val="nil"/>
              <w:right w:val="nil"/>
            </w:tcBorders>
            <w:shd w:val="clear" w:color="auto" w:fill="auto"/>
            <w:noWrap/>
            <w:hideMark/>
          </w:tcPr>
          <w:p w14:paraId="1289A4C5" w14:textId="77777777" w:rsidR="002F63A8" w:rsidRPr="006D57F1" w:rsidRDefault="002F63A8" w:rsidP="00DA363A">
            <w:pPr>
              <w:rPr>
                <w:rFonts w:ascii="Barlow" w:hAnsi="Barlow"/>
                <w:sz w:val="20"/>
                <w:szCs w:val="20"/>
                <w:lang w:eastAsia="es-MX"/>
              </w:rPr>
            </w:pPr>
          </w:p>
        </w:tc>
        <w:tc>
          <w:tcPr>
            <w:tcW w:w="1539" w:type="dxa"/>
            <w:tcBorders>
              <w:top w:val="nil"/>
              <w:left w:val="nil"/>
              <w:bottom w:val="nil"/>
              <w:right w:val="nil"/>
            </w:tcBorders>
            <w:shd w:val="clear" w:color="auto" w:fill="auto"/>
            <w:noWrap/>
            <w:hideMark/>
          </w:tcPr>
          <w:p w14:paraId="4582E17F" w14:textId="77777777" w:rsidR="002F63A8" w:rsidRPr="006D57F1" w:rsidRDefault="002F63A8" w:rsidP="00DA363A">
            <w:pPr>
              <w:rPr>
                <w:rFonts w:ascii="Barlow" w:hAnsi="Barlow"/>
                <w:sz w:val="20"/>
                <w:szCs w:val="20"/>
                <w:lang w:eastAsia="es-MX"/>
              </w:rPr>
            </w:pPr>
          </w:p>
        </w:tc>
        <w:tc>
          <w:tcPr>
            <w:tcW w:w="1134" w:type="dxa"/>
            <w:tcBorders>
              <w:top w:val="nil"/>
              <w:left w:val="nil"/>
              <w:bottom w:val="nil"/>
              <w:right w:val="nil"/>
            </w:tcBorders>
            <w:shd w:val="clear" w:color="auto" w:fill="auto"/>
            <w:noWrap/>
            <w:hideMark/>
          </w:tcPr>
          <w:p w14:paraId="4911AD5D" w14:textId="77777777" w:rsidR="002F63A8" w:rsidRPr="006D57F1" w:rsidRDefault="002F63A8" w:rsidP="00DA363A">
            <w:pPr>
              <w:rPr>
                <w:rFonts w:ascii="Barlow" w:hAnsi="Barlow"/>
                <w:sz w:val="20"/>
                <w:szCs w:val="20"/>
                <w:lang w:eastAsia="es-MX"/>
              </w:rPr>
            </w:pPr>
          </w:p>
        </w:tc>
        <w:tc>
          <w:tcPr>
            <w:tcW w:w="1701" w:type="dxa"/>
            <w:tcBorders>
              <w:top w:val="nil"/>
              <w:left w:val="nil"/>
              <w:bottom w:val="nil"/>
              <w:right w:val="nil"/>
            </w:tcBorders>
            <w:shd w:val="clear" w:color="auto" w:fill="auto"/>
            <w:noWrap/>
            <w:vAlign w:val="bottom"/>
            <w:hideMark/>
          </w:tcPr>
          <w:p w14:paraId="463495A9" w14:textId="77777777" w:rsidR="002F63A8" w:rsidRPr="006D57F1" w:rsidRDefault="002F63A8" w:rsidP="00DA363A">
            <w:pPr>
              <w:rPr>
                <w:rFonts w:ascii="Barlow" w:hAnsi="Barlow"/>
                <w:sz w:val="20"/>
                <w:szCs w:val="20"/>
                <w:lang w:eastAsia="es-MX"/>
              </w:rPr>
            </w:pPr>
          </w:p>
        </w:tc>
      </w:tr>
      <w:tr w:rsidR="002F63A8" w:rsidRPr="006D57F1" w14:paraId="7134C006" w14:textId="77777777" w:rsidTr="00DA363A">
        <w:trPr>
          <w:trHeight w:val="300"/>
        </w:trPr>
        <w:tc>
          <w:tcPr>
            <w:tcW w:w="7876" w:type="dxa"/>
            <w:gridSpan w:val="2"/>
            <w:tcBorders>
              <w:top w:val="nil"/>
              <w:left w:val="nil"/>
              <w:bottom w:val="nil"/>
              <w:right w:val="nil"/>
            </w:tcBorders>
            <w:shd w:val="clear" w:color="auto" w:fill="auto"/>
            <w:noWrap/>
            <w:vAlign w:val="center"/>
            <w:hideMark/>
          </w:tcPr>
          <w:p w14:paraId="4102CD6A" w14:textId="77777777" w:rsidR="002F63A8" w:rsidRPr="006D57F1" w:rsidRDefault="002F63A8" w:rsidP="00DA363A">
            <w:pPr>
              <w:rPr>
                <w:rFonts w:ascii="Barlow" w:hAnsi="Barlow"/>
                <w:sz w:val="20"/>
                <w:szCs w:val="20"/>
                <w:lang w:eastAsia="es-MX"/>
              </w:rPr>
            </w:pPr>
          </w:p>
        </w:tc>
        <w:tc>
          <w:tcPr>
            <w:tcW w:w="160" w:type="dxa"/>
            <w:vMerge w:val="restart"/>
            <w:tcBorders>
              <w:top w:val="nil"/>
              <w:left w:val="nil"/>
              <w:bottom w:val="nil"/>
              <w:right w:val="nil"/>
            </w:tcBorders>
            <w:shd w:val="clear" w:color="auto" w:fill="auto"/>
            <w:noWrap/>
            <w:hideMark/>
          </w:tcPr>
          <w:p w14:paraId="238F35A6" w14:textId="77777777" w:rsidR="002F63A8" w:rsidRPr="006D57F1" w:rsidRDefault="002F63A8" w:rsidP="00DA363A">
            <w:pPr>
              <w:jc w:val="both"/>
              <w:rPr>
                <w:rFonts w:ascii="Barlow" w:hAnsi="Barlow"/>
                <w:sz w:val="20"/>
                <w:szCs w:val="20"/>
                <w:lang w:eastAsia="es-MX"/>
              </w:rPr>
            </w:pPr>
          </w:p>
        </w:tc>
        <w:tc>
          <w:tcPr>
            <w:tcW w:w="1198" w:type="dxa"/>
            <w:vMerge w:val="restart"/>
            <w:tcBorders>
              <w:top w:val="nil"/>
              <w:left w:val="nil"/>
              <w:bottom w:val="nil"/>
              <w:right w:val="nil"/>
            </w:tcBorders>
            <w:shd w:val="clear" w:color="auto" w:fill="auto"/>
            <w:noWrap/>
            <w:hideMark/>
          </w:tcPr>
          <w:p w14:paraId="4809E87D" w14:textId="77777777" w:rsidR="002F63A8" w:rsidRPr="006D57F1" w:rsidRDefault="002F63A8" w:rsidP="00DA363A">
            <w:pPr>
              <w:rPr>
                <w:rFonts w:ascii="Barlow" w:hAnsi="Barlow"/>
                <w:sz w:val="20"/>
                <w:szCs w:val="20"/>
                <w:lang w:eastAsia="es-MX"/>
              </w:rPr>
            </w:pPr>
          </w:p>
        </w:tc>
        <w:tc>
          <w:tcPr>
            <w:tcW w:w="1539" w:type="dxa"/>
            <w:vMerge w:val="restart"/>
            <w:tcBorders>
              <w:top w:val="nil"/>
              <w:left w:val="nil"/>
              <w:bottom w:val="nil"/>
              <w:right w:val="nil"/>
            </w:tcBorders>
            <w:shd w:val="clear" w:color="auto" w:fill="auto"/>
            <w:noWrap/>
            <w:hideMark/>
          </w:tcPr>
          <w:p w14:paraId="3F28CC51" w14:textId="77777777" w:rsidR="002F63A8" w:rsidRPr="006D57F1" w:rsidRDefault="002F63A8" w:rsidP="00DA363A">
            <w:pPr>
              <w:rPr>
                <w:rFonts w:ascii="Barlow" w:hAnsi="Barlow"/>
                <w:sz w:val="20"/>
                <w:szCs w:val="20"/>
                <w:lang w:eastAsia="es-MX"/>
              </w:rPr>
            </w:pPr>
          </w:p>
        </w:tc>
        <w:tc>
          <w:tcPr>
            <w:tcW w:w="1134" w:type="dxa"/>
            <w:tcBorders>
              <w:top w:val="nil"/>
              <w:left w:val="nil"/>
              <w:bottom w:val="nil"/>
              <w:right w:val="nil"/>
            </w:tcBorders>
            <w:shd w:val="clear" w:color="auto" w:fill="auto"/>
            <w:noWrap/>
            <w:hideMark/>
          </w:tcPr>
          <w:p w14:paraId="1B330F27" w14:textId="77777777" w:rsidR="002F63A8" w:rsidRPr="006D57F1" w:rsidRDefault="002F63A8" w:rsidP="00DA363A">
            <w:pPr>
              <w:rPr>
                <w:rFonts w:ascii="Barlow" w:hAnsi="Barlow"/>
                <w:sz w:val="20"/>
                <w:szCs w:val="20"/>
                <w:lang w:eastAsia="es-MX"/>
              </w:rPr>
            </w:pPr>
          </w:p>
        </w:tc>
        <w:tc>
          <w:tcPr>
            <w:tcW w:w="1701" w:type="dxa"/>
            <w:tcBorders>
              <w:top w:val="nil"/>
              <w:left w:val="nil"/>
              <w:bottom w:val="nil"/>
              <w:right w:val="nil"/>
            </w:tcBorders>
            <w:shd w:val="clear" w:color="auto" w:fill="auto"/>
            <w:noWrap/>
            <w:vAlign w:val="bottom"/>
            <w:hideMark/>
          </w:tcPr>
          <w:p w14:paraId="10D908D6" w14:textId="77777777" w:rsidR="002F63A8" w:rsidRPr="006D57F1" w:rsidRDefault="002F63A8" w:rsidP="00DA363A">
            <w:pPr>
              <w:rPr>
                <w:rFonts w:ascii="Barlow" w:hAnsi="Barlow"/>
                <w:sz w:val="20"/>
                <w:szCs w:val="20"/>
                <w:lang w:eastAsia="es-MX"/>
              </w:rPr>
            </w:pPr>
          </w:p>
        </w:tc>
      </w:tr>
      <w:tr w:rsidR="002F63A8" w:rsidRPr="006D57F1" w14:paraId="597B799B" w14:textId="77777777" w:rsidTr="00DA363A">
        <w:trPr>
          <w:trHeight w:val="300"/>
        </w:trPr>
        <w:tc>
          <w:tcPr>
            <w:tcW w:w="7876" w:type="dxa"/>
            <w:gridSpan w:val="2"/>
            <w:tcBorders>
              <w:top w:val="nil"/>
              <w:left w:val="nil"/>
              <w:bottom w:val="nil"/>
              <w:right w:val="nil"/>
            </w:tcBorders>
            <w:shd w:val="clear" w:color="auto" w:fill="auto"/>
            <w:noWrap/>
            <w:vAlign w:val="center"/>
            <w:hideMark/>
          </w:tcPr>
          <w:p w14:paraId="5C451AA3" w14:textId="77777777" w:rsidR="002F63A8" w:rsidRDefault="002F63A8" w:rsidP="00DA363A">
            <w:pPr>
              <w:rPr>
                <w:rFonts w:ascii="Barlow" w:hAnsi="Barlow"/>
                <w:sz w:val="20"/>
                <w:szCs w:val="20"/>
                <w:lang w:eastAsia="es-MX"/>
              </w:rPr>
            </w:pPr>
          </w:p>
          <w:p w14:paraId="5E93E8DE" w14:textId="77777777" w:rsidR="006D57F1" w:rsidRDefault="006D57F1" w:rsidP="00DA363A">
            <w:pPr>
              <w:rPr>
                <w:rFonts w:ascii="Barlow" w:hAnsi="Barlow"/>
                <w:sz w:val="20"/>
                <w:szCs w:val="20"/>
                <w:lang w:eastAsia="es-MX"/>
              </w:rPr>
            </w:pPr>
          </w:p>
          <w:p w14:paraId="5F983CC3" w14:textId="77777777" w:rsidR="006D57F1" w:rsidRDefault="006D57F1" w:rsidP="00DA363A">
            <w:pPr>
              <w:rPr>
                <w:rFonts w:ascii="Barlow" w:hAnsi="Barlow"/>
                <w:sz w:val="20"/>
                <w:szCs w:val="20"/>
                <w:lang w:eastAsia="es-MX"/>
              </w:rPr>
            </w:pPr>
          </w:p>
          <w:p w14:paraId="7127B146" w14:textId="77777777" w:rsidR="006D57F1" w:rsidRDefault="006D57F1" w:rsidP="00DA363A">
            <w:pPr>
              <w:rPr>
                <w:rFonts w:ascii="Barlow" w:hAnsi="Barlow"/>
                <w:sz w:val="20"/>
                <w:szCs w:val="20"/>
                <w:lang w:eastAsia="es-MX"/>
              </w:rPr>
            </w:pPr>
          </w:p>
          <w:p w14:paraId="22748D39" w14:textId="77777777" w:rsidR="006D57F1" w:rsidRDefault="006D57F1" w:rsidP="00DA363A">
            <w:pPr>
              <w:rPr>
                <w:rFonts w:ascii="Barlow" w:hAnsi="Barlow"/>
                <w:sz w:val="20"/>
                <w:szCs w:val="20"/>
                <w:lang w:eastAsia="es-MX"/>
              </w:rPr>
            </w:pPr>
          </w:p>
          <w:p w14:paraId="69470D74" w14:textId="77777777" w:rsidR="006D57F1" w:rsidRDefault="006D57F1" w:rsidP="00DA363A">
            <w:pPr>
              <w:rPr>
                <w:rFonts w:ascii="Barlow" w:hAnsi="Barlow"/>
                <w:sz w:val="20"/>
                <w:szCs w:val="20"/>
                <w:lang w:eastAsia="es-MX"/>
              </w:rPr>
            </w:pPr>
          </w:p>
          <w:p w14:paraId="474899B1" w14:textId="77777777" w:rsidR="006D57F1" w:rsidRDefault="006D57F1" w:rsidP="00DA363A">
            <w:pPr>
              <w:rPr>
                <w:rFonts w:ascii="Barlow" w:hAnsi="Barlow"/>
                <w:sz w:val="20"/>
                <w:szCs w:val="20"/>
                <w:lang w:eastAsia="es-MX"/>
              </w:rPr>
            </w:pPr>
          </w:p>
          <w:p w14:paraId="0B809621" w14:textId="77777777" w:rsidR="006D57F1" w:rsidRDefault="006D57F1" w:rsidP="00DA363A">
            <w:pPr>
              <w:rPr>
                <w:rFonts w:ascii="Barlow" w:hAnsi="Barlow"/>
                <w:sz w:val="20"/>
                <w:szCs w:val="20"/>
                <w:lang w:eastAsia="es-MX"/>
              </w:rPr>
            </w:pPr>
          </w:p>
          <w:p w14:paraId="700F9A05" w14:textId="77777777" w:rsidR="006D57F1" w:rsidRDefault="006D57F1" w:rsidP="00DA363A">
            <w:pPr>
              <w:rPr>
                <w:rFonts w:ascii="Barlow" w:hAnsi="Barlow"/>
                <w:sz w:val="20"/>
                <w:szCs w:val="20"/>
                <w:lang w:eastAsia="es-MX"/>
              </w:rPr>
            </w:pPr>
          </w:p>
          <w:p w14:paraId="5F254B15" w14:textId="77777777" w:rsidR="006D57F1" w:rsidRDefault="006D57F1" w:rsidP="00DA363A">
            <w:pPr>
              <w:rPr>
                <w:rFonts w:ascii="Barlow" w:hAnsi="Barlow"/>
                <w:sz w:val="20"/>
                <w:szCs w:val="20"/>
                <w:lang w:eastAsia="es-MX"/>
              </w:rPr>
            </w:pPr>
          </w:p>
          <w:p w14:paraId="0FB78E8F" w14:textId="2194A908" w:rsidR="006D57F1" w:rsidRPr="006D57F1" w:rsidRDefault="006D57F1" w:rsidP="00DA363A">
            <w:pPr>
              <w:rPr>
                <w:rFonts w:ascii="Barlow" w:hAnsi="Barlow"/>
                <w:sz w:val="20"/>
                <w:szCs w:val="20"/>
                <w:lang w:eastAsia="es-MX"/>
              </w:rPr>
            </w:pPr>
          </w:p>
        </w:tc>
        <w:tc>
          <w:tcPr>
            <w:tcW w:w="160" w:type="dxa"/>
            <w:vMerge/>
            <w:tcBorders>
              <w:top w:val="nil"/>
              <w:left w:val="nil"/>
              <w:bottom w:val="nil"/>
              <w:right w:val="nil"/>
            </w:tcBorders>
            <w:vAlign w:val="center"/>
            <w:hideMark/>
          </w:tcPr>
          <w:p w14:paraId="0FE4B87A" w14:textId="77777777" w:rsidR="002F63A8" w:rsidRPr="006D57F1" w:rsidRDefault="002F63A8" w:rsidP="00DA363A">
            <w:pPr>
              <w:rPr>
                <w:rFonts w:ascii="Barlow" w:hAnsi="Barlow"/>
                <w:sz w:val="20"/>
                <w:szCs w:val="20"/>
                <w:lang w:eastAsia="es-MX"/>
              </w:rPr>
            </w:pPr>
          </w:p>
        </w:tc>
        <w:tc>
          <w:tcPr>
            <w:tcW w:w="1198" w:type="dxa"/>
            <w:vMerge/>
            <w:tcBorders>
              <w:top w:val="nil"/>
              <w:left w:val="nil"/>
              <w:bottom w:val="nil"/>
              <w:right w:val="nil"/>
            </w:tcBorders>
            <w:vAlign w:val="center"/>
            <w:hideMark/>
          </w:tcPr>
          <w:p w14:paraId="5485E075" w14:textId="77777777" w:rsidR="002F63A8" w:rsidRPr="006D57F1" w:rsidRDefault="002F63A8" w:rsidP="00DA363A">
            <w:pPr>
              <w:rPr>
                <w:rFonts w:ascii="Barlow" w:hAnsi="Barlow"/>
                <w:sz w:val="20"/>
                <w:szCs w:val="20"/>
                <w:lang w:eastAsia="es-MX"/>
              </w:rPr>
            </w:pPr>
          </w:p>
        </w:tc>
        <w:tc>
          <w:tcPr>
            <w:tcW w:w="1539" w:type="dxa"/>
            <w:vMerge/>
            <w:tcBorders>
              <w:top w:val="nil"/>
              <w:left w:val="nil"/>
              <w:bottom w:val="nil"/>
              <w:right w:val="nil"/>
            </w:tcBorders>
            <w:vAlign w:val="center"/>
            <w:hideMark/>
          </w:tcPr>
          <w:p w14:paraId="2F00D4ED" w14:textId="77777777" w:rsidR="002F63A8" w:rsidRPr="006D57F1" w:rsidRDefault="002F63A8" w:rsidP="00DA363A">
            <w:pPr>
              <w:rPr>
                <w:rFonts w:ascii="Barlow" w:hAnsi="Barlow"/>
                <w:sz w:val="20"/>
                <w:szCs w:val="20"/>
                <w:lang w:eastAsia="es-MX"/>
              </w:rPr>
            </w:pPr>
          </w:p>
        </w:tc>
        <w:tc>
          <w:tcPr>
            <w:tcW w:w="1134" w:type="dxa"/>
            <w:tcBorders>
              <w:top w:val="nil"/>
              <w:left w:val="nil"/>
              <w:bottom w:val="nil"/>
              <w:right w:val="nil"/>
            </w:tcBorders>
            <w:shd w:val="clear" w:color="auto" w:fill="auto"/>
            <w:noWrap/>
            <w:hideMark/>
          </w:tcPr>
          <w:p w14:paraId="4DF55B91" w14:textId="77777777" w:rsidR="002F63A8" w:rsidRPr="006D57F1" w:rsidRDefault="002F63A8" w:rsidP="00DA363A">
            <w:pPr>
              <w:jc w:val="both"/>
              <w:rPr>
                <w:rFonts w:ascii="Barlow" w:hAnsi="Barlow"/>
                <w:sz w:val="20"/>
                <w:szCs w:val="20"/>
                <w:lang w:eastAsia="es-MX"/>
              </w:rPr>
            </w:pPr>
          </w:p>
        </w:tc>
        <w:tc>
          <w:tcPr>
            <w:tcW w:w="1701" w:type="dxa"/>
            <w:tcBorders>
              <w:top w:val="nil"/>
              <w:left w:val="nil"/>
              <w:bottom w:val="nil"/>
              <w:right w:val="nil"/>
            </w:tcBorders>
            <w:shd w:val="clear" w:color="auto" w:fill="auto"/>
            <w:noWrap/>
            <w:vAlign w:val="bottom"/>
            <w:hideMark/>
          </w:tcPr>
          <w:p w14:paraId="58C6B0DA" w14:textId="77777777" w:rsidR="002F63A8" w:rsidRPr="006D57F1" w:rsidRDefault="002F63A8" w:rsidP="00DA363A">
            <w:pPr>
              <w:rPr>
                <w:rFonts w:ascii="Barlow" w:hAnsi="Barlow"/>
                <w:sz w:val="20"/>
                <w:szCs w:val="20"/>
                <w:lang w:eastAsia="es-MX"/>
              </w:rPr>
            </w:pPr>
          </w:p>
        </w:tc>
      </w:tr>
      <w:tr w:rsidR="002F63A8" w:rsidRPr="006D57F1" w14:paraId="6E1D6D9F" w14:textId="77777777" w:rsidTr="00DA363A">
        <w:trPr>
          <w:trHeight w:val="1080"/>
        </w:trPr>
        <w:tc>
          <w:tcPr>
            <w:tcW w:w="7876" w:type="dxa"/>
            <w:gridSpan w:val="2"/>
            <w:tcBorders>
              <w:top w:val="nil"/>
              <w:left w:val="nil"/>
              <w:bottom w:val="nil"/>
              <w:right w:val="nil"/>
            </w:tcBorders>
            <w:shd w:val="clear" w:color="auto" w:fill="auto"/>
            <w:noWrap/>
            <w:vAlign w:val="center"/>
            <w:hideMark/>
          </w:tcPr>
          <w:p w14:paraId="70F5040D" w14:textId="196D2AA3" w:rsidR="002F63A8" w:rsidRPr="006D57F1" w:rsidRDefault="002F63A8" w:rsidP="00BA57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lastRenderedPageBreak/>
              <w:t>B. Conciliación de Egresos presupuestarios y gastos contables del 1</w:t>
            </w:r>
            <w:r w:rsidR="006038CC" w:rsidRPr="006D57F1">
              <w:rPr>
                <w:rFonts w:ascii="Barlow" w:hAnsi="Barlow" w:cs="Calibri"/>
                <w:color w:val="000000"/>
                <w:sz w:val="20"/>
                <w:szCs w:val="20"/>
                <w:lang w:eastAsia="es-MX"/>
              </w:rPr>
              <w:t xml:space="preserve"> de Enero</w:t>
            </w:r>
            <w:r w:rsidRPr="006D57F1">
              <w:rPr>
                <w:rFonts w:ascii="Barlow" w:hAnsi="Barlow" w:cs="Calibri"/>
                <w:color w:val="000000"/>
                <w:sz w:val="20"/>
                <w:szCs w:val="20"/>
                <w:lang w:eastAsia="es-MX"/>
              </w:rPr>
              <w:t xml:space="preserve"> </w:t>
            </w:r>
            <w:r w:rsidR="008C74C7" w:rsidRPr="006D57F1">
              <w:rPr>
                <w:rFonts w:ascii="Barlow" w:hAnsi="Barlow" w:cs="Calibri"/>
                <w:color w:val="000000"/>
                <w:sz w:val="20"/>
                <w:szCs w:val="20"/>
                <w:lang w:eastAsia="es-MX"/>
              </w:rPr>
              <w:t xml:space="preserve">al </w:t>
            </w:r>
            <w:r w:rsidR="00412E0B" w:rsidRPr="006D57F1">
              <w:rPr>
                <w:rFonts w:ascii="Barlow" w:hAnsi="Barlow" w:cs="Calibri"/>
                <w:color w:val="000000"/>
                <w:sz w:val="20"/>
                <w:szCs w:val="20"/>
                <w:lang w:eastAsia="es-MX"/>
              </w:rPr>
              <w:t>2</w:t>
            </w:r>
            <w:r w:rsidR="00B5499E" w:rsidRPr="006D57F1">
              <w:rPr>
                <w:rFonts w:ascii="Barlow" w:hAnsi="Barlow" w:cs="Calibri"/>
                <w:color w:val="000000"/>
                <w:sz w:val="20"/>
                <w:szCs w:val="20"/>
                <w:lang w:eastAsia="es-MX"/>
              </w:rPr>
              <w:t>7</w:t>
            </w:r>
            <w:r w:rsidR="008C74C7" w:rsidRPr="006D57F1">
              <w:rPr>
                <w:rFonts w:ascii="Barlow" w:hAnsi="Barlow" w:cs="Calibri"/>
                <w:color w:val="000000"/>
                <w:sz w:val="20"/>
                <w:szCs w:val="20"/>
                <w:lang w:eastAsia="es-MX"/>
              </w:rPr>
              <w:t xml:space="preserve"> </w:t>
            </w:r>
            <w:r w:rsidRPr="006D57F1">
              <w:rPr>
                <w:rFonts w:ascii="Barlow" w:hAnsi="Barlow" w:cs="Calibri"/>
                <w:color w:val="000000"/>
                <w:sz w:val="20"/>
                <w:szCs w:val="20"/>
                <w:lang w:eastAsia="es-MX"/>
              </w:rPr>
              <w:t xml:space="preserve">de </w:t>
            </w:r>
            <w:r w:rsidR="00412E0B" w:rsidRPr="006D57F1">
              <w:rPr>
                <w:rFonts w:ascii="Barlow" w:hAnsi="Barlow" w:cs="Calibri"/>
                <w:color w:val="000000"/>
                <w:sz w:val="20"/>
                <w:szCs w:val="20"/>
                <w:lang w:eastAsia="es-MX"/>
              </w:rPr>
              <w:t xml:space="preserve">Enero </w:t>
            </w:r>
            <w:r w:rsidRPr="006D57F1">
              <w:rPr>
                <w:rFonts w:ascii="Barlow" w:hAnsi="Barlow" w:cs="Calibri"/>
                <w:color w:val="000000"/>
                <w:sz w:val="20"/>
                <w:szCs w:val="20"/>
                <w:lang w:eastAsia="es-MX"/>
              </w:rPr>
              <w:t xml:space="preserve"> de</w:t>
            </w:r>
            <w:r w:rsidR="008C74C7" w:rsidRPr="006D57F1">
              <w:rPr>
                <w:rFonts w:ascii="Barlow" w:hAnsi="Barlow" w:cs="Calibri"/>
                <w:color w:val="000000"/>
                <w:sz w:val="20"/>
                <w:szCs w:val="20"/>
                <w:lang w:eastAsia="es-MX"/>
              </w:rPr>
              <w:t>l</w:t>
            </w:r>
            <w:r w:rsidRPr="006D57F1">
              <w:rPr>
                <w:rFonts w:ascii="Barlow" w:hAnsi="Barlow" w:cs="Calibri"/>
                <w:color w:val="000000"/>
                <w:sz w:val="20"/>
                <w:szCs w:val="20"/>
                <w:lang w:eastAsia="es-MX"/>
              </w:rPr>
              <w:t xml:space="preserve"> </w:t>
            </w:r>
            <w:r w:rsidR="008C74C7" w:rsidRPr="006D57F1">
              <w:rPr>
                <w:rFonts w:ascii="Barlow" w:hAnsi="Barlow" w:cs="Calibri"/>
                <w:color w:val="000000"/>
                <w:sz w:val="20"/>
                <w:szCs w:val="20"/>
                <w:lang w:eastAsia="es-MX"/>
              </w:rPr>
              <w:t xml:space="preserve"> </w:t>
            </w:r>
            <w:r w:rsidRPr="006D57F1">
              <w:rPr>
                <w:rFonts w:ascii="Barlow" w:hAnsi="Barlow" w:cs="Calibri"/>
                <w:color w:val="000000"/>
                <w:sz w:val="20"/>
                <w:szCs w:val="20"/>
                <w:lang w:eastAsia="es-MX"/>
              </w:rPr>
              <w:t>20</w:t>
            </w:r>
            <w:r w:rsidR="005B439A" w:rsidRPr="006D57F1">
              <w:rPr>
                <w:rFonts w:ascii="Barlow" w:hAnsi="Barlow" w:cs="Calibri"/>
                <w:color w:val="000000"/>
                <w:sz w:val="20"/>
                <w:szCs w:val="20"/>
                <w:lang w:eastAsia="es-MX"/>
              </w:rPr>
              <w:t>2</w:t>
            </w:r>
            <w:r w:rsidR="00412E0B" w:rsidRPr="006D57F1">
              <w:rPr>
                <w:rFonts w:ascii="Barlow" w:hAnsi="Barlow" w:cs="Calibri"/>
                <w:color w:val="000000"/>
                <w:sz w:val="20"/>
                <w:szCs w:val="20"/>
                <w:lang w:eastAsia="es-MX"/>
              </w:rPr>
              <w:t>2</w:t>
            </w:r>
            <w:r w:rsidRPr="006D57F1">
              <w:rPr>
                <w:rFonts w:ascii="Barlow" w:hAnsi="Barlow" w:cs="Calibri"/>
                <w:color w:val="000000"/>
                <w:sz w:val="20"/>
                <w:szCs w:val="20"/>
                <w:lang w:eastAsia="es-MX"/>
              </w:rPr>
              <w:t xml:space="preserve"> Y 20</w:t>
            </w:r>
            <w:r w:rsidR="008C74C7" w:rsidRPr="006D57F1">
              <w:rPr>
                <w:rFonts w:ascii="Barlow" w:hAnsi="Barlow" w:cs="Calibri"/>
                <w:color w:val="000000"/>
                <w:sz w:val="20"/>
                <w:szCs w:val="20"/>
                <w:lang w:eastAsia="es-MX"/>
              </w:rPr>
              <w:t>2</w:t>
            </w:r>
            <w:r w:rsidR="00412E0B" w:rsidRPr="006D57F1">
              <w:rPr>
                <w:rFonts w:ascii="Barlow" w:hAnsi="Barlow" w:cs="Calibri"/>
                <w:color w:val="000000"/>
                <w:sz w:val="20"/>
                <w:szCs w:val="20"/>
                <w:lang w:eastAsia="es-MX"/>
              </w:rPr>
              <w:t>1</w:t>
            </w:r>
          </w:p>
        </w:tc>
        <w:tc>
          <w:tcPr>
            <w:tcW w:w="160" w:type="dxa"/>
            <w:vMerge/>
            <w:tcBorders>
              <w:top w:val="nil"/>
              <w:left w:val="nil"/>
              <w:bottom w:val="nil"/>
              <w:right w:val="nil"/>
            </w:tcBorders>
            <w:vAlign w:val="center"/>
            <w:hideMark/>
          </w:tcPr>
          <w:p w14:paraId="02A95146" w14:textId="77777777" w:rsidR="002F63A8" w:rsidRPr="006D57F1" w:rsidRDefault="002F63A8" w:rsidP="00DA363A">
            <w:pPr>
              <w:rPr>
                <w:rFonts w:ascii="Barlow" w:hAnsi="Barlow"/>
                <w:sz w:val="20"/>
                <w:szCs w:val="20"/>
                <w:lang w:eastAsia="es-MX"/>
              </w:rPr>
            </w:pPr>
          </w:p>
        </w:tc>
        <w:tc>
          <w:tcPr>
            <w:tcW w:w="1198" w:type="dxa"/>
            <w:vMerge/>
            <w:tcBorders>
              <w:top w:val="nil"/>
              <w:left w:val="nil"/>
              <w:bottom w:val="nil"/>
              <w:right w:val="nil"/>
            </w:tcBorders>
            <w:vAlign w:val="center"/>
            <w:hideMark/>
          </w:tcPr>
          <w:p w14:paraId="349FA94C" w14:textId="77777777" w:rsidR="002F63A8" w:rsidRPr="006D57F1" w:rsidRDefault="002F63A8" w:rsidP="00DA363A">
            <w:pPr>
              <w:rPr>
                <w:rFonts w:ascii="Barlow" w:hAnsi="Barlow"/>
                <w:sz w:val="20"/>
                <w:szCs w:val="20"/>
                <w:lang w:eastAsia="es-MX"/>
              </w:rPr>
            </w:pPr>
          </w:p>
        </w:tc>
        <w:tc>
          <w:tcPr>
            <w:tcW w:w="1539" w:type="dxa"/>
            <w:vMerge/>
            <w:tcBorders>
              <w:top w:val="nil"/>
              <w:left w:val="nil"/>
              <w:bottom w:val="nil"/>
              <w:right w:val="nil"/>
            </w:tcBorders>
            <w:vAlign w:val="center"/>
            <w:hideMark/>
          </w:tcPr>
          <w:p w14:paraId="6C2E8B4C" w14:textId="77777777" w:rsidR="002F63A8" w:rsidRPr="006D57F1" w:rsidRDefault="002F63A8" w:rsidP="00DA363A">
            <w:pPr>
              <w:rPr>
                <w:rFonts w:ascii="Barlow" w:hAnsi="Barlow"/>
                <w:sz w:val="20"/>
                <w:szCs w:val="20"/>
                <w:lang w:eastAsia="es-MX"/>
              </w:rPr>
            </w:pPr>
          </w:p>
        </w:tc>
        <w:tc>
          <w:tcPr>
            <w:tcW w:w="1134" w:type="dxa"/>
            <w:tcBorders>
              <w:top w:val="nil"/>
              <w:left w:val="nil"/>
              <w:bottom w:val="nil"/>
              <w:right w:val="nil"/>
            </w:tcBorders>
            <w:shd w:val="clear" w:color="auto" w:fill="auto"/>
            <w:noWrap/>
            <w:hideMark/>
          </w:tcPr>
          <w:p w14:paraId="50A2C66A" w14:textId="77777777" w:rsidR="002F63A8" w:rsidRPr="006D57F1" w:rsidRDefault="002F63A8" w:rsidP="00DA363A">
            <w:pPr>
              <w:jc w:val="both"/>
              <w:rPr>
                <w:rFonts w:ascii="Barlow" w:hAnsi="Barlow" w:cs="Calibri"/>
                <w:color w:val="000000"/>
                <w:sz w:val="20"/>
                <w:szCs w:val="20"/>
                <w:lang w:eastAsia="es-MX"/>
              </w:rPr>
            </w:pPr>
          </w:p>
        </w:tc>
        <w:tc>
          <w:tcPr>
            <w:tcW w:w="1701" w:type="dxa"/>
            <w:tcBorders>
              <w:top w:val="nil"/>
              <w:left w:val="nil"/>
              <w:bottom w:val="nil"/>
              <w:right w:val="nil"/>
            </w:tcBorders>
            <w:shd w:val="clear" w:color="auto" w:fill="auto"/>
            <w:noWrap/>
            <w:vAlign w:val="bottom"/>
            <w:hideMark/>
          </w:tcPr>
          <w:p w14:paraId="0FA2A841" w14:textId="77777777" w:rsidR="002F63A8" w:rsidRPr="006D57F1" w:rsidRDefault="002F63A8" w:rsidP="00DA363A">
            <w:pPr>
              <w:rPr>
                <w:rFonts w:ascii="Barlow" w:hAnsi="Barlow"/>
                <w:sz w:val="20"/>
                <w:szCs w:val="20"/>
                <w:lang w:eastAsia="es-MX"/>
              </w:rPr>
            </w:pPr>
          </w:p>
        </w:tc>
      </w:tr>
      <w:tr w:rsidR="002F63A8" w:rsidRPr="006D57F1" w14:paraId="1974B06E" w14:textId="77777777" w:rsidTr="00DA363A">
        <w:trPr>
          <w:trHeight w:val="315"/>
        </w:trPr>
        <w:tc>
          <w:tcPr>
            <w:tcW w:w="7876" w:type="dxa"/>
            <w:gridSpan w:val="2"/>
            <w:tcBorders>
              <w:top w:val="nil"/>
              <w:left w:val="nil"/>
              <w:bottom w:val="nil"/>
              <w:right w:val="nil"/>
            </w:tcBorders>
            <w:shd w:val="clear" w:color="auto" w:fill="auto"/>
            <w:noWrap/>
            <w:vAlign w:val="center"/>
            <w:hideMark/>
          </w:tcPr>
          <w:p w14:paraId="7A036CD0" w14:textId="77777777" w:rsidR="002F63A8" w:rsidRPr="006D57F1" w:rsidRDefault="002F63A8" w:rsidP="00DA363A">
            <w:pPr>
              <w:rPr>
                <w:rFonts w:ascii="Barlow" w:hAnsi="Barlow"/>
                <w:sz w:val="20"/>
                <w:szCs w:val="20"/>
                <w:lang w:eastAsia="es-MX"/>
              </w:rPr>
            </w:pPr>
          </w:p>
        </w:tc>
        <w:tc>
          <w:tcPr>
            <w:tcW w:w="160" w:type="dxa"/>
            <w:tcBorders>
              <w:top w:val="nil"/>
              <w:left w:val="nil"/>
              <w:bottom w:val="nil"/>
              <w:right w:val="nil"/>
            </w:tcBorders>
            <w:shd w:val="clear" w:color="auto" w:fill="auto"/>
            <w:noWrap/>
            <w:hideMark/>
          </w:tcPr>
          <w:p w14:paraId="707251BC" w14:textId="77777777" w:rsidR="002F63A8" w:rsidRPr="006D57F1" w:rsidRDefault="002F63A8" w:rsidP="00DA363A">
            <w:pPr>
              <w:rPr>
                <w:rFonts w:ascii="Barlow" w:hAnsi="Barlow"/>
                <w:sz w:val="20"/>
                <w:szCs w:val="20"/>
                <w:lang w:eastAsia="es-MX"/>
              </w:rPr>
            </w:pPr>
          </w:p>
        </w:tc>
        <w:tc>
          <w:tcPr>
            <w:tcW w:w="1198" w:type="dxa"/>
            <w:tcBorders>
              <w:top w:val="nil"/>
              <w:left w:val="nil"/>
              <w:bottom w:val="nil"/>
              <w:right w:val="nil"/>
            </w:tcBorders>
            <w:shd w:val="clear" w:color="auto" w:fill="auto"/>
            <w:noWrap/>
            <w:hideMark/>
          </w:tcPr>
          <w:p w14:paraId="6CB681F8" w14:textId="77777777" w:rsidR="002F63A8" w:rsidRPr="006D57F1" w:rsidRDefault="002F63A8" w:rsidP="00DA363A">
            <w:pPr>
              <w:rPr>
                <w:rFonts w:ascii="Barlow" w:hAnsi="Barlow"/>
                <w:sz w:val="20"/>
                <w:szCs w:val="20"/>
                <w:lang w:eastAsia="es-MX"/>
              </w:rPr>
            </w:pPr>
          </w:p>
        </w:tc>
        <w:tc>
          <w:tcPr>
            <w:tcW w:w="1539" w:type="dxa"/>
            <w:tcBorders>
              <w:top w:val="nil"/>
              <w:left w:val="nil"/>
              <w:bottom w:val="nil"/>
              <w:right w:val="nil"/>
            </w:tcBorders>
            <w:shd w:val="clear" w:color="auto" w:fill="auto"/>
            <w:noWrap/>
            <w:hideMark/>
          </w:tcPr>
          <w:p w14:paraId="30A4FDDB" w14:textId="5FBCEABB" w:rsidR="002F63A8" w:rsidRPr="006D57F1" w:rsidRDefault="002F63A8" w:rsidP="00DA363A">
            <w:pPr>
              <w:jc w:val="center"/>
              <w:rPr>
                <w:rFonts w:ascii="Barlow" w:hAnsi="Barlow"/>
                <w:sz w:val="20"/>
                <w:szCs w:val="20"/>
                <w:lang w:eastAsia="es-MX"/>
              </w:rPr>
            </w:pPr>
            <w:r w:rsidRPr="006D57F1">
              <w:rPr>
                <w:rFonts w:ascii="Barlow" w:hAnsi="Barlow" w:cs="Calibri"/>
                <w:b/>
                <w:bCs/>
                <w:color w:val="000000"/>
                <w:sz w:val="20"/>
                <w:szCs w:val="20"/>
                <w:lang w:eastAsia="es-MX"/>
              </w:rPr>
              <w:t>ACUMULADO</w:t>
            </w:r>
            <w:r w:rsidR="00FC5CFD" w:rsidRPr="006D57F1">
              <w:rPr>
                <w:rFonts w:ascii="Barlow" w:hAnsi="Barlow" w:cs="Calibri"/>
                <w:b/>
                <w:bCs/>
                <w:color w:val="000000"/>
                <w:sz w:val="20"/>
                <w:szCs w:val="20"/>
                <w:lang w:eastAsia="es-MX"/>
              </w:rPr>
              <w:t xml:space="preserve"> </w:t>
            </w:r>
            <w:r w:rsidR="00F3706B" w:rsidRPr="006D57F1">
              <w:rPr>
                <w:rFonts w:ascii="Barlow" w:hAnsi="Barlow" w:cs="Calibri"/>
                <w:b/>
                <w:bCs/>
                <w:color w:val="000000"/>
                <w:sz w:val="20"/>
                <w:szCs w:val="20"/>
                <w:lang w:eastAsia="es-MX"/>
              </w:rPr>
              <w:t>DE</w:t>
            </w:r>
            <w:r w:rsidR="008C74C7" w:rsidRPr="006D57F1">
              <w:rPr>
                <w:rFonts w:ascii="Barlow" w:hAnsi="Barlow" w:cs="Calibri"/>
                <w:b/>
                <w:bCs/>
                <w:color w:val="000000"/>
                <w:sz w:val="20"/>
                <w:szCs w:val="20"/>
                <w:lang w:eastAsia="es-MX"/>
              </w:rPr>
              <w:t xml:space="preserve"> </w:t>
            </w:r>
            <w:r w:rsidR="00412E0B" w:rsidRPr="006D57F1">
              <w:rPr>
                <w:rFonts w:ascii="Barlow" w:hAnsi="Barlow" w:cs="Calibri"/>
                <w:b/>
                <w:bCs/>
                <w:color w:val="000000"/>
                <w:sz w:val="20"/>
                <w:szCs w:val="20"/>
                <w:lang w:eastAsia="es-MX"/>
              </w:rPr>
              <w:t>2</w:t>
            </w:r>
            <w:r w:rsidR="00B5499E" w:rsidRPr="006D57F1">
              <w:rPr>
                <w:rFonts w:ascii="Barlow" w:hAnsi="Barlow" w:cs="Calibri"/>
                <w:b/>
                <w:bCs/>
                <w:color w:val="000000"/>
                <w:sz w:val="20"/>
                <w:szCs w:val="20"/>
                <w:lang w:eastAsia="es-MX"/>
              </w:rPr>
              <w:t>7</w:t>
            </w:r>
            <w:r w:rsidR="00412E0B" w:rsidRPr="006D57F1">
              <w:rPr>
                <w:rFonts w:ascii="Barlow" w:hAnsi="Barlow" w:cs="Calibri"/>
                <w:b/>
                <w:bCs/>
                <w:color w:val="000000"/>
                <w:sz w:val="20"/>
                <w:szCs w:val="20"/>
                <w:lang w:eastAsia="es-MX"/>
              </w:rPr>
              <w:t xml:space="preserve"> ENERO</w:t>
            </w:r>
            <w:r w:rsidR="0090276E" w:rsidRPr="006D57F1">
              <w:rPr>
                <w:rFonts w:ascii="Barlow" w:hAnsi="Barlow" w:cs="Calibri"/>
                <w:b/>
                <w:bCs/>
                <w:color w:val="000000"/>
                <w:sz w:val="20"/>
                <w:szCs w:val="20"/>
                <w:lang w:eastAsia="es-MX"/>
              </w:rPr>
              <w:t xml:space="preserve"> </w:t>
            </w:r>
            <w:r w:rsidRPr="006D57F1">
              <w:rPr>
                <w:rFonts w:ascii="Barlow" w:hAnsi="Barlow" w:cs="Calibri"/>
                <w:b/>
                <w:bCs/>
                <w:color w:val="000000"/>
                <w:sz w:val="20"/>
                <w:szCs w:val="20"/>
                <w:lang w:eastAsia="es-MX"/>
              </w:rPr>
              <w:t>20</w:t>
            </w:r>
            <w:r w:rsidR="00E732D9" w:rsidRPr="006D57F1">
              <w:rPr>
                <w:rFonts w:ascii="Barlow" w:hAnsi="Barlow" w:cs="Calibri"/>
                <w:b/>
                <w:bCs/>
                <w:color w:val="000000"/>
                <w:sz w:val="20"/>
                <w:szCs w:val="20"/>
                <w:lang w:eastAsia="es-MX"/>
              </w:rPr>
              <w:t>2</w:t>
            </w:r>
            <w:r w:rsidR="00412E0B" w:rsidRPr="006D57F1">
              <w:rPr>
                <w:rFonts w:ascii="Barlow" w:hAnsi="Barlow" w:cs="Calibri"/>
                <w:b/>
                <w:bCs/>
                <w:color w:val="000000"/>
                <w:sz w:val="20"/>
                <w:szCs w:val="20"/>
                <w:lang w:eastAsia="es-MX"/>
              </w:rPr>
              <w:t>2</w:t>
            </w:r>
          </w:p>
        </w:tc>
        <w:tc>
          <w:tcPr>
            <w:tcW w:w="1134" w:type="dxa"/>
            <w:tcBorders>
              <w:top w:val="nil"/>
              <w:left w:val="nil"/>
              <w:bottom w:val="nil"/>
              <w:right w:val="nil"/>
            </w:tcBorders>
            <w:shd w:val="clear" w:color="auto" w:fill="auto"/>
            <w:noWrap/>
            <w:hideMark/>
          </w:tcPr>
          <w:p w14:paraId="44AB90A7" w14:textId="77777777" w:rsidR="002F63A8" w:rsidRPr="006D57F1" w:rsidRDefault="002F63A8" w:rsidP="00DA363A">
            <w:pPr>
              <w:jc w:val="center"/>
              <w:rPr>
                <w:rFonts w:ascii="Barlow" w:hAnsi="Barlow"/>
                <w:sz w:val="20"/>
                <w:szCs w:val="20"/>
                <w:lang w:eastAsia="es-MX"/>
              </w:rPr>
            </w:pPr>
          </w:p>
        </w:tc>
        <w:tc>
          <w:tcPr>
            <w:tcW w:w="1701" w:type="dxa"/>
            <w:tcBorders>
              <w:top w:val="nil"/>
              <w:left w:val="nil"/>
              <w:bottom w:val="nil"/>
              <w:right w:val="nil"/>
            </w:tcBorders>
            <w:shd w:val="clear" w:color="auto" w:fill="auto"/>
            <w:noWrap/>
            <w:vAlign w:val="bottom"/>
            <w:hideMark/>
          </w:tcPr>
          <w:p w14:paraId="04D92532" w14:textId="18F95CC0" w:rsidR="002F63A8" w:rsidRPr="006D57F1" w:rsidRDefault="002F63A8" w:rsidP="00DA363A">
            <w:pPr>
              <w:jc w:val="center"/>
              <w:rPr>
                <w:rFonts w:ascii="Barlow" w:hAnsi="Barlow"/>
                <w:sz w:val="20"/>
                <w:szCs w:val="20"/>
                <w:lang w:eastAsia="es-MX"/>
              </w:rPr>
            </w:pPr>
            <w:r w:rsidRPr="006D57F1">
              <w:rPr>
                <w:rFonts w:ascii="Barlow" w:hAnsi="Barlow" w:cs="Calibri"/>
                <w:b/>
                <w:bCs/>
                <w:color w:val="000000"/>
                <w:sz w:val="20"/>
                <w:szCs w:val="20"/>
                <w:lang w:eastAsia="es-MX"/>
              </w:rPr>
              <w:t xml:space="preserve">ACUMULADO </w:t>
            </w:r>
            <w:r w:rsidR="00F3706B" w:rsidRPr="006D57F1">
              <w:rPr>
                <w:rFonts w:ascii="Barlow" w:hAnsi="Barlow" w:cs="Calibri"/>
                <w:b/>
                <w:bCs/>
                <w:color w:val="000000"/>
                <w:sz w:val="20"/>
                <w:szCs w:val="20"/>
                <w:lang w:eastAsia="es-MX"/>
              </w:rPr>
              <w:t xml:space="preserve">DE </w:t>
            </w:r>
            <w:r w:rsidR="00E528BB" w:rsidRPr="006D57F1">
              <w:rPr>
                <w:rFonts w:ascii="Barlow" w:hAnsi="Barlow" w:cs="Calibri"/>
                <w:b/>
                <w:bCs/>
                <w:color w:val="000000"/>
                <w:sz w:val="20"/>
                <w:szCs w:val="20"/>
                <w:lang w:eastAsia="es-MX"/>
              </w:rPr>
              <w:t>DICIEMBRE</w:t>
            </w:r>
            <w:r w:rsidR="0090276E" w:rsidRPr="006D57F1">
              <w:rPr>
                <w:rFonts w:ascii="Barlow" w:hAnsi="Barlow" w:cs="Calibri"/>
                <w:b/>
                <w:bCs/>
                <w:color w:val="000000"/>
                <w:sz w:val="20"/>
                <w:szCs w:val="20"/>
                <w:lang w:eastAsia="es-MX"/>
              </w:rPr>
              <w:t xml:space="preserve"> </w:t>
            </w:r>
            <w:r w:rsidR="008C74C7" w:rsidRPr="006D57F1">
              <w:rPr>
                <w:rFonts w:ascii="Barlow" w:hAnsi="Barlow" w:cs="Calibri"/>
                <w:b/>
                <w:bCs/>
                <w:color w:val="000000"/>
                <w:sz w:val="20"/>
                <w:szCs w:val="20"/>
                <w:lang w:eastAsia="es-MX"/>
              </w:rPr>
              <w:t xml:space="preserve"> </w:t>
            </w:r>
            <w:r w:rsidRPr="006D57F1">
              <w:rPr>
                <w:rFonts w:ascii="Barlow" w:hAnsi="Barlow" w:cs="Calibri"/>
                <w:b/>
                <w:bCs/>
                <w:color w:val="000000"/>
                <w:sz w:val="20"/>
                <w:szCs w:val="20"/>
                <w:lang w:eastAsia="es-MX"/>
              </w:rPr>
              <w:t>20</w:t>
            </w:r>
            <w:r w:rsidR="008C74C7" w:rsidRPr="006D57F1">
              <w:rPr>
                <w:rFonts w:ascii="Barlow" w:hAnsi="Barlow" w:cs="Calibri"/>
                <w:b/>
                <w:bCs/>
                <w:color w:val="000000"/>
                <w:sz w:val="20"/>
                <w:szCs w:val="20"/>
                <w:lang w:eastAsia="es-MX"/>
              </w:rPr>
              <w:t>2</w:t>
            </w:r>
            <w:r w:rsidR="00412E0B" w:rsidRPr="006D57F1">
              <w:rPr>
                <w:rFonts w:ascii="Barlow" w:hAnsi="Barlow" w:cs="Calibri"/>
                <w:b/>
                <w:bCs/>
                <w:color w:val="000000"/>
                <w:sz w:val="20"/>
                <w:szCs w:val="20"/>
                <w:lang w:eastAsia="es-MX"/>
              </w:rPr>
              <w:t>1</w:t>
            </w:r>
          </w:p>
        </w:tc>
      </w:tr>
      <w:tr w:rsidR="002F63A8" w:rsidRPr="006D57F1" w14:paraId="127A46AF" w14:textId="77777777" w:rsidTr="00252F86">
        <w:trPr>
          <w:trHeight w:val="540"/>
        </w:trPr>
        <w:tc>
          <w:tcPr>
            <w:tcW w:w="7736"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2CA12775"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1. Total de egresos (presupuestarios)</w:t>
            </w:r>
          </w:p>
        </w:tc>
        <w:tc>
          <w:tcPr>
            <w:tcW w:w="1498" w:type="dxa"/>
            <w:gridSpan w:val="3"/>
            <w:tcBorders>
              <w:top w:val="nil"/>
              <w:left w:val="nil"/>
              <w:bottom w:val="nil"/>
              <w:right w:val="nil"/>
            </w:tcBorders>
            <w:shd w:val="clear" w:color="auto" w:fill="auto"/>
            <w:vAlign w:val="center"/>
            <w:hideMark/>
          </w:tcPr>
          <w:p w14:paraId="3D736F86" w14:textId="77777777" w:rsidR="002F63A8" w:rsidRPr="006D57F1" w:rsidRDefault="002F63A8" w:rsidP="00DA363A">
            <w:pPr>
              <w:jc w:val="both"/>
              <w:rPr>
                <w:rFonts w:ascii="Barlow" w:hAnsi="Barlow" w:cs="Calibri"/>
                <w:b/>
                <w:bCs/>
                <w:color w:val="000000"/>
                <w:sz w:val="20"/>
                <w:szCs w:val="20"/>
                <w:lang w:eastAsia="es-MX"/>
              </w:rPr>
            </w:pPr>
          </w:p>
        </w:tc>
        <w:tc>
          <w:tcPr>
            <w:tcW w:w="1539" w:type="dxa"/>
            <w:tcBorders>
              <w:top w:val="single" w:sz="8" w:space="0" w:color="auto"/>
              <w:left w:val="single" w:sz="8" w:space="0" w:color="auto"/>
              <w:bottom w:val="single" w:sz="8" w:space="0" w:color="auto"/>
              <w:right w:val="single" w:sz="8" w:space="0" w:color="auto"/>
            </w:tcBorders>
            <w:shd w:val="clear" w:color="000000" w:fill="C0C0C0"/>
            <w:vAlign w:val="center"/>
          </w:tcPr>
          <w:p w14:paraId="108A2E1E" w14:textId="00304F3B" w:rsidR="002F63A8" w:rsidRPr="006D57F1" w:rsidRDefault="00412E0B" w:rsidP="00BA57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134" w:type="dxa"/>
            <w:tcBorders>
              <w:top w:val="nil"/>
              <w:left w:val="nil"/>
              <w:bottom w:val="nil"/>
              <w:right w:val="nil"/>
            </w:tcBorders>
            <w:shd w:val="clear" w:color="auto" w:fill="auto"/>
            <w:vAlign w:val="center"/>
            <w:hideMark/>
          </w:tcPr>
          <w:p w14:paraId="2017DE7C" w14:textId="77777777" w:rsidR="002F63A8" w:rsidRPr="006D57F1" w:rsidRDefault="002F63A8" w:rsidP="00DA363A">
            <w:pPr>
              <w:jc w:val="right"/>
              <w:rPr>
                <w:rFonts w:ascii="Barlow" w:hAnsi="Barlow" w:cs="Calibri"/>
                <w:b/>
                <w:bCs/>
                <w:color w:val="000000"/>
                <w:sz w:val="20"/>
                <w:szCs w:val="20"/>
                <w:lang w:eastAsia="es-MX"/>
              </w:rPr>
            </w:pPr>
          </w:p>
        </w:tc>
        <w:tc>
          <w:tcPr>
            <w:tcW w:w="1701"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EBF0D9E" w14:textId="47335ACE"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276,487.17</w:t>
            </w:r>
          </w:p>
        </w:tc>
      </w:tr>
      <w:tr w:rsidR="002F63A8" w:rsidRPr="006D57F1" w14:paraId="25EABBC4" w14:textId="77777777" w:rsidTr="00DA363A">
        <w:trPr>
          <w:trHeight w:val="315"/>
        </w:trPr>
        <w:tc>
          <w:tcPr>
            <w:tcW w:w="7736" w:type="dxa"/>
            <w:tcBorders>
              <w:top w:val="single" w:sz="8" w:space="0" w:color="auto"/>
              <w:left w:val="nil"/>
              <w:bottom w:val="single" w:sz="8" w:space="0" w:color="auto"/>
              <w:right w:val="nil"/>
            </w:tcBorders>
            <w:shd w:val="clear" w:color="auto" w:fill="auto"/>
            <w:vAlign w:val="center"/>
            <w:hideMark/>
          </w:tcPr>
          <w:p w14:paraId="77F66AB5"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498" w:type="dxa"/>
            <w:gridSpan w:val="3"/>
            <w:tcBorders>
              <w:top w:val="single" w:sz="8" w:space="0" w:color="auto"/>
              <w:left w:val="nil"/>
              <w:bottom w:val="single" w:sz="8" w:space="0" w:color="auto"/>
              <w:right w:val="nil"/>
            </w:tcBorders>
            <w:shd w:val="clear" w:color="auto" w:fill="auto"/>
            <w:vAlign w:val="center"/>
            <w:hideMark/>
          </w:tcPr>
          <w:p w14:paraId="4368985E"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nil"/>
            </w:tcBorders>
            <w:shd w:val="clear" w:color="auto" w:fill="auto"/>
            <w:vAlign w:val="center"/>
            <w:hideMark/>
          </w:tcPr>
          <w:p w14:paraId="1EAA164F"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34" w:type="dxa"/>
            <w:tcBorders>
              <w:top w:val="nil"/>
              <w:left w:val="nil"/>
              <w:bottom w:val="nil"/>
              <w:right w:val="nil"/>
            </w:tcBorders>
            <w:shd w:val="clear" w:color="auto" w:fill="auto"/>
            <w:vAlign w:val="center"/>
            <w:hideMark/>
          </w:tcPr>
          <w:p w14:paraId="7E268519" w14:textId="77777777" w:rsidR="002F63A8" w:rsidRPr="006D57F1" w:rsidRDefault="002F63A8" w:rsidP="00DA363A">
            <w:pPr>
              <w:jc w:val="right"/>
              <w:rPr>
                <w:rFonts w:ascii="Barlow" w:hAnsi="Barlow" w:cs="Calibri"/>
                <w:color w:val="000000"/>
                <w:sz w:val="20"/>
                <w:szCs w:val="20"/>
                <w:lang w:eastAsia="es-MX"/>
              </w:rPr>
            </w:pPr>
          </w:p>
        </w:tc>
        <w:tc>
          <w:tcPr>
            <w:tcW w:w="1701" w:type="dxa"/>
            <w:tcBorders>
              <w:top w:val="nil"/>
              <w:left w:val="nil"/>
              <w:bottom w:val="nil"/>
              <w:right w:val="nil"/>
            </w:tcBorders>
            <w:shd w:val="clear" w:color="auto" w:fill="auto"/>
            <w:noWrap/>
            <w:vAlign w:val="bottom"/>
            <w:hideMark/>
          </w:tcPr>
          <w:p w14:paraId="26CD1D53" w14:textId="77777777" w:rsidR="002F63A8" w:rsidRPr="006D57F1" w:rsidRDefault="002F63A8" w:rsidP="00DA363A">
            <w:pPr>
              <w:jc w:val="right"/>
              <w:rPr>
                <w:rFonts w:ascii="Barlow" w:hAnsi="Barlow"/>
                <w:sz w:val="20"/>
                <w:szCs w:val="20"/>
                <w:lang w:eastAsia="es-MX"/>
              </w:rPr>
            </w:pPr>
          </w:p>
        </w:tc>
      </w:tr>
      <w:tr w:rsidR="002F63A8" w:rsidRPr="006D57F1" w14:paraId="2605532C" w14:textId="77777777" w:rsidTr="00DA363A">
        <w:trPr>
          <w:trHeight w:val="81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9321409"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2. Menos egresos presupuestarios no contables</w:t>
            </w:r>
          </w:p>
        </w:tc>
        <w:tc>
          <w:tcPr>
            <w:tcW w:w="1498" w:type="dxa"/>
            <w:gridSpan w:val="3"/>
            <w:tcBorders>
              <w:top w:val="nil"/>
              <w:left w:val="nil"/>
              <w:bottom w:val="single" w:sz="8" w:space="0" w:color="auto"/>
              <w:right w:val="single" w:sz="8" w:space="0" w:color="auto"/>
            </w:tcBorders>
            <w:shd w:val="clear" w:color="auto" w:fill="auto"/>
            <w:vAlign w:val="center"/>
            <w:hideMark/>
          </w:tcPr>
          <w:p w14:paraId="5137823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nil"/>
            </w:tcBorders>
            <w:shd w:val="clear" w:color="auto" w:fill="auto"/>
            <w:vAlign w:val="center"/>
            <w:hideMark/>
          </w:tcPr>
          <w:p w14:paraId="598AABB4" w14:textId="0CDD1F16" w:rsidR="002F63A8" w:rsidRPr="006D57F1" w:rsidRDefault="008C74C7" w:rsidP="00BA57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E9F5AD"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582CD29" w14:textId="77777777" w:rsidR="002F63A8" w:rsidRPr="006D57F1" w:rsidRDefault="002F63A8"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r>
      <w:tr w:rsidR="002F63A8" w:rsidRPr="006D57F1" w14:paraId="0C74615B"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35547815"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Mobiliario y equipo de administración</w:t>
            </w:r>
          </w:p>
        </w:tc>
        <w:tc>
          <w:tcPr>
            <w:tcW w:w="160" w:type="dxa"/>
            <w:tcBorders>
              <w:top w:val="nil"/>
              <w:left w:val="nil"/>
              <w:bottom w:val="single" w:sz="8" w:space="0" w:color="auto"/>
              <w:right w:val="single" w:sz="8" w:space="0" w:color="auto"/>
            </w:tcBorders>
            <w:shd w:val="clear" w:color="auto" w:fill="auto"/>
            <w:noWrap/>
            <w:vAlign w:val="center"/>
            <w:hideMark/>
          </w:tcPr>
          <w:p w14:paraId="048F80D8"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104E8F53" w14:textId="5009372F" w:rsidR="002F63A8" w:rsidRPr="006D57F1" w:rsidRDefault="008C74C7" w:rsidP="00BA57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30DD271D"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F3253B6"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38C22E3B"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7DD1336C"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67C7A451"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Mobiliario y equipo educacional y recreativo</w:t>
            </w:r>
          </w:p>
        </w:tc>
        <w:tc>
          <w:tcPr>
            <w:tcW w:w="160" w:type="dxa"/>
            <w:tcBorders>
              <w:top w:val="nil"/>
              <w:left w:val="nil"/>
              <w:bottom w:val="single" w:sz="8" w:space="0" w:color="auto"/>
              <w:right w:val="single" w:sz="8" w:space="0" w:color="auto"/>
            </w:tcBorders>
            <w:shd w:val="clear" w:color="auto" w:fill="auto"/>
            <w:noWrap/>
            <w:vAlign w:val="center"/>
            <w:hideMark/>
          </w:tcPr>
          <w:p w14:paraId="70F7A378"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67472FF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310752C6"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0FF331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59571BC5"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5AB8B33B"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5DAEC040"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Equipo e instrumental médico y de laboratorio</w:t>
            </w:r>
          </w:p>
        </w:tc>
        <w:tc>
          <w:tcPr>
            <w:tcW w:w="160" w:type="dxa"/>
            <w:tcBorders>
              <w:top w:val="nil"/>
              <w:left w:val="nil"/>
              <w:bottom w:val="single" w:sz="8" w:space="0" w:color="auto"/>
              <w:right w:val="single" w:sz="8" w:space="0" w:color="auto"/>
            </w:tcBorders>
            <w:shd w:val="clear" w:color="auto" w:fill="auto"/>
            <w:noWrap/>
            <w:vAlign w:val="center"/>
            <w:hideMark/>
          </w:tcPr>
          <w:p w14:paraId="14124792"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1C506A3B"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54082A21"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84525E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6FCB062C"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6D2E88D8"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7AC0B1FA"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Vehículos y equipo de transporte</w:t>
            </w:r>
          </w:p>
        </w:tc>
        <w:tc>
          <w:tcPr>
            <w:tcW w:w="160" w:type="dxa"/>
            <w:tcBorders>
              <w:top w:val="nil"/>
              <w:left w:val="nil"/>
              <w:bottom w:val="single" w:sz="8" w:space="0" w:color="auto"/>
              <w:right w:val="single" w:sz="8" w:space="0" w:color="auto"/>
            </w:tcBorders>
            <w:shd w:val="clear" w:color="auto" w:fill="auto"/>
            <w:noWrap/>
            <w:vAlign w:val="center"/>
            <w:hideMark/>
          </w:tcPr>
          <w:p w14:paraId="4D78B1F7"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2A502B2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6094F3AD"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D5512A2"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53B8A213"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4ACDC0CE"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2D44AD6C"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Equipo de defensa y seguridad</w:t>
            </w:r>
          </w:p>
        </w:tc>
        <w:tc>
          <w:tcPr>
            <w:tcW w:w="160" w:type="dxa"/>
            <w:tcBorders>
              <w:top w:val="nil"/>
              <w:left w:val="nil"/>
              <w:bottom w:val="single" w:sz="8" w:space="0" w:color="auto"/>
              <w:right w:val="single" w:sz="8" w:space="0" w:color="auto"/>
            </w:tcBorders>
            <w:shd w:val="clear" w:color="auto" w:fill="auto"/>
            <w:noWrap/>
            <w:vAlign w:val="center"/>
            <w:hideMark/>
          </w:tcPr>
          <w:p w14:paraId="3EBDD1E4"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1329E08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4896BC6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9C6D22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3B79CD82"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379F9831"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526A6ABD"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Maquinaria, otros equipos y herramientas</w:t>
            </w:r>
          </w:p>
        </w:tc>
        <w:tc>
          <w:tcPr>
            <w:tcW w:w="160" w:type="dxa"/>
            <w:tcBorders>
              <w:top w:val="nil"/>
              <w:left w:val="nil"/>
              <w:bottom w:val="single" w:sz="8" w:space="0" w:color="auto"/>
              <w:right w:val="single" w:sz="8" w:space="0" w:color="auto"/>
            </w:tcBorders>
            <w:shd w:val="clear" w:color="auto" w:fill="auto"/>
            <w:noWrap/>
            <w:vAlign w:val="center"/>
            <w:hideMark/>
          </w:tcPr>
          <w:p w14:paraId="578DAE93"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716F160A"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4DAD7944"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311F47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32DBDC4F"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01655C37"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009E734F"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Otros bienes muebles</w:t>
            </w:r>
          </w:p>
        </w:tc>
        <w:tc>
          <w:tcPr>
            <w:tcW w:w="160" w:type="dxa"/>
            <w:tcBorders>
              <w:top w:val="nil"/>
              <w:left w:val="nil"/>
              <w:bottom w:val="single" w:sz="8" w:space="0" w:color="auto"/>
              <w:right w:val="single" w:sz="8" w:space="0" w:color="auto"/>
            </w:tcBorders>
            <w:shd w:val="clear" w:color="auto" w:fill="auto"/>
            <w:noWrap/>
            <w:vAlign w:val="center"/>
            <w:hideMark/>
          </w:tcPr>
          <w:p w14:paraId="59BA5991"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5D0AEE89"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076DE16E"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D6DDC68"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1AAD320A"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631B1B9A"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288F4E66"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Activos biológicos</w:t>
            </w:r>
          </w:p>
        </w:tc>
        <w:tc>
          <w:tcPr>
            <w:tcW w:w="160" w:type="dxa"/>
            <w:tcBorders>
              <w:top w:val="nil"/>
              <w:left w:val="nil"/>
              <w:bottom w:val="single" w:sz="8" w:space="0" w:color="auto"/>
              <w:right w:val="single" w:sz="8" w:space="0" w:color="auto"/>
            </w:tcBorders>
            <w:shd w:val="clear" w:color="auto" w:fill="auto"/>
            <w:noWrap/>
            <w:vAlign w:val="center"/>
            <w:hideMark/>
          </w:tcPr>
          <w:p w14:paraId="1CBF5D2D"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74663636"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103ABA48"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809136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4F39450E"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6437168C"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21FEC3E8"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Bienes inmuebles</w:t>
            </w:r>
          </w:p>
        </w:tc>
        <w:tc>
          <w:tcPr>
            <w:tcW w:w="160" w:type="dxa"/>
            <w:tcBorders>
              <w:top w:val="nil"/>
              <w:left w:val="nil"/>
              <w:bottom w:val="single" w:sz="8" w:space="0" w:color="auto"/>
              <w:right w:val="single" w:sz="8" w:space="0" w:color="auto"/>
            </w:tcBorders>
            <w:shd w:val="clear" w:color="auto" w:fill="auto"/>
            <w:noWrap/>
            <w:vAlign w:val="center"/>
            <w:hideMark/>
          </w:tcPr>
          <w:p w14:paraId="45AE5068"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4B4F774E"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xml:space="preserve"> 0.00 </w:t>
            </w:r>
          </w:p>
        </w:tc>
        <w:tc>
          <w:tcPr>
            <w:tcW w:w="1539" w:type="dxa"/>
            <w:tcBorders>
              <w:top w:val="nil"/>
              <w:left w:val="nil"/>
              <w:bottom w:val="nil"/>
              <w:right w:val="nil"/>
            </w:tcBorders>
            <w:shd w:val="clear" w:color="auto" w:fill="auto"/>
            <w:vAlign w:val="center"/>
            <w:hideMark/>
          </w:tcPr>
          <w:p w14:paraId="42A0B6CA"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A9139DA"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xml:space="preserve"> 0.00 </w:t>
            </w:r>
          </w:p>
        </w:tc>
        <w:tc>
          <w:tcPr>
            <w:tcW w:w="1701" w:type="dxa"/>
            <w:tcBorders>
              <w:top w:val="nil"/>
              <w:left w:val="nil"/>
              <w:bottom w:val="nil"/>
              <w:right w:val="nil"/>
            </w:tcBorders>
            <w:shd w:val="clear" w:color="auto" w:fill="auto"/>
            <w:vAlign w:val="center"/>
            <w:hideMark/>
          </w:tcPr>
          <w:p w14:paraId="20652B33"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22F5FFFD"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3068DC97"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Activos intangibles</w:t>
            </w:r>
          </w:p>
        </w:tc>
        <w:tc>
          <w:tcPr>
            <w:tcW w:w="160" w:type="dxa"/>
            <w:tcBorders>
              <w:top w:val="nil"/>
              <w:left w:val="nil"/>
              <w:bottom w:val="single" w:sz="8" w:space="0" w:color="auto"/>
              <w:right w:val="single" w:sz="8" w:space="0" w:color="auto"/>
            </w:tcBorders>
            <w:shd w:val="clear" w:color="auto" w:fill="auto"/>
            <w:noWrap/>
            <w:vAlign w:val="center"/>
            <w:hideMark/>
          </w:tcPr>
          <w:p w14:paraId="41E35DA1"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4A8BBBF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6DB78BDC"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57D648B"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2686F872"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3EA31B69"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526A46D4"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lastRenderedPageBreak/>
              <w:t>Obra pública en bienes propios</w:t>
            </w:r>
          </w:p>
        </w:tc>
        <w:tc>
          <w:tcPr>
            <w:tcW w:w="160" w:type="dxa"/>
            <w:tcBorders>
              <w:top w:val="nil"/>
              <w:left w:val="nil"/>
              <w:bottom w:val="single" w:sz="8" w:space="0" w:color="auto"/>
              <w:right w:val="single" w:sz="8" w:space="0" w:color="auto"/>
            </w:tcBorders>
            <w:shd w:val="clear" w:color="auto" w:fill="auto"/>
            <w:noWrap/>
            <w:vAlign w:val="center"/>
            <w:hideMark/>
          </w:tcPr>
          <w:p w14:paraId="522C1C84"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014EC43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45C9C6F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8E30E4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69A6CA13"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3976F15A"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125F6330"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Acciones y participaciones de capital</w:t>
            </w:r>
          </w:p>
        </w:tc>
        <w:tc>
          <w:tcPr>
            <w:tcW w:w="160" w:type="dxa"/>
            <w:tcBorders>
              <w:top w:val="nil"/>
              <w:left w:val="nil"/>
              <w:bottom w:val="single" w:sz="8" w:space="0" w:color="auto"/>
              <w:right w:val="single" w:sz="8" w:space="0" w:color="auto"/>
            </w:tcBorders>
            <w:shd w:val="clear" w:color="auto" w:fill="auto"/>
            <w:noWrap/>
            <w:vAlign w:val="center"/>
            <w:hideMark/>
          </w:tcPr>
          <w:p w14:paraId="706CEC52"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1DB2F55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757B8FBA"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045D37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31CDA670"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6117FFA2"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2315DB4B"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Créditos directos para actividades productivas</w:t>
            </w:r>
          </w:p>
        </w:tc>
        <w:tc>
          <w:tcPr>
            <w:tcW w:w="160" w:type="dxa"/>
            <w:tcBorders>
              <w:top w:val="nil"/>
              <w:left w:val="nil"/>
              <w:bottom w:val="single" w:sz="8" w:space="0" w:color="auto"/>
              <w:right w:val="single" w:sz="8" w:space="0" w:color="auto"/>
            </w:tcBorders>
            <w:shd w:val="clear" w:color="auto" w:fill="auto"/>
            <w:noWrap/>
            <w:vAlign w:val="center"/>
            <w:hideMark/>
          </w:tcPr>
          <w:p w14:paraId="188A9EAC"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18F5D878"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2A7E3EF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842A5F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3FE57721"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79C4278B"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70B6D11A"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Compra de títulos y valores</w:t>
            </w:r>
          </w:p>
        </w:tc>
        <w:tc>
          <w:tcPr>
            <w:tcW w:w="160" w:type="dxa"/>
            <w:tcBorders>
              <w:top w:val="nil"/>
              <w:left w:val="nil"/>
              <w:bottom w:val="single" w:sz="8" w:space="0" w:color="auto"/>
              <w:right w:val="single" w:sz="8" w:space="0" w:color="auto"/>
            </w:tcBorders>
            <w:shd w:val="clear" w:color="auto" w:fill="auto"/>
            <w:noWrap/>
            <w:vAlign w:val="center"/>
            <w:hideMark/>
          </w:tcPr>
          <w:p w14:paraId="3080B7D3"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5518EA59"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0 </w:t>
            </w:r>
          </w:p>
        </w:tc>
        <w:tc>
          <w:tcPr>
            <w:tcW w:w="1539" w:type="dxa"/>
            <w:tcBorders>
              <w:top w:val="nil"/>
              <w:left w:val="nil"/>
              <w:bottom w:val="nil"/>
              <w:right w:val="nil"/>
            </w:tcBorders>
            <w:shd w:val="clear" w:color="auto" w:fill="auto"/>
            <w:vAlign w:val="center"/>
            <w:hideMark/>
          </w:tcPr>
          <w:p w14:paraId="37E34A3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5A34A2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0 </w:t>
            </w:r>
          </w:p>
        </w:tc>
        <w:tc>
          <w:tcPr>
            <w:tcW w:w="1701" w:type="dxa"/>
            <w:tcBorders>
              <w:top w:val="nil"/>
              <w:left w:val="nil"/>
              <w:bottom w:val="nil"/>
              <w:right w:val="nil"/>
            </w:tcBorders>
            <w:shd w:val="clear" w:color="auto" w:fill="auto"/>
            <w:vAlign w:val="center"/>
            <w:hideMark/>
          </w:tcPr>
          <w:p w14:paraId="04603454"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1C0711A9"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752E0610"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Inversiones en fideicomisos, mandatos y otros análogos</w:t>
            </w:r>
          </w:p>
        </w:tc>
        <w:tc>
          <w:tcPr>
            <w:tcW w:w="160" w:type="dxa"/>
            <w:tcBorders>
              <w:top w:val="nil"/>
              <w:left w:val="nil"/>
              <w:bottom w:val="single" w:sz="8" w:space="0" w:color="auto"/>
              <w:right w:val="single" w:sz="8" w:space="0" w:color="auto"/>
            </w:tcBorders>
            <w:shd w:val="clear" w:color="auto" w:fill="auto"/>
            <w:noWrap/>
            <w:vAlign w:val="center"/>
            <w:hideMark/>
          </w:tcPr>
          <w:p w14:paraId="01AB9CB6"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2FA7A03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4CB99334"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6511819"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70162144"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65C561BC"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563D3FDC"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Provisiones para contingencias y otras erogaciones especiales</w:t>
            </w:r>
          </w:p>
        </w:tc>
        <w:tc>
          <w:tcPr>
            <w:tcW w:w="160" w:type="dxa"/>
            <w:tcBorders>
              <w:top w:val="nil"/>
              <w:left w:val="nil"/>
              <w:bottom w:val="single" w:sz="8" w:space="0" w:color="auto"/>
              <w:right w:val="single" w:sz="8" w:space="0" w:color="auto"/>
            </w:tcBorders>
            <w:shd w:val="clear" w:color="auto" w:fill="auto"/>
            <w:noWrap/>
            <w:vAlign w:val="center"/>
            <w:hideMark/>
          </w:tcPr>
          <w:p w14:paraId="06C7AEFF"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35911879"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1A649767"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010FBC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46988F7C"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52B6E82E"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60435365"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Amortización de la deuda publica</w:t>
            </w:r>
          </w:p>
        </w:tc>
        <w:tc>
          <w:tcPr>
            <w:tcW w:w="160" w:type="dxa"/>
            <w:tcBorders>
              <w:top w:val="nil"/>
              <w:left w:val="nil"/>
              <w:bottom w:val="single" w:sz="8" w:space="0" w:color="auto"/>
              <w:right w:val="single" w:sz="8" w:space="0" w:color="auto"/>
            </w:tcBorders>
            <w:shd w:val="clear" w:color="auto" w:fill="auto"/>
            <w:noWrap/>
            <w:vAlign w:val="center"/>
            <w:hideMark/>
          </w:tcPr>
          <w:p w14:paraId="11E32B53"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5301DCA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0979DF4A"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377C259"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4467871B"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619620EA"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4DF61097"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Adeudos de ejercicios fiscales anteriores (ADEFAS)</w:t>
            </w:r>
          </w:p>
        </w:tc>
        <w:tc>
          <w:tcPr>
            <w:tcW w:w="160" w:type="dxa"/>
            <w:tcBorders>
              <w:top w:val="nil"/>
              <w:left w:val="nil"/>
              <w:bottom w:val="single" w:sz="8" w:space="0" w:color="auto"/>
              <w:right w:val="single" w:sz="8" w:space="0" w:color="auto"/>
            </w:tcBorders>
            <w:shd w:val="clear" w:color="auto" w:fill="auto"/>
            <w:noWrap/>
            <w:vAlign w:val="center"/>
            <w:hideMark/>
          </w:tcPr>
          <w:p w14:paraId="73E74F90" w14:textId="77777777" w:rsidR="002F63A8" w:rsidRPr="006D57F1" w:rsidRDefault="002F63A8" w:rsidP="00DA363A">
            <w:pPr>
              <w:rPr>
                <w:rFonts w:ascii="Barlow" w:hAnsi="Barlow" w:cs="Arial"/>
                <w:color w:val="000000"/>
                <w:sz w:val="20"/>
                <w:szCs w:val="20"/>
                <w:lang w:eastAsia="es-MX"/>
              </w:rPr>
            </w:pPr>
            <w:r w:rsidRPr="006D57F1">
              <w:rPr>
                <w:rFonts w:ascii="Barlow" w:hAnsi="Barlow" w:cs="Arial"/>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0BE437EF"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0.00 </w:t>
            </w:r>
          </w:p>
        </w:tc>
        <w:tc>
          <w:tcPr>
            <w:tcW w:w="1539" w:type="dxa"/>
            <w:tcBorders>
              <w:top w:val="nil"/>
              <w:left w:val="nil"/>
              <w:bottom w:val="nil"/>
              <w:right w:val="nil"/>
            </w:tcBorders>
            <w:shd w:val="clear" w:color="auto" w:fill="auto"/>
            <w:vAlign w:val="center"/>
            <w:hideMark/>
          </w:tcPr>
          <w:p w14:paraId="4D427F9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B25FE2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0.00 </w:t>
            </w:r>
          </w:p>
        </w:tc>
        <w:tc>
          <w:tcPr>
            <w:tcW w:w="1701" w:type="dxa"/>
            <w:tcBorders>
              <w:top w:val="nil"/>
              <w:left w:val="nil"/>
              <w:bottom w:val="nil"/>
              <w:right w:val="nil"/>
            </w:tcBorders>
            <w:shd w:val="clear" w:color="auto" w:fill="auto"/>
            <w:vAlign w:val="center"/>
            <w:hideMark/>
          </w:tcPr>
          <w:p w14:paraId="4B9300E5"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77F0D110" w14:textId="77777777" w:rsidTr="00DA363A">
        <w:trPr>
          <w:trHeight w:val="81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7799509"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Otros Egresos Presupuestales No Contables</w:t>
            </w:r>
          </w:p>
        </w:tc>
        <w:tc>
          <w:tcPr>
            <w:tcW w:w="1498" w:type="dxa"/>
            <w:gridSpan w:val="3"/>
            <w:tcBorders>
              <w:top w:val="nil"/>
              <w:left w:val="nil"/>
              <w:bottom w:val="single" w:sz="8" w:space="0" w:color="auto"/>
              <w:right w:val="single" w:sz="8" w:space="0" w:color="auto"/>
            </w:tcBorders>
            <w:shd w:val="clear" w:color="auto" w:fill="auto"/>
            <w:vAlign w:val="center"/>
            <w:hideMark/>
          </w:tcPr>
          <w:p w14:paraId="6E5766EA"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2A140762"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D6C157D"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vAlign w:val="center"/>
            <w:hideMark/>
          </w:tcPr>
          <w:p w14:paraId="168142EA" w14:textId="77777777" w:rsidR="002F63A8" w:rsidRPr="006D57F1" w:rsidRDefault="002F63A8" w:rsidP="00DA363A">
            <w:pPr>
              <w:ind w:left="260"/>
              <w:jc w:val="right"/>
              <w:rPr>
                <w:rFonts w:ascii="Barlow" w:hAnsi="Barlow" w:cs="Calibri"/>
                <w:color w:val="000000"/>
                <w:sz w:val="20"/>
                <w:szCs w:val="20"/>
                <w:lang w:eastAsia="es-MX"/>
              </w:rPr>
            </w:pPr>
          </w:p>
        </w:tc>
      </w:tr>
      <w:tr w:rsidR="002F63A8" w:rsidRPr="006D57F1" w14:paraId="102E879B" w14:textId="77777777" w:rsidTr="00DA363A">
        <w:trPr>
          <w:trHeight w:val="300"/>
        </w:trPr>
        <w:tc>
          <w:tcPr>
            <w:tcW w:w="7736" w:type="dxa"/>
            <w:vMerge w:val="restart"/>
            <w:tcBorders>
              <w:top w:val="single" w:sz="8" w:space="0" w:color="auto"/>
              <w:left w:val="nil"/>
              <w:bottom w:val="single" w:sz="8" w:space="0" w:color="000000"/>
              <w:right w:val="nil"/>
            </w:tcBorders>
            <w:shd w:val="clear" w:color="auto" w:fill="auto"/>
            <w:vAlign w:val="center"/>
            <w:hideMark/>
          </w:tcPr>
          <w:p w14:paraId="6C914CA5"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498" w:type="dxa"/>
            <w:gridSpan w:val="3"/>
            <w:vMerge w:val="restart"/>
            <w:tcBorders>
              <w:top w:val="nil"/>
              <w:left w:val="nil"/>
              <w:bottom w:val="single" w:sz="8" w:space="0" w:color="000000"/>
              <w:right w:val="nil"/>
            </w:tcBorders>
            <w:shd w:val="clear" w:color="auto" w:fill="auto"/>
            <w:vAlign w:val="center"/>
            <w:hideMark/>
          </w:tcPr>
          <w:p w14:paraId="1D363D4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vMerge w:val="restart"/>
            <w:tcBorders>
              <w:top w:val="nil"/>
              <w:left w:val="nil"/>
              <w:bottom w:val="single" w:sz="8" w:space="0" w:color="000000"/>
              <w:right w:val="nil"/>
            </w:tcBorders>
            <w:shd w:val="clear" w:color="auto" w:fill="auto"/>
            <w:vAlign w:val="center"/>
            <w:hideMark/>
          </w:tcPr>
          <w:p w14:paraId="44D94620"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nil"/>
              <w:bottom w:val="nil"/>
              <w:right w:val="nil"/>
            </w:tcBorders>
            <w:shd w:val="clear" w:color="auto" w:fill="auto"/>
            <w:vAlign w:val="center"/>
            <w:hideMark/>
          </w:tcPr>
          <w:p w14:paraId="5E640D18" w14:textId="77777777" w:rsidR="002F63A8" w:rsidRPr="006D57F1" w:rsidRDefault="002F63A8" w:rsidP="00DA363A">
            <w:pPr>
              <w:jc w:val="right"/>
              <w:rPr>
                <w:rFonts w:ascii="Barlow" w:hAnsi="Barlow"/>
                <w:sz w:val="20"/>
                <w:szCs w:val="20"/>
                <w:lang w:eastAsia="es-MX"/>
              </w:rPr>
            </w:pPr>
          </w:p>
        </w:tc>
        <w:tc>
          <w:tcPr>
            <w:tcW w:w="1701" w:type="dxa"/>
            <w:tcBorders>
              <w:top w:val="nil"/>
              <w:left w:val="nil"/>
              <w:bottom w:val="nil"/>
              <w:right w:val="nil"/>
            </w:tcBorders>
            <w:shd w:val="clear" w:color="auto" w:fill="auto"/>
            <w:noWrap/>
            <w:vAlign w:val="bottom"/>
            <w:hideMark/>
          </w:tcPr>
          <w:p w14:paraId="3F5738E5" w14:textId="77777777" w:rsidR="002F63A8" w:rsidRPr="006D57F1" w:rsidRDefault="002F63A8" w:rsidP="00DA363A">
            <w:pPr>
              <w:jc w:val="right"/>
              <w:rPr>
                <w:rFonts w:ascii="Barlow" w:hAnsi="Barlow"/>
                <w:sz w:val="20"/>
                <w:szCs w:val="20"/>
                <w:lang w:eastAsia="es-MX"/>
              </w:rPr>
            </w:pPr>
          </w:p>
        </w:tc>
      </w:tr>
      <w:tr w:rsidR="002F63A8" w:rsidRPr="006D57F1" w14:paraId="51EE1D73" w14:textId="77777777" w:rsidTr="00DA363A">
        <w:trPr>
          <w:trHeight w:val="315"/>
        </w:trPr>
        <w:tc>
          <w:tcPr>
            <w:tcW w:w="7736" w:type="dxa"/>
            <w:vMerge/>
            <w:tcBorders>
              <w:top w:val="single" w:sz="8" w:space="0" w:color="auto"/>
              <w:left w:val="nil"/>
              <w:bottom w:val="single" w:sz="8" w:space="0" w:color="000000"/>
              <w:right w:val="nil"/>
            </w:tcBorders>
            <w:vAlign w:val="center"/>
            <w:hideMark/>
          </w:tcPr>
          <w:p w14:paraId="6414F3B0" w14:textId="77777777" w:rsidR="002F63A8" w:rsidRPr="006D57F1" w:rsidRDefault="002F63A8" w:rsidP="00DA363A">
            <w:pPr>
              <w:rPr>
                <w:rFonts w:ascii="Barlow" w:hAnsi="Barlow" w:cs="Calibri"/>
                <w:color w:val="000000"/>
                <w:sz w:val="20"/>
                <w:szCs w:val="20"/>
                <w:lang w:eastAsia="es-MX"/>
              </w:rPr>
            </w:pPr>
          </w:p>
        </w:tc>
        <w:tc>
          <w:tcPr>
            <w:tcW w:w="1498" w:type="dxa"/>
            <w:gridSpan w:val="3"/>
            <w:vMerge/>
            <w:tcBorders>
              <w:top w:val="nil"/>
              <w:left w:val="nil"/>
              <w:bottom w:val="single" w:sz="8" w:space="0" w:color="000000"/>
              <w:right w:val="nil"/>
            </w:tcBorders>
            <w:vAlign w:val="center"/>
            <w:hideMark/>
          </w:tcPr>
          <w:p w14:paraId="12D5917D" w14:textId="77777777" w:rsidR="002F63A8" w:rsidRPr="006D57F1" w:rsidRDefault="002F63A8" w:rsidP="00DA363A">
            <w:pPr>
              <w:rPr>
                <w:rFonts w:ascii="Barlow" w:hAnsi="Barlow" w:cs="Calibri"/>
                <w:color w:val="000000"/>
                <w:sz w:val="20"/>
                <w:szCs w:val="20"/>
                <w:lang w:eastAsia="es-MX"/>
              </w:rPr>
            </w:pPr>
          </w:p>
        </w:tc>
        <w:tc>
          <w:tcPr>
            <w:tcW w:w="1539" w:type="dxa"/>
            <w:vMerge/>
            <w:tcBorders>
              <w:top w:val="nil"/>
              <w:left w:val="nil"/>
              <w:bottom w:val="single" w:sz="8" w:space="0" w:color="000000"/>
              <w:right w:val="nil"/>
            </w:tcBorders>
            <w:vAlign w:val="center"/>
            <w:hideMark/>
          </w:tcPr>
          <w:p w14:paraId="263B2721" w14:textId="77777777" w:rsidR="002F63A8" w:rsidRPr="006D57F1" w:rsidRDefault="002F63A8" w:rsidP="00DA363A">
            <w:pPr>
              <w:rPr>
                <w:rFonts w:ascii="Barlow" w:hAnsi="Barlow" w:cs="Calibri"/>
                <w:color w:val="000000"/>
                <w:sz w:val="20"/>
                <w:szCs w:val="20"/>
                <w:lang w:eastAsia="es-MX"/>
              </w:rPr>
            </w:pPr>
          </w:p>
        </w:tc>
        <w:tc>
          <w:tcPr>
            <w:tcW w:w="1134" w:type="dxa"/>
            <w:tcBorders>
              <w:top w:val="nil"/>
              <w:left w:val="nil"/>
              <w:bottom w:val="nil"/>
              <w:right w:val="nil"/>
            </w:tcBorders>
            <w:shd w:val="clear" w:color="auto" w:fill="auto"/>
            <w:vAlign w:val="center"/>
            <w:hideMark/>
          </w:tcPr>
          <w:p w14:paraId="4658D1BD" w14:textId="77777777" w:rsidR="002F63A8" w:rsidRPr="006D57F1" w:rsidRDefault="002F63A8" w:rsidP="00DA363A">
            <w:pPr>
              <w:rPr>
                <w:rFonts w:ascii="Barlow" w:hAnsi="Barlow"/>
                <w:sz w:val="20"/>
                <w:szCs w:val="20"/>
                <w:lang w:eastAsia="es-MX"/>
              </w:rPr>
            </w:pPr>
          </w:p>
        </w:tc>
        <w:tc>
          <w:tcPr>
            <w:tcW w:w="1701" w:type="dxa"/>
            <w:tcBorders>
              <w:top w:val="nil"/>
              <w:left w:val="nil"/>
              <w:bottom w:val="nil"/>
              <w:right w:val="nil"/>
            </w:tcBorders>
            <w:shd w:val="clear" w:color="auto" w:fill="auto"/>
            <w:noWrap/>
            <w:vAlign w:val="bottom"/>
            <w:hideMark/>
          </w:tcPr>
          <w:p w14:paraId="587314B4" w14:textId="77777777" w:rsidR="002F63A8" w:rsidRPr="006D57F1" w:rsidRDefault="002F63A8" w:rsidP="00DA363A">
            <w:pPr>
              <w:jc w:val="right"/>
              <w:rPr>
                <w:rFonts w:ascii="Barlow" w:hAnsi="Barlow"/>
                <w:sz w:val="20"/>
                <w:szCs w:val="20"/>
                <w:lang w:eastAsia="es-MX"/>
              </w:rPr>
            </w:pPr>
          </w:p>
        </w:tc>
      </w:tr>
      <w:tr w:rsidR="002F63A8" w:rsidRPr="006D57F1" w14:paraId="1C5A4993" w14:textId="77777777" w:rsidTr="00DA363A">
        <w:trPr>
          <w:trHeight w:val="54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6EC995F"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3. Más gastos contables no presupuestales</w:t>
            </w:r>
          </w:p>
        </w:tc>
        <w:tc>
          <w:tcPr>
            <w:tcW w:w="1498" w:type="dxa"/>
            <w:gridSpan w:val="3"/>
            <w:tcBorders>
              <w:top w:val="nil"/>
              <w:left w:val="nil"/>
              <w:bottom w:val="single" w:sz="8" w:space="0" w:color="auto"/>
              <w:right w:val="single" w:sz="8" w:space="0" w:color="auto"/>
            </w:tcBorders>
            <w:shd w:val="clear" w:color="auto" w:fill="auto"/>
            <w:vAlign w:val="center"/>
            <w:hideMark/>
          </w:tcPr>
          <w:p w14:paraId="2DC4AE20"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single" w:sz="8" w:space="0" w:color="auto"/>
            </w:tcBorders>
            <w:shd w:val="clear" w:color="auto" w:fill="auto"/>
            <w:vAlign w:val="center"/>
            <w:hideMark/>
          </w:tcPr>
          <w:p w14:paraId="6D58C894" w14:textId="4DC1733B"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134" w:type="dxa"/>
            <w:tcBorders>
              <w:top w:val="nil"/>
              <w:left w:val="nil"/>
              <w:bottom w:val="nil"/>
              <w:right w:val="nil"/>
            </w:tcBorders>
            <w:shd w:val="clear" w:color="auto" w:fill="auto"/>
            <w:vAlign w:val="center"/>
            <w:hideMark/>
          </w:tcPr>
          <w:p w14:paraId="0213D67F" w14:textId="77777777" w:rsidR="002F63A8" w:rsidRPr="006D57F1" w:rsidRDefault="002F63A8" w:rsidP="00DA363A">
            <w:pPr>
              <w:jc w:val="right"/>
              <w:rPr>
                <w:rFonts w:ascii="Barlow" w:hAnsi="Barlow" w:cs="Calibri"/>
                <w:b/>
                <w:bCs/>
                <w:color w:val="000000"/>
                <w:sz w:val="20"/>
                <w:szCs w:val="20"/>
                <w:lang w:eastAsia="es-MX"/>
              </w:rPr>
            </w:pP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187C02" w14:textId="48848ADC" w:rsidR="002F63A8" w:rsidRPr="006D57F1" w:rsidRDefault="00412E0B" w:rsidP="00BA57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490,572.93</w:t>
            </w:r>
          </w:p>
        </w:tc>
      </w:tr>
      <w:tr w:rsidR="002F63A8" w:rsidRPr="006D57F1" w14:paraId="41585F5E" w14:textId="77777777" w:rsidTr="00DA363A">
        <w:trPr>
          <w:trHeight w:val="825"/>
        </w:trPr>
        <w:tc>
          <w:tcPr>
            <w:tcW w:w="7876" w:type="dxa"/>
            <w:gridSpan w:val="2"/>
            <w:tcBorders>
              <w:top w:val="nil"/>
              <w:left w:val="single" w:sz="8" w:space="0" w:color="auto"/>
              <w:bottom w:val="single" w:sz="8" w:space="0" w:color="auto"/>
              <w:right w:val="nil"/>
            </w:tcBorders>
            <w:shd w:val="clear" w:color="auto" w:fill="auto"/>
            <w:noWrap/>
            <w:vAlign w:val="center"/>
            <w:hideMark/>
          </w:tcPr>
          <w:p w14:paraId="4EC545A6"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Estimaciones, depreciaciones, deterioros, obsolescencia y amortizaciones</w:t>
            </w:r>
          </w:p>
        </w:tc>
        <w:tc>
          <w:tcPr>
            <w:tcW w:w="160" w:type="dxa"/>
            <w:tcBorders>
              <w:top w:val="nil"/>
              <w:left w:val="nil"/>
              <w:bottom w:val="single" w:sz="8" w:space="0" w:color="auto"/>
              <w:right w:val="single" w:sz="8" w:space="0" w:color="auto"/>
            </w:tcBorders>
            <w:shd w:val="clear" w:color="auto" w:fill="auto"/>
            <w:noWrap/>
            <w:vAlign w:val="center"/>
            <w:hideMark/>
          </w:tcPr>
          <w:p w14:paraId="010DC275"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07E9AB1E" w14:textId="7EF1EAC8" w:rsidR="002F63A8" w:rsidRPr="006D57F1" w:rsidRDefault="00412E0B"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2A56629C"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11CF4E" w14:textId="53B01806" w:rsidR="002F63A8" w:rsidRPr="006D57F1" w:rsidRDefault="00412E0B"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490,572.50</w:t>
            </w:r>
          </w:p>
        </w:tc>
        <w:tc>
          <w:tcPr>
            <w:tcW w:w="1701" w:type="dxa"/>
            <w:tcBorders>
              <w:top w:val="nil"/>
              <w:left w:val="nil"/>
              <w:bottom w:val="nil"/>
              <w:right w:val="nil"/>
            </w:tcBorders>
            <w:shd w:val="clear" w:color="auto" w:fill="auto"/>
            <w:noWrap/>
            <w:vAlign w:val="bottom"/>
            <w:hideMark/>
          </w:tcPr>
          <w:p w14:paraId="794AB03F"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620C36BB"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764F6400"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Provisiones</w:t>
            </w:r>
          </w:p>
        </w:tc>
        <w:tc>
          <w:tcPr>
            <w:tcW w:w="160" w:type="dxa"/>
            <w:tcBorders>
              <w:top w:val="nil"/>
              <w:left w:val="nil"/>
              <w:bottom w:val="single" w:sz="8" w:space="0" w:color="auto"/>
              <w:right w:val="single" w:sz="8" w:space="0" w:color="auto"/>
            </w:tcBorders>
            <w:shd w:val="clear" w:color="auto" w:fill="auto"/>
            <w:vAlign w:val="center"/>
            <w:hideMark/>
          </w:tcPr>
          <w:p w14:paraId="5EBC3F72"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76DAE488"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467E39BB"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3798C6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190B5017"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35C984F6"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099C7C81"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Disminución de inventarios</w:t>
            </w:r>
          </w:p>
        </w:tc>
        <w:tc>
          <w:tcPr>
            <w:tcW w:w="160" w:type="dxa"/>
            <w:tcBorders>
              <w:top w:val="nil"/>
              <w:left w:val="nil"/>
              <w:bottom w:val="single" w:sz="8" w:space="0" w:color="auto"/>
              <w:right w:val="single" w:sz="8" w:space="0" w:color="auto"/>
            </w:tcBorders>
            <w:shd w:val="clear" w:color="auto" w:fill="auto"/>
            <w:vAlign w:val="center"/>
            <w:hideMark/>
          </w:tcPr>
          <w:p w14:paraId="536108CD"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4C9B7331"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029F0D06"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AC35A1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23635BE7"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5D95E32A" w14:textId="77777777" w:rsidTr="00DA363A">
        <w:trPr>
          <w:trHeight w:val="825"/>
        </w:trPr>
        <w:tc>
          <w:tcPr>
            <w:tcW w:w="7876" w:type="dxa"/>
            <w:gridSpan w:val="2"/>
            <w:tcBorders>
              <w:top w:val="nil"/>
              <w:left w:val="single" w:sz="8" w:space="0" w:color="auto"/>
              <w:bottom w:val="single" w:sz="8" w:space="0" w:color="auto"/>
              <w:right w:val="nil"/>
            </w:tcBorders>
            <w:shd w:val="clear" w:color="auto" w:fill="auto"/>
            <w:vAlign w:val="center"/>
            <w:hideMark/>
          </w:tcPr>
          <w:p w14:paraId="0EFE9541"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lastRenderedPageBreak/>
              <w:t>Aumento por insuficiencia de estimaciones por pérdida o deterioro u obsolescencia</w:t>
            </w:r>
          </w:p>
        </w:tc>
        <w:tc>
          <w:tcPr>
            <w:tcW w:w="160" w:type="dxa"/>
            <w:tcBorders>
              <w:top w:val="nil"/>
              <w:left w:val="nil"/>
              <w:bottom w:val="single" w:sz="8" w:space="0" w:color="auto"/>
              <w:right w:val="single" w:sz="8" w:space="0" w:color="auto"/>
            </w:tcBorders>
            <w:shd w:val="clear" w:color="auto" w:fill="auto"/>
            <w:vAlign w:val="center"/>
            <w:hideMark/>
          </w:tcPr>
          <w:p w14:paraId="57B0A7D1"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2F22E886"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693F3039"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829E8DA"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3AD6CD7C"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1D7291BF" w14:textId="77777777" w:rsidTr="00DA363A">
        <w:trPr>
          <w:trHeight w:val="555"/>
        </w:trPr>
        <w:tc>
          <w:tcPr>
            <w:tcW w:w="7876" w:type="dxa"/>
            <w:gridSpan w:val="2"/>
            <w:tcBorders>
              <w:top w:val="nil"/>
              <w:left w:val="single" w:sz="8" w:space="0" w:color="auto"/>
              <w:bottom w:val="single" w:sz="8" w:space="0" w:color="auto"/>
              <w:right w:val="nil"/>
            </w:tcBorders>
            <w:shd w:val="clear" w:color="auto" w:fill="auto"/>
            <w:vAlign w:val="center"/>
            <w:hideMark/>
          </w:tcPr>
          <w:p w14:paraId="5A38A948"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Aumento por insuficiencia de provisiones</w:t>
            </w:r>
          </w:p>
        </w:tc>
        <w:tc>
          <w:tcPr>
            <w:tcW w:w="160" w:type="dxa"/>
            <w:tcBorders>
              <w:top w:val="nil"/>
              <w:left w:val="nil"/>
              <w:bottom w:val="single" w:sz="8" w:space="0" w:color="auto"/>
              <w:right w:val="single" w:sz="8" w:space="0" w:color="auto"/>
            </w:tcBorders>
            <w:shd w:val="clear" w:color="auto" w:fill="auto"/>
            <w:vAlign w:val="center"/>
            <w:hideMark/>
          </w:tcPr>
          <w:p w14:paraId="4AC325FE"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3B955E4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6C4DF3C6"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58DDF0E"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2EB2D3C2"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1C4F62DF" w14:textId="77777777" w:rsidTr="00DA363A">
        <w:trPr>
          <w:trHeight w:val="315"/>
        </w:trPr>
        <w:tc>
          <w:tcPr>
            <w:tcW w:w="7876" w:type="dxa"/>
            <w:gridSpan w:val="2"/>
            <w:tcBorders>
              <w:top w:val="nil"/>
              <w:left w:val="single" w:sz="8" w:space="0" w:color="auto"/>
              <w:bottom w:val="single" w:sz="8" w:space="0" w:color="auto"/>
              <w:right w:val="nil"/>
            </w:tcBorders>
            <w:shd w:val="clear" w:color="auto" w:fill="auto"/>
            <w:vAlign w:val="center"/>
            <w:hideMark/>
          </w:tcPr>
          <w:p w14:paraId="4F4DFED0"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Otros Gastos</w:t>
            </w:r>
          </w:p>
        </w:tc>
        <w:tc>
          <w:tcPr>
            <w:tcW w:w="160" w:type="dxa"/>
            <w:tcBorders>
              <w:top w:val="nil"/>
              <w:left w:val="nil"/>
              <w:bottom w:val="single" w:sz="8" w:space="0" w:color="auto"/>
              <w:right w:val="single" w:sz="8" w:space="0" w:color="auto"/>
            </w:tcBorders>
            <w:shd w:val="clear" w:color="auto" w:fill="auto"/>
            <w:vAlign w:val="center"/>
            <w:hideMark/>
          </w:tcPr>
          <w:p w14:paraId="7E3554C4"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98" w:type="dxa"/>
            <w:tcBorders>
              <w:top w:val="nil"/>
              <w:left w:val="nil"/>
              <w:bottom w:val="single" w:sz="8" w:space="0" w:color="auto"/>
              <w:right w:val="single" w:sz="8" w:space="0" w:color="auto"/>
            </w:tcBorders>
            <w:shd w:val="clear" w:color="auto" w:fill="auto"/>
            <w:vAlign w:val="center"/>
            <w:hideMark/>
          </w:tcPr>
          <w:p w14:paraId="5F01CFEC"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63928027"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64B35D5"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701" w:type="dxa"/>
            <w:tcBorders>
              <w:top w:val="nil"/>
              <w:left w:val="nil"/>
              <w:bottom w:val="nil"/>
              <w:right w:val="nil"/>
            </w:tcBorders>
            <w:shd w:val="clear" w:color="auto" w:fill="auto"/>
            <w:noWrap/>
            <w:vAlign w:val="bottom"/>
            <w:hideMark/>
          </w:tcPr>
          <w:p w14:paraId="0E5CE1CE"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50BAAF72" w14:textId="77777777" w:rsidTr="00DA363A">
        <w:trPr>
          <w:trHeight w:val="540"/>
        </w:trPr>
        <w:tc>
          <w:tcPr>
            <w:tcW w:w="77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C90BFFB"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Otros Gastos Contables No Presupuestales</w:t>
            </w:r>
          </w:p>
        </w:tc>
        <w:tc>
          <w:tcPr>
            <w:tcW w:w="1498" w:type="dxa"/>
            <w:gridSpan w:val="3"/>
            <w:tcBorders>
              <w:top w:val="nil"/>
              <w:left w:val="nil"/>
              <w:bottom w:val="single" w:sz="8" w:space="0" w:color="auto"/>
              <w:right w:val="single" w:sz="8" w:space="0" w:color="auto"/>
            </w:tcBorders>
            <w:shd w:val="clear" w:color="auto" w:fill="auto"/>
            <w:vAlign w:val="center"/>
            <w:hideMark/>
          </w:tcPr>
          <w:p w14:paraId="4821D826" w14:textId="338CD7F5" w:rsidR="002F63A8" w:rsidRPr="006D57F1" w:rsidRDefault="00412E0B"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0.00</w:t>
            </w:r>
          </w:p>
        </w:tc>
        <w:tc>
          <w:tcPr>
            <w:tcW w:w="1539" w:type="dxa"/>
            <w:tcBorders>
              <w:top w:val="nil"/>
              <w:left w:val="nil"/>
              <w:bottom w:val="nil"/>
              <w:right w:val="nil"/>
            </w:tcBorders>
            <w:shd w:val="clear" w:color="auto" w:fill="auto"/>
            <w:vAlign w:val="center"/>
            <w:hideMark/>
          </w:tcPr>
          <w:p w14:paraId="556E0D15" w14:textId="77777777" w:rsidR="002F63A8" w:rsidRPr="006D57F1" w:rsidRDefault="002F63A8" w:rsidP="00DA363A">
            <w:pPr>
              <w:jc w:val="right"/>
              <w:rPr>
                <w:rFonts w:ascii="Barlow" w:hAnsi="Barlow" w:cs="Calibri"/>
                <w:color w:val="000000"/>
                <w:sz w:val="20"/>
                <w:szCs w:val="20"/>
                <w:lang w:eastAsia="es-MX"/>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9F8D251" w14:textId="47721EAC" w:rsidR="002F63A8" w:rsidRPr="006D57F1" w:rsidRDefault="00412E0B"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0.43</w:t>
            </w:r>
          </w:p>
        </w:tc>
        <w:tc>
          <w:tcPr>
            <w:tcW w:w="1701" w:type="dxa"/>
            <w:tcBorders>
              <w:top w:val="nil"/>
              <w:left w:val="nil"/>
              <w:bottom w:val="nil"/>
              <w:right w:val="nil"/>
            </w:tcBorders>
            <w:shd w:val="clear" w:color="auto" w:fill="auto"/>
            <w:noWrap/>
            <w:vAlign w:val="bottom"/>
            <w:hideMark/>
          </w:tcPr>
          <w:p w14:paraId="59A958A6" w14:textId="77777777" w:rsidR="002F63A8" w:rsidRPr="006D57F1" w:rsidRDefault="002F63A8" w:rsidP="00DA363A">
            <w:pPr>
              <w:jc w:val="right"/>
              <w:rPr>
                <w:rFonts w:ascii="Barlow" w:hAnsi="Barlow" w:cs="Calibri"/>
                <w:color w:val="000000"/>
                <w:sz w:val="20"/>
                <w:szCs w:val="20"/>
                <w:lang w:eastAsia="es-MX"/>
              </w:rPr>
            </w:pPr>
          </w:p>
        </w:tc>
      </w:tr>
      <w:tr w:rsidR="002F63A8" w:rsidRPr="006D57F1" w14:paraId="791A784C" w14:textId="77777777" w:rsidTr="00DA363A">
        <w:trPr>
          <w:trHeight w:val="315"/>
        </w:trPr>
        <w:tc>
          <w:tcPr>
            <w:tcW w:w="7736" w:type="dxa"/>
            <w:tcBorders>
              <w:top w:val="single" w:sz="8" w:space="0" w:color="auto"/>
              <w:left w:val="nil"/>
              <w:bottom w:val="single" w:sz="8" w:space="0" w:color="auto"/>
              <w:right w:val="nil"/>
            </w:tcBorders>
            <w:shd w:val="clear" w:color="auto" w:fill="auto"/>
            <w:vAlign w:val="center"/>
            <w:hideMark/>
          </w:tcPr>
          <w:p w14:paraId="24E98BC5" w14:textId="77777777" w:rsidR="002F63A8" w:rsidRPr="006D57F1" w:rsidRDefault="002F63A8" w:rsidP="00DA363A">
            <w:pPr>
              <w:jc w:val="both"/>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498" w:type="dxa"/>
            <w:gridSpan w:val="3"/>
            <w:tcBorders>
              <w:top w:val="nil"/>
              <w:left w:val="nil"/>
              <w:bottom w:val="nil"/>
              <w:right w:val="nil"/>
            </w:tcBorders>
            <w:shd w:val="clear" w:color="auto" w:fill="auto"/>
            <w:vAlign w:val="center"/>
            <w:hideMark/>
          </w:tcPr>
          <w:p w14:paraId="2EA3D8DD" w14:textId="77777777" w:rsidR="002F63A8" w:rsidRPr="006D57F1" w:rsidRDefault="002F63A8" w:rsidP="00DA363A">
            <w:pPr>
              <w:jc w:val="both"/>
              <w:rPr>
                <w:rFonts w:ascii="Barlow" w:hAnsi="Barlow" w:cs="Calibri"/>
                <w:color w:val="000000"/>
                <w:sz w:val="20"/>
                <w:szCs w:val="20"/>
                <w:lang w:eastAsia="es-MX"/>
              </w:rPr>
            </w:pPr>
          </w:p>
        </w:tc>
        <w:tc>
          <w:tcPr>
            <w:tcW w:w="1539" w:type="dxa"/>
            <w:tcBorders>
              <w:top w:val="nil"/>
              <w:left w:val="nil"/>
              <w:bottom w:val="single" w:sz="8" w:space="0" w:color="auto"/>
              <w:right w:val="nil"/>
            </w:tcBorders>
            <w:shd w:val="clear" w:color="auto" w:fill="auto"/>
            <w:vAlign w:val="center"/>
            <w:hideMark/>
          </w:tcPr>
          <w:p w14:paraId="5EC35706"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134" w:type="dxa"/>
            <w:tcBorders>
              <w:top w:val="nil"/>
              <w:left w:val="nil"/>
              <w:bottom w:val="nil"/>
              <w:right w:val="nil"/>
            </w:tcBorders>
            <w:shd w:val="clear" w:color="auto" w:fill="auto"/>
            <w:vAlign w:val="center"/>
            <w:hideMark/>
          </w:tcPr>
          <w:p w14:paraId="06EE58A0" w14:textId="77777777" w:rsidR="002F63A8" w:rsidRPr="006D57F1" w:rsidRDefault="002F63A8" w:rsidP="00DA363A">
            <w:pPr>
              <w:jc w:val="right"/>
              <w:rPr>
                <w:rFonts w:ascii="Barlow" w:hAnsi="Barlow" w:cs="Calibri"/>
                <w:color w:val="000000"/>
                <w:sz w:val="20"/>
                <w:szCs w:val="20"/>
                <w:lang w:eastAsia="es-MX"/>
              </w:rPr>
            </w:pPr>
          </w:p>
        </w:tc>
        <w:tc>
          <w:tcPr>
            <w:tcW w:w="1701" w:type="dxa"/>
            <w:tcBorders>
              <w:top w:val="nil"/>
              <w:left w:val="nil"/>
              <w:bottom w:val="nil"/>
              <w:right w:val="nil"/>
            </w:tcBorders>
            <w:shd w:val="clear" w:color="auto" w:fill="auto"/>
            <w:noWrap/>
            <w:vAlign w:val="bottom"/>
            <w:hideMark/>
          </w:tcPr>
          <w:p w14:paraId="00CAA4A1" w14:textId="77777777" w:rsidR="002F63A8" w:rsidRPr="006D57F1" w:rsidRDefault="002F63A8" w:rsidP="00DA363A">
            <w:pPr>
              <w:jc w:val="right"/>
              <w:rPr>
                <w:rFonts w:ascii="Barlow" w:hAnsi="Barlow"/>
                <w:sz w:val="20"/>
                <w:szCs w:val="20"/>
                <w:lang w:eastAsia="es-MX"/>
              </w:rPr>
            </w:pPr>
          </w:p>
        </w:tc>
      </w:tr>
      <w:tr w:rsidR="002F63A8" w:rsidRPr="006D57F1" w14:paraId="17A00FDE" w14:textId="77777777" w:rsidTr="00F3706B">
        <w:trPr>
          <w:trHeight w:val="540"/>
        </w:trPr>
        <w:tc>
          <w:tcPr>
            <w:tcW w:w="7736"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0785E437" w14:textId="77777777" w:rsidR="002F63A8" w:rsidRPr="006D57F1" w:rsidRDefault="002F63A8" w:rsidP="00DA363A">
            <w:pPr>
              <w:jc w:val="both"/>
              <w:rPr>
                <w:rFonts w:ascii="Barlow" w:hAnsi="Barlow" w:cs="Calibri"/>
                <w:b/>
                <w:bCs/>
                <w:color w:val="000000"/>
                <w:sz w:val="20"/>
                <w:szCs w:val="20"/>
                <w:lang w:eastAsia="es-MX"/>
              </w:rPr>
            </w:pPr>
            <w:r w:rsidRPr="006D57F1">
              <w:rPr>
                <w:rFonts w:ascii="Barlow" w:hAnsi="Barlow" w:cs="Calibri"/>
                <w:b/>
                <w:bCs/>
                <w:color w:val="000000"/>
                <w:sz w:val="20"/>
                <w:szCs w:val="20"/>
                <w:lang w:eastAsia="es-MX"/>
              </w:rPr>
              <w:t>4. Total de Gasto Contable (4 = 1 - 2 + 3)</w:t>
            </w:r>
          </w:p>
        </w:tc>
        <w:tc>
          <w:tcPr>
            <w:tcW w:w="1498" w:type="dxa"/>
            <w:gridSpan w:val="3"/>
            <w:tcBorders>
              <w:top w:val="nil"/>
              <w:left w:val="nil"/>
              <w:bottom w:val="nil"/>
              <w:right w:val="single" w:sz="8" w:space="0" w:color="auto"/>
            </w:tcBorders>
            <w:shd w:val="clear" w:color="auto" w:fill="auto"/>
            <w:vAlign w:val="center"/>
            <w:hideMark/>
          </w:tcPr>
          <w:p w14:paraId="3690C083" w14:textId="77777777" w:rsidR="002F63A8" w:rsidRPr="006D57F1" w:rsidRDefault="002F63A8" w:rsidP="00DA363A">
            <w:pPr>
              <w:jc w:val="right"/>
              <w:rPr>
                <w:rFonts w:ascii="Barlow" w:hAnsi="Barlow" w:cs="Calibri"/>
                <w:color w:val="000000"/>
                <w:sz w:val="20"/>
                <w:szCs w:val="20"/>
                <w:lang w:eastAsia="es-MX"/>
              </w:rPr>
            </w:pPr>
            <w:r w:rsidRPr="006D57F1">
              <w:rPr>
                <w:rFonts w:ascii="Barlow" w:hAnsi="Barlow" w:cs="Calibri"/>
                <w:color w:val="000000"/>
                <w:sz w:val="20"/>
                <w:szCs w:val="20"/>
                <w:lang w:eastAsia="es-MX"/>
              </w:rPr>
              <w:t> </w:t>
            </w:r>
          </w:p>
        </w:tc>
        <w:tc>
          <w:tcPr>
            <w:tcW w:w="1539" w:type="dxa"/>
            <w:tcBorders>
              <w:top w:val="nil"/>
              <w:left w:val="nil"/>
              <w:bottom w:val="single" w:sz="8" w:space="0" w:color="auto"/>
              <w:right w:val="single" w:sz="8" w:space="0" w:color="auto"/>
            </w:tcBorders>
            <w:shd w:val="clear" w:color="000000" w:fill="C0C0C0"/>
            <w:vAlign w:val="center"/>
            <w:hideMark/>
          </w:tcPr>
          <w:p w14:paraId="6A3633B6" w14:textId="1C64F587"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0.00</w:t>
            </w:r>
          </w:p>
        </w:tc>
        <w:tc>
          <w:tcPr>
            <w:tcW w:w="1134" w:type="dxa"/>
            <w:tcBorders>
              <w:top w:val="nil"/>
              <w:left w:val="nil"/>
              <w:bottom w:val="nil"/>
              <w:right w:val="nil"/>
            </w:tcBorders>
            <w:shd w:val="clear" w:color="auto" w:fill="auto"/>
            <w:vAlign w:val="center"/>
            <w:hideMark/>
          </w:tcPr>
          <w:p w14:paraId="3C6AA9F4" w14:textId="77777777" w:rsidR="002F63A8" w:rsidRPr="006D57F1" w:rsidRDefault="002F63A8" w:rsidP="00DA363A">
            <w:pPr>
              <w:jc w:val="right"/>
              <w:rPr>
                <w:rFonts w:ascii="Barlow" w:hAnsi="Barlow" w:cs="Calibri"/>
                <w:b/>
                <w:bCs/>
                <w:color w:val="000000"/>
                <w:sz w:val="20"/>
                <w:szCs w:val="20"/>
                <w:lang w:eastAsia="es-MX"/>
              </w:rPr>
            </w:pPr>
          </w:p>
        </w:tc>
        <w:tc>
          <w:tcPr>
            <w:tcW w:w="1701" w:type="dxa"/>
            <w:tcBorders>
              <w:top w:val="nil"/>
              <w:left w:val="nil"/>
              <w:bottom w:val="single" w:sz="8" w:space="0" w:color="auto"/>
              <w:right w:val="single" w:sz="8" w:space="0" w:color="auto"/>
            </w:tcBorders>
            <w:shd w:val="clear" w:color="000000" w:fill="C0C0C0"/>
            <w:vAlign w:val="center"/>
          </w:tcPr>
          <w:p w14:paraId="6306D180" w14:textId="1D2FFC5E" w:rsidR="002F63A8" w:rsidRPr="006D57F1" w:rsidRDefault="00412E0B" w:rsidP="00DA363A">
            <w:pPr>
              <w:jc w:val="right"/>
              <w:rPr>
                <w:rFonts w:ascii="Barlow" w:hAnsi="Barlow" w:cs="Calibri"/>
                <w:b/>
                <w:bCs/>
                <w:color w:val="000000"/>
                <w:sz w:val="20"/>
                <w:szCs w:val="20"/>
                <w:lang w:eastAsia="es-MX"/>
              </w:rPr>
            </w:pPr>
            <w:r w:rsidRPr="006D57F1">
              <w:rPr>
                <w:rFonts w:ascii="Barlow" w:hAnsi="Barlow" w:cs="Calibri"/>
                <w:b/>
                <w:bCs/>
                <w:color w:val="000000"/>
                <w:sz w:val="20"/>
                <w:szCs w:val="20"/>
                <w:lang w:eastAsia="es-MX"/>
              </w:rPr>
              <w:t>767,040.10</w:t>
            </w:r>
          </w:p>
        </w:tc>
      </w:tr>
    </w:tbl>
    <w:p w14:paraId="688A4D16" w14:textId="25E4AC28" w:rsidR="008273DF" w:rsidRPr="006D57F1" w:rsidRDefault="008273DF" w:rsidP="00C4137E">
      <w:pPr>
        <w:autoSpaceDE w:val="0"/>
        <w:autoSpaceDN w:val="0"/>
        <w:adjustRightInd w:val="0"/>
        <w:spacing w:line="360" w:lineRule="auto"/>
        <w:ind w:left="708"/>
        <w:jc w:val="both"/>
        <w:rPr>
          <w:rFonts w:ascii="Barlow" w:hAnsi="Barlow" w:cs="Arial"/>
          <w:bCs/>
          <w:sz w:val="20"/>
          <w:szCs w:val="20"/>
        </w:rPr>
      </w:pPr>
    </w:p>
    <w:p w14:paraId="1F16BB81" w14:textId="77777777" w:rsidR="002F63A8" w:rsidRPr="006D57F1" w:rsidRDefault="002F63A8" w:rsidP="00BF5926">
      <w:pPr>
        <w:autoSpaceDE w:val="0"/>
        <w:autoSpaceDN w:val="0"/>
        <w:adjustRightInd w:val="0"/>
        <w:spacing w:line="360" w:lineRule="auto"/>
        <w:jc w:val="both"/>
        <w:rPr>
          <w:rFonts w:ascii="Barlow" w:hAnsi="Barlow" w:cs="Arial"/>
          <w:bCs/>
          <w:sz w:val="20"/>
          <w:szCs w:val="20"/>
        </w:rPr>
      </w:pPr>
      <w:bookmarkStart w:id="6" w:name="m25"/>
      <w:bookmarkEnd w:id="6"/>
    </w:p>
    <w:p w14:paraId="69D09907" w14:textId="51497BC4" w:rsidR="00251A08" w:rsidRPr="006D57F1" w:rsidRDefault="00251A08"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B) NOTAS DE MEMORIA</w:t>
      </w:r>
    </w:p>
    <w:p w14:paraId="0DD756C1" w14:textId="1EA3B054" w:rsidR="004C012E" w:rsidRPr="006D57F1" w:rsidRDefault="00107174" w:rsidP="004C012E">
      <w:pPr>
        <w:autoSpaceDE w:val="0"/>
        <w:autoSpaceDN w:val="0"/>
        <w:adjustRightInd w:val="0"/>
        <w:spacing w:line="360" w:lineRule="auto"/>
        <w:ind w:left="720"/>
        <w:jc w:val="both"/>
        <w:rPr>
          <w:rFonts w:ascii="Barlow" w:hAnsi="Barlow" w:cs="Arial"/>
          <w:bCs/>
          <w:sz w:val="20"/>
          <w:szCs w:val="20"/>
        </w:rPr>
      </w:pPr>
      <w:r w:rsidRPr="006D57F1">
        <w:rPr>
          <w:rFonts w:ascii="Barlow" w:hAnsi="Barlow" w:cs="Arial"/>
          <w:bCs/>
          <w:sz w:val="20"/>
          <w:szCs w:val="20"/>
        </w:rPr>
        <w:t>Con fecha 25 de Abril del Diario oficial de Estado de Yucatán se publicó el decreto No. 60 en el cual se autoriza al poder Ejecutivo del Gobierno del Estado de Yucatán para modificar el Contrato del Proyecto para la Prestación de Servicios del Gran Museo del Mundo Maya de Mérida, en su Artículo Único.- Se autoriza al Poder Ejecutivo del Gobierno del Estado de Yucatán para que, por Conducto del Director General de las Unidades de Servicios Culturales y Turísticos del Estado de Yucatán, realice los actos administrativos  necesarios para modificar el contrato del proyecto para la prestación de Servicios del gran Museo del Mundo Maya de Mérida, con la finalidad de establecer que lo subsecuente, el Instituto de Historia y Museos de Yucatán será la Entidad Estatal encargada del desarrollo del proyecto denominado “Gran Museo del Mundo Maya de Mérida”, con apego a las disposiciones contenidas en la Ley de Proyectos para la Prestación de Servicios del Estado de Yucatán, el decreto de autorización para la realización del Gran Museo del Mundo Maya de Mérida a través del esquema de proyectos para prestación de servicios y demás disposiciones legales y normativas aplicables.</w:t>
      </w:r>
    </w:p>
    <w:p w14:paraId="08B957C8" w14:textId="5F547983" w:rsidR="00A05D19" w:rsidRPr="006D57F1" w:rsidRDefault="00A05D19" w:rsidP="006C591C">
      <w:pPr>
        <w:autoSpaceDE w:val="0"/>
        <w:autoSpaceDN w:val="0"/>
        <w:adjustRightInd w:val="0"/>
        <w:spacing w:line="360" w:lineRule="auto"/>
        <w:jc w:val="both"/>
        <w:rPr>
          <w:rFonts w:ascii="Barlow" w:hAnsi="Barlow" w:cs="Arial"/>
          <w:bCs/>
          <w:sz w:val="20"/>
          <w:szCs w:val="20"/>
        </w:rPr>
      </w:pPr>
    </w:p>
    <w:p w14:paraId="40326B0E" w14:textId="77777777" w:rsidR="00A05D19" w:rsidRPr="006D57F1" w:rsidRDefault="00A05D19" w:rsidP="004C012E">
      <w:pPr>
        <w:autoSpaceDE w:val="0"/>
        <w:autoSpaceDN w:val="0"/>
        <w:adjustRightInd w:val="0"/>
        <w:spacing w:line="360" w:lineRule="auto"/>
        <w:ind w:left="720"/>
        <w:jc w:val="both"/>
        <w:rPr>
          <w:rFonts w:ascii="Barlow" w:hAnsi="Barlow" w:cs="Arial"/>
          <w:bCs/>
          <w:sz w:val="20"/>
          <w:szCs w:val="20"/>
        </w:rPr>
      </w:pPr>
    </w:p>
    <w:p w14:paraId="16B560E0" w14:textId="53AAD24D" w:rsidR="00251A08" w:rsidRPr="006D57F1" w:rsidRDefault="00251A08" w:rsidP="00E14B45">
      <w:pPr>
        <w:numPr>
          <w:ilvl w:val="0"/>
          <w:numId w:val="10"/>
        </w:numPr>
        <w:autoSpaceDE w:val="0"/>
        <w:autoSpaceDN w:val="0"/>
        <w:adjustRightInd w:val="0"/>
        <w:spacing w:line="360" w:lineRule="auto"/>
        <w:jc w:val="both"/>
        <w:rPr>
          <w:rFonts w:ascii="Barlow" w:hAnsi="Barlow" w:cs="Arial"/>
          <w:bCs/>
          <w:sz w:val="20"/>
          <w:szCs w:val="20"/>
        </w:rPr>
      </w:pPr>
      <w:r w:rsidRPr="006D57F1">
        <w:rPr>
          <w:rFonts w:ascii="Barlow" w:hAnsi="Barlow" w:cs="Arial"/>
          <w:bCs/>
          <w:sz w:val="20"/>
          <w:szCs w:val="20"/>
        </w:rPr>
        <w:t>Cuentas presupuestarias.</w:t>
      </w:r>
    </w:p>
    <w:tbl>
      <w:tblPr>
        <w:tblW w:w="5720" w:type="dxa"/>
        <w:tblInd w:w="3366" w:type="dxa"/>
        <w:tblCellMar>
          <w:left w:w="70" w:type="dxa"/>
          <w:right w:w="70" w:type="dxa"/>
        </w:tblCellMar>
        <w:tblLook w:val="04A0" w:firstRow="1" w:lastRow="0" w:firstColumn="1" w:lastColumn="0" w:noHBand="0" w:noVBand="1"/>
      </w:tblPr>
      <w:tblGrid>
        <w:gridCol w:w="3640"/>
        <w:gridCol w:w="2080"/>
      </w:tblGrid>
      <w:tr w:rsidR="007C3FB5" w:rsidRPr="006D57F1" w14:paraId="50AADF13" w14:textId="77777777" w:rsidTr="007C3FB5">
        <w:trPr>
          <w:trHeight w:val="300"/>
        </w:trPr>
        <w:tc>
          <w:tcPr>
            <w:tcW w:w="3640" w:type="dxa"/>
            <w:tcBorders>
              <w:top w:val="nil"/>
              <w:left w:val="nil"/>
              <w:bottom w:val="nil"/>
              <w:right w:val="nil"/>
            </w:tcBorders>
            <w:shd w:val="clear" w:color="auto" w:fill="auto"/>
            <w:vAlign w:val="center"/>
            <w:hideMark/>
          </w:tcPr>
          <w:p w14:paraId="35C109F7" w14:textId="77777777" w:rsidR="007C3FB5" w:rsidRPr="006D57F1" w:rsidRDefault="007C3FB5" w:rsidP="007C3FB5">
            <w:pPr>
              <w:rPr>
                <w:rFonts w:ascii="Barlow" w:hAnsi="Barlow" w:cs="Arial"/>
                <w:b/>
                <w:bCs/>
                <w:color w:val="000000"/>
                <w:sz w:val="20"/>
                <w:szCs w:val="20"/>
                <w:lang w:eastAsia="es-MX"/>
              </w:rPr>
            </w:pPr>
            <w:bookmarkStart w:id="7" w:name="m15"/>
            <w:bookmarkEnd w:id="7"/>
            <w:r w:rsidRPr="006D57F1">
              <w:rPr>
                <w:rFonts w:ascii="Barlow" w:hAnsi="Barlow" w:cs="Arial"/>
                <w:b/>
                <w:bCs/>
                <w:color w:val="000000"/>
                <w:sz w:val="20"/>
                <w:szCs w:val="20"/>
                <w:lang w:eastAsia="es-MX"/>
              </w:rPr>
              <w:t>PRESUPUESTO DE EGRESOS</w:t>
            </w:r>
          </w:p>
        </w:tc>
        <w:tc>
          <w:tcPr>
            <w:tcW w:w="2080" w:type="dxa"/>
            <w:tcBorders>
              <w:top w:val="nil"/>
              <w:left w:val="nil"/>
              <w:bottom w:val="nil"/>
              <w:right w:val="nil"/>
            </w:tcBorders>
            <w:shd w:val="clear" w:color="auto" w:fill="auto"/>
            <w:vAlign w:val="center"/>
            <w:hideMark/>
          </w:tcPr>
          <w:p w14:paraId="49A817EE" w14:textId="77777777" w:rsidR="007C3FB5" w:rsidRPr="006D57F1" w:rsidRDefault="007C3FB5" w:rsidP="007C3FB5">
            <w:pPr>
              <w:rPr>
                <w:rFonts w:ascii="Barlow" w:hAnsi="Barlow" w:cs="Arial"/>
                <w:b/>
                <w:bCs/>
                <w:color w:val="000000"/>
                <w:sz w:val="20"/>
                <w:szCs w:val="20"/>
                <w:lang w:eastAsia="es-MX"/>
              </w:rPr>
            </w:pPr>
          </w:p>
        </w:tc>
      </w:tr>
      <w:tr w:rsidR="007C3FB5" w:rsidRPr="006D57F1" w14:paraId="0689CF80" w14:textId="77777777" w:rsidTr="00A05D19">
        <w:trPr>
          <w:trHeight w:val="270"/>
        </w:trPr>
        <w:tc>
          <w:tcPr>
            <w:tcW w:w="3640" w:type="dxa"/>
            <w:tcBorders>
              <w:top w:val="nil"/>
              <w:left w:val="nil"/>
              <w:bottom w:val="nil"/>
              <w:right w:val="nil"/>
            </w:tcBorders>
            <w:shd w:val="clear" w:color="auto" w:fill="auto"/>
            <w:vAlign w:val="center"/>
            <w:hideMark/>
          </w:tcPr>
          <w:p w14:paraId="463CBF08" w14:textId="77777777" w:rsidR="007C3FB5" w:rsidRPr="006D57F1" w:rsidRDefault="007C3FB5" w:rsidP="007C3FB5">
            <w:pPr>
              <w:rPr>
                <w:rFonts w:ascii="Barlow" w:hAnsi="Barlow" w:cs="Arial"/>
                <w:color w:val="000000"/>
                <w:sz w:val="20"/>
                <w:szCs w:val="20"/>
                <w:lang w:eastAsia="es-MX"/>
              </w:rPr>
            </w:pPr>
            <w:r w:rsidRPr="006D57F1">
              <w:rPr>
                <w:rFonts w:ascii="Barlow" w:hAnsi="Barlow" w:cs="Arial"/>
                <w:color w:val="000000"/>
                <w:sz w:val="20"/>
                <w:szCs w:val="20"/>
                <w:lang w:eastAsia="es-MX"/>
              </w:rPr>
              <w:t>PRESUPUESTO DE EGRESOS APROBADO</w:t>
            </w:r>
          </w:p>
        </w:tc>
        <w:tc>
          <w:tcPr>
            <w:tcW w:w="2080" w:type="dxa"/>
            <w:tcBorders>
              <w:top w:val="nil"/>
              <w:left w:val="nil"/>
              <w:bottom w:val="nil"/>
              <w:right w:val="nil"/>
            </w:tcBorders>
            <w:shd w:val="clear" w:color="auto" w:fill="auto"/>
            <w:vAlign w:val="center"/>
          </w:tcPr>
          <w:p w14:paraId="23797BA9" w14:textId="0C93DBC8" w:rsidR="007C3FB5" w:rsidRPr="006D57F1" w:rsidRDefault="00A05D19" w:rsidP="007C3FB5">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r>
      <w:tr w:rsidR="007C3FB5" w:rsidRPr="006D57F1" w14:paraId="4FB42660" w14:textId="77777777" w:rsidTr="007C3FB5">
        <w:trPr>
          <w:trHeight w:val="540"/>
        </w:trPr>
        <w:tc>
          <w:tcPr>
            <w:tcW w:w="3640" w:type="dxa"/>
            <w:tcBorders>
              <w:top w:val="nil"/>
              <w:left w:val="nil"/>
              <w:bottom w:val="nil"/>
              <w:right w:val="nil"/>
            </w:tcBorders>
            <w:shd w:val="clear" w:color="auto" w:fill="auto"/>
            <w:vAlign w:val="center"/>
            <w:hideMark/>
          </w:tcPr>
          <w:p w14:paraId="6FEA1174" w14:textId="77777777" w:rsidR="007C3FB5" w:rsidRPr="006D57F1" w:rsidRDefault="007C3FB5" w:rsidP="007C3FB5">
            <w:pPr>
              <w:rPr>
                <w:rFonts w:ascii="Barlow" w:hAnsi="Barlow" w:cs="Arial"/>
                <w:color w:val="000000"/>
                <w:sz w:val="20"/>
                <w:szCs w:val="20"/>
                <w:lang w:eastAsia="es-MX"/>
              </w:rPr>
            </w:pPr>
            <w:r w:rsidRPr="006D57F1">
              <w:rPr>
                <w:rFonts w:ascii="Barlow" w:hAnsi="Barlow" w:cs="Arial"/>
                <w:color w:val="000000"/>
                <w:sz w:val="20"/>
                <w:szCs w:val="20"/>
                <w:lang w:eastAsia="es-MX"/>
              </w:rPr>
              <w:t>PRESUPUESTO DE EGRESOS POR EJERCER</w:t>
            </w:r>
          </w:p>
        </w:tc>
        <w:tc>
          <w:tcPr>
            <w:tcW w:w="2080" w:type="dxa"/>
            <w:tcBorders>
              <w:top w:val="nil"/>
              <w:left w:val="nil"/>
              <w:bottom w:val="nil"/>
              <w:right w:val="nil"/>
            </w:tcBorders>
            <w:shd w:val="clear" w:color="auto" w:fill="auto"/>
            <w:vAlign w:val="center"/>
            <w:hideMark/>
          </w:tcPr>
          <w:p w14:paraId="01AC7293" w14:textId="3FBA782D" w:rsidR="007C3FB5" w:rsidRPr="006D57F1" w:rsidRDefault="00A05D19" w:rsidP="007C3FB5">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r>
      <w:tr w:rsidR="007C3FB5" w:rsidRPr="006D57F1" w14:paraId="585D7859" w14:textId="77777777" w:rsidTr="007C3FB5">
        <w:trPr>
          <w:trHeight w:val="540"/>
        </w:trPr>
        <w:tc>
          <w:tcPr>
            <w:tcW w:w="3640" w:type="dxa"/>
            <w:tcBorders>
              <w:top w:val="nil"/>
              <w:left w:val="nil"/>
              <w:bottom w:val="nil"/>
              <w:right w:val="nil"/>
            </w:tcBorders>
            <w:shd w:val="clear" w:color="auto" w:fill="auto"/>
            <w:vAlign w:val="center"/>
            <w:hideMark/>
          </w:tcPr>
          <w:p w14:paraId="4D311AD3" w14:textId="77777777" w:rsidR="007C3FB5" w:rsidRPr="006D57F1" w:rsidRDefault="007C3FB5" w:rsidP="007C3FB5">
            <w:pPr>
              <w:rPr>
                <w:rFonts w:ascii="Barlow" w:hAnsi="Barlow" w:cs="Arial"/>
                <w:color w:val="000000"/>
                <w:sz w:val="20"/>
                <w:szCs w:val="20"/>
                <w:lang w:eastAsia="es-MX"/>
              </w:rPr>
            </w:pPr>
            <w:r w:rsidRPr="006D57F1">
              <w:rPr>
                <w:rFonts w:ascii="Barlow" w:hAnsi="Barlow" w:cs="Arial"/>
                <w:color w:val="000000"/>
                <w:sz w:val="20"/>
                <w:szCs w:val="20"/>
                <w:lang w:eastAsia="es-MX"/>
              </w:rPr>
              <w:t>MODIFICACIONES AL PRESUPUESTO DE EGRESOS APROBADO</w:t>
            </w:r>
          </w:p>
        </w:tc>
        <w:tc>
          <w:tcPr>
            <w:tcW w:w="2080" w:type="dxa"/>
            <w:tcBorders>
              <w:top w:val="nil"/>
              <w:left w:val="nil"/>
              <w:bottom w:val="nil"/>
              <w:right w:val="nil"/>
            </w:tcBorders>
            <w:shd w:val="clear" w:color="auto" w:fill="auto"/>
            <w:vAlign w:val="center"/>
            <w:hideMark/>
          </w:tcPr>
          <w:p w14:paraId="6FDEFB59" w14:textId="0C9C5DD8" w:rsidR="007C3FB5" w:rsidRPr="006D57F1" w:rsidRDefault="00412E0B" w:rsidP="00591E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r w:rsidR="007C3FB5" w:rsidRPr="006D57F1" w14:paraId="460E257B" w14:textId="77777777" w:rsidTr="007C3FB5">
        <w:trPr>
          <w:trHeight w:val="540"/>
        </w:trPr>
        <w:tc>
          <w:tcPr>
            <w:tcW w:w="3640" w:type="dxa"/>
            <w:tcBorders>
              <w:top w:val="nil"/>
              <w:left w:val="nil"/>
              <w:bottom w:val="nil"/>
              <w:right w:val="nil"/>
            </w:tcBorders>
            <w:shd w:val="clear" w:color="auto" w:fill="auto"/>
            <w:vAlign w:val="center"/>
            <w:hideMark/>
          </w:tcPr>
          <w:p w14:paraId="14DEC148" w14:textId="77777777" w:rsidR="007C3FB5" w:rsidRPr="006D57F1" w:rsidRDefault="007C3FB5" w:rsidP="007C3FB5">
            <w:pPr>
              <w:rPr>
                <w:rFonts w:ascii="Barlow" w:hAnsi="Barlow" w:cs="Arial"/>
                <w:color w:val="000000"/>
                <w:sz w:val="20"/>
                <w:szCs w:val="20"/>
                <w:lang w:eastAsia="es-MX"/>
              </w:rPr>
            </w:pPr>
            <w:r w:rsidRPr="006D57F1">
              <w:rPr>
                <w:rFonts w:ascii="Barlow" w:hAnsi="Barlow" w:cs="Arial"/>
                <w:color w:val="000000"/>
                <w:sz w:val="20"/>
                <w:szCs w:val="20"/>
                <w:lang w:eastAsia="es-MX"/>
              </w:rPr>
              <w:t>PRESUPUESTO DE EGRESOS COMPROMETIDO</w:t>
            </w:r>
          </w:p>
        </w:tc>
        <w:tc>
          <w:tcPr>
            <w:tcW w:w="2080" w:type="dxa"/>
            <w:tcBorders>
              <w:top w:val="nil"/>
              <w:left w:val="nil"/>
              <w:bottom w:val="nil"/>
              <w:right w:val="nil"/>
            </w:tcBorders>
            <w:shd w:val="clear" w:color="auto" w:fill="auto"/>
            <w:vAlign w:val="center"/>
            <w:hideMark/>
          </w:tcPr>
          <w:p w14:paraId="40A99D8E" w14:textId="746EBD45" w:rsidR="007C3FB5" w:rsidRPr="006D57F1" w:rsidRDefault="00412E0B" w:rsidP="001C7DB8">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r w:rsidR="007C3FB5" w:rsidRPr="006D57F1" w14:paraId="7FC38A58" w14:textId="77777777" w:rsidTr="007C3FB5">
        <w:trPr>
          <w:trHeight w:val="540"/>
        </w:trPr>
        <w:tc>
          <w:tcPr>
            <w:tcW w:w="3640" w:type="dxa"/>
            <w:tcBorders>
              <w:top w:val="nil"/>
              <w:left w:val="nil"/>
              <w:bottom w:val="nil"/>
              <w:right w:val="nil"/>
            </w:tcBorders>
            <w:shd w:val="clear" w:color="auto" w:fill="auto"/>
            <w:vAlign w:val="center"/>
            <w:hideMark/>
          </w:tcPr>
          <w:p w14:paraId="27C0B1CF" w14:textId="77777777" w:rsidR="007C3FB5" w:rsidRPr="006D57F1" w:rsidRDefault="007C3FB5" w:rsidP="007C3FB5">
            <w:pPr>
              <w:rPr>
                <w:rFonts w:ascii="Barlow" w:hAnsi="Barlow" w:cs="Arial"/>
                <w:color w:val="000000"/>
                <w:sz w:val="20"/>
                <w:szCs w:val="20"/>
                <w:lang w:eastAsia="es-MX"/>
              </w:rPr>
            </w:pPr>
            <w:r w:rsidRPr="006D57F1">
              <w:rPr>
                <w:rFonts w:ascii="Barlow" w:hAnsi="Barlow" w:cs="Arial"/>
                <w:color w:val="000000"/>
                <w:sz w:val="20"/>
                <w:szCs w:val="20"/>
                <w:lang w:eastAsia="es-MX"/>
              </w:rPr>
              <w:t>PRESUPUESTO DE EGRESOS DEVENGADO</w:t>
            </w:r>
          </w:p>
        </w:tc>
        <w:tc>
          <w:tcPr>
            <w:tcW w:w="2080" w:type="dxa"/>
            <w:tcBorders>
              <w:top w:val="nil"/>
              <w:left w:val="nil"/>
              <w:bottom w:val="nil"/>
              <w:right w:val="nil"/>
            </w:tcBorders>
            <w:shd w:val="clear" w:color="auto" w:fill="auto"/>
            <w:vAlign w:val="center"/>
            <w:hideMark/>
          </w:tcPr>
          <w:p w14:paraId="267208AD" w14:textId="37EC5118" w:rsidR="007C3FB5" w:rsidRPr="006D57F1" w:rsidRDefault="00412E0B" w:rsidP="007C3FB5">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r w:rsidR="007C3FB5" w:rsidRPr="006D57F1" w14:paraId="30F81291" w14:textId="77777777" w:rsidTr="007C3FB5">
        <w:trPr>
          <w:trHeight w:val="270"/>
        </w:trPr>
        <w:tc>
          <w:tcPr>
            <w:tcW w:w="3640" w:type="dxa"/>
            <w:tcBorders>
              <w:top w:val="nil"/>
              <w:left w:val="nil"/>
              <w:bottom w:val="nil"/>
              <w:right w:val="nil"/>
            </w:tcBorders>
            <w:shd w:val="clear" w:color="auto" w:fill="auto"/>
            <w:vAlign w:val="center"/>
            <w:hideMark/>
          </w:tcPr>
          <w:p w14:paraId="0B9F4656" w14:textId="77777777" w:rsidR="007C3FB5" w:rsidRPr="006D57F1" w:rsidRDefault="007C3FB5" w:rsidP="007C3FB5">
            <w:pPr>
              <w:rPr>
                <w:rFonts w:ascii="Barlow" w:hAnsi="Barlow" w:cs="Arial"/>
                <w:color w:val="000000"/>
                <w:sz w:val="20"/>
                <w:szCs w:val="20"/>
                <w:lang w:eastAsia="es-MX"/>
              </w:rPr>
            </w:pPr>
            <w:r w:rsidRPr="006D57F1">
              <w:rPr>
                <w:rFonts w:ascii="Barlow" w:hAnsi="Barlow" w:cs="Arial"/>
                <w:color w:val="000000"/>
                <w:sz w:val="20"/>
                <w:szCs w:val="20"/>
                <w:lang w:eastAsia="es-MX"/>
              </w:rPr>
              <w:t>PRESUPUESTO DE EGRESOS EJERCIDO</w:t>
            </w:r>
          </w:p>
        </w:tc>
        <w:tc>
          <w:tcPr>
            <w:tcW w:w="2080" w:type="dxa"/>
            <w:tcBorders>
              <w:top w:val="nil"/>
              <w:left w:val="nil"/>
              <w:bottom w:val="nil"/>
              <w:right w:val="nil"/>
            </w:tcBorders>
            <w:shd w:val="clear" w:color="auto" w:fill="auto"/>
            <w:vAlign w:val="center"/>
            <w:hideMark/>
          </w:tcPr>
          <w:p w14:paraId="785A0829" w14:textId="0DEE2E5A" w:rsidR="007C3FB5" w:rsidRPr="006D57F1" w:rsidRDefault="00412E0B" w:rsidP="007C3FB5">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r w:rsidR="00A05D19" w:rsidRPr="006D57F1" w14:paraId="698A71E1" w14:textId="77777777" w:rsidTr="007C3FB5">
        <w:trPr>
          <w:trHeight w:val="270"/>
        </w:trPr>
        <w:tc>
          <w:tcPr>
            <w:tcW w:w="3640" w:type="dxa"/>
            <w:tcBorders>
              <w:top w:val="nil"/>
              <w:left w:val="nil"/>
              <w:bottom w:val="nil"/>
              <w:right w:val="nil"/>
            </w:tcBorders>
            <w:shd w:val="clear" w:color="auto" w:fill="auto"/>
            <w:vAlign w:val="center"/>
          </w:tcPr>
          <w:p w14:paraId="7D59AA47" w14:textId="42564114" w:rsidR="00A05D19" w:rsidRPr="006D57F1" w:rsidRDefault="00A05D19" w:rsidP="007C3FB5">
            <w:pPr>
              <w:rPr>
                <w:rFonts w:ascii="Barlow" w:hAnsi="Barlow" w:cs="Arial"/>
                <w:color w:val="000000"/>
                <w:sz w:val="20"/>
                <w:szCs w:val="20"/>
                <w:lang w:eastAsia="es-MX"/>
              </w:rPr>
            </w:pPr>
          </w:p>
        </w:tc>
        <w:tc>
          <w:tcPr>
            <w:tcW w:w="2080" w:type="dxa"/>
            <w:tcBorders>
              <w:top w:val="nil"/>
              <w:left w:val="nil"/>
              <w:bottom w:val="nil"/>
              <w:right w:val="nil"/>
            </w:tcBorders>
            <w:shd w:val="clear" w:color="auto" w:fill="auto"/>
            <w:vAlign w:val="center"/>
          </w:tcPr>
          <w:p w14:paraId="73E66A57" w14:textId="77777777" w:rsidR="00A05D19" w:rsidRPr="006D57F1" w:rsidRDefault="00A05D19" w:rsidP="007C3FB5">
            <w:pPr>
              <w:jc w:val="right"/>
              <w:rPr>
                <w:rFonts w:ascii="Barlow" w:hAnsi="Barlow" w:cs="Arial"/>
                <w:color w:val="000000"/>
                <w:sz w:val="20"/>
                <w:szCs w:val="20"/>
                <w:lang w:eastAsia="es-MX"/>
              </w:rPr>
            </w:pPr>
          </w:p>
        </w:tc>
      </w:tr>
      <w:tr w:rsidR="00F47B69" w:rsidRPr="006D57F1" w14:paraId="7D9EE3E3" w14:textId="77777777" w:rsidTr="007C3FB5">
        <w:trPr>
          <w:trHeight w:val="270"/>
        </w:trPr>
        <w:tc>
          <w:tcPr>
            <w:tcW w:w="3640" w:type="dxa"/>
            <w:tcBorders>
              <w:top w:val="nil"/>
              <w:left w:val="nil"/>
              <w:bottom w:val="nil"/>
              <w:right w:val="nil"/>
            </w:tcBorders>
            <w:shd w:val="clear" w:color="auto" w:fill="auto"/>
            <w:vAlign w:val="center"/>
            <w:hideMark/>
          </w:tcPr>
          <w:p w14:paraId="37ED2050" w14:textId="77777777" w:rsidR="00F47B69" w:rsidRPr="006D57F1" w:rsidRDefault="00F47B69" w:rsidP="00F47B69">
            <w:pPr>
              <w:rPr>
                <w:rFonts w:ascii="Barlow" w:hAnsi="Barlow" w:cs="Arial"/>
                <w:color w:val="000000"/>
                <w:sz w:val="20"/>
                <w:szCs w:val="20"/>
                <w:lang w:eastAsia="es-MX"/>
              </w:rPr>
            </w:pPr>
            <w:r w:rsidRPr="006D57F1">
              <w:rPr>
                <w:rFonts w:ascii="Barlow" w:hAnsi="Barlow" w:cs="Arial"/>
                <w:color w:val="000000"/>
                <w:sz w:val="20"/>
                <w:szCs w:val="20"/>
                <w:lang w:eastAsia="es-MX"/>
              </w:rPr>
              <w:t>PRESUPUESTO DE EGRESOS PAGADO</w:t>
            </w:r>
          </w:p>
        </w:tc>
        <w:tc>
          <w:tcPr>
            <w:tcW w:w="2080" w:type="dxa"/>
            <w:tcBorders>
              <w:top w:val="nil"/>
              <w:left w:val="nil"/>
              <w:bottom w:val="nil"/>
              <w:right w:val="nil"/>
            </w:tcBorders>
            <w:shd w:val="clear" w:color="auto" w:fill="auto"/>
            <w:vAlign w:val="center"/>
            <w:hideMark/>
          </w:tcPr>
          <w:p w14:paraId="1EFD7C86" w14:textId="3CD5A35E" w:rsidR="00F47B69" w:rsidRPr="006D57F1" w:rsidRDefault="00412E0B" w:rsidP="00F47B69">
            <w:pPr>
              <w:jc w:val="right"/>
              <w:rPr>
                <w:rFonts w:ascii="Barlow" w:hAnsi="Barlow" w:cs="Arial"/>
                <w:bCs/>
                <w:color w:val="000000"/>
                <w:sz w:val="20"/>
                <w:szCs w:val="20"/>
                <w:lang w:eastAsia="es-MX"/>
              </w:rPr>
            </w:pPr>
            <w:r w:rsidRPr="006D57F1">
              <w:rPr>
                <w:rFonts w:ascii="Barlow" w:hAnsi="Barlow" w:cs="Arial"/>
                <w:bCs/>
                <w:color w:val="000000"/>
                <w:sz w:val="20"/>
                <w:szCs w:val="20"/>
                <w:lang w:eastAsia="es-MX"/>
              </w:rPr>
              <w:t>0.00</w:t>
            </w:r>
          </w:p>
        </w:tc>
      </w:tr>
    </w:tbl>
    <w:p w14:paraId="23C9A011" w14:textId="77777777" w:rsidR="004C012E" w:rsidRPr="006D57F1" w:rsidRDefault="004C012E" w:rsidP="00C4137E">
      <w:pPr>
        <w:autoSpaceDE w:val="0"/>
        <w:autoSpaceDN w:val="0"/>
        <w:adjustRightInd w:val="0"/>
        <w:spacing w:line="360" w:lineRule="auto"/>
        <w:jc w:val="both"/>
        <w:rPr>
          <w:rFonts w:ascii="Barlow" w:hAnsi="Barlow" w:cs="Arial"/>
          <w:bCs/>
          <w:sz w:val="20"/>
          <w:szCs w:val="20"/>
        </w:rPr>
      </w:pPr>
      <w:r w:rsidRPr="006D57F1">
        <w:rPr>
          <w:rFonts w:ascii="Barlow" w:hAnsi="Barlow" w:cs="Arial"/>
          <w:bCs/>
          <w:sz w:val="20"/>
          <w:szCs w:val="20"/>
        </w:rPr>
        <w:t xml:space="preserve"> </w:t>
      </w:r>
    </w:p>
    <w:p w14:paraId="372D028A" w14:textId="090E7A54" w:rsidR="00251A08" w:rsidRPr="006D57F1" w:rsidRDefault="00251A08" w:rsidP="00C4137E">
      <w:pPr>
        <w:autoSpaceDE w:val="0"/>
        <w:autoSpaceDN w:val="0"/>
        <w:adjustRightInd w:val="0"/>
        <w:spacing w:line="360" w:lineRule="auto"/>
        <w:jc w:val="both"/>
        <w:rPr>
          <w:rFonts w:ascii="Barlow" w:hAnsi="Barlow" w:cs="Arial"/>
          <w:bCs/>
          <w:sz w:val="20"/>
          <w:szCs w:val="20"/>
        </w:rPr>
      </w:pPr>
      <w:r w:rsidRPr="006D57F1">
        <w:rPr>
          <w:rFonts w:ascii="Barlow" w:hAnsi="Barlow" w:cs="Arial"/>
          <w:bCs/>
          <w:sz w:val="20"/>
          <w:szCs w:val="20"/>
        </w:rPr>
        <w:t>*Las modificaciones al presupuesto corresponden a adecuaciones presupuestales realizadas.</w:t>
      </w:r>
    </w:p>
    <w:p w14:paraId="54C7354F" w14:textId="77777777" w:rsidR="008273DF" w:rsidRPr="006D57F1" w:rsidRDefault="008273DF" w:rsidP="00C4137E">
      <w:pPr>
        <w:autoSpaceDE w:val="0"/>
        <w:autoSpaceDN w:val="0"/>
        <w:adjustRightInd w:val="0"/>
        <w:spacing w:line="360" w:lineRule="auto"/>
        <w:jc w:val="both"/>
        <w:rPr>
          <w:rFonts w:ascii="Barlow" w:hAnsi="Barlow" w:cs="Arial"/>
          <w:b/>
          <w:sz w:val="20"/>
          <w:szCs w:val="20"/>
        </w:rPr>
      </w:pPr>
    </w:p>
    <w:p w14:paraId="7954F4FB" w14:textId="34BE40CB" w:rsidR="005D39CB" w:rsidRDefault="005D39CB" w:rsidP="00C4137E">
      <w:pPr>
        <w:autoSpaceDE w:val="0"/>
        <w:autoSpaceDN w:val="0"/>
        <w:adjustRightInd w:val="0"/>
        <w:spacing w:line="360" w:lineRule="auto"/>
        <w:jc w:val="both"/>
        <w:rPr>
          <w:rFonts w:ascii="Barlow" w:hAnsi="Barlow" w:cs="Arial"/>
          <w:b/>
          <w:sz w:val="20"/>
          <w:szCs w:val="20"/>
        </w:rPr>
      </w:pPr>
    </w:p>
    <w:p w14:paraId="01C86F43" w14:textId="016103B5" w:rsidR="006D57F1" w:rsidRDefault="006D57F1" w:rsidP="00C4137E">
      <w:pPr>
        <w:autoSpaceDE w:val="0"/>
        <w:autoSpaceDN w:val="0"/>
        <w:adjustRightInd w:val="0"/>
        <w:spacing w:line="360" w:lineRule="auto"/>
        <w:jc w:val="both"/>
        <w:rPr>
          <w:rFonts w:ascii="Barlow" w:hAnsi="Barlow" w:cs="Arial"/>
          <w:b/>
          <w:sz w:val="20"/>
          <w:szCs w:val="20"/>
        </w:rPr>
      </w:pPr>
    </w:p>
    <w:p w14:paraId="01D7EA3C" w14:textId="5341C21A" w:rsidR="006D57F1" w:rsidRDefault="006D57F1" w:rsidP="00C4137E">
      <w:pPr>
        <w:autoSpaceDE w:val="0"/>
        <w:autoSpaceDN w:val="0"/>
        <w:adjustRightInd w:val="0"/>
        <w:spacing w:line="360" w:lineRule="auto"/>
        <w:jc w:val="both"/>
        <w:rPr>
          <w:rFonts w:ascii="Barlow" w:hAnsi="Barlow" w:cs="Arial"/>
          <w:b/>
          <w:sz w:val="20"/>
          <w:szCs w:val="20"/>
        </w:rPr>
      </w:pPr>
    </w:p>
    <w:p w14:paraId="1CC04303" w14:textId="16D78570" w:rsidR="006D57F1" w:rsidRDefault="006D57F1" w:rsidP="00C4137E">
      <w:pPr>
        <w:autoSpaceDE w:val="0"/>
        <w:autoSpaceDN w:val="0"/>
        <w:adjustRightInd w:val="0"/>
        <w:spacing w:line="360" w:lineRule="auto"/>
        <w:jc w:val="both"/>
        <w:rPr>
          <w:rFonts w:ascii="Barlow" w:hAnsi="Barlow" w:cs="Arial"/>
          <w:b/>
          <w:sz w:val="20"/>
          <w:szCs w:val="20"/>
        </w:rPr>
      </w:pPr>
    </w:p>
    <w:p w14:paraId="6526C7C4" w14:textId="77777777" w:rsidR="006D57F1" w:rsidRPr="006D57F1" w:rsidRDefault="006D57F1" w:rsidP="00C4137E">
      <w:pPr>
        <w:autoSpaceDE w:val="0"/>
        <w:autoSpaceDN w:val="0"/>
        <w:adjustRightInd w:val="0"/>
        <w:spacing w:line="360" w:lineRule="auto"/>
        <w:jc w:val="both"/>
        <w:rPr>
          <w:rFonts w:ascii="Barlow" w:hAnsi="Barlow" w:cs="Arial"/>
          <w:b/>
          <w:sz w:val="20"/>
          <w:szCs w:val="20"/>
        </w:rPr>
      </w:pPr>
    </w:p>
    <w:p w14:paraId="4B4746DB" w14:textId="77777777" w:rsidR="005D39CB" w:rsidRPr="006D57F1" w:rsidRDefault="005D39CB" w:rsidP="00C4137E">
      <w:pPr>
        <w:autoSpaceDE w:val="0"/>
        <w:autoSpaceDN w:val="0"/>
        <w:adjustRightInd w:val="0"/>
        <w:spacing w:line="360" w:lineRule="auto"/>
        <w:jc w:val="both"/>
        <w:rPr>
          <w:rFonts w:ascii="Barlow" w:hAnsi="Barlow" w:cs="Arial"/>
          <w:b/>
          <w:sz w:val="20"/>
          <w:szCs w:val="20"/>
        </w:rPr>
      </w:pPr>
    </w:p>
    <w:p w14:paraId="0FEEF2EE" w14:textId="675389F6" w:rsidR="00D3760C" w:rsidRPr="006D57F1" w:rsidRDefault="002D4328"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lastRenderedPageBreak/>
        <w:t xml:space="preserve">C) </w:t>
      </w:r>
      <w:r w:rsidR="005268B4" w:rsidRPr="006D57F1">
        <w:rPr>
          <w:rFonts w:ascii="Barlow" w:hAnsi="Barlow" w:cs="Arial"/>
          <w:b/>
          <w:sz w:val="20"/>
          <w:szCs w:val="20"/>
        </w:rPr>
        <w:t xml:space="preserve">NOTAS </w:t>
      </w:r>
      <w:r w:rsidR="00D3760C" w:rsidRPr="006D57F1">
        <w:rPr>
          <w:rFonts w:ascii="Barlow" w:hAnsi="Barlow" w:cs="Arial"/>
          <w:b/>
          <w:sz w:val="20"/>
          <w:szCs w:val="20"/>
        </w:rPr>
        <w:t>DE GESTIÓN ADMINISTRATIVA</w:t>
      </w:r>
    </w:p>
    <w:p w14:paraId="5CEA58B8" w14:textId="77777777" w:rsidR="00052C47" w:rsidRPr="006D57F1" w:rsidRDefault="00052C47" w:rsidP="00C4137E">
      <w:pPr>
        <w:autoSpaceDE w:val="0"/>
        <w:autoSpaceDN w:val="0"/>
        <w:adjustRightInd w:val="0"/>
        <w:spacing w:line="360" w:lineRule="auto"/>
        <w:jc w:val="both"/>
        <w:rPr>
          <w:rFonts w:ascii="Barlow" w:hAnsi="Barlow" w:cs="Arial"/>
          <w:b/>
          <w:sz w:val="20"/>
          <w:szCs w:val="20"/>
        </w:rPr>
      </w:pPr>
    </w:p>
    <w:p w14:paraId="255A76E4" w14:textId="77777777" w:rsidR="00D3760C" w:rsidRPr="006D57F1" w:rsidRDefault="00D3760C" w:rsidP="00C4137E">
      <w:pPr>
        <w:autoSpaceDE w:val="0"/>
        <w:autoSpaceDN w:val="0"/>
        <w:adjustRightInd w:val="0"/>
        <w:spacing w:line="360" w:lineRule="auto"/>
        <w:ind w:left="709"/>
        <w:jc w:val="both"/>
        <w:rPr>
          <w:rFonts w:ascii="Barlow" w:hAnsi="Barlow" w:cs="Arial"/>
          <w:b/>
          <w:sz w:val="20"/>
          <w:szCs w:val="20"/>
        </w:rPr>
      </w:pPr>
      <w:r w:rsidRPr="006D57F1">
        <w:rPr>
          <w:rFonts w:ascii="Barlow" w:hAnsi="Barlow" w:cs="Arial"/>
          <w:b/>
          <w:sz w:val="20"/>
          <w:szCs w:val="20"/>
        </w:rPr>
        <w:t>1.- Introducción</w:t>
      </w:r>
    </w:p>
    <w:p w14:paraId="1A8FDFD3" w14:textId="77777777" w:rsidR="00052C47" w:rsidRPr="006D57F1" w:rsidRDefault="00052C47" w:rsidP="00C4137E">
      <w:pPr>
        <w:autoSpaceDE w:val="0"/>
        <w:autoSpaceDN w:val="0"/>
        <w:adjustRightInd w:val="0"/>
        <w:spacing w:line="360" w:lineRule="auto"/>
        <w:ind w:left="709"/>
        <w:jc w:val="both"/>
        <w:rPr>
          <w:rFonts w:ascii="Barlow" w:hAnsi="Barlow" w:cs="Arial"/>
          <w:b/>
          <w:sz w:val="20"/>
          <w:szCs w:val="20"/>
        </w:rPr>
      </w:pPr>
    </w:p>
    <w:p w14:paraId="1C8A50B6" w14:textId="55BF9E1B" w:rsidR="00D3760C" w:rsidRPr="006D57F1" w:rsidRDefault="00D3760C" w:rsidP="00C4137E">
      <w:pPr>
        <w:autoSpaceDE w:val="0"/>
        <w:autoSpaceDN w:val="0"/>
        <w:adjustRightInd w:val="0"/>
        <w:spacing w:line="360" w:lineRule="auto"/>
        <w:ind w:firstLine="360"/>
        <w:jc w:val="both"/>
        <w:rPr>
          <w:rFonts w:ascii="Barlow" w:hAnsi="Barlow" w:cs="Arial"/>
          <w:sz w:val="20"/>
          <w:szCs w:val="20"/>
        </w:rPr>
      </w:pPr>
      <w:r w:rsidRPr="006D57F1">
        <w:rPr>
          <w:rFonts w:ascii="Barlow" w:hAnsi="Barlow" w:cs="Arial"/>
          <w:sz w:val="20"/>
          <w:szCs w:val="20"/>
        </w:rPr>
        <w:t xml:space="preserve"> Los Estados Financieros del </w:t>
      </w:r>
      <w:r w:rsidR="00A92141" w:rsidRPr="006D57F1">
        <w:rPr>
          <w:rFonts w:ascii="Barlow" w:hAnsi="Barlow" w:cs="Arial"/>
          <w:sz w:val="20"/>
          <w:szCs w:val="20"/>
        </w:rPr>
        <w:t>Instituto de Historia y Museos de Yucatán</w:t>
      </w:r>
      <w:r w:rsidRPr="006D57F1">
        <w:rPr>
          <w:rFonts w:ascii="Barlow" w:hAnsi="Barlow" w:cs="Arial"/>
          <w:sz w:val="20"/>
          <w:szCs w:val="20"/>
        </w:rPr>
        <w:t xml:space="preserve">, proveen de información financiera a </w:t>
      </w:r>
      <w:r w:rsidR="00AE5989" w:rsidRPr="006D57F1">
        <w:rPr>
          <w:rFonts w:ascii="Barlow" w:hAnsi="Barlow" w:cs="Arial"/>
          <w:sz w:val="20"/>
          <w:szCs w:val="20"/>
        </w:rPr>
        <w:t>los</w:t>
      </w:r>
      <w:r w:rsidRPr="006D57F1">
        <w:rPr>
          <w:rFonts w:ascii="Barlow" w:hAnsi="Barlow" w:cs="Arial"/>
          <w:sz w:val="20"/>
          <w:szCs w:val="20"/>
        </w:rPr>
        <w:t xml:space="preserve"> principales usuarios</w:t>
      </w:r>
      <w:r w:rsidR="00AE5989" w:rsidRPr="006D57F1">
        <w:rPr>
          <w:rFonts w:ascii="Barlow" w:hAnsi="Barlow" w:cs="Arial"/>
          <w:sz w:val="20"/>
          <w:szCs w:val="20"/>
        </w:rPr>
        <w:t xml:space="preserve"> de la misma</w:t>
      </w:r>
      <w:r w:rsidRPr="006D57F1">
        <w:rPr>
          <w:rFonts w:ascii="Barlow" w:hAnsi="Barlow" w:cs="Arial"/>
          <w:sz w:val="20"/>
          <w:szCs w:val="20"/>
        </w:rPr>
        <w:t>,</w:t>
      </w:r>
      <w:r w:rsidR="009E6426" w:rsidRPr="006D57F1">
        <w:rPr>
          <w:rFonts w:ascii="Barlow" w:hAnsi="Barlow" w:cs="Arial"/>
          <w:sz w:val="20"/>
          <w:szCs w:val="20"/>
        </w:rPr>
        <w:t xml:space="preserve"> a</w:t>
      </w:r>
      <w:r w:rsidRPr="006D57F1">
        <w:rPr>
          <w:rFonts w:ascii="Barlow" w:hAnsi="Barlow" w:cs="Arial"/>
          <w:sz w:val="20"/>
          <w:szCs w:val="20"/>
        </w:rPr>
        <w:t xml:space="preserve"> la ciudad</w:t>
      </w:r>
      <w:r w:rsidR="009E6426" w:rsidRPr="006D57F1">
        <w:rPr>
          <w:rFonts w:ascii="Barlow" w:hAnsi="Barlow" w:cs="Arial"/>
          <w:sz w:val="20"/>
          <w:szCs w:val="20"/>
        </w:rPr>
        <w:t xml:space="preserve">anía, </w:t>
      </w:r>
      <w:r w:rsidRPr="006D57F1">
        <w:rPr>
          <w:rFonts w:ascii="Barlow" w:hAnsi="Barlow" w:cs="Arial"/>
          <w:sz w:val="20"/>
          <w:szCs w:val="20"/>
        </w:rPr>
        <w:t>a los administradores de la Secretarías que integran el Poder Ejecutivo del Gobierno del Estado, al H. Congreso del Estado de Yucatán, a las Entidades Fiscalizadoras, a las Instituciones Bancarias y a las Calificadoras</w:t>
      </w:r>
      <w:r w:rsidR="00962E2B" w:rsidRPr="006D57F1">
        <w:rPr>
          <w:rFonts w:ascii="Barlow" w:hAnsi="Barlow" w:cs="Arial"/>
          <w:sz w:val="20"/>
          <w:szCs w:val="20"/>
        </w:rPr>
        <w:t>, entre otros</w:t>
      </w:r>
      <w:r w:rsidRPr="006D57F1">
        <w:rPr>
          <w:rFonts w:ascii="Barlow" w:hAnsi="Barlow" w:cs="Arial"/>
          <w:sz w:val="20"/>
          <w:szCs w:val="20"/>
        </w:rPr>
        <w:t>.</w:t>
      </w:r>
    </w:p>
    <w:p w14:paraId="01470C4B" w14:textId="77777777" w:rsidR="00AA7F21" w:rsidRPr="006D57F1" w:rsidRDefault="00AA7F21" w:rsidP="00C4137E">
      <w:pPr>
        <w:autoSpaceDE w:val="0"/>
        <w:autoSpaceDN w:val="0"/>
        <w:adjustRightInd w:val="0"/>
        <w:spacing w:line="360" w:lineRule="auto"/>
        <w:ind w:firstLine="360"/>
        <w:jc w:val="both"/>
        <w:rPr>
          <w:rFonts w:ascii="Barlow" w:hAnsi="Barlow" w:cs="Arial"/>
          <w:sz w:val="20"/>
          <w:szCs w:val="20"/>
        </w:rPr>
      </w:pPr>
    </w:p>
    <w:p w14:paraId="1DAF593D" w14:textId="77777777" w:rsidR="00D3760C" w:rsidRPr="006D57F1" w:rsidRDefault="00D3760C" w:rsidP="00C4137E">
      <w:pPr>
        <w:autoSpaceDE w:val="0"/>
        <w:autoSpaceDN w:val="0"/>
        <w:adjustRightInd w:val="0"/>
        <w:spacing w:line="360" w:lineRule="auto"/>
        <w:ind w:firstLine="360"/>
        <w:jc w:val="both"/>
        <w:rPr>
          <w:rFonts w:ascii="Barlow" w:hAnsi="Barlow" w:cs="Arial"/>
          <w:sz w:val="20"/>
          <w:szCs w:val="20"/>
        </w:rPr>
      </w:pPr>
      <w:r w:rsidRPr="006D57F1">
        <w:rPr>
          <w:rFonts w:ascii="Barlow" w:hAnsi="Barlow" w:cs="Arial"/>
          <w:sz w:val="20"/>
          <w:szCs w:val="20"/>
        </w:rPr>
        <w:t xml:space="preserve">El objetivo del presente documento es la revelación del contexto y de los aspectos económicos-financieros más relevantes que influyeron en las decisiones del período y que </w:t>
      </w:r>
      <w:r w:rsidR="00962E2B" w:rsidRPr="006D57F1">
        <w:rPr>
          <w:rFonts w:ascii="Barlow" w:hAnsi="Barlow" w:cs="Arial"/>
          <w:sz w:val="20"/>
          <w:szCs w:val="20"/>
        </w:rPr>
        <w:t xml:space="preserve">fueron </w:t>
      </w:r>
      <w:r w:rsidRPr="006D57F1">
        <w:rPr>
          <w:rFonts w:ascii="Barlow" w:hAnsi="Barlow" w:cs="Arial"/>
          <w:sz w:val="20"/>
          <w:szCs w:val="20"/>
        </w:rPr>
        <w:t xml:space="preserve">considerados en la elaboración de los estados financieros para mayor comprensión de los mismos y </w:t>
      </w:r>
      <w:r w:rsidR="008A304E" w:rsidRPr="006D57F1">
        <w:rPr>
          <w:rFonts w:ascii="Barlow" w:hAnsi="Barlow" w:cs="Arial"/>
          <w:sz w:val="20"/>
          <w:szCs w:val="20"/>
        </w:rPr>
        <w:t>sus</w:t>
      </w:r>
      <w:r w:rsidRPr="006D57F1">
        <w:rPr>
          <w:rFonts w:ascii="Barlow" w:hAnsi="Barlow" w:cs="Arial"/>
          <w:sz w:val="20"/>
          <w:szCs w:val="20"/>
        </w:rPr>
        <w:t xml:space="preserve"> particulares.</w:t>
      </w:r>
    </w:p>
    <w:p w14:paraId="6AFF3148" w14:textId="77777777" w:rsidR="00AA7F21" w:rsidRPr="006D57F1" w:rsidRDefault="00AA7F21" w:rsidP="00C4137E">
      <w:pPr>
        <w:autoSpaceDE w:val="0"/>
        <w:autoSpaceDN w:val="0"/>
        <w:adjustRightInd w:val="0"/>
        <w:spacing w:line="360" w:lineRule="auto"/>
        <w:ind w:firstLine="360"/>
        <w:jc w:val="both"/>
        <w:rPr>
          <w:rFonts w:ascii="Barlow" w:hAnsi="Barlow" w:cs="Arial"/>
          <w:sz w:val="20"/>
          <w:szCs w:val="20"/>
        </w:rPr>
      </w:pPr>
    </w:p>
    <w:p w14:paraId="5B127E5E" w14:textId="77777777" w:rsidR="00D3760C" w:rsidRPr="006D57F1" w:rsidRDefault="00D3760C" w:rsidP="00C4137E">
      <w:pPr>
        <w:autoSpaceDE w:val="0"/>
        <w:autoSpaceDN w:val="0"/>
        <w:adjustRightInd w:val="0"/>
        <w:spacing w:line="360" w:lineRule="auto"/>
        <w:ind w:firstLine="360"/>
        <w:jc w:val="both"/>
        <w:rPr>
          <w:rFonts w:ascii="Barlow" w:hAnsi="Barlow" w:cs="Arial"/>
          <w:sz w:val="20"/>
          <w:szCs w:val="20"/>
        </w:rPr>
      </w:pPr>
      <w:r w:rsidRPr="006D57F1">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6F86D142" w14:textId="77777777" w:rsidR="00AA7F21" w:rsidRPr="006D57F1" w:rsidRDefault="00AA7F21" w:rsidP="00C4137E">
      <w:pPr>
        <w:autoSpaceDE w:val="0"/>
        <w:autoSpaceDN w:val="0"/>
        <w:adjustRightInd w:val="0"/>
        <w:spacing w:line="360" w:lineRule="auto"/>
        <w:ind w:firstLine="360"/>
        <w:jc w:val="both"/>
        <w:rPr>
          <w:rFonts w:ascii="Barlow" w:hAnsi="Barlow" w:cs="Arial"/>
          <w:sz w:val="20"/>
          <w:szCs w:val="20"/>
        </w:rPr>
      </w:pPr>
    </w:p>
    <w:p w14:paraId="2216CD82" w14:textId="751386FE" w:rsidR="00D3760C" w:rsidRPr="006D57F1" w:rsidRDefault="00D3760C" w:rsidP="00C4137E">
      <w:pPr>
        <w:autoSpaceDE w:val="0"/>
        <w:autoSpaceDN w:val="0"/>
        <w:adjustRightInd w:val="0"/>
        <w:spacing w:line="360" w:lineRule="auto"/>
        <w:jc w:val="both"/>
        <w:rPr>
          <w:rFonts w:ascii="Barlow" w:hAnsi="Barlow" w:cs="Arial"/>
          <w:b/>
          <w:bCs/>
          <w:sz w:val="20"/>
          <w:szCs w:val="20"/>
        </w:rPr>
      </w:pPr>
      <w:r w:rsidRPr="006D57F1">
        <w:rPr>
          <w:rFonts w:ascii="Barlow" w:hAnsi="Barlow" w:cs="Arial"/>
          <w:sz w:val="20"/>
          <w:szCs w:val="20"/>
        </w:rPr>
        <w:t xml:space="preserve">     Los Estados Financieros del </w:t>
      </w:r>
      <w:r w:rsidR="00A92141" w:rsidRPr="006D57F1">
        <w:rPr>
          <w:rFonts w:ascii="Barlow" w:hAnsi="Barlow" w:cs="Arial"/>
          <w:sz w:val="20"/>
          <w:szCs w:val="20"/>
        </w:rPr>
        <w:t>Instituto de Historia y Museos de Yucatán</w:t>
      </w:r>
      <w:r w:rsidRPr="006D57F1">
        <w:rPr>
          <w:rFonts w:ascii="Barlow" w:hAnsi="Barlow" w:cs="Arial"/>
          <w:sz w:val="20"/>
          <w:szCs w:val="20"/>
        </w:rPr>
        <w:t xml:space="preserve"> son </w:t>
      </w:r>
      <w:r w:rsidR="005D6501" w:rsidRPr="006D57F1">
        <w:rPr>
          <w:rFonts w:ascii="Barlow" w:hAnsi="Barlow" w:cs="Arial"/>
          <w:sz w:val="20"/>
          <w:szCs w:val="20"/>
        </w:rPr>
        <w:t>generados</w:t>
      </w:r>
      <w:r w:rsidRPr="006D57F1">
        <w:rPr>
          <w:rFonts w:ascii="Barlow" w:hAnsi="Barlow" w:cs="Arial"/>
          <w:sz w:val="20"/>
          <w:szCs w:val="20"/>
        </w:rPr>
        <w:t xml:space="preserve"> </w:t>
      </w:r>
      <w:r w:rsidR="005D6501" w:rsidRPr="006D57F1">
        <w:rPr>
          <w:rFonts w:ascii="Barlow" w:hAnsi="Barlow" w:cs="Arial"/>
          <w:sz w:val="20"/>
          <w:szCs w:val="20"/>
        </w:rPr>
        <w:t xml:space="preserve">con la </w:t>
      </w:r>
      <w:r w:rsidR="00A70892" w:rsidRPr="006D57F1">
        <w:rPr>
          <w:rFonts w:ascii="Barlow" w:hAnsi="Barlow" w:cs="Arial"/>
          <w:sz w:val="20"/>
          <w:szCs w:val="20"/>
        </w:rPr>
        <w:t xml:space="preserve">información que </w:t>
      </w:r>
      <w:r w:rsidR="00A92141" w:rsidRPr="006D57F1">
        <w:rPr>
          <w:rFonts w:ascii="Barlow" w:hAnsi="Barlow" w:cs="Arial"/>
          <w:sz w:val="20"/>
          <w:szCs w:val="20"/>
        </w:rPr>
        <w:t>genera</w:t>
      </w:r>
      <w:r w:rsidR="00A70892" w:rsidRPr="006D57F1">
        <w:rPr>
          <w:rFonts w:ascii="Barlow" w:hAnsi="Barlow" w:cs="Arial"/>
          <w:sz w:val="20"/>
          <w:szCs w:val="20"/>
        </w:rPr>
        <w:t xml:space="preserve"> las </w:t>
      </w:r>
      <w:r w:rsidR="005D6501" w:rsidRPr="006D57F1">
        <w:rPr>
          <w:rFonts w:ascii="Barlow" w:hAnsi="Barlow" w:cs="Arial"/>
          <w:sz w:val="20"/>
          <w:szCs w:val="20"/>
        </w:rPr>
        <w:t xml:space="preserve">distintas </w:t>
      </w:r>
      <w:r w:rsidR="00A70892" w:rsidRPr="006D57F1">
        <w:rPr>
          <w:rFonts w:ascii="Barlow" w:hAnsi="Barlow" w:cs="Arial"/>
          <w:sz w:val="20"/>
          <w:szCs w:val="20"/>
        </w:rPr>
        <w:t xml:space="preserve">unidades administrativas </w:t>
      </w:r>
      <w:r w:rsidR="00A92141" w:rsidRPr="006D57F1">
        <w:rPr>
          <w:rFonts w:ascii="Barlow" w:hAnsi="Barlow" w:cs="Arial"/>
          <w:sz w:val="20"/>
          <w:szCs w:val="20"/>
        </w:rPr>
        <w:t>que la integran</w:t>
      </w:r>
      <w:r w:rsidR="005D6501" w:rsidRPr="006D57F1">
        <w:rPr>
          <w:rFonts w:ascii="Barlow" w:hAnsi="Barlow" w:cs="Arial"/>
          <w:sz w:val="20"/>
          <w:szCs w:val="20"/>
        </w:rPr>
        <w:t xml:space="preserve"> </w:t>
      </w:r>
      <w:r w:rsidRPr="006D57F1">
        <w:rPr>
          <w:rFonts w:ascii="Barlow" w:hAnsi="Barlow" w:cs="Arial"/>
          <w:sz w:val="20"/>
          <w:szCs w:val="20"/>
        </w:rPr>
        <w:t xml:space="preserve">y formulados con sustento </w:t>
      </w:r>
      <w:r w:rsidR="005D6501" w:rsidRPr="006D57F1">
        <w:rPr>
          <w:rFonts w:ascii="Barlow" w:hAnsi="Barlow" w:cs="Arial"/>
          <w:sz w:val="20"/>
          <w:szCs w:val="20"/>
        </w:rPr>
        <w:t xml:space="preserve">en </w:t>
      </w:r>
      <w:r w:rsidRPr="006D57F1">
        <w:rPr>
          <w:rFonts w:ascii="Barlow" w:hAnsi="Barlow" w:cs="Arial"/>
          <w:sz w:val="20"/>
          <w:szCs w:val="20"/>
        </w:rPr>
        <w:t>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w:t>
      </w:r>
      <w:r w:rsidR="00A92141" w:rsidRPr="006D57F1">
        <w:rPr>
          <w:rFonts w:ascii="Barlow" w:hAnsi="Barlow" w:cs="Arial"/>
          <w:sz w:val="20"/>
          <w:szCs w:val="20"/>
        </w:rPr>
        <w:t>.</w:t>
      </w:r>
      <w:r w:rsidRPr="006D57F1">
        <w:rPr>
          <w:rFonts w:ascii="Barlow" w:hAnsi="Barlow" w:cs="Arial"/>
          <w:sz w:val="20"/>
          <w:szCs w:val="20"/>
        </w:rPr>
        <w:t xml:space="preserve"> en ellos se registran las operaciones que realiza</w:t>
      </w:r>
      <w:r w:rsidR="00A92141" w:rsidRPr="006D57F1">
        <w:rPr>
          <w:rFonts w:ascii="Barlow" w:hAnsi="Barlow" w:cs="Arial"/>
          <w:sz w:val="20"/>
          <w:szCs w:val="20"/>
        </w:rPr>
        <w:t>,</w:t>
      </w:r>
      <w:r w:rsidRPr="006D57F1">
        <w:rPr>
          <w:rFonts w:ascii="Barlow" w:hAnsi="Barlow" w:cs="Arial"/>
          <w:sz w:val="20"/>
          <w:szCs w:val="20"/>
        </w:rPr>
        <w:t xml:space="preserve"> siendo esta una fuente de información confiable, que facilita las tareas de evaluación y fiscalización del origen de los ingresos y del destino del gasto</w:t>
      </w:r>
      <w:r w:rsidR="003A2D4F" w:rsidRPr="006D57F1">
        <w:rPr>
          <w:rFonts w:ascii="Barlow" w:hAnsi="Barlow" w:cs="Arial"/>
          <w:sz w:val="20"/>
          <w:szCs w:val="20"/>
        </w:rPr>
        <w:t>.</w:t>
      </w:r>
      <w:r w:rsidRPr="006D57F1">
        <w:rPr>
          <w:rFonts w:ascii="Barlow" w:hAnsi="Barlow" w:cs="Arial"/>
          <w:b/>
          <w:bCs/>
          <w:sz w:val="20"/>
          <w:szCs w:val="20"/>
        </w:rPr>
        <w:tab/>
      </w:r>
    </w:p>
    <w:p w14:paraId="4E0B3B17" w14:textId="77777777" w:rsidR="00374219" w:rsidRPr="006D57F1" w:rsidRDefault="00374219" w:rsidP="00C4137E">
      <w:pPr>
        <w:autoSpaceDE w:val="0"/>
        <w:autoSpaceDN w:val="0"/>
        <w:adjustRightInd w:val="0"/>
        <w:spacing w:line="360" w:lineRule="auto"/>
        <w:jc w:val="both"/>
        <w:rPr>
          <w:rFonts w:ascii="Barlow" w:hAnsi="Barlow" w:cs="Arial"/>
          <w:b/>
          <w:bCs/>
          <w:sz w:val="20"/>
          <w:szCs w:val="20"/>
        </w:rPr>
      </w:pPr>
    </w:p>
    <w:p w14:paraId="1FE6BB59" w14:textId="3ECF2481" w:rsidR="00D3760C" w:rsidRPr="006D57F1" w:rsidRDefault="00D3760C" w:rsidP="00C4137E">
      <w:pPr>
        <w:autoSpaceDE w:val="0"/>
        <w:autoSpaceDN w:val="0"/>
        <w:adjustRightInd w:val="0"/>
        <w:spacing w:line="360" w:lineRule="auto"/>
        <w:ind w:left="709"/>
        <w:jc w:val="both"/>
        <w:rPr>
          <w:rFonts w:ascii="Barlow" w:hAnsi="Barlow" w:cs="Arial"/>
          <w:b/>
          <w:sz w:val="20"/>
          <w:szCs w:val="20"/>
        </w:rPr>
      </w:pPr>
      <w:r w:rsidRPr="006D57F1">
        <w:rPr>
          <w:rFonts w:ascii="Barlow" w:hAnsi="Barlow" w:cs="Arial"/>
          <w:b/>
          <w:sz w:val="20"/>
          <w:szCs w:val="20"/>
        </w:rPr>
        <w:lastRenderedPageBreak/>
        <w:t>2.</w:t>
      </w:r>
      <w:r w:rsidR="00CB7579" w:rsidRPr="006D57F1">
        <w:rPr>
          <w:rFonts w:ascii="Barlow" w:hAnsi="Barlow" w:cs="Arial"/>
          <w:b/>
          <w:sz w:val="20"/>
          <w:szCs w:val="20"/>
        </w:rPr>
        <w:t>- Panorama</w:t>
      </w:r>
      <w:r w:rsidRPr="006D57F1">
        <w:rPr>
          <w:rFonts w:ascii="Barlow" w:hAnsi="Barlow" w:cs="Arial"/>
          <w:b/>
          <w:sz w:val="20"/>
          <w:szCs w:val="20"/>
        </w:rPr>
        <w:t xml:space="preserve"> Económico y Financiero</w:t>
      </w:r>
    </w:p>
    <w:p w14:paraId="71ADFE93" w14:textId="77777777" w:rsidR="00C806E7" w:rsidRPr="006D57F1" w:rsidRDefault="00C806E7" w:rsidP="00C806E7">
      <w:pPr>
        <w:rPr>
          <w:rFonts w:ascii="Barlow" w:hAnsi="Barlow"/>
          <w:sz w:val="20"/>
          <w:szCs w:val="20"/>
        </w:rPr>
      </w:pPr>
    </w:p>
    <w:p w14:paraId="3B0C44EA" w14:textId="6D2C9D52" w:rsidR="00C806E7" w:rsidRPr="006D57F1" w:rsidRDefault="00C806E7" w:rsidP="00C806E7">
      <w:pPr>
        <w:spacing w:line="360" w:lineRule="auto"/>
        <w:jc w:val="both"/>
        <w:rPr>
          <w:rFonts w:ascii="Barlow" w:hAnsi="Barlow" w:cs="Arial"/>
          <w:sz w:val="20"/>
          <w:szCs w:val="20"/>
        </w:rPr>
      </w:pPr>
      <w:r w:rsidRPr="006D57F1">
        <w:rPr>
          <w:rFonts w:ascii="Barlow" w:hAnsi="Barlow" w:cs="Arial"/>
          <w:sz w:val="20"/>
          <w:szCs w:val="20"/>
        </w:rPr>
        <w:t xml:space="preserve">Entre las fortalezas que tiene el Estado se encuentra en su ubicación geográfica; así </w:t>
      </w:r>
      <w:r w:rsidR="00BC52B9" w:rsidRPr="006D57F1">
        <w:rPr>
          <w:rFonts w:ascii="Barlow" w:hAnsi="Barlow" w:cs="Arial"/>
          <w:sz w:val="20"/>
          <w:szCs w:val="20"/>
        </w:rPr>
        <w:t xml:space="preserve">como percibir a la Capital del </w:t>
      </w:r>
      <w:r w:rsidRPr="006D57F1">
        <w:rPr>
          <w:rFonts w:ascii="Barlow" w:hAnsi="Barlow" w:cs="Arial"/>
          <w:sz w:val="20"/>
          <w:szCs w:val="20"/>
        </w:rPr>
        <w:t>Estado con menor nivel de inseguridad, según los estudios realizados con la Encuesta Nacional de Segurid</w:t>
      </w:r>
      <w:r w:rsidR="005268B4" w:rsidRPr="006D57F1">
        <w:rPr>
          <w:rFonts w:ascii="Barlow" w:hAnsi="Barlow" w:cs="Arial"/>
          <w:sz w:val="20"/>
          <w:szCs w:val="20"/>
        </w:rPr>
        <w:t>ad Pública Urbana por el INEGI,</w:t>
      </w:r>
      <w:r w:rsidRPr="006D57F1">
        <w:rPr>
          <w:rFonts w:ascii="Barlow" w:hAnsi="Barlow" w:cs="Arial"/>
          <w:sz w:val="20"/>
          <w:szCs w:val="20"/>
        </w:rPr>
        <w:t xml:space="preserve"> lo que representa un punto clave para el comercio nacional e internacional.</w:t>
      </w:r>
    </w:p>
    <w:p w14:paraId="60BC940E" w14:textId="77777777" w:rsidR="00C806E7" w:rsidRPr="006D57F1" w:rsidRDefault="00C806E7" w:rsidP="00C806E7">
      <w:pPr>
        <w:spacing w:line="360" w:lineRule="auto"/>
        <w:jc w:val="both"/>
        <w:rPr>
          <w:rFonts w:ascii="Barlow" w:hAnsi="Barlow" w:cs="Arial"/>
          <w:sz w:val="20"/>
          <w:szCs w:val="20"/>
        </w:rPr>
      </w:pPr>
    </w:p>
    <w:p w14:paraId="0B77AD4E" w14:textId="77777777" w:rsidR="004C012E" w:rsidRPr="006D57F1" w:rsidRDefault="004C012E" w:rsidP="00C806E7">
      <w:pPr>
        <w:spacing w:line="360" w:lineRule="auto"/>
        <w:jc w:val="both"/>
        <w:rPr>
          <w:rFonts w:ascii="Barlow" w:hAnsi="Barlow" w:cs="Arial"/>
          <w:sz w:val="20"/>
          <w:szCs w:val="20"/>
        </w:rPr>
      </w:pPr>
    </w:p>
    <w:p w14:paraId="3D88CF21" w14:textId="77777777" w:rsidR="00C806E7" w:rsidRPr="006D57F1" w:rsidRDefault="00C806E7" w:rsidP="00C806E7">
      <w:pPr>
        <w:spacing w:line="360" w:lineRule="auto"/>
        <w:jc w:val="both"/>
        <w:rPr>
          <w:rFonts w:ascii="Barlow" w:hAnsi="Barlow" w:cs="Arial"/>
          <w:b/>
          <w:sz w:val="20"/>
          <w:szCs w:val="20"/>
        </w:rPr>
      </w:pPr>
      <w:r w:rsidRPr="006D57F1">
        <w:rPr>
          <w:rFonts w:ascii="Barlow" w:hAnsi="Barlow" w:cs="Arial"/>
          <w:b/>
          <w:sz w:val="20"/>
          <w:szCs w:val="20"/>
        </w:rPr>
        <w:t>2.1 Panorama económico nacional</w:t>
      </w:r>
    </w:p>
    <w:p w14:paraId="2F285BBD" w14:textId="1E91216C" w:rsidR="00327A0E" w:rsidRPr="006D57F1" w:rsidRDefault="00327A0E" w:rsidP="00B7450B">
      <w:pPr>
        <w:tabs>
          <w:tab w:val="left" w:pos="11430"/>
        </w:tabs>
        <w:autoSpaceDE w:val="0"/>
        <w:autoSpaceDN w:val="0"/>
        <w:spacing w:line="360" w:lineRule="auto"/>
        <w:ind w:firstLine="708"/>
        <w:jc w:val="both"/>
        <w:rPr>
          <w:rFonts w:ascii="Barlow" w:hAnsi="Barlow" w:cs="Arial"/>
          <w:sz w:val="20"/>
          <w:szCs w:val="20"/>
        </w:rPr>
      </w:pPr>
      <w:r w:rsidRPr="006D57F1">
        <w:rPr>
          <w:rFonts w:ascii="Barlow" w:hAnsi="Barlow" w:cs="Arial"/>
          <w:sz w:val="20"/>
          <w:szCs w:val="20"/>
        </w:rPr>
        <w:t xml:space="preserve">La estimación del FMI sobre el crecimiento del </w:t>
      </w:r>
      <w:r w:rsidR="006D57F1" w:rsidRPr="006D57F1">
        <w:rPr>
          <w:rFonts w:ascii="Barlow" w:hAnsi="Barlow" w:cs="Arial"/>
          <w:sz w:val="20"/>
          <w:szCs w:val="20"/>
        </w:rPr>
        <w:t>país tendría</w:t>
      </w:r>
      <w:r w:rsidR="00BD3D3D" w:rsidRPr="006D57F1">
        <w:rPr>
          <w:rFonts w:ascii="Barlow" w:hAnsi="Barlow" w:cs="Arial"/>
          <w:sz w:val="20"/>
          <w:szCs w:val="20"/>
        </w:rPr>
        <w:t xml:space="preserve"> un </w:t>
      </w:r>
      <w:r w:rsidRPr="006D57F1">
        <w:rPr>
          <w:rFonts w:ascii="Barlow" w:hAnsi="Barlow" w:cs="Arial"/>
          <w:sz w:val="20"/>
          <w:szCs w:val="20"/>
        </w:rPr>
        <w:t>estimado</w:t>
      </w:r>
      <w:r w:rsidR="004C012E" w:rsidRPr="006D57F1">
        <w:rPr>
          <w:rFonts w:ascii="Barlow" w:hAnsi="Barlow" w:cs="Arial"/>
          <w:sz w:val="20"/>
          <w:szCs w:val="20"/>
        </w:rPr>
        <w:t xml:space="preserve"> </w:t>
      </w:r>
      <w:r w:rsidRPr="006D57F1">
        <w:rPr>
          <w:rFonts w:ascii="Barlow" w:hAnsi="Barlow" w:cs="Arial"/>
          <w:sz w:val="20"/>
          <w:szCs w:val="20"/>
        </w:rPr>
        <w:t>de crecimiento en 202</w:t>
      </w:r>
      <w:r w:rsidR="00412E0B" w:rsidRPr="006D57F1">
        <w:rPr>
          <w:rFonts w:ascii="Barlow" w:hAnsi="Barlow" w:cs="Arial"/>
          <w:sz w:val="20"/>
          <w:szCs w:val="20"/>
        </w:rPr>
        <w:t>2</w:t>
      </w:r>
      <w:r w:rsidRPr="006D57F1">
        <w:rPr>
          <w:rFonts w:ascii="Barlow" w:hAnsi="Barlow" w:cs="Arial"/>
          <w:sz w:val="20"/>
          <w:szCs w:val="20"/>
        </w:rPr>
        <w:t xml:space="preserve"> de </w:t>
      </w:r>
      <w:r w:rsidR="00412E0B" w:rsidRPr="006D57F1">
        <w:rPr>
          <w:rFonts w:ascii="Barlow" w:hAnsi="Barlow" w:cs="Arial"/>
          <w:sz w:val="20"/>
          <w:szCs w:val="20"/>
        </w:rPr>
        <w:t>5</w:t>
      </w:r>
      <w:r w:rsidRPr="006D57F1">
        <w:rPr>
          <w:rFonts w:ascii="Barlow" w:hAnsi="Barlow" w:cs="Arial"/>
          <w:sz w:val="20"/>
          <w:szCs w:val="20"/>
        </w:rPr>
        <w:t>.</w:t>
      </w:r>
      <w:r w:rsidR="00BD3D3D" w:rsidRPr="006D57F1">
        <w:rPr>
          <w:rFonts w:ascii="Barlow" w:hAnsi="Barlow" w:cs="Arial"/>
          <w:sz w:val="20"/>
          <w:szCs w:val="20"/>
        </w:rPr>
        <w:t>80</w:t>
      </w:r>
      <w:r w:rsidRPr="006D57F1">
        <w:rPr>
          <w:rFonts w:ascii="Barlow" w:hAnsi="Barlow" w:cs="Arial"/>
          <w:sz w:val="20"/>
          <w:szCs w:val="20"/>
        </w:rPr>
        <w:t>%</w:t>
      </w:r>
      <w:r w:rsidR="00B7450B" w:rsidRPr="006D57F1">
        <w:rPr>
          <w:rFonts w:ascii="Barlow" w:hAnsi="Barlow" w:cs="Arial"/>
          <w:sz w:val="20"/>
          <w:szCs w:val="20"/>
        </w:rPr>
        <w:tab/>
      </w:r>
    </w:p>
    <w:p w14:paraId="15442DA6" w14:textId="4CA2393B" w:rsidR="00B7450B" w:rsidRPr="006D57F1" w:rsidRDefault="00B7450B" w:rsidP="00B7450B">
      <w:pPr>
        <w:tabs>
          <w:tab w:val="left" w:pos="11430"/>
        </w:tabs>
        <w:autoSpaceDE w:val="0"/>
        <w:autoSpaceDN w:val="0"/>
        <w:spacing w:line="360" w:lineRule="auto"/>
        <w:ind w:firstLine="708"/>
        <w:jc w:val="both"/>
        <w:rPr>
          <w:rFonts w:ascii="Barlow" w:hAnsi="Barlow" w:cs="Arial"/>
          <w:sz w:val="20"/>
          <w:szCs w:val="20"/>
        </w:rPr>
      </w:pPr>
      <w:r w:rsidRPr="006D57F1">
        <w:rPr>
          <w:rFonts w:ascii="Barlow" w:hAnsi="Barlow" w:cs="Arial"/>
          <w:sz w:val="20"/>
          <w:szCs w:val="20"/>
        </w:rPr>
        <w:t xml:space="preserve">Esto se debe a la pandemia del Covid-19. </w:t>
      </w:r>
    </w:p>
    <w:p w14:paraId="479ABD5F" w14:textId="77777777" w:rsidR="00FD6E2C" w:rsidRPr="006D57F1" w:rsidRDefault="00FD6E2C" w:rsidP="00FD6E2C">
      <w:pPr>
        <w:spacing w:after="200" w:line="276" w:lineRule="auto"/>
        <w:rPr>
          <w:rFonts w:ascii="Barlow" w:eastAsia="Calibri" w:hAnsi="Barlow" w:cs="Arial"/>
          <w:b/>
          <w:color w:val="000000"/>
          <w:sz w:val="20"/>
          <w:szCs w:val="20"/>
          <w:lang w:eastAsia="en-US"/>
        </w:rPr>
      </w:pPr>
      <w:r w:rsidRPr="006D57F1">
        <w:rPr>
          <w:rFonts w:ascii="Barlow" w:eastAsia="Calibri" w:hAnsi="Barlow" w:cs="Arial"/>
          <w:b/>
          <w:color w:val="000000"/>
          <w:sz w:val="20"/>
          <w:szCs w:val="20"/>
          <w:lang w:eastAsia="en-US"/>
        </w:rPr>
        <w:t>2.2 Panorama económico local</w:t>
      </w:r>
    </w:p>
    <w:p w14:paraId="165FC533" w14:textId="2E016EEC" w:rsidR="006C73FB" w:rsidRPr="006D57F1" w:rsidRDefault="00111623" w:rsidP="006C73FB">
      <w:pPr>
        <w:spacing w:after="200" w:line="360" w:lineRule="auto"/>
        <w:ind w:firstLine="708"/>
        <w:jc w:val="both"/>
        <w:rPr>
          <w:rFonts w:ascii="Barlow" w:hAnsi="Barlow" w:cs="Arial"/>
          <w:sz w:val="20"/>
          <w:szCs w:val="20"/>
        </w:rPr>
      </w:pPr>
      <w:bookmarkStart w:id="8" w:name="_Toc394140182"/>
      <w:r w:rsidRPr="006D57F1">
        <w:rPr>
          <w:rFonts w:ascii="Barlow" w:hAnsi="Barlow" w:cs="Arial"/>
          <w:sz w:val="20"/>
          <w:szCs w:val="20"/>
        </w:rPr>
        <w:t xml:space="preserve">La </w:t>
      </w:r>
      <w:r w:rsidR="003F6A80" w:rsidRPr="006D57F1">
        <w:rPr>
          <w:rFonts w:ascii="Barlow" w:hAnsi="Barlow" w:cs="Arial"/>
          <w:sz w:val="20"/>
          <w:szCs w:val="20"/>
        </w:rPr>
        <w:t>tasa de desocupación</w:t>
      </w:r>
      <w:r w:rsidRPr="006D57F1">
        <w:rPr>
          <w:rFonts w:ascii="Barlow" w:hAnsi="Barlow" w:cs="Arial"/>
          <w:sz w:val="20"/>
          <w:szCs w:val="20"/>
        </w:rPr>
        <w:t xml:space="preserve"> en Yucatán fue </w:t>
      </w:r>
      <w:r w:rsidR="00B7450B" w:rsidRPr="006D57F1">
        <w:rPr>
          <w:rFonts w:ascii="Barlow" w:hAnsi="Barlow" w:cs="Arial"/>
          <w:sz w:val="20"/>
          <w:szCs w:val="20"/>
        </w:rPr>
        <w:t xml:space="preserve">muy baja menos por lo que lo </w:t>
      </w:r>
      <w:r w:rsidR="008E6D8A" w:rsidRPr="006D57F1">
        <w:rPr>
          <w:rFonts w:ascii="Barlow" w:hAnsi="Barlow" w:cs="Arial"/>
          <w:sz w:val="20"/>
          <w:szCs w:val="20"/>
        </w:rPr>
        <w:t xml:space="preserve">posiciona </w:t>
      </w:r>
      <w:r w:rsidR="006968E3" w:rsidRPr="006D57F1">
        <w:rPr>
          <w:rFonts w:ascii="Barlow" w:hAnsi="Barlow" w:cs="Arial"/>
          <w:sz w:val="20"/>
          <w:szCs w:val="20"/>
        </w:rPr>
        <w:t>muy</w:t>
      </w:r>
      <w:r w:rsidR="005F03BA" w:rsidRPr="006D57F1">
        <w:rPr>
          <w:rFonts w:ascii="Barlow" w:hAnsi="Barlow" w:cs="Arial"/>
          <w:sz w:val="20"/>
          <w:szCs w:val="20"/>
        </w:rPr>
        <w:t xml:space="preserve"> por</w:t>
      </w:r>
      <w:r w:rsidR="006968E3" w:rsidRPr="006D57F1">
        <w:rPr>
          <w:rFonts w:ascii="Barlow" w:hAnsi="Barlow" w:cs="Arial"/>
          <w:sz w:val="20"/>
          <w:szCs w:val="20"/>
        </w:rPr>
        <w:t xml:space="preserve"> debajo de la deso</w:t>
      </w:r>
      <w:r w:rsidR="003F6A80" w:rsidRPr="006D57F1">
        <w:rPr>
          <w:rFonts w:ascii="Barlow" w:hAnsi="Barlow" w:cs="Arial"/>
          <w:sz w:val="20"/>
          <w:szCs w:val="20"/>
        </w:rPr>
        <w:t xml:space="preserve">cupación nacional que fue de </w:t>
      </w:r>
      <w:r w:rsidR="00412E0B" w:rsidRPr="006D57F1">
        <w:rPr>
          <w:rFonts w:ascii="Barlow" w:hAnsi="Barlow" w:cs="Arial"/>
          <w:sz w:val="20"/>
          <w:szCs w:val="20"/>
        </w:rPr>
        <w:t>7</w:t>
      </w:r>
      <w:r w:rsidR="003F6A80" w:rsidRPr="006D57F1">
        <w:rPr>
          <w:rFonts w:ascii="Barlow" w:hAnsi="Barlow" w:cs="Arial"/>
          <w:sz w:val="20"/>
          <w:szCs w:val="20"/>
        </w:rPr>
        <w:t>.</w:t>
      </w:r>
      <w:r w:rsidR="00813F2E" w:rsidRPr="006D57F1">
        <w:rPr>
          <w:rFonts w:ascii="Barlow" w:hAnsi="Barlow" w:cs="Arial"/>
          <w:sz w:val="20"/>
          <w:szCs w:val="20"/>
        </w:rPr>
        <w:t>9</w:t>
      </w:r>
      <w:r w:rsidR="006968E3" w:rsidRPr="006D57F1">
        <w:rPr>
          <w:rFonts w:ascii="Barlow" w:hAnsi="Barlow" w:cs="Arial"/>
          <w:sz w:val="20"/>
          <w:szCs w:val="20"/>
        </w:rPr>
        <w:t>%.</w:t>
      </w:r>
    </w:p>
    <w:p w14:paraId="731CE747" w14:textId="044B263B" w:rsidR="007F3941" w:rsidRPr="006D57F1" w:rsidRDefault="006968E3" w:rsidP="00961879">
      <w:pPr>
        <w:spacing w:after="200" w:line="360" w:lineRule="auto"/>
        <w:ind w:firstLine="708"/>
        <w:jc w:val="both"/>
        <w:rPr>
          <w:rFonts w:ascii="Barlow" w:hAnsi="Barlow" w:cs="Arial"/>
          <w:sz w:val="20"/>
          <w:szCs w:val="20"/>
        </w:rPr>
      </w:pPr>
      <w:r w:rsidRPr="006D57F1">
        <w:rPr>
          <w:rFonts w:ascii="Barlow" w:hAnsi="Barlow" w:cs="Arial"/>
          <w:sz w:val="20"/>
          <w:szCs w:val="20"/>
        </w:rPr>
        <w:t>El empleo formal e</w:t>
      </w:r>
      <w:r w:rsidR="005D08F2" w:rsidRPr="006D57F1">
        <w:rPr>
          <w:rFonts w:ascii="Barlow" w:hAnsi="Barlow" w:cs="Arial"/>
          <w:sz w:val="20"/>
          <w:szCs w:val="20"/>
        </w:rPr>
        <w:t>n el Estado de Yucatán</w:t>
      </w:r>
      <w:r w:rsidR="00961879" w:rsidRPr="006D57F1">
        <w:rPr>
          <w:rFonts w:ascii="Barlow" w:hAnsi="Barlow" w:cs="Arial"/>
          <w:sz w:val="20"/>
          <w:szCs w:val="20"/>
        </w:rPr>
        <w:t xml:space="preserve"> a</w:t>
      </w:r>
      <w:r w:rsidR="008E6D8A" w:rsidRPr="006D57F1">
        <w:rPr>
          <w:rFonts w:ascii="Barlow" w:hAnsi="Barlow" w:cs="Arial"/>
          <w:sz w:val="20"/>
          <w:szCs w:val="20"/>
        </w:rPr>
        <w:t xml:space="preserve">l </w:t>
      </w:r>
      <w:r w:rsidR="00412E0B" w:rsidRPr="006D57F1">
        <w:rPr>
          <w:rFonts w:ascii="Barlow" w:hAnsi="Barlow" w:cs="Arial"/>
          <w:sz w:val="20"/>
          <w:szCs w:val="20"/>
        </w:rPr>
        <w:t>2</w:t>
      </w:r>
      <w:r w:rsidR="006C591C" w:rsidRPr="006D57F1">
        <w:rPr>
          <w:rFonts w:ascii="Barlow" w:hAnsi="Barlow" w:cs="Arial"/>
          <w:sz w:val="20"/>
          <w:szCs w:val="20"/>
        </w:rPr>
        <w:t>7</w:t>
      </w:r>
      <w:r w:rsidR="00412E0B" w:rsidRPr="006D57F1">
        <w:rPr>
          <w:rFonts w:ascii="Barlow" w:hAnsi="Barlow" w:cs="Arial"/>
          <w:sz w:val="20"/>
          <w:szCs w:val="20"/>
        </w:rPr>
        <w:t xml:space="preserve"> de </w:t>
      </w:r>
      <w:r w:rsidR="006D57F1" w:rsidRPr="006D57F1">
        <w:rPr>
          <w:rFonts w:ascii="Barlow" w:hAnsi="Barlow" w:cs="Arial"/>
          <w:sz w:val="20"/>
          <w:szCs w:val="20"/>
        </w:rPr>
        <w:t>enero</w:t>
      </w:r>
      <w:r w:rsidR="00813F2E" w:rsidRPr="006D57F1">
        <w:rPr>
          <w:rFonts w:ascii="Barlow" w:hAnsi="Barlow" w:cs="Arial"/>
          <w:sz w:val="20"/>
          <w:szCs w:val="20"/>
        </w:rPr>
        <w:t xml:space="preserve"> </w:t>
      </w:r>
      <w:r w:rsidR="008E6D8A" w:rsidRPr="006D57F1">
        <w:rPr>
          <w:rFonts w:ascii="Barlow" w:hAnsi="Barlow" w:cs="Arial"/>
          <w:sz w:val="20"/>
          <w:szCs w:val="20"/>
        </w:rPr>
        <w:t>de 20</w:t>
      </w:r>
      <w:r w:rsidR="00F47B69" w:rsidRPr="006D57F1">
        <w:rPr>
          <w:rFonts w:ascii="Barlow" w:hAnsi="Barlow" w:cs="Arial"/>
          <w:sz w:val="20"/>
          <w:szCs w:val="20"/>
        </w:rPr>
        <w:t>2</w:t>
      </w:r>
      <w:r w:rsidR="00412E0B" w:rsidRPr="006D57F1">
        <w:rPr>
          <w:rFonts w:ascii="Barlow" w:hAnsi="Barlow" w:cs="Arial"/>
          <w:sz w:val="20"/>
          <w:szCs w:val="20"/>
        </w:rPr>
        <w:t>2</w:t>
      </w:r>
      <w:r w:rsidR="008E6D8A" w:rsidRPr="006D57F1">
        <w:rPr>
          <w:rFonts w:ascii="Barlow" w:hAnsi="Barlow" w:cs="Arial"/>
          <w:sz w:val="20"/>
          <w:szCs w:val="20"/>
        </w:rPr>
        <w:t xml:space="preserve"> </w:t>
      </w:r>
      <w:r w:rsidR="00B7450B" w:rsidRPr="006D57F1">
        <w:rPr>
          <w:rFonts w:ascii="Barlow" w:hAnsi="Barlow" w:cs="Arial"/>
          <w:sz w:val="20"/>
          <w:szCs w:val="20"/>
        </w:rPr>
        <w:t xml:space="preserve">se </w:t>
      </w:r>
      <w:r w:rsidR="00412E0B" w:rsidRPr="006D57F1">
        <w:rPr>
          <w:rFonts w:ascii="Barlow" w:hAnsi="Barlow" w:cs="Arial"/>
          <w:sz w:val="20"/>
          <w:szCs w:val="20"/>
        </w:rPr>
        <w:t xml:space="preserve">encuentra en recuperación </w:t>
      </w:r>
      <w:r w:rsidR="00B7450B" w:rsidRPr="006D57F1">
        <w:rPr>
          <w:rFonts w:ascii="Barlow" w:hAnsi="Barlow" w:cs="Arial"/>
          <w:sz w:val="20"/>
          <w:szCs w:val="20"/>
        </w:rPr>
        <w:t>debido a</w:t>
      </w:r>
      <w:r w:rsidR="001C7DB8" w:rsidRPr="006D57F1">
        <w:rPr>
          <w:rFonts w:ascii="Barlow" w:hAnsi="Barlow" w:cs="Arial"/>
          <w:sz w:val="20"/>
          <w:szCs w:val="20"/>
        </w:rPr>
        <w:t xml:space="preserve"> la pandemia del</w:t>
      </w:r>
      <w:r w:rsidR="00591E1C" w:rsidRPr="006D57F1">
        <w:rPr>
          <w:rFonts w:ascii="Barlow" w:hAnsi="Barlow" w:cs="Arial"/>
          <w:sz w:val="20"/>
          <w:szCs w:val="20"/>
        </w:rPr>
        <w:t xml:space="preserve"> Covid19 que se está</w:t>
      </w:r>
      <w:r w:rsidR="00B7450B" w:rsidRPr="006D57F1">
        <w:rPr>
          <w:rFonts w:ascii="Barlow" w:hAnsi="Barlow" w:cs="Arial"/>
          <w:sz w:val="20"/>
          <w:szCs w:val="20"/>
        </w:rPr>
        <w:t xml:space="preserve"> dando en nuestro estado.</w:t>
      </w:r>
    </w:p>
    <w:p w14:paraId="0D405291" w14:textId="52065563" w:rsidR="003F6A80" w:rsidRDefault="003F6A80" w:rsidP="00961879">
      <w:pPr>
        <w:spacing w:after="200" w:line="360" w:lineRule="auto"/>
        <w:ind w:firstLine="708"/>
        <w:jc w:val="both"/>
        <w:rPr>
          <w:rFonts w:ascii="Barlow" w:hAnsi="Barlow" w:cs="Arial"/>
          <w:sz w:val="20"/>
          <w:szCs w:val="20"/>
        </w:rPr>
      </w:pPr>
      <w:r w:rsidRPr="006D57F1">
        <w:rPr>
          <w:rFonts w:ascii="Barlow" w:hAnsi="Barlow" w:cs="Arial"/>
          <w:sz w:val="20"/>
          <w:szCs w:val="20"/>
        </w:rPr>
        <w:t xml:space="preserve">La población económicamente </w:t>
      </w:r>
      <w:r w:rsidR="00B7450B" w:rsidRPr="006D57F1">
        <w:rPr>
          <w:rFonts w:ascii="Barlow" w:hAnsi="Barlow" w:cs="Arial"/>
          <w:sz w:val="20"/>
          <w:szCs w:val="20"/>
        </w:rPr>
        <w:t xml:space="preserve"> se encuentra reactivándose paulatinamente</w:t>
      </w:r>
      <w:r w:rsidR="001C7DB8" w:rsidRPr="006D57F1">
        <w:rPr>
          <w:rFonts w:ascii="Barlow" w:hAnsi="Barlow" w:cs="Arial"/>
          <w:sz w:val="20"/>
          <w:szCs w:val="20"/>
        </w:rPr>
        <w:t>,</w:t>
      </w:r>
      <w:r w:rsidR="00B7450B" w:rsidRPr="006D57F1">
        <w:rPr>
          <w:rFonts w:ascii="Barlow" w:hAnsi="Barlow" w:cs="Arial"/>
          <w:sz w:val="20"/>
          <w:szCs w:val="20"/>
        </w:rPr>
        <w:t xml:space="preserve"> por el momento </w:t>
      </w:r>
      <w:r w:rsidR="001C7DB8" w:rsidRPr="006D57F1">
        <w:rPr>
          <w:rFonts w:ascii="Barlow" w:hAnsi="Barlow" w:cs="Arial"/>
          <w:sz w:val="20"/>
          <w:szCs w:val="20"/>
        </w:rPr>
        <w:t xml:space="preserve">de acuerdo al semáforo de alerta </w:t>
      </w:r>
      <w:r w:rsidR="00B7450B" w:rsidRPr="006D57F1">
        <w:rPr>
          <w:rFonts w:ascii="Barlow" w:hAnsi="Barlow" w:cs="Arial"/>
          <w:sz w:val="20"/>
          <w:szCs w:val="20"/>
        </w:rPr>
        <w:t>nos encontramos</w:t>
      </w:r>
      <w:r w:rsidR="001C7DB8" w:rsidRPr="006D57F1">
        <w:rPr>
          <w:rFonts w:ascii="Barlow" w:hAnsi="Barlow" w:cs="Arial"/>
          <w:sz w:val="20"/>
          <w:szCs w:val="20"/>
        </w:rPr>
        <w:t xml:space="preserve"> en el color</w:t>
      </w:r>
      <w:r w:rsidR="00B7450B" w:rsidRPr="006D57F1">
        <w:rPr>
          <w:rFonts w:ascii="Barlow" w:hAnsi="Barlow" w:cs="Arial"/>
          <w:sz w:val="20"/>
          <w:szCs w:val="20"/>
        </w:rPr>
        <w:t xml:space="preserve"> </w:t>
      </w:r>
      <w:r w:rsidR="000850E0" w:rsidRPr="006D57F1">
        <w:rPr>
          <w:rFonts w:ascii="Barlow" w:hAnsi="Barlow" w:cs="Arial"/>
          <w:sz w:val="20"/>
          <w:szCs w:val="20"/>
        </w:rPr>
        <w:t>Amarillo</w:t>
      </w:r>
      <w:r w:rsidR="001C7DB8" w:rsidRPr="006D57F1">
        <w:rPr>
          <w:rFonts w:ascii="Barlow" w:hAnsi="Barlow" w:cs="Arial"/>
          <w:sz w:val="20"/>
          <w:szCs w:val="20"/>
        </w:rPr>
        <w:t xml:space="preserve">, en el cual  las actividades económicas esenciales y las actividades económicas no esenciales trabajen </w:t>
      </w:r>
      <w:r w:rsidR="001C3547" w:rsidRPr="006D57F1">
        <w:rPr>
          <w:rFonts w:ascii="Barlow" w:hAnsi="Barlow" w:cs="Arial"/>
          <w:sz w:val="20"/>
          <w:szCs w:val="20"/>
        </w:rPr>
        <w:t>entre el 75</w:t>
      </w:r>
      <w:r w:rsidR="001C7DB8" w:rsidRPr="006D57F1">
        <w:rPr>
          <w:rFonts w:ascii="Barlow" w:hAnsi="Barlow" w:cs="Arial"/>
          <w:sz w:val="20"/>
          <w:szCs w:val="20"/>
        </w:rPr>
        <w:t xml:space="preserve">% del personal para su funcionamiento, siempre tomando en cuenta las medidas de cuidado máximo para las personas con mayor riesgo de presentar un cuadro grave de COVID-19, se abren los espacios públicos abiertos con un aforo </w:t>
      </w:r>
      <w:r w:rsidR="001C3547" w:rsidRPr="006D57F1">
        <w:rPr>
          <w:rFonts w:ascii="Barlow" w:hAnsi="Barlow" w:cs="Arial"/>
          <w:sz w:val="20"/>
          <w:szCs w:val="20"/>
        </w:rPr>
        <w:t xml:space="preserve">75% </w:t>
      </w:r>
      <w:r w:rsidR="001C7DB8" w:rsidRPr="006D57F1">
        <w:rPr>
          <w:rFonts w:ascii="Barlow" w:hAnsi="Barlow" w:cs="Arial"/>
          <w:sz w:val="20"/>
          <w:szCs w:val="20"/>
        </w:rPr>
        <w:t>(cantidad de personas) reducido.</w:t>
      </w:r>
    </w:p>
    <w:p w14:paraId="58069A65" w14:textId="77777777" w:rsidR="006D57F1" w:rsidRPr="006D57F1" w:rsidRDefault="006D57F1" w:rsidP="00961879">
      <w:pPr>
        <w:spacing w:after="200" w:line="360" w:lineRule="auto"/>
        <w:ind w:firstLine="708"/>
        <w:jc w:val="both"/>
        <w:rPr>
          <w:rFonts w:ascii="Barlow" w:hAnsi="Barlow" w:cs="Arial"/>
          <w:sz w:val="20"/>
          <w:szCs w:val="20"/>
        </w:rPr>
      </w:pPr>
    </w:p>
    <w:bookmarkEnd w:id="8"/>
    <w:p w14:paraId="6B346608" w14:textId="06001677" w:rsidR="00AD3205" w:rsidRPr="006D57F1" w:rsidRDefault="00A21908" w:rsidP="006D57F1">
      <w:pPr>
        <w:spacing w:after="200" w:line="276" w:lineRule="auto"/>
        <w:ind w:left="-142"/>
        <w:jc w:val="both"/>
        <w:rPr>
          <w:rFonts w:ascii="Barlow" w:hAnsi="Barlow" w:cs="Arial"/>
          <w:b/>
          <w:sz w:val="20"/>
          <w:szCs w:val="20"/>
        </w:rPr>
      </w:pPr>
      <w:r w:rsidRPr="006D57F1">
        <w:rPr>
          <w:rFonts w:ascii="Barlow" w:eastAsia="Calibri" w:hAnsi="Barlow" w:cs="Arial"/>
          <w:color w:val="000000"/>
          <w:sz w:val="20"/>
          <w:szCs w:val="20"/>
          <w:lang w:eastAsia="en-US"/>
        </w:rPr>
        <w:lastRenderedPageBreak/>
        <w:t xml:space="preserve">     </w:t>
      </w:r>
      <w:r w:rsidR="00D3760C" w:rsidRPr="006D57F1">
        <w:rPr>
          <w:rFonts w:ascii="Barlow" w:hAnsi="Barlow" w:cs="Arial"/>
          <w:b/>
          <w:sz w:val="20"/>
          <w:szCs w:val="20"/>
        </w:rPr>
        <w:t>3.-  Autorización e Historia</w:t>
      </w:r>
    </w:p>
    <w:p w14:paraId="543B38F1" w14:textId="77777777" w:rsidR="00D3760C" w:rsidRPr="006D57F1" w:rsidRDefault="00D3760C" w:rsidP="00E14B45">
      <w:pPr>
        <w:numPr>
          <w:ilvl w:val="0"/>
          <w:numId w:val="3"/>
        </w:num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 xml:space="preserve">Fecha de creación del ente. </w:t>
      </w:r>
    </w:p>
    <w:p w14:paraId="635B0184" w14:textId="2E8D961E" w:rsidR="00D3760C" w:rsidRPr="006D57F1" w:rsidRDefault="001C13B2" w:rsidP="006D57F1">
      <w:pPr>
        <w:autoSpaceDE w:val="0"/>
        <w:autoSpaceDN w:val="0"/>
        <w:adjustRightInd w:val="0"/>
        <w:spacing w:line="360" w:lineRule="auto"/>
        <w:ind w:firstLine="360"/>
        <w:jc w:val="both"/>
        <w:rPr>
          <w:rFonts w:ascii="Barlow" w:hAnsi="Barlow" w:cs="Arial"/>
          <w:sz w:val="20"/>
          <w:szCs w:val="20"/>
        </w:rPr>
      </w:pPr>
      <w:r w:rsidRPr="006D57F1">
        <w:rPr>
          <w:rFonts w:ascii="Barlow" w:hAnsi="Barlow" w:cs="Arial"/>
          <w:sz w:val="20"/>
          <w:szCs w:val="20"/>
        </w:rPr>
        <w:t xml:space="preserve">El 22 de </w:t>
      </w:r>
      <w:r w:rsidR="006D57F1" w:rsidRPr="006D57F1">
        <w:rPr>
          <w:rFonts w:ascii="Barlow" w:hAnsi="Barlow" w:cs="Arial"/>
          <w:sz w:val="20"/>
          <w:szCs w:val="20"/>
        </w:rPr>
        <w:t>enero</w:t>
      </w:r>
      <w:r w:rsidRPr="006D57F1">
        <w:rPr>
          <w:rFonts w:ascii="Barlow" w:hAnsi="Barlow" w:cs="Arial"/>
          <w:sz w:val="20"/>
          <w:szCs w:val="20"/>
        </w:rPr>
        <w:t xml:space="preserve"> de 2013 se crea el Instituto de Historia y Museos de Yucatán, como un organismo público descentralizado, con personalidad jurídica y patrimonio propio, con domicilio en la ciudad de Mérida, Yucatán.</w:t>
      </w:r>
    </w:p>
    <w:p w14:paraId="35560EFA" w14:textId="77777777" w:rsidR="00D3760C" w:rsidRPr="006D57F1" w:rsidRDefault="00D3760C" w:rsidP="00E14B45">
      <w:pPr>
        <w:numPr>
          <w:ilvl w:val="0"/>
          <w:numId w:val="3"/>
        </w:num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Principales cambios en su estructura.</w:t>
      </w:r>
    </w:p>
    <w:p w14:paraId="72EF477C" w14:textId="77777777" w:rsidR="007279C6" w:rsidRPr="006D57F1" w:rsidRDefault="007279C6" w:rsidP="006872FD">
      <w:pPr>
        <w:ind w:firstLine="360"/>
        <w:rPr>
          <w:rFonts w:ascii="Barlow" w:hAnsi="Barlow" w:cs="Arial"/>
          <w:sz w:val="20"/>
          <w:szCs w:val="20"/>
        </w:rPr>
      </w:pPr>
    </w:p>
    <w:p w14:paraId="5EEFEA2F" w14:textId="00310090" w:rsidR="003F3C90" w:rsidRPr="006D57F1" w:rsidRDefault="006872FD" w:rsidP="006872FD">
      <w:pPr>
        <w:ind w:firstLine="360"/>
        <w:rPr>
          <w:rFonts w:ascii="Barlow" w:hAnsi="Barlow" w:cs="Arial"/>
          <w:sz w:val="20"/>
          <w:szCs w:val="20"/>
        </w:rPr>
      </w:pPr>
      <w:r w:rsidRPr="006D57F1">
        <w:rPr>
          <w:rFonts w:ascii="Barlow" w:hAnsi="Barlow" w:cs="Arial"/>
          <w:sz w:val="20"/>
          <w:szCs w:val="20"/>
        </w:rPr>
        <w:t>El 27</w:t>
      </w:r>
      <w:r w:rsidR="003F3C90" w:rsidRPr="006D57F1">
        <w:rPr>
          <w:rFonts w:ascii="Barlow" w:hAnsi="Barlow" w:cs="Arial"/>
          <w:sz w:val="20"/>
          <w:szCs w:val="20"/>
        </w:rPr>
        <w:t xml:space="preserve"> de julio de 2021</w:t>
      </w:r>
      <w:r w:rsidR="00ED26EC" w:rsidRPr="006D57F1">
        <w:rPr>
          <w:rFonts w:ascii="Barlow" w:hAnsi="Barlow" w:cs="Arial"/>
          <w:sz w:val="20"/>
          <w:szCs w:val="20"/>
        </w:rPr>
        <w:t>,</w:t>
      </w:r>
      <w:r w:rsidR="003F3C90" w:rsidRPr="006D57F1">
        <w:rPr>
          <w:rFonts w:ascii="Barlow" w:hAnsi="Barlow" w:cs="Arial"/>
          <w:sz w:val="20"/>
          <w:szCs w:val="20"/>
        </w:rPr>
        <w:t xml:space="preserve"> se emitió en el diario oficial del gobierno del estado de Yucatán el decreto 397/2021</w:t>
      </w:r>
      <w:r w:rsidR="00ED26EC" w:rsidRPr="006D57F1">
        <w:rPr>
          <w:rFonts w:ascii="Barlow" w:hAnsi="Barlow" w:cs="Arial"/>
          <w:sz w:val="20"/>
          <w:szCs w:val="20"/>
        </w:rPr>
        <w:t>,</w:t>
      </w:r>
      <w:r w:rsidR="003F3C90" w:rsidRPr="006D57F1">
        <w:rPr>
          <w:rFonts w:ascii="Barlow" w:hAnsi="Barlow" w:cs="Arial"/>
          <w:sz w:val="20"/>
          <w:szCs w:val="20"/>
        </w:rPr>
        <w:t xml:space="preserve"> </w:t>
      </w:r>
      <w:r w:rsidRPr="006D57F1">
        <w:rPr>
          <w:rFonts w:ascii="Barlow" w:hAnsi="Barlow" w:cs="Arial"/>
          <w:sz w:val="20"/>
          <w:szCs w:val="20"/>
        </w:rPr>
        <w:t>por el que</w:t>
      </w:r>
      <w:r w:rsidR="003F3C90" w:rsidRPr="006D57F1">
        <w:rPr>
          <w:rFonts w:ascii="Barlow" w:hAnsi="Barlow" w:cs="Arial"/>
          <w:sz w:val="20"/>
          <w:szCs w:val="20"/>
        </w:rPr>
        <w:t xml:space="preserve"> se extingue y liquida el Instituto de Historia y Museos de Yucatán</w:t>
      </w:r>
      <w:r w:rsidR="00ED26EC" w:rsidRPr="006D57F1">
        <w:rPr>
          <w:rFonts w:ascii="Barlow" w:hAnsi="Barlow" w:cs="Arial"/>
          <w:sz w:val="20"/>
          <w:szCs w:val="20"/>
        </w:rPr>
        <w:t>; el cual entro en vigor al día siguiente de su publicación,</w:t>
      </w:r>
      <w:r w:rsidRPr="006D57F1">
        <w:rPr>
          <w:rFonts w:ascii="Barlow" w:hAnsi="Barlow" w:cs="Arial"/>
          <w:sz w:val="20"/>
          <w:szCs w:val="20"/>
        </w:rPr>
        <w:t xml:space="preserve"> por lo que el Instituto se encuentra iniciando el proceso para llevar a cabo la extinción y liquidación del mismo.</w:t>
      </w:r>
    </w:p>
    <w:p w14:paraId="1642C915" w14:textId="77777777" w:rsidR="006872FD" w:rsidRPr="006D57F1" w:rsidRDefault="006872FD" w:rsidP="007E77DA">
      <w:pPr>
        <w:autoSpaceDE w:val="0"/>
        <w:autoSpaceDN w:val="0"/>
        <w:adjustRightInd w:val="0"/>
        <w:spacing w:line="360" w:lineRule="auto"/>
        <w:ind w:firstLine="360"/>
        <w:jc w:val="both"/>
        <w:rPr>
          <w:rFonts w:ascii="Barlow" w:hAnsi="Barlow" w:cs="Arial"/>
          <w:sz w:val="20"/>
          <w:szCs w:val="20"/>
        </w:rPr>
      </w:pPr>
    </w:p>
    <w:p w14:paraId="0450734E" w14:textId="65DBAE08" w:rsidR="007279C6" w:rsidRPr="006D57F1" w:rsidRDefault="00D3760C" w:rsidP="00C4137E">
      <w:pPr>
        <w:autoSpaceDE w:val="0"/>
        <w:autoSpaceDN w:val="0"/>
        <w:adjustRightInd w:val="0"/>
        <w:spacing w:line="360" w:lineRule="auto"/>
        <w:jc w:val="both"/>
        <w:rPr>
          <w:rFonts w:ascii="Barlow" w:hAnsi="Barlow" w:cs="Arial"/>
          <w:sz w:val="20"/>
          <w:szCs w:val="20"/>
        </w:rPr>
      </w:pPr>
      <w:r w:rsidRPr="006D57F1">
        <w:rPr>
          <w:rFonts w:ascii="Barlow" w:hAnsi="Barlow" w:cs="Arial"/>
          <w:b/>
          <w:sz w:val="20"/>
          <w:szCs w:val="20"/>
        </w:rPr>
        <w:t>4.- Organización y Objeto Social</w:t>
      </w:r>
    </w:p>
    <w:p w14:paraId="75647848" w14:textId="77777777" w:rsidR="00D3760C" w:rsidRPr="006D57F1" w:rsidRDefault="00D3760C" w:rsidP="00E14B45">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Objeto social.</w:t>
      </w:r>
    </w:p>
    <w:p w14:paraId="50B842CA" w14:textId="36CCB256" w:rsidR="00DF20FC" w:rsidRPr="006D57F1" w:rsidRDefault="00DF20FC" w:rsidP="00C4137E">
      <w:pPr>
        <w:autoSpaceDE w:val="0"/>
        <w:autoSpaceDN w:val="0"/>
        <w:adjustRightInd w:val="0"/>
        <w:spacing w:line="360" w:lineRule="auto"/>
        <w:ind w:firstLine="705"/>
        <w:jc w:val="both"/>
        <w:rPr>
          <w:rFonts w:ascii="Barlow" w:hAnsi="Barlow" w:cs="Arial"/>
          <w:sz w:val="20"/>
          <w:szCs w:val="20"/>
        </w:rPr>
      </w:pPr>
      <w:r w:rsidRPr="006D57F1">
        <w:rPr>
          <w:rFonts w:ascii="Barlow" w:hAnsi="Barlow" w:cs="Arial"/>
          <w:sz w:val="20"/>
          <w:szCs w:val="20"/>
        </w:rPr>
        <w:t>El Instituto de Historia y Museos de Yucatán, tiene por objeto impulsar el desarrollo y la consolidación de los museos del Estado de Yucatán, como medio para preservar y promover el patrimonio autóctono, histórico, arqueológico, arquitectónico, documental y artístico de la cultura regional, nacional y universal.</w:t>
      </w:r>
    </w:p>
    <w:p w14:paraId="580D7995" w14:textId="77777777" w:rsidR="00D3760C" w:rsidRPr="006D57F1" w:rsidRDefault="00D3760C" w:rsidP="00E14B45">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Principal actividad</w:t>
      </w:r>
    </w:p>
    <w:p w14:paraId="3643A8B6" w14:textId="3AFC9032" w:rsidR="00DF20FC" w:rsidRPr="006D57F1" w:rsidRDefault="00DF20FC" w:rsidP="00C4137E">
      <w:pPr>
        <w:autoSpaceDE w:val="0"/>
        <w:autoSpaceDN w:val="0"/>
        <w:adjustRightInd w:val="0"/>
        <w:spacing w:line="360" w:lineRule="auto"/>
        <w:ind w:firstLine="705"/>
        <w:jc w:val="both"/>
        <w:rPr>
          <w:rFonts w:ascii="Barlow" w:hAnsi="Barlow" w:cs="Arial"/>
          <w:sz w:val="20"/>
          <w:szCs w:val="20"/>
        </w:rPr>
      </w:pPr>
      <w:r w:rsidRPr="006D57F1">
        <w:rPr>
          <w:rFonts w:ascii="Barlow" w:hAnsi="Barlow" w:cs="Arial"/>
          <w:sz w:val="20"/>
          <w:szCs w:val="20"/>
        </w:rPr>
        <w:t>Instrumentar e implementar programas y acciones tendientes a impulsar el desarrollo y la consolidación de los Museos del Estado de Yucatán, así como la conservación del Patrimonio Autóctono, Histórico, Arqueológico, Arquitectónico, Documental y Artístico de la Cultura Regional, Nacional y Universal.</w:t>
      </w:r>
    </w:p>
    <w:p w14:paraId="0EA6D234" w14:textId="77777777" w:rsidR="00D3760C" w:rsidRPr="006D57F1" w:rsidRDefault="00D3760C" w:rsidP="00C4137E">
      <w:pPr>
        <w:autoSpaceDE w:val="0"/>
        <w:autoSpaceDN w:val="0"/>
        <w:adjustRightInd w:val="0"/>
        <w:spacing w:line="360" w:lineRule="auto"/>
        <w:jc w:val="both"/>
        <w:rPr>
          <w:rFonts w:ascii="Barlow" w:hAnsi="Barlow" w:cs="Arial"/>
          <w:sz w:val="20"/>
          <w:szCs w:val="20"/>
        </w:rPr>
      </w:pPr>
    </w:p>
    <w:p w14:paraId="30DAD987" w14:textId="498567F7" w:rsidR="00D3760C" w:rsidRPr="006D57F1" w:rsidRDefault="00D3760C" w:rsidP="00E14B45">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Ejercicio Fiscal</w:t>
      </w:r>
      <w:r w:rsidR="00AF47B8" w:rsidRPr="006D57F1">
        <w:rPr>
          <w:rFonts w:ascii="Barlow" w:hAnsi="Barlow" w:cs="Arial"/>
          <w:b/>
          <w:sz w:val="20"/>
          <w:szCs w:val="20"/>
        </w:rPr>
        <w:t xml:space="preserve"> 20</w:t>
      </w:r>
      <w:r w:rsidR="00F47B69" w:rsidRPr="006D57F1">
        <w:rPr>
          <w:rFonts w:ascii="Barlow" w:hAnsi="Barlow" w:cs="Arial"/>
          <w:b/>
          <w:sz w:val="20"/>
          <w:szCs w:val="20"/>
        </w:rPr>
        <w:t>2</w:t>
      </w:r>
      <w:r w:rsidR="000850E0" w:rsidRPr="006D57F1">
        <w:rPr>
          <w:rFonts w:ascii="Barlow" w:hAnsi="Barlow" w:cs="Arial"/>
          <w:b/>
          <w:sz w:val="20"/>
          <w:szCs w:val="20"/>
        </w:rPr>
        <w:t>2</w:t>
      </w:r>
    </w:p>
    <w:p w14:paraId="56D7D234" w14:textId="7C0C25E6" w:rsidR="00222282" w:rsidRPr="006D57F1" w:rsidRDefault="00D3760C" w:rsidP="00C4137E">
      <w:pPr>
        <w:autoSpaceDE w:val="0"/>
        <w:autoSpaceDN w:val="0"/>
        <w:adjustRightInd w:val="0"/>
        <w:spacing w:line="360" w:lineRule="auto"/>
        <w:ind w:firstLine="705"/>
        <w:jc w:val="both"/>
        <w:rPr>
          <w:rFonts w:ascii="Barlow" w:hAnsi="Barlow" w:cs="Arial"/>
          <w:sz w:val="20"/>
          <w:szCs w:val="20"/>
        </w:rPr>
      </w:pPr>
      <w:r w:rsidRPr="006D57F1">
        <w:rPr>
          <w:rFonts w:ascii="Barlow" w:hAnsi="Barlow" w:cs="Arial"/>
          <w:sz w:val="20"/>
          <w:szCs w:val="20"/>
        </w:rPr>
        <w:t>Las cifras</w:t>
      </w:r>
      <w:r w:rsidR="00D43E56" w:rsidRPr="006D57F1">
        <w:rPr>
          <w:rFonts w:ascii="Barlow" w:hAnsi="Barlow" w:cs="Arial"/>
          <w:sz w:val="20"/>
          <w:szCs w:val="20"/>
        </w:rPr>
        <w:t xml:space="preserve"> preliminares </w:t>
      </w:r>
      <w:r w:rsidRPr="006D57F1">
        <w:rPr>
          <w:rFonts w:ascii="Barlow" w:hAnsi="Barlow" w:cs="Arial"/>
          <w:sz w:val="20"/>
          <w:szCs w:val="20"/>
        </w:rPr>
        <w:t>contenidas en los Estados Financieros y que se mencio</w:t>
      </w:r>
      <w:r w:rsidR="00221446" w:rsidRPr="006D57F1">
        <w:rPr>
          <w:rFonts w:ascii="Barlow" w:hAnsi="Barlow" w:cs="Arial"/>
          <w:sz w:val="20"/>
          <w:szCs w:val="20"/>
        </w:rPr>
        <w:t>nan en estas notas se presentan</w:t>
      </w:r>
      <w:r w:rsidRPr="006D57F1">
        <w:rPr>
          <w:rFonts w:ascii="Barlow" w:hAnsi="Barlow" w:cs="Arial"/>
          <w:sz w:val="20"/>
          <w:szCs w:val="20"/>
        </w:rPr>
        <w:t xml:space="preserve"> al </w:t>
      </w:r>
      <w:bookmarkStart w:id="9" w:name="m17"/>
      <w:bookmarkEnd w:id="9"/>
      <w:r w:rsidR="000850E0" w:rsidRPr="006D57F1">
        <w:rPr>
          <w:rFonts w:ascii="Barlow" w:hAnsi="Barlow" w:cs="Arial"/>
          <w:sz w:val="20"/>
          <w:szCs w:val="20"/>
        </w:rPr>
        <w:t>2</w:t>
      </w:r>
      <w:r w:rsidR="006C591C" w:rsidRPr="006D57F1">
        <w:rPr>
          <w:rFonts w:ascii="Barlow" w:hAnsi="Barlow" w:cs="Arial"/>
          <w:sz w:val="20"/>
          <w:szCs w:val="20"/>
        </w:rPr>
        <w:t>7</w:t>
      </w:r>
      <w:r w:rsidR="008353C7" w:rsidRPr="006D57F1">
        <w:rPr>
          <w:rFonts w:ascii="Barlow" w:hAnsi="Barlow" w:cs="Arial"/>
          <w:sz w:val="20"/>
          <w:szCs w:val="20"/>
        </w:rPr>
        <w:t xml:space="preserve"> de</w:t>
      </w:r>
      <w:r w:rsidR="00813F2E" w:rsidRPr="006D57F1">
        <w:rPr>
          <w:rFonts w:ascii="Barlow" w:hAnsi="Barlow" w:cs="Arial"/>
          <w:sz w:val="20"/>
          <w:szCs w:val="20"/>
        </w:rPr>
        <w:t xml:space="preserve"> </w:t>
      </w:r>
      <w:r w:rsidR="006D57F1" w:rsidRPr="006D57F1">
        <w:rPr>
          <w:rFonts w:ascii="Barlow" w:hAnsi="Barlow" w:cs="Arial"/>
          <w:sz w:val="20"/>
          <w:szCs w:val="20"/>
        </w:rPr>
        <w:t>enero</w:t>
      </w:r>
      <w:r w:rsidR="00AF47B8" w:rsidRPr="006D57F1">
        <w:rPr>
          <w:rFonts w:ascii="Barlow" w:hAnsi="Barlow" w:cs="Arial"/>
          <w:sz w:val="20"/>
          <w:szCs w:val="20"/>
        </w:rPr>
        <w:t xml:space="preserve"> del Ejercicio Fiscal 20</w:t>
      </w:r>
      <w:r w:rsidR="00F47B69" w:rsidRPr="006D57F1">
        <w:rPr>
          <w:rFonts w:ascii="Barlow" w:hAnsi="Barlow" w:cs="Arial"/>
          <w:sz w:val="20"/>
          <w:szCs w:val="20"/>
        </w:rPr>
        <w:t>2</w:t>
      </w:r>
      <w:r w:rsidR="000850E0" w:rsidRPr="006D57F1">
        <w:rPr>
          <w:rFonts w:ascii="Barlow" w:hAnsi="Barlow" w:cs="Arial"/>
          <w:sz w:val="20"/>
          <w:szCs w:val="20"/>
        </w:rPr>
        <w:t>2</w:t>
      </w:r>
      <w:r w:rsidR="00222282" w:rsidRPr="006D57F1">
        <w:rPr>
          <w:rFonts w:ascii="Barlow" w:hAnsi="Barlow" w:cs="Arial"/>
          <w:sz w:val="20"/>
          <w:szCs w:val="20"/>
        </w:rPr>
        <w:t>.</w:t>
      </w:r>
    </w:p>
    <w:p w14:paraId="30A7FDA4" w14:textId="37B067E9" w:rsidR="00D3760C" w:rsidRDefault="00D3760C" w:rsidP="00C4137E">
      <w:pPr>
        <w:autoSpaceDE w:val="0"/>
        <w:autoSpaceDN w:val="0"/>
        <w:adjustRightInd w:val="0"/>
        <w:spacing w:line="360" w:lineRule="auto"/>
        <w:ind w:firstLine="705"/>
        <w:jc w:val="both"/>
        <w:rPr>
          <w:rFonts w:ascii="Barlow" w:hAnsi="Barlow" w:cs="Arial"/>
          <w:sz w:val="20"/>
          <w:szCs w:val="20"/>
          <w:highlight w:val="green"/>
        </w:rPr>
      </w:pPr>
    </w:p>
    <w:p w14:paraId="058F2AEB" w14:textId="77777777" w:rsidR="006D57F1" w:rsidRPr="006D57F1" w:rsidRDefault="006D57F1" w:rsidP="00C4137E">
      <w:pPr>
        <w:autoSpaceDE w:val="0"/>
        <w:autoSpaceDN w:val="0"/>
        <w:adjustRightInd w:val="0"/>
        <w:spacing w:line="360" w:lineRule="auto"/>
        <w:ind w:firstLine="705"/>
        <w:jc w:val="both"/>
        <w:rPr>
          <w:rFonts w:ascii="Barlow" w:hAnsi="Barlow" w:cs="Arial"/>
          <w:sz w:val="20"/>
          <w:szCs w:val="20"/>
          <w:highlight w:val="green"/>
        </w:rPr>
      </w:pPr>
    </w:p>
    <w:p w14:paraId="37BA53DF" w14:textId="77777777" w:rsidR="00D3760C" w:rsidRPr="006D57F1" w:rsidRDefault="00775193" w:rsidP="00E14B45">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lastRenderedPageBreak/>
        <w:t>Régimen Jurídico</w:t>
      </w:r>
    </w:p>
    <w:p w14:paraId="5C9E86C3" w14:textId="77777777" w:rsidR="00DF20FC" w:rsidRPr="006D57F1" w:rsidRDefault="00DF20FC" w:rsidP="00C4137E">
      <w:pPr>
        <w:autoSpaceDE w:val="0"/>
        <w:autoSpaceDN w:val="0"/>
        <w:adjustRightInd w:val="0"/>
        <w:spacing w:line="360" w:lineRule="auto"/>
        <w:ind w:firstLine="705"/>
        <w:jc w:val="both"/>
        <w:rPr>
          <w:rFonts w:ascii="Barlow" w:hAnsi="Barlow" w:cs="Arial"/>
          <w:sz w:val="20"/>
          <w:szCs w:val="20"/>
        </w:rPr>
      </w:pPr>
    </w:p>
    <w:p w14:paraId="02305CF2" w14:textId="21520E0B" w:rsidR="00D3760C" w:rsidRPr="006D57F1" w:rsidRDefault="00D3760C" w:rsidP="00C4137E">
      <w:pPr>
        <w:autoSpaceDE w:val="0"/>
        <w:autoSpaceDN w:val="0"/>
        <w:adjustRightInd w:val="0"/>
        <w:spacing w:line="360" w:lineRule="auto"/>
        <w:ind w:firstLine="705"/>
        <w:jc w:val="both"/>
        <w:rPr>
          <w:rFonts w:ascii="Barlow" w:hAnsi="Barlow" w:cs="Arial"/>
          <w:sz w:val="20"/>
          <w:szCs w:val="20"/>
        </w:rPr>
      </w:pPr>
      <w:r w:rsidRPr="006D57F1">
        <w:rPr>
          <w:rFonts w:ascii="Barlow" w:hAnsi="Barlow" w:cs="Arial"/>
          <w:sz w:val="20"/>
          <w:szCs w:val="20"/>
        </w:rPr>
        <w:t>El</w:t>
      </w:r>
      <w:r w:rsidR="00DF20FC" w:rsidRPr="006D57F1">
        <w:rPr>
          <w:rFonts w:ascii="Barlow" w:hAnsi="Barlow" w:cs="Arial"/>
          <w:sz w:val="20"/>
          <w:szCs w:val="20"/>
        </w:rPr>
        <w:t xml:space="preserve"> Instituto de Historia y Museos de Yucatán </w:t>
      </w:r>
      <w:r w:rsidRPr="006D57F1">
        <w:rPr>
          <w:rFonts w:ascii="Barlow" w:hAnsi="Barlow" w:cs="Arial"/>
          <w:sz w:val="20"/>
          <w:szCs w:val="20"/>
        </w:rPr>
        <w:t>está regulado por lo siguiente:</w:t>
      </w:r>
    </w:p>
    <w:p w14:paraId="146A559B"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Constitución de los Estados Unidos Mexicanos.</w:t>
      </w:r>
    </w:p>
    <w:p w14:paraId="4E62DCCC"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Constitución</w:t>
      </w:r>
      <w:r w:rsidR="00F95B60" w:rsidRPr="006D57F1">
        <w:rPr>
          <w:rFonts w:ascii="Barlow" w:hAnsi="Barlow" w:cs="Arial"/>
          <w:sz w:val="20"/>
          <w:szCs w:val="20"/>
        </w:rPr>
        <w:t xml:space="preserve"> Política</w:t>
      </w:r>
      <w:r w:rsidRPr="006D57F1">
        <w:rPr>
          <w:rFonts w:ascii="Barlow" w:hAnsi="Barlow" w:cs="Arial"/>
          <w:sz w:val="20"/>
          <w:szCs w:val="20"/>
        </w:rPr>
        <w:t xml:space="preserve"> del Estado de Yucatán.</w:t>
      </w:r>
    </w:p>
    <w:p w14:paraId="41BD6583" w14:textId="77777777" w:rsidR="00A70892" w:rsidRPr="006D57F1" w:rsidRDefault="00A70892"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Ley General de Contabilidad Gubernamental.</w:t>
      </w:r>
    </w:p>
    <w:p w14:paraId="19EC1F8B"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El Código de la Administración Pública del Estado de Yucatán.</w:t>
      </w:r>
    </w:p>
    <w:p w14:paraId="1282DFE1"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El Reglamento de la Administración Pública del Estado de Yucatán.</w:t>
      </w:r>
    </w:p>
    <w:p w14:paraId="41D3800C"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Ley del Presupuesto y Contabilidad Gubernamental del Estado de Yucatán y su reglamento.</w:t>
      </w:r>
    </w:p>
    <w:p w14:paraId="69E426DF"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Ley de Responsabilidades de los Servidores Públicos del Estado de Yucatán.</w:t>
      </w:r>
    </w:p>
    <w:p w14:paraId="70B42308" w14:textId="77777777" w:rsidR="00F95B60" w:rsidRPr="006D57F1" w:rsidRDefault="00F95B60"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Ley Federal de Responsabilidades de los Servidores Públicos</w:t>
      </w:r>
    </w:p>
    <w:p w14:paraId="49B0EAEF"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Ley de Adquisiciones, Arrendamientos y Prestación de Servicios relacionados con Bienes Muebles.</w:t>
      </w:r>
    </w:p>
    <w:p w14:paraId="2331A493" w14:textId="77777777" w:rsidR="00D3760C" w:rsidRPr="006D57F1" w:rsidRDefault="00D3760C"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Ley de Fiscalización de la Cuenta Pública del Estado de Yucatán y su reglamento.</w:t>
      </w:r>
    </w:p>
    <w:p w14:paraId="42835566" w14:textId="63F1814E" w:rsidR="00D62038" w:rsidRPr="006D57F1" w:rsidRDefault="00D62038"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w:t>
      </w:r>
      <w:r w:rsidR="00F95B60" w:rsidRPr="006D57F1">
        <w:rPr>
          <w:rFonts w:ascii="Barlow" w:hAnsi="Barlow" w:cs="Arial"/>
          <w:sz w:val="20"/>
          <w:szCs w:val="20"/>
        </w:rPr>
        <w:t>ey de Disciplina Financiera de las Entidades Federativas y Municipios</w:t>
      </w:r>
    </w:p>
    <w:p w14:paraId="36A837DA" w14:textId="79378ABB" w:rsidR="00190239" w:rsidRPr="006D57F1" w:rsidRDefault="00190239" w:rsidP="00E14B45">
      <w:pPr>
        <w:numPr>
          <w:ilvl w:val="0"/>
          <w:numId w:val="2"/>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Decreto de 397/2021 </w:t>
      </w:r>
      <w:r w:rsidR="005D147D" w:rsidRPr="006D57F1">
        <w:rPr>
          <w:rFonts w:ascii="Barlow" w:hAnsi="Barlow" w:cs="Arial"/>
          <w:sz w:val="20"/>
          <w:szCs w:val="20"/>
        </w:rPr>
        <w:t>por que extinción y liquidación del Instituto de historia y Museos de Yucatán.</w:t>
      </w:r>
    </w:p>
    <w:p w14:paraId="38F69506" w14:textId="7916ECA6" w:rsidR="00DF7D5B" w:rsidRPr="006D57F1" w:rsidRDefault="00DF7D5B" w:rsidP="006D57F1">
      <w:pPr>
        <w:autoSpaceDE w:val="0"/>
        <w:autoSpaceDN w:val="0"/>
        <w:adjustRightInd w:val="0"/>
        <w:spacing w:line="360" w:lineRule="auto"/>
        <w:jc w:val="both"/>
        <w:rPr>
          <w:rFonts w:ascii="Barlow" w:hAnsi="Barlow" w:cs="Arial"/>
          <w:sz w:val="20"/>
          <w:szCs w:val="20"/>
        </w:rPr>
      </w:pPr>
    </w:p>
    <w:p w14:paraId="66BFCFA2" w14:textId="77777777" w:rsidR="00D3760C" w:rsidRPr="006D57F1" w:rsidRDefault="00D3760C" w:rsidP="00E14B45">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 xml:space="preserve">Consideraciones fiscales del ente: </w:t>
      </w:r>
    </w:p>
    <w:p w14:paraId="678D6C7D" w14:textId="77777777" w:rsidR="00D3760C" w:rsidRPr="006D57F1" w:rsidRDefault="00D3760C" w:rsidP="00C4137E">
      <w:pPr>
        <w:tabs>
          <w:tab w:val="left" w:pos="1065"/>
        </w:tabs>
        <w:autoSpaceDE w:val="0"/>
        <w:autoSpaceDN w:val="0"/>
        <w:adjustRightInd w:val="0"/>
        <w:spacing w:line="360" w:lineRule="auto"/>
        <w:jc w:val="both"/>
        <w:rPr>
          <w:rFonts w:ascii="Barlow" w:hAnsi="Barlow" w:cs="Arial"/>
          <w:sz w:val="20"/>
          <w:szCs w:val="20"/>
        </w:rPr>
      </w:pPr>
    </w:p>
    <w:p w14:paraId="3787F42B" w14:textId="2BB6E975" w:rsidR="00D3760C" w:rsidRPr="006D57F1" w:rsidRDefault="00D3760C" w:rsidP="00C4137E">
      <w:pPr>
        <w:autoSpaceDE w:val="0"/>
        <w:autoSpaceDN w:val="0"/>
        <w:adjustRightInd w:val="0"/>
        <w:spacing w:line="360" w:lineRule="auto"/>
        <w:ind w:firstLine="705"/>
        <w:jc w:val="both"/>
        <w:rPr>
          <w:rFonts w:ascii="Barlow" w:hAnsi="Barlow" w:cs="Arial"/>
          <w:sz w:val="20"/>
          <w:szCs w:val="20"/>
        </w:rPr>
      </w:pPr>
      <w:r w:rsidRPr="006D57F1">
        <w:rPr>
          <w:rFonts w:ascii="Barlow" w:hAnsi="Barlow" w:cs="Arial"/>
          <w:sz w:val="20"/>
          <w:szCs w:val="20"/>
        </w:rPr>
        <w:t xml:space="preserve">El Poder </w:t>
      </w:r>
      <w:r w:rsidR="00E14045" w:rsidRPr="006D57F1">
        <w:rPr>
          <w:rFonts w:ascii="Barlow" w:hAnsi="Barlow" w:cs="Arial"/>
          <w:sz w:val="20"/>
          <w:szCs w:val="20"/>
        </w:rPr>
        <w:t>Instituto</w:t>
      </w:r>
      <w:r w:rsidR="008C30DE" w:rsidRPr="006D57F1">
        <w:rPr>
          <w:rFonts w:ascii="Barlow" w:hAnsi="Barlow" w:cs="Arial"/>
          <w:sz w:val="20"/>
          <w:szCs w:val="20"/>
        </w:rPr>
        <w:t xml:space="preserve"> de historia y Museos de </w:t>
      </w:r>
      <w:r w:rsidR="00E14045" w:rsidRPr="006D57F1">
        <w:rPr>
          <w:rFonts w:ascii="Barlow" w:hAnsi="Barlow" w:cs="Arial"/>
          <w:sz w:val="20"/>
          <w:szCs w:val="20"/>
        </w:rPr>
        <w:t>Yucatán</w:t>
      </w:r>
      <w:r w:rsidR="008C30DE" w:rsidRPr="006D57F1">
        <w:rPr>
          <w:rFonts w:ascii="Barlow" w:hAnsi="Barlow" w:cs="Arial"/>
          <w:sz w:val="20"/>
          <w:szCs w:val="20"/>
        </w:rPr>
        <w:t xml:space="preserve"> </w:t>
      </w:r>
      <w:r w:rsidRPr="006D57F1">
        <w:rPr>
          <w:rFonts w:ascii="Barlow" w:hAnsi="Barlow" w:cs="Arial"/>
          <w:sz w:val="20"/>
          <w:szCs w:val="20"/>
        </w:rPr>
        <w:t xml:space="preserve">un </w:t>
      </w:r>
      <w:r w:rsidR="008C30DE" w:rsidRPr="006D57F1">
        <w:rPr>
          <w:rFonts w:ascii="Barlow" w:hAnsi="Barlow" w:cs="Arial"/>
          <w:sz w:val="20"/>
          <w:szCs w:val="20"/>
        </w:rPr>
        <w:t>organismo público descentralizado, con personalidad jurídica y patrimonio propio</w:t>
      </w:r>
      <w:r w:rsidRPr="006D57F1">
        <w:rPr>
          <w:rFonts w:ascii="Barlow" w:hAnsi="Barlow" w:cs="Arial"/>
          <w:sz w:val="20"/>
          <w:szCs w:val="20"/>
        </w:rPr>
        <w:t xml:space="preserve">; el cual inicia operaciones ante las oficinas de la Secretaria de Hacienda Federal el </w:t>
      </w:r>
      <w:r w:rsidR="008C30DE" w:rsidRPr="006D57F1">
        <w:rPr>
          <w:rFonts w:ascii="Barlow" w:hAnsi="Barlow" w:cs="Arial"/>
          <w:sz w:val="20"/>
          <w:szCs w:val="20"/>
        </w:rPr>
        <w:t>22</w:t>
      </w:r>
      <w:r w:rsidRPr="006D57F1">
        <w:rPr>
          <w:rFonts w:ascii="Barlow" w:hAnsi="Barlow" w:cs="Arial"/>
          <w:sz w:val="20"/>
          <w:szCs w:val="20"/>
        </w:rPr>
        <w:t xml:space="preserve"> de </w:t>
      </w:r>
      <w:r w:rsidR="006D57F1" w:rsidRPr="006D57F1">
        <w:rPr>
          <w:rFonts w:ascii="Barlow" w:hAnsi="Barlow" w:cs="Arial"/>
          <w:sz w:val="20"/>
          <w:szCs w:val="20"/>
        </w:rPr>
        <w:t>enero</w:t>
      </w:r>
      <w:r w:rsidR="008C30DE" w:rsidRPr="006D57F1">
        <w:rPr>
          <w:rFonts w:ascii="Barlow" w:hAnsi="Barlow" w:cs="Arial"/>
          <w:sz w:val="20"/>
          <w:szCs w:val="20"/>
        </w:rPr>
        <w:t xml:space="preserve"> </w:t>
      </w:r>
      <w:r w:rsidRPr="006D57F1">
        <w:rPr>
          <w:rFonts w:ascii="Barlow" w:hAnsi="Barlow" w:cs="Arial"/>
          <w:sz w:val="20"/>
          <w:szCs w:val="20"/>
        </w:rPr>
        <w:t xml:space="preserve">de </w:t>
      </w:r>
      <w:r w:rsidR="008C30DE" w:rsidRPr="006D57F1">
        <w:rPr>
          <w:rFonts w:ascii="Barlow" w:hAnsi="Barlow" w:cs="Arial"/>
          <w:sz w:val="20"/>
          <w:szCs w:val="20"/>
        </w:rPr>
        <w:t>2013.</w:t>
      </w:r>
      <w:r w:rsidRPr="006D57F1">
        <w:rPr>
          <w:rFonts w:ascii="Barlow" w:hAnsi="Barlow" w:cs="Arial"/>
          <w:sz w:val="20"/>
          <w:szCs w:val="20"/>
        </w:rPr>
        <w:t xml:space="preserve"> Las obligaciones fiscales </w:t>
      </w:r>
      <w:r w:rsidR="008C30DE" w:rsidRPr="006D57F1">
        <w:rPr>
          <w:rFonts w:ascii="Barlow" w:hAnsi="Barlow" w:cs="Arial"/>
          <w:sz w:val="20"/>
          <w:szCs w:val="20"/>
        </w:rPr>
        <w:t xml:space="preserve">del instituto </w:t>
      </w:r>
      <w:r w:rsidRPr="006D57F1">
        <w:rPr>
          <w:rFonts w:ascii="Barlow" w:hAnsi="Barlow" w:cs="Arial"/>
          <w:sz w:val="20"/>
          <w:szCs w:val="20"/>
        </w:rPr>
        <w:t xml:space="preserve">son las siguientes: </w:t>
      </w:r>
    </w:p>
    <w:p w14:paraId="75AED9A7" w14:textId="77777777" w:rsidR="00D3760C" w:rsidRPr="006D57F1" w:rsidRDefault="00D3760C" w:rsidP="00C4137E">
      <w:pPr>
        <w:autoSpaceDE w:val="0"/>
        <w:autoSpaceDN w:val="0"/>
        <w:adjustRightInd w:val="0"/>
        <w:spacing w:line="360" w:lineRule="auto"/>
        <w:ind w:firstLine="705"/>
        <w:jc w:val="both"/>
        <w:rPr>
          <w:rFonts w:ascii="Barlow" w:hAnsi="Barlow" w:cs="Arial"/>
          <w:sz w:val="20"/>
          <w:szCs w:val="20"/>
        </w:rPr>
      </w:pPr>
    </w:p>
    <w:p w14:paraId="254BAD0D" w14:textId="77777777" w:rsidR="008C30DE" w:rsidRPr="006D57F1" w:rsidRDefault="008C30DE" w:rsidP="00E14B45">
      <w:pPr>
        <w:numPr>
          <w:ilvl w:val="1"/>
          <w:numId w:val="4"/>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lastRenderedPageBreak/>
        <w:t>Pago definitivo de IVA.</w:t>
      </w:r>
    </w:p>
    <w:p w14:paraId="74EB57D8" w14:textId="7A03D2C3" w:rsidR="008C30DE" w:rsidRPr="006D57F1" w:rsidRDefault="008C30DE" w:rsidP="00E14B45">
      <w:pPr>
        <w:numPr>
          <w:ilvl w:val="1"/>
          <w:numId w:val="4"/>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Enteros mensuales de ISR por sueldos y salarios.</w:t>
      </w:r>
    </w:p>
    <w:p w14:paraId="4FE0D92C" w14:textId="069DE763" w:rsidR="00630DA9" w:rsidRPr="006D57F1" w:rsidRDefault="003153C1" w:rsidP="00E14B45">
      <w:pPr>
        <w:numPr>
          <w:ilvl w:val="1"/>
          <w:numId w:val="4"/>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 </w:t>
      </w:r>
      <w:r w:rsidR="008C30DE" w:rsidRPr="006D57F1">
        <w:rPr>
          <w:rFonts w:ascii="Barlow" w:hAnsi="Barlow" w:cs="Arial"/>
          <w:sz w:val="20"/>
          <w:szCs w:val="20"/>
        </w:rPr>
        <w:t>Enteros mensuales de ISR por ingresos asimilados a salario.</w:t>
      </w:r>
    </w:p>
    <w:p w14:paraId="72C277A9" w14:textId="015B1C1C" w:rsidR="008C30DE" w:rsidRPr="006D57F1" w:rsidRDefault="008C30DE" w:rsidP="00E14B45">
      <w:pPr>
        <w:numPr>
          <w:ilvl w:val="1"/>
          <w:numId w:val="4"/>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Declaración informativa de IVA con la anual de ISR.</w:t>
      </w:r>
    </w:p>
    <w:p w14:paraId="1F520BE1" w14:textId="72E4BE8C" w:rsidR="008C30DE" w:rsidRPr="006D57F1" w:rsidRDefault="008C30DE" w:rsidP="00E14B45">
      <w:pPr>
        <w:numPr>
          <w:ilvl w:val="1"/>
          <w:numId w:val="4"/>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Declaración informativa mensual de proveedores.</w:t>
      </w:r>
    </w:p>
    <w:p w14:paraId="7431CDC5" w14:textId="083CC94A" w:rsidR="00D3760C" w:rsidRPr="006D57F1" w:rsidRDefault="00630DA9" w:rsidP="00E14B45">
      <w:pPr>
        <w:numPr>
          <w:ilvl w:val="1"/>
          <w:numId w:val="6"/>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D</w:t>
      </w:r>
      <w:r w:rsidR="00D3760C" w:rsidRPr="006D57F1">
        <w:rPr>
          <w:rFonts w:ascii="Barlow" w:hAnsi="Barlow" w:cs="Arial"/>
          <w:sz w:val="20"/>
          <w:szCs w:val="20"/>
        </w:rPr>
        <w:t>eclaración informativa</w:t>
      </w:r>
      <w:r w:rsidR="008C30DE" w:rsidRPr="006D57F1">
        <w:rPr>
          <w:rFonts w:ascii="Barlow" w:hAnsi="Barlow" w:cs="Arial"/>
          <w:sz w:val="20"/>
          <w:szCs w:val="20"/>
        </w:rPr>
        <w:t xml:space="preserve"> anual de pagos y retenciones de servicios profesionales, Personas Morales, Impuesto sobre la Renta</w:t>
      </w:r>
      <w:r w:rsidR="00D3760C" w:rsidRPr="006D57F1">
        <w:rPr>
          <w:rFonts w:ascii="Barlow" w:hAnsi="Barlow" w:cs="Arial"/>
          <w:sz w:val="20"/>
          <w:szCs w:val="20"/>
        </w:rPr>
        <w:t>.</w:t>
      </w:r>
    </w:p>
    <w:p w14:paraId="129167BD" w14:textId="17883BEE" w:rsidR="008C30DE" w:rsidRPr="006D57F1" w:rsidRDefault="008C30DE" w:rsidP="00E14B45">
      <w:pPr>
        <w:numPr>
          <w:ilvl w:val="1"/>
          <w:numId w:val="6"/>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Declaración de proveedores de IVA.</w:t>
      </w:r>
    </w:p>
    <w:p w14:paraId="07EC3637" w14:textId="48A07C31" w:rsidR="00D75B11" w:rsidRPr="006D57F1" w:rsidRDefault="00D75B11" w:rsidP="00D75B11">
      <w:pPr>
        <w:numPr>
          <w:ilvl w:val="1"/>
          <w:numId w:val="6"/>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Declaración informativa anual de ISR del ejercicio Persona morales PMFNL que generen ingresos gravados.</w:t>
      </w:r>
    </w:p>
    <w:p w14:paraId="2AD10FDF" w14:textId="71E9DDF2" w:rsidR="00D75B11" w:rsidRPr="006D57F1" w:rsidRDefault="00D75B11" w:rsidP="00E14B45">
      <w:pPr>
        <w:numPr>
          <w:ilvl w:val="1"/>
          <w:numId w:val="6"/>
        </w:numPr>
        <w:tabs>
          <w:tab w:val="left" w:pos="178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 Entero mensual de ISR por servicios profesionales.</w:t>
      </w:r>
    </w:p>
    <w:p w14:paraId="2D889AE6" w14:textId="77777777" w:rsidR="008C30DE" w:rsidRPr="006D57F1" w:rsidRDefault="008C30DE" w:rsidP="00D75B11">
      <w:pPr>
        <w:tabs>
          <w:tab w:val="left" w:pos="1785"/>
        </w:tabs>
        <w:autoSpaceDE w:val="0"/>
        <w:autoSpaceDN w:val="0"/>
        <w:adjustRightInd w:val="0"/>
        <w:spacing w:line="360" w:lineRule="auto"/>
        <w:ind w:left="1065"/>
        <w:jc w:val="both"/>
        <w:rPr>
          <w:rFonts w:ascii="Barlow" w:hAnsi="Barlow" w:cs="Arial"/>
          <w:b/>
          <w:sz w:val="20"/>
          <w:szCs w:val="20"/>
        </w:rPr>
      </w:pPr>
    </w:p>
    <w:p w14:paraId="376068D8" w14:textId="77777777" w:rsidR="00D3760C" w:rsidRPr="006D57F1" w:rsidRDefault="00D3760C" w:rsidP="00E14B45">
      <w:pPr>
        <w:numPr>
          <w:ilvl w:val="0"/>
          <w:numId w:val="4"/>
        </w:numPr>
        <w:tabs>
          <w:tab w:val="left" w:pos="1065"/>
        </w:tabs>
        <w:autoSpaceDE w:val="0"/>
        <w:autoSpaceDN w:val="0"/>
        <w:adjustRightInd w:val="0"/>
        <w:spacing w:line="360" w:lineRule="auto"/>
        <w:ind w:left="1065"/>
        <w:jc w:val="both"/>
        <w:rPr>
          <w:rFonts w:ascii="Barlow" w:hAnsi="Barlow" w:cs="Arial"/>
          <w:b/>
          <w:sz w:val="20"/>
          <w:szCs w:val="20"/>
        </w:rPr>
      </w:pPr>
      <w:r w:rsidRPr="006D57F1">
        <w:rPr>
          <w:rFonts w:ascii="Barlow" w:hAnsi="Barlow" w:cs="Arial"/>
          <w:b/>
          <w:sz w:val="20"/>
          <w:szCs w:val="20"/>
        </w:rPr>
        <w:t>Estructura Organizacional Básica.</w:t>
      </w:r>
    </w:p>
    <w:p w14:paraId="08A2F8AB" w14:textId="77777777" w:rsidR="00D3760C" w:rsidRPr="006D57F1" w:rsidRDefault="00D3760C" w:rsidP="00C4137E">
      <w:pPr>
        <w:autoSpaceDE w:val="0"/>
        <w:autoSpaceDN w:val="0"/>
        <w:adjustRightInd w:val="0"/>
        <w:spacing w:line="360" w:lineRule="auto"/>
        <w:ind w:left="705"/>
        <w:jc w:val="both"/>
        <w:rPr>
          <w:rFonts w:ascii="Barlow" w:hAnsi="Barlow" w:cs="Arial"/>
          <w:sz w:val="20"/>
          <w:szCs w:val="20"/>
        </w:rPr>
      </w:pPr>
    </w:p>
    <w:p w14:paraId="094D019F" w14:textId="6F6B58CF" w:rsidR="00023829" w:rsidRPr="006D57F1" w:rsidRDefault="00D3760C" w:rsidP="00C4137E">
      <w:pPr>
        <w:tabs>
          <w:tab w:val="left" w:pos="1065"/>
        </w:tabs>
        <w:autoSpaceDE w:val="0"/>
        <w:autoSpaceDN w:val="0"/>
        <w:adjustRightInd w:val="0"/>
        <w:spacing w:line="360" w:lineRule="auto"/>
        <w:ind w:left="705"/>
        <w:jc w:val="both"/>
        <w:rPr>
          <w:rFonts w:ascii="Barlow" w:hAnsi="Barlow" w:cs="Arial"/>
          <w:sz w:val="20"/>
          <w:szCs w:val="20"/>
        </w:rPr>
      </w:pPr>
      <w:r w:rsidRPr="006D57F1">
        <w:rPr>
          <w:rFonts w:ascii="Barlow" w:hAnsi="Barlow" w:cs="Arial"/>
          <w:sz w:val="20"/>
          <w:szCs w:val="20"/>
        </w:rPr>
        <w:tab/>
        <w:t xml:space="preserve">El </w:t>
      </w:r>
      <w:r w:rsidR="00D75B11" w:rsidRPr="006D57F1">
        <w:rPr>
          <w:rFonts w:ascii="Barlow" w:hAnsi="Barlow" w:cs="Arial"/>
          <w:sz w:val="20"/>
          <w:szCs w:val="20"/>
        </w:rPr>
        <w:t xml:space="preserve">Estatuto Orgánico del Instituto de Historia y Museos de Yucatán publicado el 4 de junio de 2013 en Diario Oficial del Gobierno del Estado de </w:t>
      </w:r>
      <w:r w:rsidR="00023829" w:rsidRPr="006D57F1">
        <w:rPr>
          <w:rFonts w:ascii="Barlow" w:hAnsi="Barlow" w:cs="Arial"/>
          <w:sz w:val="20"/>
          <w:szCs w:val="20"/>
        </w:rPr>
        <w:t>Yucatán</w:t>
      </w:r>
      <w:r w:rsidR="00D75B11" w:rsidRPr="006D57F1">
        <w:rPr>
          <w:rFonts w:ascii="Barlow" w:hAnsi="Barlow" w:cs="Arial"/>
          <w:sz w:val="20"/>
          <w:szCs w:val="20"/>
        </w:rPr>
        <w:t xml:space="preserve">, </w:t>
      </w:r>
      <w:r w:rsidR="00023829" w:rsidRPr="006D57F1">
        <w:rPr>
          <w:rFonts w:ascii="Barlow" w:hAnsi="Barlow" w:cs="Arial"/>
          <w:sz w:val="20"/>
          <w:szCs w:val="20"/>
        </w:rPr>
        <w:t>es el que regula la organización y el funcionamiento del mismo</w:t>
      </w:r>
      <w:r w:rsidR="00F36FDD" w:rsidRPr="006D57F1">
        <w:rPr>
          <w:rFonts w:ascii="Barlow" w:hAnsi="Barlow" w:cs="Arial"/>
          <w:sz w:val="20"/>
          <w:szCs w:val="20"/>
        </w:rPr>
        <w:t xml:space="preserve"> y su estructura básica se compone por:</w:t>
      </w:r>
    </w:p>
    <w:p w14:paraId="6565F22E" w14:textId="77777777" w:rsidR="00F36FDD" w:rsidRPr="006D57F1" w:rsidRDefault="00F36FDD" w:rsidP="00023829">
      <w:pPr>
        <w:tabs>
          <w:tab w:val="left" w:pos="1065"/>
        </w:tabs>
        <w:autoSpaceDE w:val="0"/>
        <w:autoSpaceDN w:val="0"/>
        <w:adjustRightInd w:val="0"/>
        <w:spacing w:line="360" w:lineRule="auto"/>
        <w:ind w:left="705"/>
        <w:jc w:val="both"/>
        <w:rPr>
          <w:rFonts w:ascii="Barlow" w:hAnsi="Barlow" w:cs="Arial"/>
          <w:sz w:val="20"/>
          <w:szCs w:val="20"/>
        </w:rPr>
      </w:pPr>
    </w:p>
    <w:p w14:paraId="78BD7982" w14:textId="043AF8C3" w:rsidR="00023829" w:rsidRPr="006D57F1" w:rsidRDefault="00023829" w:rsidP="00023829">
      <w:pPr>
        <w:tabs>
          <w:tab w:val="left" w:pos="1065"/>
        </w:tabs>
        <w:autoSpaceDE w:val="0"/>
        <w:autoSpaceDN w:val="0"/>
        <w:adjustRightInd w:val="0"/>
        <w:spacing w:line="360" w:lineRule="auto"/>
        <w:ind w:left="705"/>
        <w:jc w:val="both"/>
        <w:rPr>
          <w:rFonts w:ascii="Barlow" w:hAnsi="Barlow" w:cs="Arial"/>
          <w:sz w:val="20"/>
          <w:szCs w:val="20"/>
        </w:rPr>
      </w:pPr>
      <w:r w:rsidRPr="006D57F1">
        <w:rPr>
          <w:rFonts w:ascii="Barlow" w:hAnsi="Barlow" w:cs="Arial"/>
          <w:sz w:val="20"/>
          <w:szCs w:val="20"/>
        </w:rPr>
        <w:t>I.- Órganos de Gobierno:</w:t>
      </w:r>
    </w:p>
    <w:p w14:paraId="5E657F87" w14:textId="1F4127F1" w:rsidR="00023829" w:rsidRPr="006D57F1" w:rsidRDefault="00023829" w:rsidP="00023829">
      <w:pPr>
        <w:pStyle w:val="Prrafodelista"/>
        <w:numPr>
          <w:ilvl w:val="0"/>
          <w:numId w:val="18"/>
        </w:numPr>
        <w:tabs>
          <w:tab w:val="left" w:pos="106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Consejo Directivo, y </w:t>
      </w:r>
    </w:p>
    <w:p w14:paraId="3A3FC597" w14:textId="56119A07" w:rsidR="007279C6" w:rsidRPr="006D57F1" w:rsidRDefault="008A7729" w:rsidP="00023829">
      <w:pPr>
        <w:pStyle w:val="Prrafodelista"/>
        <w:numPr>
          <w:ilvl w:val="0"/>
          <w:numId w:val="18"/>
        </w:numPr>
        <w:tabs>
          <w:tab w:val="left" w:pos="106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Responsable del proceso de Liquidación y Extinción del IHMY</w:t>
      </w:r>
    </w:p>
    <w:p w14:paraId="6F2A758F" w14:textId="34479C31" w:rsidR="00D3760C" w:rsidRPr="006D57F1" w:rsidRDefault="00D3760C" w:rsidP="007279C6">
      <w:pPr>
        <w:tabs>
          <w:tab w:val="left" w:pos="1065"/>
        </w:tabs>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 </w:t>
      </w:r>
    </w:p>
    <w:p w14:paraId="16C42BD9" w14:textId="2326EBC5" w:rsidR="007D06F0" w:rsidRDefault="007D06F0" w:rsidP="007D06F0">
      <w:pPr>
        <w:pStyle w:val="Prrafodelista"/>
        <w:tabs>
          <w:tab w:val="left" w:pos="1065"/>
        </w:tabs>
        <w:autoSpaceDE w:val="0"/>
        <w:autoSpaceDN w:val="0"/>
        <w:adjustRightInd w:val="0"/>
        <w:spacing w:line="360" w:lineRule="auto"/>
        <w:ind w:left="1290"/>
        <w:jc w:val="both"/>
        <w:rPr>
          <w:rFonts w:ascii="Barlow" w:hAnsi="Barlow" w:cs="Arial"/>
          <w:b/>
          <w:sz w:val="20"/>
          <w:szCs w:val="20"/>
        </w:rPr>
      </w:pPr>
    </w:p>
    <w:p w14:paraId="272FBC3C" w14:textId="77777777" w:rsidR="006D57F1" w:rsidRPr="006D57F1" w:rsidRDefault="006D57F1" w:rsidP="007D06F0">
      <w:pPr>
        <w:pStyle w:val="Prrafodelista"/>
        <w:tabs>
          <w:tab w:val="left" w:pos="1065"/>
        </w:tabs>
        <w:autoSpaceDE w:val="0"/>
        <w:autoSpaceDN w:val="0"/>
        <w:adjustRightInd w:val="0"/>
        <w:spacing w:line="360" w:lineRule="auto"/>
        <w:ind w:left="1290"/>
        <w:jc w:val="both"/>
        <w:rPr>
          <w:rFonts w:ascii="Barlow" w:hAnsi="Barlow" w:cs="Arial"/>
          <w:b/>
          <w:sz w:val="20"/>
          <w:szCs w:val="20"/>
        </w:rPr>
      </w:pPr>
    </w:p>
    <w:p w14:paraId="37D4686E" w14:textId="79D19D61" w:rsidR="00D3760C" w:rsidRPr="006D57F1" w:rsidRDefault="000F168D" w:rsidP="00D56311">
      <w:pPr>
        <w:tabs>
          <w:tab w:val="left" w:pos="1065"/>
        </w:tabs>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lastRenderedPageBreak/>
        <w:t xml:space="preserve">g)    </w:t>
      </w:r>
      <w:r w:rsidR="00D3760C" w:rsidRPr="006D57F1">
        <w:rPr>
          <w:rFonts w:ascii="Barlow" w:hAnsi="Barlow" w:cs="Arial"/>
          <w:b/>
          <w:sz w:val="20"/>
          <w:szCs w:val="20"/>
        </w:rPr>
        <w:t>Fideicomisos, mandatos y análogos de los cuales es fideicomitente o fiduciario.</w:t>
      </w:r>
    </w:p>
    <w:p w14:paraId="6AB703B9" w14:textId="77777777" w:rsidR="00D3760C" w:rsidRPr="006D57F1" w:rsidRDefault="00D3760C" w:rsidP="00C4137E">
      <w:pPr>
        <w:autoSpaceDE w:val="0"/>
        <w:autoSpaceDN w:val="0"/>
        <w:adjustRightInd w:val="0"/>
        <w:spacing w:line="360" w:lineRule="auto"/>
        <w:jc w:val="both"/>
        <w:rPr>
          <w:rFonts w:ascii="Barlow" w:hAnsi="Barlow" w:cs="Arial"/>
          <w:bCs/>
          <w:sz w:val="20"/>
          <w:szCs w:val="20"/>
        </w:rPr>
      </w:pPr>
    </w:p>
    <w:p w14:paraId="6C41E0FE" w14:textId="376FB7C4" w:rsidR="00F36FDD" w:rsidRPr="006D57F1" w:rsidRDefault="00F36FDD"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El Instituto de Historia y Museos de Yucatán no cuenta con fideicomisos, mandatos y an</w:t>
      </w:r>
      <w:r w:rsidR="00D56311" w:rsidRPr="006D57F1">
        <w:rPr>
          <w:rFonts w:ascii="Barlow" w:hAnsi="Barlow" w:cs="Arial"/>
          <w:sz w:val="20"/>
          <w:szCs w:val="20"/>
        </w:rPr>
        <w:t>ál</w:t>
      </w:r>
      <w:r w:rsidRPr="006D57F1">
        <w:rPr>
          <w:rFonts w:ascii="Barlow" w:hAnsi="Barlow" w:cs="Arial"/>
          <w:sz w:val="20"/>
          <w:szCs w:val="20"/>
        </w:rPr>
        <w:t>ogos de los cuales es fideicomitente o fiduciario.</w:t>
      </w:r>
    </w:p>
    <w:p w14:paraId="72C77520" w14:textId="182205B6" w:rsidR="00221446" w:rsidRPr="006D57F1" w:rsidRDefault="00F36FDD"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sz w:val="20"/>
          <w:szCs w:val="20"/>
        </w:rPr>
        <w:t xml:space="preserve"> </w:t>
      </w:r>
      <w:bookmarkStart w:id="10" w:name="m19"/>
      <w:bookmarkEnd w:id="10"/>
    </w:p>
    <w:p w14:paraId="6FA66B6C" w14:textId="4C910707" w:rsidR="00D3760C" w:rsidRPr="006D57F1" w:rsidRDefault="00D3760C"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5.-</w:t>
      </w:r>
      <w:r w:rsidRPr="006D57F1">
        <w:rPr>
          <w:rFonts w:ascii="Barlow" w:hAnsi="Barlow" w:cs="Arial"/>
          <w:sz w:val="20"/>
          <w:szCs w:val="20"/>
        </w:rPr>
        <w:t xml:space="preserve"> </w:t>
      </w:r>
      <w:r w:rsidRPr="006D57F1">
        <w:rPr>
          <w:rFonts w:ascii="Barlow" w:hAnsi="Barlow" w:cs="Arial"/>
          <w:b/>
          <w:sz w:val="20"/>
          <w:szCs w:val="20"/>
        </w:rPr>
        <w:t>Bases para la Preparación de Estados Financieros.</w:t>
      </w:r>
    </w:p>
    <w:p w14:paraId="5E73F0D7" w14:textId="77777777" w:rsidR="00D3760C" w:rsidRPr="006D57F1" w:rsidRDefault="00D3760C" w:rsidP="00C4137E">
      <w:pPr>
        <w:autoSpaceDE w:val="0"/>
        <w:autoSpaceDN w:val="0"/>
        <w:adjustRightInd w:val="0"/>
        <w:spacing w:line="360" w:lineRule="auto"/>
        <w:jc w:val="both"/>
        <w:rPr>
          <w:rFonts w:ascii="Barlow" w:hAnsi="Barlow" w:cs="Arial"/>
          <w:sz w:val="20"/>
          <w:szCs w:val="20"/>
        </w:rPr>
      </w:pPr>
    </w:p>
    <w:p w14:paraId="20EB4372" w14:textId="77777777" w:rsidR="00D3760C" w:rsidRPr="006D57F1" w:rsidRDefault="00C91D4B" w:rsidP="00E14B45">
      <w:pPr>
        <w:numPr>
          <w:ilvl w:val="0"/>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En la preparación de los Estados Financieros del Poder Ejecutivo, se observó con lo establecido en la Ley General de Contabilidad Gubernamental, la Ley de Presupuesto y Contabilidad Gubernamental del Estado de Yucatán y demás disposiciones emitidas para tal efecto por el Consejo Nacional de Armonización Contable (CONAC).</w:t>
      </w:r>
      <w:r w:rsidR="00D3760C" w:rsidRPr="006D57F1">
        <w:rPr>
          <w:rFonts w:ascii="Barlow" w:hAnsi="Barlow" w:cs="Arial"/>
          <w:sz w:val="20"/>
          <w:szCs w:val="20"/>
        </w:rPr>
        <w:t xml:space="preserve">  </w:t>
      </w:r>
    </w:p>
    <w:p w14:paraId="694943B1" w14:textId="77777777" w:rsidR="00D3760C" w:rsidRPr="006D57F1" w:rsidRDefault="00D3760C" w:rsidP="00E14B45">
      <w:pPr>
        <w:numPr>
          <w:ilvl w:val="0"/>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 base de medición utilizada en el registro de las operaciones para la elaboración de los Estados Financieros es a Costo histórico.</w:t>
      </w:r>
    </w:p>
    <w:p w14:paraId="3AB6D975" w14:textId="5B57BCED" w:rsidR="00D3760C" w:rsidRPr="006D57F1" w:rsidRDefault="00D3760C" w:rsidP="00E14B45">
      <w:pPr>
        <w:numPr>
          <w:ilvl w:val="0"/>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Postulados básicos de la Contabilidad guber</w:t>
      </w:r>
      <w:r w:rsidR="00654B65" w:rsidRPr="006D57F1">
        <w:rPr>
          <w:rFonts w:ascii="Barlow" w:hAnsi="Barlow" w:cs="Arial"/>
          <w:sz w:val="20"/>
          <w:szCs w:val="20"/>
        </w:rPr>
        <w:t>namental aprobados por la CONAC</w:t>
      </w:r>
      <w:r w:rsidRPr="006D57F1">
        <w:rPr>
          <w:rFonts w:ascii="Barlow" w:hAnsi="Barlow" w:cs="Arial"/>
          <w:sz w:val="20"/>
          <w:szCs w:val="20"/>
        </w:rPr>
        <w:t xml:space="preserve"> y Publicados en el Diario Oficial del Estado para su difusión.</w:t>
      </w:r>
    </w:p>
    <w:p w14:paraId="13C13686"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Sustancia Económica</w:t>
      </w:r>
    </w:p>
    <w:p w14:paraId="76555E0F"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Entes Públicos</w:t>
      </w:r>
    </w:p>
    <w:p w14:paraId="44066C2C"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Existencia Permanente</w:t>
      </w:r>
    </w:p>
    <w:p w14:paraId="45709E3D"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Revelación Suficiente</w:t>
      </w:r>
    </w:p>
    <w:p w14:paraId="0C73643A"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Importancia Relativa</w:t>
      </w:r>
    </w:p>
    <w:p w14:paraId="41D8C549"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Registro e Integración Presupuestaria</w:t>
      </w:r>
    </w:p>
    <w:p w14:paraId="34154E8C"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Consolidación de la Información Financiera</w:t>
      </w:r>
    </w:p>
    <w:p w14:paraId="30732036"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Devengo Contable</w:t>
      </w:r>
    </w:p>
    <w:p w14:paraId="4BA778CE"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Valuación</w:t>
      </w:r>
    </w:p>
    <w:p w14:paraId="72D251B9"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Dualidad Económica</w:t>
      </w:r>
    </w:p>
    <w:p w14:paraId="09960CB6" w14:textId="77777777" w:rsidR="00D3760C" w:rsidRPr="006D57F1" w:rsidRDefault="00D3760C" w:rsidP="00E14B45">
      <w:pPr>
        <w:numPr>
          <w:ilvl w:val="1"/>
          <w:numId w:val="7"/>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lastRenderedPageBreak/>
        <w:t>Consistencia</w:t>
      </w:r>
    </w:p>
    <w:p w14:paraId="5C72682C" w14:textId="77777777" w:rsidR="00D3760C" w:rsidRPr="006D57F1" w:rsidRDefault="00D3760C" w:rsidP="00C4137E">
      <w:pPr>
        <w:autoSpaceDE w:val="0"/>
        <w:autoSpaceDN w:val="0"/>
        <w:adjustRightInd w:val="0"/>
        <w:spacing w:line="360" w:lineRule="auto"/>
        <w:jc w:val="both"/>
        <w:rPr>
          <w:rFonts w:ascii="Barlow" w:hAnsi="Barlow" w:cs="Arial"/>
          <w:sz w:val="20"/>
          <w:szCs w:val="20"/>
        </w:rPr>
      </w:pPr>
    </w:p>
    <w:p w14:paraId="2C1359D2" w14:textId="77777777" w:rsidR="00D3760C" w:rsidRPr="006D57F1" w:rsidRDefault="00D3760C" w:rsidP="00D258C6">
      <w:pPr>
        <w:autoSpaceDE w:val="0"/>
        <w:autoSpaceDN w:val="0"/>
        <w:adjustRightInd w:val="0"/>
        <w:spacing w:line="360" w:lineRule="auto"/>
        <w:ind w:firstLine="360"/>
        <w:jc w:val="both"/>
        <w:rPr>
          <w:rFonts w:ascii="Barlow" w:hAnsi="Barlow" w:cs="Arial"/>
          <w:sz w:val="20"/>
          <w:szCs w:val="20"/>
        </w:rPr>
      </w:pPr>
      <w:r w:rsidRPr="006D57F1">
        <w:rPr>
          <w:rFonts w:ascii="Barlow" w:hAnsi="Barlow" w:cs="Arial"/>
          <w:sz w:val="20"/>
          <w:szCs w:val="20"/>
        </w:rPr>
        <w:t>d)   En forma supletoria a las Normas de la Ley General de Contabilidad Gubernamental y a las emitidas por la CONAC aplicar</w:t>
      </w:r>
      <w:r w:rsidR="00D258C6" w:rsidRPr="006D57F1">
        <w:rPr>
          <w:rFonts w:ascii="Barlow" w:hAnsi="Barlow" w:cs="Arial"/>
          <w:sz w:val="20"/>
          <w:szCs w:val="20"/>
        </w:rPr>
        <w:t>o</w:t>
      </w:r>
      <w:r w:rsidRPr="006D57F1">
        <w:rPr>
          <w:rFonts w:ascii="Barlow" w:hAnsi="Barlow" w:cs="Arial"/>
          <w:sz w:val="20"/>
          <w:szCs w:val="20"/>
        </w:rPr>
        <w:t>n las siguientes:</w:t>
      </w:r>
    </w:p>
    <w:p w14:paraId="7D698E19" w14:textId="77777777" w:rsidR="00D3760C" w:rsidRPr="006D57F1" w:rsidRDefault="00D3760C" w:rsidP="00E14B45">
      <w:pPr>
        <w:numPr>
          <w:ilvl w:val="0"/>
          <w:numId w:val="8"/>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Normatividad emitida por las unidades administrativas o instancias competentes en materia de Contabilidad Gubernamental.</w:t>
      </w:r>
    </w:p>
    <w:p w14:paraId="557D59DB" w14:textId="77777777" w:rsidR="00D3760C" w:rsidRPr="006D57F1" w:rsidRDefault="00D3760C" w:rsidP="00E14B45">
      <w:pPr>
        <w:numPr>
          <w:ilvl w:val="0"/>
          <w:numId w:val="8"/>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Las Normas Internacionales de Contabilidad para el sector público (NICSP) emitidas por la junta de Normas Internacionales de Contabilidad del Sector Público.</w:t>
      </w:r>
    </w:p>
    <w:p w14:paraId="293A75CC" w14:textId="69FC130F" w:rsidR="00374219" w:rsidRPr="006D57F1" w:rsidRDefault="00D3760C" w:rsidP="006D57F1">
      <w:pPr>
        <w:numPr>
          <w:ilvl w:val="0"/>
          <w:numId w:val="8"/>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Las normas</w:t>
      </w:r>
      <w:r w:rsidR="00324920" w:rsidRPr="006D57F1">
        <w:rPr>
          <w:rFonts w:ascii="Barlow" w:hAnsi="Barlow" w:cs="Arial"/>
          <w:sz w:val="20"/>
          <w:szCs w:val="20"/>
        </w:rPr>
        <w:t xml:space="preserve"> de información financiera del C</w:t>
      </w:r>
      <w:r w:rsidRPr="006D57F1">
        <w:rPr>
          <w:rFonts w:ascii="Barlow" w:hAnsi="Barlow" w:cs="Arial"/>
          <w:sz w:val="20"/>
          <w:szCs w:val="20"/>
        </w:rPr>
        <w:t>onsejo Mexicano para la investigación y Desarrollo de normas de Información Financiera A.C. (CINIF).</w:t>
      </w:r>
    </w:p>
    <w:p w14:paraId="42C5E7B4" w14:textId="77777777" w:rsidR="00D3760C" w:rsidRPr="006D57F1" w:rsidRDefault="00D3760C"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6.- Políticas de Contabilidad Significativas.</w:t>
      </w:r>
    </w:p>
    <w:p w14:paraId="3D56C101" w14:textId="77777777" w:rsidR="00D3760C" w:rsidRPr="006D57F1" w:rsidRDefault="00D3760C" w:rsidP="00C4137E">
      <w:pPr>
        <w:autoSpaceDE w:val="0"/>
        <w:autoSpaceDN w:val="0"/>
        <w:adjustRightInd w:val="0"/>
        <w:spacing w:line="360" w:lineRule="auto"/>
        <w:jc w:val="both"/>
        <w:rPr>
          <w:rFonts w:ascii="Barlow" w:hAnsi="Barlow" w:cs="Arial"/>
          <w:b/>
          <w:sz w:val="20"/>
          <w:szCs w:val="20"/>
        </w:rPr>
      </w:pPr>
    </w:p>
    <w:p w14:paraId="44370A52" w14:textId="4FC93206" w:rsidR="00D3760C" w:rsidRPr="006D57F1" w:rsidRDefault="009B7816" w:rsidP="00E14B45">
      <w:pPr>
        <w:numPr>
          <w:ilvl w:val="0"/>
          <w:numId w:val="9"/>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Los Estados Financieros del</w:t>
      </w:r>
      <w:r w:rsidR="00D56311" w:rsidRPr="006D57F1">
        <w:rPr>
          <w:rFonts w:ascii="Barlow" w:hAnsi="Barlow" w:cs="Arial"/>
          <w:sz w:val="20"/>
          <w:szCs w:val="20"/>
        </w:rPr>
        <w:t xml:space="preserve"> Instituto de Historia y Museos de Yucatán</w:t>
      </w:r>
      <w:r w:rsidRPr="006D57F1">
        <w:rPr>
          <w:rFonts w:ascii="Barlow" w:hAnsi="Barlow" w:cs="Arial"/>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7CCE7A84" w14:textId="27C74CC8" w:rsidR="00D3760C" w:rsidRPr="006D57F1" w:rsidRDefault="00D56311" w:rsidP="00E14B45">
      <w:pPr>
        <w:numPr>
          <w:ilvl w:val="0"/>
          <w:numId w:val="9"/>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El Instituto de historia y Museos de Yucatán</w:t>
      </w:r>
      <w:r w:rsidR="00D3760C" w:rsidRPr="006D57F1">
        <w:rPr>
          <w:rFonts w:ascii="Barlow" w:hAnsi="Barlow" w:cs="Arial"/>
          <w:sz w:val="20"/>
          <w:szCs w:val="20"/>
        </w:rPr>
        <w:t>, no cuentan con inventarios de mercancías para venta</w:t>
      </w:r>
      <w:r w:rsidR="007E77DA" w:rsidRPr="006D57F1">
        <w:rPr>
          <w:rFonts w:ascii="Barlow" w:hAnsi="Barlow" w:cs="Arial"/>
          <w:sz w:val="20"/>
          <w:szCs w:val="20"/>
        </w:rPr>
        <w:t>, por lo que no se cuenta con registro en almacenes.</w:t>
      </w:r>
    </w:p>
    <w:p w14:paraId="468251CC" w14:textId="77777777" w:rsidR="00D3760C" w:rsidRPr="006D57F1" w:rsidRDefault="00D3760C" w:rsidP="00E14B45">
      <w:pPr>
        <w:numPr>
          <w:ilvl w:val="0"/>
          <w:numId w:val="9"/>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Los Estados financieros no presentan registros </w:t>
      </w:r>
      <w:r w:rsidR="007E77DA" w:rsidRPr="006D57F1">
        <w:rPr>
          <w:rFonts w:ascii="Barlow" w:hAnsi="Barlow" w:cs="Arial"/>
          <w:sz w:val="20"/>
          <w:szCs w:val="20"/>
        </w:rPr>
        <w:t xml:space="preserve">de creación o aumento </w:t>
      </w:r>
      <w:r w:rsidRPr="006D57F1">
        <w:rPr>
          <w:rFonts w:ascii="Barlow" w:hAnsi="Barlow" w:cs="Arial"/>
          <w:sz w:val="20"/>
          <w:szCs w:val="20"/>
        </w:rPr>
        <w:t>de reservas.</w:t>
      </w:r>
    </w:p>
    <w:p w14:paraId="1088DB46" w14:textId="7AE4200D" w:rsidR="00522850" w:rsidRPr="006D57F1" w:rsidRDefault="00522850" w:rsidP="00E14B45">
      <w:pPr>
        <w:numPr>
          <w:ilvl w:val="0"/>
          <w:numId w:val="9"/>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No se realizaron cambios con</w:t>
      </w:r>
      <w:r w:rsidR="00324920" w:rsidRPr="006D57F1">
        <w:rPr>
          <w:rFonts w:ascii="Barlow" w:hAnsi="Barlow" w:cs="Arial"/>
          <w:sz w:val="20"/>
          <w:szCs w:val="20"/>
        </w:rPr>
        <w:t>tables durante el ejercicio 20</w:t>
      </w:r>
      <w:r w:rsidR="00F47B69" w:rsidRPr="006D57F1">
        <w:rPr>
          <w:rFonts w:ascii="Barlow" w:hAnsi="Barlow" w:cs="Arial"/>
          <w:sz w:val="20"/>
          <w:szCs w:val="20"/>
        </w:rPr>
        <w:t>2</w:t>
      </w:r>
      <w:r w:rsidR="000850E0" w:rsidRPr="006D57F1">
        <w:rPr>
          <w:rFonts w:ascii="Barlow" w:hAnsi="Barlow" w:cs="Arial"/>
          <w:sz w:val="20"/>
          <w:szCs w:val="20"/>
        </w:rPr>
        <w:t>2</w:t>
      </w:r>
      <w:r w:rsidR="00232EA7" w:rsidRPr="006D57F1">
        <w:rPr>
          <w:rFonts w:ascii="Barlow" w:hAnsi="Barlow" w:cs="Arial"/>
          <w:sz w:val="20"/>
          <w:szCs w:val="20"/>
        </w:rPr>
        <w:t>.</w:t>
      </w:r>
    </w:p>
    <w:p w14:paraId="6D50CFF0" w14:textId="77777777" w:rsidR="0093585E" w:rsidRPr="006D57F1" w:rsidRDefault="00522850" w:rsidP="00E14B45">
      <w:pPr>
        <w:numPr>
          <w:ilvl w:val="0"/>
          <w:numId w:val="9"/>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Respecto a las correcciones de errores, reclasificaciones, depuración y cancelación de saldos, estos se ven reflejados en la cuenta de Hacienda Pública.</w:t>
      </w:r>
    </w:p>
    <w:p w14:paraId="50461D47" w14:textId="06742695" w:rsidR="00D3760C" w:rsidRDefault="00D3760C" w:rsidP="00C4137E">
      <w:pPr>
        <w:autoSpaceDE w:val="0"/>
        <w:autoSpaceDN w:val="0"/>
        <w:adjustRightInd w:val="0"/>
        <w:spacing w:line="360" w:lineRule="auto"/>
        <w:jc w:val="both"/>
        <w:rPr>
          <w:rFonts w:ascii="Barlow" w:hAnsi="Barlow" w:cs="Arial"/>
          <w:b/>
          <w:sz w:val="20"/>
          <w:szCs w:val="20"/>
        </w:rPr>
      </w:pPr>
    </w:p>
    <w:p w14:paraId="30F8C678" w14:textId="77777777" w:rsidR="006D57F1" w:rsidRPr="006D57F1" w:rsidRDefault="006D57F1" w:rsidP="00C4137E">
      <w:pPr>
        <w:autoSpaceDE w:val="0"/>
        <w:autoSpaceDN w:val="0"/>
        <w:adjustRightInd w:val="0"/>
        <w:spacing w:line="360" w:lineRule="auto"/>
        <w:jc w:val="both"/>
        <w:rPr>
          <w:rFonts w:ascii="Barlow" w:hAnsi="Barlow" w:cs="Arial"/>
          <w:b/>
          <w:sz w:val="20"/>
          <w:szCs w:val="20"/>
        </w:rPr>
      </w:pPr>
    </w:p>
    <w:p w14:paraId="2CDE06A2" w14:textId="17867733" w:rsidR="00D3760C" w:rsidRPr="006D57F1" w:rsidRDefault="00D3760C"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lastRenderedPageBreak/>
        <w:t>7.- Posición en Moneda Extranjera y Protección por Riesgo Cambiario.</w:t>
      </w:r>
    </w:p>
    <w:p w14:paraId="5CB14686" w14:textId="77777777" w:rsidR="00F02290" w:rsidRPr="006D57F1" w:rsidRDefault="00F02290" w:rsidP="00C4137E">
      <w:pPr>
        <w:autoSpaceDE w:val="0"/>
        <w:autoSpaceDN w:val="0"/>
        <w:adjustRightInd w:val="0"/>
        <w:spacing w:line="360" w:lineRule="auto"/>
        <w:jc w:val="both"/>
        <w:rPr>
          <w:rFonts w:ascii="Barlow" w:hAnsi="Barlow" w:cs="Arial"/>
          <w:b/>
          <w:sz w:val="20"/>
          <w:szCs w:val="20"/>
        </w:rPr>
      </w:pPr>
    </w:p>
    <w:p w14:paraId="7AE73F8C" w14:textId="1E11FF9E" w:rsidR="00D56311" w:rsidRPr="006D57F1" w:rsidRDefault="00D56311" w:rsidP="00D56311">
      <w:pPr>
        <w:pStyle w:val="Prrafodelista"/>
        <w:numPr>
          <w:ilvl w:val="0"/>
          <w:numId w:val="20"/>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El Instituto de Historia y Muesos de Yucatán no tiene cuenta </w:t>
      </w:r>
      <w:r w:rsidR="0093585E" w:rsidRPr="006D57F1">
        <w:rPr>
          <w:rFonts w:ascii="Barlow" w:hAnsi="Barlow" w:cs="Arial"/>
          <w:sz w:val="20"/>
          <w:szCs w:val="20"/>
        </w:rPr>
        <w:t>bancaria</w:t>
      </w:r>
      <w:r w:rsidR="00D3760C" w:rsidRPr="006D57F1">
        <w:rPr>
          <w:rFonts w:ascii="Barlow" w:hAnsi="Barlow" w:cs="Arial"/>
          <w:sz w:val="20"/>
          <w:szCs w:val="20"/>
        </w:rPr>
        <w:t xml:space="preserve"> en Dólares</w:t>
      </w:r>
      <w:r w:rsidR="00005ABB" w:rsidRPr="006D57F1">
        <w:rPr>
          <w:rFonts w:ascii="Barlow" w:hAnsi="Barlow" w:cs="Arial"/>
          <w:sz w:val="20"/>
          <w:szCs w:val="20"/>
        </w:rPr>
        <w:t xml:space="preserve"> americanos</w:t>
      </w:r>
      <w:r w:rsidRPr="006D57F1">
        <w:rPr>
          <w:rFonts w:ascii="Barlow" w:hAnsi="Barlow" w:cs="Arial"/>
          <w:sz w:val="20"/>
          <w:szCs w:val="20"/>
        </w:rPr>
        <w:t>.</w:t>
      </w:r>
    </w:p>
    <w:p w14:paraId="7BE1DE30" w14:textId="60FD24A8" w:rsidR="00D56311" w:rsidRPr="006D57F1" w:rsidRDefault="00D56311" w:rsidP="00D56311">
      <w:pPr>
        <w:pStyle w:val="Prrafodelista"/>
        <w:numPr>
          <w:ilvl w:val="0"/>
          <w:numId w:val="20"/>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Al </w:t>
      </w:r>
      <w:r w:rsidR="000850E0" w:rsidRPr="006D57F1">
        <w:rPr>
          <w:rFonts w:ascii="Barlow" w:hAnsi="Barlow" w:cs="Arial"/>
          <w:sz w:val="20"/>
          <w:szCs w:val="20"/>
        </w:rPr>
        <w:t>2</w:t>
      </w:r>
      <w:r w:rsidR="006C591C" w:rsidRPr="006D57F1">
        <w:rPr>
          <w:rFonts w:ascii="Barlow" w:hAnsi="Barlow" w:cs="Arial"/>
          <w:sz w:val="20"/>
          <w:szCs w:val="20"/>
        </w:rPr>
        <w:t>7</w:t>
      </w:r>
      <w:r w:rsidRPr="006D57F1">
        <w:rPr>
          <w:rFonts w:ascii="Barlow" w:hAnsi="Barlow" w:cs="Arial"/>
          <w:sz w:val="20"/>
          <w:szCs w:val="20"/>
        </w:rPr>
        <w:t xml:space="preserve"> de</w:t>
      </w:r>
      <w:r w:rsidR="006038CC" w:rsidRPr="006D57F1">
        <w:rPr>
          <w:rFonts w:ascii="Barlow" w:hAnsi="Barlow" w:cs="Arial"/>
          <w:sz w:val="20"/>
          <w:szCs w:val="20"/>
        </w:rPr>
        <w:t xml:space="preserve"> </w:t>
      </w:r>
      <w:r w:rsidR="006D57F1" w:rsidRPr="006D57F1">
        <w:rPr>
          <w:rFonts w:ascii="Barlow" w:hAnsi="Barlow" w:cs="Arial"/>
          <w:sz w:val="20"/>
          <w:szCs w:val="20"/>
        </w:rPr>
        <w:t>enero</w:t>
      </w:r>
      <w:r w:rsidR="00780833" w:rsidRPr="006D57F1">
        <w:rPr>
          <w:rFonts w:ascii="Barlow" w:hAnsi="Barlow" w:cs="Arial"/>
          <w:sz w:val="20"/>
          <w:szCs w:val="20"/>
        </w:rPr>
        <w:t xml:space="preserve"> </w:t>
      </w:r>
      <w:r w:rsidRPr="006D57F1">
        <w:rPr>
          <w:rFonts w:ascii="Barlow" w:hAnsi="Barlow" w:cs="Arial"/>
          <w:sz w:val="20"/>
          <w:szCs w:val="20"/>
        </w:rPr>
        <w:t>de 20</w:t>
      </w:r>
      <w:r w:rsidR="00F47B69" w:rsidRPr="006D57F1">
        <w:rPr>
          <w:rFonts w:ascii="Barlow" w:hAnsi="Barlow" w:cs="Arial"/>
          <w:sz w:val="20"/>
          <w:szCs w:val="20"/>
        </w:rPr>
        <w:t>2</w:t>
      </w:r>
      <w:r w:rsidR="000850E0" w:rsidRPr="006D57F1">
        <w:rPr>
          <w:rFonts w:ascii="Barlow" w:hAnsi="Barlow" w:cs="Arial"/>
          <w:sz w:val="20"/>
          <w:szCs w:val="20"/>
        </w:rPr>
        <w:t>2</w:t>
      </w:r>
      <w:r w:rsidRPr="006D57F1">
        <w:rPr>
          <w:rFonts w:ascii="Barlow" w:hAnsi="Barlow" w:cs="Arial"/>
          <w:sz w:val="20"/>
          <w:szCs w:val="20"/>
        </w:rPr>
        <w:t>, el Instituto de Historia y Museos de Yucatán no tiene pasivos en moneda extranjera</w:t>
      </w:r>
    </w:p>
    <w:p w14:paraId="458C21ED" w14:textId="77777777" w:rsidR="00D632AD" w:rsidRPr="006D57F1" w:rsidRDefault="00D632AD" w:rsidP="00C4137E">
      <w:pPr>
        <w:autoSpaceDE w:val="0"/>
        <w:autoSpaceDN w:val="0"/>
        <w:adjustRightInd w:val="0"/>
        <w:spacing w:line="360" w:lineRule="auto"/>
        <w:jc w:val="both"/>
        <w:rPr>
          <w:rFonts w:ascii="Barlow" w:hAnsi="Barlow" w:cs="Arial"/>
          <w:sz w:val="20"/>
          <w:szCs w:val="20"/>
        </w:rPr>
      </w:pPr>
    </w:p>
    <w:p w14:paraId="2BFE4BCD" w14:textId="77777777" w:rsidR="00D3760C" w:rsidRPr="006D57F1" w:rsidRDefault="00D3760C"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8.- Reporte Analítico del Activo.</w:t>
      </w:r>
    </w:p>
    <w:p w14:paraId="55AED4FB" w14:textId="77777777" w:rsidR="003105B5" w:rsidRPr="006D57F1" w:rsidRDefault="003105B5" w:rsidP="00C4137E">
      <w:pPr>
        <w:autoSpaceDE w:val="0"/>
        <w:autoSpaceDN w:val="0"/>
        <w:adjustRightInd w:val="0"/>
        <w:spacing w:line="360" w:lineRule="auto"/>
        <w:jc w:val="both"/>
        <w:rPr>
          <w:rFonts w:ascii="Barlow" w:hAnsi="Barlow" w:cs="Arial"/>
          <w:b/>
          <w:sz w:val="20"/>
          <w:szCs w:val="20"/>
        </w:rPr>
      </w:pPr>
    </w:p>
    <w:p w14:paraId="2F2D9566" w14:textId="77777777" w:rsidR="00D3760C" w:rsidRPr="006D57F1" w:rsidRDefault="003B5D3C" w:rsidP="003105B5">
      <w:pPr>
        <w:autoSpaceDE w:val="0"/>
        <w:autoSpaceDN w:val="0"/>
        <w:adjustRightInd w:val="0"/>
        <w:spacing w:line="360" w:lineRule="auto"/>
        <w:ind w:left="708"/>
        <w:jc w:val="both"/>
        <w:rPr>
          <w:rFonts w:ascii="Barlow" w:hAnsi="Barlow" w:cs="Arial"/>
          <w:sz w:val="20"/>
          <w:szCs w:val="20"/>
        </w:rPr>
      </w:pPr>
      <w:r w:rsidRPr="006D57F1">
        <w:rPr>
          <w:rFonts w:ascii="Barlow" w:hAnsi="Barlow" w:cs="Arial"/>
          <w:sz w:val="20"/>
          <w:szCs w:val="20"/>
        </w:rPr>
        <w:t>a) Vida útil o porcentajes de depreciación, deterioro o amortización utilizados en los diferentes activos.</w:t>
      </w:r>
    </w:p>
    <w:p w14:paraId="02C93955" w14:textId="696E3988" w:rsidR="003105B5" w:rsidRPr="006D57F1" w:rsidRDefault="003105B5" w:rsidP="003105B5">
      <w:pPr>
        <w:autoSpaceDE w:val="0"/>
        <w:autoSpaceDN w:val="0"/>
        <w:adjustRightInd w:val="0"/>
        <w:spacing w:line="360" w:lineRule="auto"/>
        <w:ind w:left="708"/>
        <w:jc w:val="both"/>
        <w:rPr>
          <w:rFonts w:ascii="Barlow" w:hAnsi="Barlow" w:cs="Arial"/>
          <w:sz w:val="20"/>
          <w:szCs w:val="20"/>
        </w:rPr>
      </w:pPr>
      <w:r w:rsidRPr="006D57F1">
        <w:rPr>
          <w:rFonts w:ascii="Barlow" w:hAnsi="Barlow" w:cs="Arial"/>
          <w:sz w:val="20"/>
          <w:szCs w:val="20"/>
        </w:rPr>
        <w:t xml:space="preserve">Los activos fijos del </w:t>
      </w:r>
      <w:r w:rsidR="00D56311" w:rsidRPr="006D57F1">
        <w:rPr>
          <w:rFonts w:ascii="Barlow" w:hAnsi="Barlow" w:cs="Arial"/>
          <w:sz w:val="20"/>
          <w:szCs w:val="20"/>
        </w:rPr>
        <w:t>Instituto de Historia y Museos de Yucatán</w:t>
      </w:r>
      <w:r w:rsidRPr="006D57F1">
        <w:rPr>
          <w:rFonts w:ascii="Barlow" w:hAnsi="Barlow" w:cs="Arial"/>
          <w:sz w:val="20"/>
          <w:szCs w:val="20"/>
        </w:rPr>
        <w:t xml:space="preserve"> tienen una vida útil diversa, de conformidad con el las Reglas Específicas del Registro y Valoración del Patrimonio emitidas por el Consejo Nacional de Armonización Contable.</w:t>
      </w:r>
    </w:p>
    <w:p w14:paraId="1D784BFF" w14:textId="07621EB5" w:rsidR="00813F2E" w:rsidRPr="006D57F1" w:rsidRDefault="00813F2E" w:rsidP="00C4137E">
      <w:pPr>
        <w:autoSpaceDE w:val="0"/>
        <w:autoSpaceDN w:val="0"/>
        <w:adjustRightInd w:val="0"/>
        <w:spacing w:line="360" w:lineRule="auto"/>
        <w:jc w:val="both"/>
        <w:rPr>
          <w:rFonts w:ascii="Barlow" w:hAnsi="Barlow" w:cs="Arial"/>
          <w:sz w:val="20"/>
          <w:szCs w:val="20"/>
        </w:rPr>
      </w:pPr>
    </w:p>
    <w:p w14:paraId="010D9A19" w14:textId="3CF2A9AF" w:rsidR="00D3760C" w:rsidRPr="006D57F1" w:rsidRDefault="00CC3AF1" w:rsidP="00E14B45">
      <w:pPr>
        <w:pStyle w:val="Prrafodelista"/>
        <w:numPr>
          <w:ilvl w:val="0"/>
          <w:numId w:val="6"/>
        </w:num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El</w:t>
      </w:r>
      <w:r w:rsidR="00D56311" w:rsidRPr="006D57F1">
        <w:rPr>
          <w:rFonts w:ascii="Barlow" w:hAnsi="Barlow" w:cs="Arial"/>
          <w:sz w:val="20"/>
          <w:szCs w:val="20"/>
        </w:rPr>
        <w:t xml:space="preserve"> Instituto de Historia y Museos de Yucatán </w:t>
      </w:r>
      <w:r w:rsidRPr="006D57F1">
        <w:rPr>
          <w:rFonts w:ascii="Barlow" w:hAnsi="Barlow" w:cs="Arial"/>
          <w:sz w:val="20"/>
          <w:szCs w:val="20"/>
        </w:rPr>
        <w:t>no ha realizado cambios en el porcentaje de la depreciación.</w:t>
      </w:r>
    </w:p>
    <w:p w14:paraId="01DD6191" w14:textId="77777777" w:rsidR="004F22A7" w:rsidRPr="006D57F1" w:rsidRDefault="004F22A7" w:rsidP="004F22A7">
      <w:pPr>
        <w:pStyle w:val="Prrafodelista"/>
        <w:autoSpaceDE w:val="0"/>
        <w:autoSpaceDN w:val="0"/>
        <w:adjustRightInd w:val="0"/>
        <w:spacing w:line="360" w:lineRule="auto"/>
        <w:jc w:val="both"/>
        <w:rPr>
          <w:rFonts w:ascii="Barlow" w:hAnsi="Barlow" w:cs="Arial"/>
          <w:sz w:val="20"/>
          <w:szCs w:val="20"/>
        </w:rPr>
      </w:pPr>
    </w:p>
    <w:p w14:paraId="24F498CC" w14:textId="77777777" w:rsidR="00DB5E38" w:rsidRPr="006D57F1" w:rsidRDefault="00DB5E38"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 xml:space="preserve">9.- Fideicomisos, Mandatos y </w:t>
      </w:r>
      <w:r w:rsidR="006E1089" w:rsidRPr="006D57F1">
        <w:rPr>
          <w:rFonts w:ascii="Barlow" w:hAnsi="Barlow" w:cs="Arial"/>
          <w:b/>
          <w:sz w:val="20"/>
          <w:szCs w:val="20"/>
        </w:rPr>
        <w:t>Análogos</w:t>
      </w:r>
    </w:p>
    <w:p w14:paraId="4571251F" w14:textId="77777777" w:rsidR="007A2EB6" w:rsidRPr="006D57F1" w:rsidRDefault="007A2EB6" w:rsidP="007A2EB6">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El Instituto de Historia y Museos de Yucatán no cuenta con fideicomisos, mandatos y análogos de los cuales es fideicomitente o fiduciario.</w:t>
      </w:r>
    </w:p>
    <w:tbl>
      <w:tblPr>
        <w:tblpPr w:leftFromText="141" w:rightFromText="141" w:vertAnchor="text" w:horzAnchor="margin" w:tblpY="190"/>
        <w:tblW w:w="10500" w:type="dxa"/>
        <w:tblCellMar>
          <w:left w:w="70" w:type="dxa"/>
          <w:right w:w="70" w:type="dxa"/>
        </w:tblCellMar>
        <w:tblLook w:val="04A0" w:firstRow="1" w:lastRow="0" w:firstColumn="1" w:lastColumn="0" w:noHBand="0" w:noVBand="1"/>
      </w:tblPr>
      <w:tblGrid>
        <w:gridCol w:w="1180"/>
        <w:gridCol w:w="2880"/>
        <w:gridCol w:w="2320"/>
        <w:gridCol w:w="1940"/>
        <w:gridCol w:w="2180"/>
      </w:tblGrid>
      <w:tr w:rsidR="006C591C" w:rsidRPr="006D57F1" w14:paraId="4C1EBED6" w14:textId="77777777" w:rsidTr="006C591C">
        <w:trPr>
          <w:trHeight w:val="810"/>
        </w:trPr>
        <w:tc>
          <w:tcPr>
            <w:tcW w:w="1180" w:type="dxa"/>
            <w:tcBorders>
              <w:top w:val="nil"/>
              <w:left w:val="nil"/>
              <w:bottom w:val="nil"/>
              <w:right w:val="nil"/>
            </w:tcBorders>
            <w:shd w:val="clear" w:color="auto" w:fill="auto"/>
            <w:vAlign w:val="center"/>
            <w:hideMark/>
          </w:tcPr>
          <w:p w14:paraId="02F873E9" w14:textId="77777777" w:rsidR="006C591C" w:rsidRPr="006D57F1" w:rsidRDefault="006C591C" w:rsidP="006C591C">
            <w:pPr>
              <w:jc w:val="center"/>
              <w:rPr>
                <w:rFonts w:ascii="Barlow" w:hAnsi="Barlow" w:cs="Arial"/>
                <w:color w:val="000000"/>
                <w:sz w:val="20"/>
                <w:szCs w:val="20"/>
                <w:lang w:eastAsia="es-MX"/>
              </w:rPr>
            </w:pPr>
          </w:p>
          <w:p w14:paraId="10836CC4" w14:textId="77777777" w:rsidR="006C591C" w:rsidRPr="006D57F1" w:rsidRDefault="006C591C" w:rsidP="006C591C">
            <w:pPr>
              <w:jc w:val="center"/>
              <w:rPr>
                <w:rFonts w:ascii="Barlow" w:hAnsi="Barlow" w:cs="Arial"/>
                <w:color w:val="000000"/>
                <w:sz w:val="20"/>
                <w:szCs w:val="20"/>
                <w:lang w:eastAsia="es-MX"/>
              </w:rPr>
            </w:pPr>
          </w:p>
          <w:p w14:paraId="1CF05ABF" w14:textId="77777777" w:rsidR="006C591C" w:rsidRPr="006D57F1" w:rsidRDefault="006C591C" w:rsidP="006C591C">
            <w:pPr>
              <w:jc w:val="center"/>
              <w:rPr>
                <w:rFonts w:ascii="Barlow" w:hAnsi="Barlow" w:cs="Arial"/>
                <w:color w:val="000000"/>
                <w:sz w:val="20"/>
                <w:szCs w:val="20"/>
                <w:lang w:eastAsia="es-MX"/>
              </w:rPr>
            </w:pPr>
          </w:p>
          <w:p w14:paraId="4BD61D10" w14:textId="77777777" w:rsidR="006C591C" w:rsidRPr="006D57F1" w:rsidRDefault="006C591C" w:rsidP="006C591C">
            <w:pPr>
              <w:jc w:val="center"/>
              <w:rPr>
                <w:rFonts w:ascii="Barlow" w:hAnsi="Barlow" w:cs="Arial"/>
                <w:color w:val="000000"/>
                <w:sz w:val="20"/>
                <w:szCs w:val="20"/>
                <w:lang w:eastAsia="es-MX"/>
              </w:rPr>
            </w:pPr>
          </w:p>
          <w:p w14:paraId="7025DA2F" w14:textId="77777777" w:rsidR="006C591C" w:rsidRPr="006D57F1" w:rsidRDefault="006C591C" w:rsidP="006C591C">
            <w:pPr>
              <w:jc w:val="center"/>
              <w:rPr>
                <w:rFonts w:ascii="Barlow" w:hAnsi="Barlow" w:cs="Arial"/>
                <w:color w:val="000000"/>
                <w:sz w:val="20"/>
                <w:szCs w:val="20"/>
                <w:lang w:eastAsia="es-MX"/>
              </w:rPr>
            </w:pPr>
          </w:p>
          <w:p w14:paraId="77302213" w14:textId="77777777" w:rsidR="006C591C" w:rsidRPr="006D57F1" w:rsidRDefault="006C591C" w:rsidP="006C591C">
            <w:pPr>
              <w:jc w:val="center"/>
              <w:rPr>
                <w:rFonts w:ascii="Barlow" w:hAnsi="Barlow" w:cs="Arial"/>
                <w:color w:val="000000"/>
                <w:sz w:val="20"/>
                <w:szCs w:val="20"/>
                <w:lang w:eastAsia="es-MX"/>
              </w:rPr>
            </w:pPr>
          </w:p>
          <w:p w14:paraId="0C982D6A" w14:textId="77777777" w:rsidR="006C591C" w:rsidRPr="006D57F1" w:rsidRDefault="006C591C" w:rsidP="006C591C">
            <w:pPr>
              <w:jc w:val="center"/>
              <w:rPr>
                <w:rFonts w:ascii="Barlow" w:hAnsi="Barlow" w:cs="Arial"/>
                <w:color w:val="000000"/>
                <w:sz w:val="20"/>
                <w:szCs w:val="20"/>
                <w:lang w:eastAsia="es-MX"/>
              </w:rPr>
            </w:pPr>
          </w:p>
          <w:p w14:paraId="4512EE62" w14:textId="77777777" w:rsidR="006C591C" w:rsidRPr="006D57F1" w:rsidRDefault="006C591C" w:rsidP="006C591C">
            <w:pPr>
              <w:jc w:val="center"/>
              <w:rPr>
                <w:rFonts w:ascii="Barlow" w:hAnsi="Barlow" w:cs="Arial"/>
                <w:color w:val="000000"/>
                <w:sz w:val="20"/>
                <w:szCs w:val="20"/>
                <w:lang w:eastAsia="es-MX"/>
              </w:rPr>
            </w:pPr>
          </w:p>
          <w:p w14:paraId="02500C42" w14:textId="77777777" w:rsidR="006C591C" w:rsidRPr="006D57F1" w:rsidRDefault="006C591C" w:rsidP="006C591C">
            <w:pPr>
              <w:jc w:val="center"/>
              <w:rPr>
                <w:rFonts w:ascii="Barlow" w:hAnsi="Barlow" w:cs="Arial"/>
                <w:color w:val="000000"/>
                <w:sz w:val="20"/>
                <w:szCs w:val="20"/>
                <w:lang w:eastAsia="es-MX"/>
              </w:rPr>
            </w:pPr>
            <w:r w:rsidRPr="006D57F1">
              <w:rPr>
                <w:rFonts w:ascii="Barlow" w:hAnsi="Barlow" w:cs="Arial"/>
                <w:color w:val="000000"/>
                <w:sz w:val="20"/>
                <w:szCs w:val="20"/>
                <w:lang w:eastAsia="es-MX"/>
              </w:rPr>
              <w:lastRenderedPageBreak/>
              <w:t>CUENTA</w:t>
            </w:r>
          </w:p>
        </w:tc>
        <w:tc>
          <w:tcPr>
            <w:tcW w:w="2880" w:type="dxa"/>
            <w:tcBorders>
              <w:top w:val="nil"/>
              <w:left w:val="nil"/>
              <w:bottom w:val="nil"/>
              <w:right w:val="nil"/>
            </w:tcBorders>
            <w:shd w:val="clear" w:color="auto" w:fill="auto"/>
            <w:vAlign w:val="center"/>
            <w:hideMark/>
          </w:tcPr>
          <w:p w14:paraId="53F2ED9B" w14:textId="77777777" w:rsidR="006C591C" w:rsidRPr="006D57F1" w:rsidRDefault="006C591C" w:rsidP="006C591C">
            <w:pPr>
              <w:jc w:val="center"/>
              <w:rPr>
                <w:rFonts w:ascii="Barlow" w:hAnsi="Barlow" w:cs="Arial"/>
                <w:color w:val="000000"/>
                <w:sz w:val="20"/>
                <w:szCs w:val="20"/>
                <w:lang w:eastAsia="es-MX"/>
              </w:rPr>
            </w:pPr>
          </w:p>
          <w:p w14:paraId="299244E7" w14:textId="77777777" w:rsidR="006C591C" w:rsidRPr="006D57F1" w:rsidRDefault="006C591C" w:rsidP="006C591C">
            <w:pPr>
              <w:jc w:val="center"/>
              <w:rPr>
                <w:rFonts w:ascii="Barlow" w:hAnsi="Barlow" w:cs="Arial"/>
                <w:color w:val="000000"/>
                <w:sz w:val="20"/>
                <w:szCs w:val="20"/>
                <w:lang w:eastAsia="es-MX"/>
              </w:rPr>
            </w:pPr>
          </w:p>
          <w:p w14:paraId="6B6A2A7B" w14:textId="77777777" w:rsidR="006C591C" w:rsidRPr="006D57F1" w:rsidRDefault="006C591C" w:rsidP="006C591C">
            <w:pPr>
              <w:jc w:val="center"/>
              <w:rPr>
                <w:rFonts w:ascii="Barlow" w:hAnsi="Barlow" w:cs="Arial"/>
                <w:color w:val="000000"/>
                <w:sz w:val="20"/>
                <w:szCs w:val="20"/>
                <w:lang w:eastAsia="es-MX"/>
              </w:rPr>
            </w:pPr>
          </w:p>
          <w:p w14:paraId="62ECA558" w14:textId="77777777" w:rsidR="006C591C" w:rsidRPr="006D57F1" w:rsidRDefault="006C591C" w:rsidP="006C591C">
            <w:pPr>
              <w:jc w:val="center"/>
              <w:rPr>
                <w:rFonts w:ascii="Barlow" w:hAnsi="Barlow" w:cs="Arial"/>
                <w:color w:val="000000"/>
                <w:sz w:val="20"/>
                <w:szCs w:val="20"/>
                <w:lang w:eastAsia="es-MX"/>
              </w:rPr>
            </w:pPr>
          </w:p>
          <w:p w14:paraId="2B901A21" w14:textId="77777777" w:rsidR="006C591C" w:rsidRPr="006D57F1" w:rsidRDefault="006C591C" w:rsidP="006C591C">
            <w:pPr>
              <w:jc w:val="center"/>
              <w:rPr>
                <w:rFonts w:ascii="Barlow" w:hAnsi="Barlow" w:cs="Arial"/>
                <w:color w:val="000000"/>
                <w:sz w:val="20"/>
                <w:szCs w:val="20"/>
                <w:lang w:eastAsia="es-MX"/>
              </w:rPr>
            </w:pPr>
          </w:p>
          <w:p w14:paraId="524732D0" w14:textId="77777777" w:rsidR="006C591C" w:rsidRPr="006D57F1" w:rsidRDefault="006C591C" w:rsidP="006C591C">
            <w:pPr>
              <w:jc w:val="center"/>
              <w:rPr>
                <w:rFonts w:ascii="Barlow" w:hAnsi="Barlow" w:cs="Arial"/>
                <w:color w:val="000000"/>
                <w:sz w:val="20"/>
                <w:szCs w:val="20"/>
                <w:lang w:eastAsia="es-MX"/>
              </w:rPr>
            </w:pPr>
          </w:p>
          <w:p w14:paraId="107532B4" w14:textId="77777777" w:rsidR="006C591C" w:rsidRPr="006D57F1" w:rsidRDefault="006C591C" w:rsidP="006C591C">
            <w:pPr>
              <w:jc w:val="center"/>
              <w:rPr>
                <w:rFonts w:ascii="Barlow" w:hAnsi="Barlow" w:cs="Arial"/>
                <w:color w:val="000000"/>
                <w:sz w:val="20"/>
                <w:szCs w:val="20"/>
                <w:lang w:eastAsia="es-MX"/>
              </w:rPr>
            </w:pPr>
          </w:p>
          <w:p w14:paraId="7B26CE65" w14:textId="77777777" w:rsidR="006C591C" w:rsidRPr="006D57F1" w:rsidRDefault="006C591C" w:rsidP="006C591C">
            <w:pPr>
              <w:jc w:val="center"/>
              <w:rPr>
                <w:rFonts w:ascii="Barlow" w:hAnsi="Barlow" w:cs="Arial"/>
                <w:color w:val="000000"/>
                <w:sz w:val="20"/>
                <w:szCs w:val="20"/>
                <w:lang w:eastAsia="es-MX"/>
              </w:rPr>
            </w:pPr>
          </w:p>
          <w:p w14:paraId="1AC902F0" w14:textId="77777777" w:rsidR="006C591C" w:rsidRPr="006D57F1" w:rsidRDefault="006C591C" w:rsidP="006C591C">
            <w:pPr>
              <w:jc w:val="center"/>
              <w:rPr>
                <w:rFonts w:ascii="Barlow" w:hAnsi="Barlow" w:cs="Arial"/>
                <w:color w:val="000000"/>
                <w:sz w:val="20"/>
                <w:szCs w:val="20"/>
                <w:lang w:eastAsia="es-MX"/>
              </w:rPr>
            </w:pPr>
          </w:p>
          <w:p w14:paraId="2C82699C" w14:textId="77777777" w:rsidR="006C591C" w:rsidRPr="006D57F1" w:rsidRDefault="006C591C" w:rsidP="006C591C">
            <w:pPr>
              <w:jc w:val="center"/>
              <w:rPr>
                <w:rFonts w:ascii="Barlow" w:hAnsi="Barlow" w:cs="Arial"/>
                <w:color w:val="000000"/>
                <w:sz w:val="20"/>
                <w:szCs w:val="20"/>
                <w:lang w:eastAsia="es-MX"/>
              </w:rPr>
            </w:pPr>
          </w:p>
          <w:p w14:paraId="221A56E5" w14:textId="77777777" w:rsidR="006C591C" w:rsidRPr="006D57F1" w:rsidRDefault="006C591C" w:rsidP="006C591C">
            <w:pPr>
              <w:jc w:val="center"/>
              <w:rPr>
                <w:rFonts w:ascii="Barlow" w:hAnsi="Barlow" w:cs="Arial"/>
                <w:color w:val="000000"/>
                <w:sz w:val="20"/>
                <w:szCs w:val="20"/>
                <w:lang w:eastAsia="es-MX"/>
              </w:rPr>
            </w:pPr>
            <w:r w:rsidRPr="006D57F1">
              <w:rPr>
                <w:rFonts w:ascii="Barlow" w:hAnsi="Barlow" w:cs="Arial"/>
                <w:color w:val="000000"/>
                <w:sz w:val="20"/>
                <w:szCs w:val="20"/>
                <w:lang w:eastAsia="es-MX"/>
              </w:rPr>
              <w:t>CONCEPTO</w:t>
            </w:r>
          </w:p>
        </w:tc>
        <w:tc>
          <w:tcPr>
            <w:tcW w:w="2320" w:type="dxa"/>
            <w:tcBorders>
              <w:top w:val="nil"/>
              <w:left w:val="nil"/>
              <w:bottom w:val="nil"/>
              <w:right w:val="nil"/>
            </w:tcBorders>
            <w:shd w:val="clear" w:color="auto" w:fill="auto"/>
            <w:vAlign w:val="center"/>
            <w:hideMark/>
          </w:tcPr>
          <w:p w14:paraId="67846522" w14:textId="77777777" w:rsidR="006C591C" w:rsidRPr="006D57F1" w:rsidRDefault="006C591C" w:rsidP="006C591C">
            <w:pPr>
              <w:jc w:val="center"/>
              <w:rPr>
                <w:rFonts w:ascii="Barlow" w:hAnsi="Barlow" w:cs="Arial"/>
                <w:color w:val="000000"/>
                <w:sz w:val="20"/>
                <w:szCs w:val="20"/>
                <w:lang w:eastAsia="es-MX"/>
              </w:rPr>
            </w:pPr>
          </w:p>
          <w:p w14:paraId="5D28B04D" w14:textId="77777777" w:rsidR="006C591C" w:rsidRPr="006D57F1" w:rsidRDefault="006C591C" w:rsidP="006C591C">
            <w:pPr>
              <w:jc w:val="center"/>
              <w:rPr>
                <w:rFonts w:ascii="Barlow" w:hAnsi="Barlow" w:cs="Arial"/>
                <w:color w:val="000000"/>
                <w:sz w:val="20"/>
                <w:szCs w:val="20"/>
                <w:lang w:eastAsia="es-MX"/>
              </w:rPr>
            </w:pPr>
          </w:p>
          <w:p w14:paraId="7D0069D6" w14:textId="77777777" w:rsidR="006C591C" w:rsidRPr="006D57F1" w:rsidRDefault="006C591C" w:rsidP="006C591C">
            <w:pPr>
              <w:jc w:val="center"/>
              <w:rPr>
                <w:rFonts w:ascii="Barlow" w:hAnsi="Barlow" w:cs="Arial"/>
                <w:color w:val="000000"/>
                <w:sz w:val="20"/>
                <w:szCs w:val="20"/>
                <w:lang w:eastAsia="es-MX"/>
              </w:rPr>
            </w:pPr>
          </w:p>
          <w:p w14:paraId="13E93E37" w14:textId="77777777" w:rsidR="006C591C" w:rsidRPr="006D57F1" w:rsidRDefault="006C591C" w:rsidP="006C591C">
            <w:pPr>
              <w:jc w:val="center"/>
              <w:rPr>
                <w:rFonts w:ascii="Barlow" w:hAnsi="Barlow" w:cs="Arial"/>
                <w:color w:val="000000"/>
                <w:sz w:val="20"/>
                <w:szCs w:val="20"/>
                <w:lang w:eastAsia="es-MX"/>
              </w:rPr>
            </w:pPr>
          </w:p>
          <w:p w14:paraId="7604870A" w14:textId="77777777" w:rsidR="006C591C" w:rsidRPr="006D57F1" w:rsidRDefault="006C591C" w:rsidP="006C591C">
            <w:pPr>
              <w:jc w:val="center"/>
              <w:rPr>
                <w:rFonts w:ascii="Barlow" w:hAnsi="Barlow" w:cs="Arial"/>
                <w:color w:val="000000"/>
                <w:sz w:val="20"/>
                <w:szCs w:val="20"/>
                <w:lang w:eastAsia="es-MX"/>
              </w:rPr>
            </w:pPr>
          </w:p>
          <w:p w14:paraId="26BD7A47" w14:textId="77777777" w:rsidR="006C591C" w:rsidRPr="006D57F1" w:rsidRDefault="006C591C" w:rsidP="006C591C">
            <w:pPr>
              <w:jc w:val="center"/>
              <w:rPr>
                <w:rFonts w:ascii="Barlow" w:hAnsi="Barlow" w:cs="Arial"/>
                <w:color w:val="000000"/>
                <w:sz w:val="20"/>
                <w:szCs w:val="20"/>
                <w:lang w:eastAsia="es-MX"/>
              </w:rPr>
            </w:pPr>
          </w:p>
          <w:p w14:paraId="4E08C225" w14:textId="77777777" w:rsidR="006C591C" w:rsidRPr="006D57F1" w:rsidRDefault="006C591C" w:rsidP="006C591C">
            <w:pPr>
              <w:jc w:val="center"/>
              <w:rPr>
                <w:rFonts w:ascii="Barlow" w:hAnsi="Barlow" w:cs="Arial"/>
                <w:color w:val="000000"/>
                <w:sz w:val="20"/>
                <w:szCs w:val="20"/>
                <w:lang w:eastAsia="es-MX"/>
              </w:rPr>
            </w:pPr>
          </w:p>
          <w:p w14:paraId="410CE2CD" w14:textId="77777777" w:rsidR="006C591C" w:rsidRPr="006D57F1" w:rsidRDefault="006C591C" w:rsidP="006C591C">
            <w:pPr>
              <w:jc w:val="center"/>
              <w:rPr>
                <w:rFonts w:ascii="Barlow" w:hAnsi="Barlow" w:cs="Arial"/>
                <w:color w:val="000000"/>
                <w:sz w:val="20"/>
                <w:szCs w:val="20"/>
                <w:lang w:eastAsia="es-MX"/>
              </w:rPr>
            </w:pPr>
          </w:p>
          <w:p w14:paraId="2665B8C0" w14:textId="77777777" w:rsidR="006C591C" w:rsidRPr="006D57F1" w:rsidRDefault="006C591C" w:rsidP="006C591C">
            <w:pPr>
              <w:jc w:val="center"/>
              <w:rPr>
                <w:rFonts w:ascii="Barlow" w:hAnsi="Barlow" w:cs="Arial"/>
                <w:color w:val="000000"/>
                <w:sz w:val="20"/>
                <w:szCs w:val="20"/>
                <w:lang w:eastAsia="es-MX"/>
              </w:rPr>
            </w:pPr>
          </w:p>
          <w:p w14:paraId="276D7545" w14:textId="77777777" w:rsidR="006C591C" w:rsidRPr="006D57F1" w:rsidRDefault="006C591C" w:rsidP="006C591C">
            <w:pPr>
              <w:jc w:val="center"/>
              <w:rPr>
                <w:rFonts w:ascii="Barlow" w:hAnsi="Barlow" w:cs="Arial"/>
                <w:color w:val="000000"/>
                <w:sz w:val="20"/>
                <w:szCs w:val="20"/>
                <w:lang w:eastAsia="es-MX"/>
              </w:rPr>
            </w:pPr>
            <w:r w:rsidRPr="006D57F1">
              <w:rPr>
                <w:rFonts w:ascii="Barlow" w:hAnsi="Barlow" w:cs="Arial"/>
                <w:color w:val="000000"/>
                <w:sz w:val="20"/>
                <w:szCs w:val="20"/>
                <w:lang w:eastAsia="es-MX"/>
              </w:rPr>
              <w:t>Ley de Ingresos 2022</w:t>
            </w:r>
          </w:p>
        </w:tc>
        <w:tc>
          <w:tcPr>
            <w:tcW w:w="1940" w:type="dxa"/>
            <w:tcBorders>
              <w:top w:val="nil"/>
              <w:left w:val="nil"/>
              <w:bottom w:val="nil"/>
              <w:right w:val="nil"/>
            </w:tcBorders>
            <w:shd w:val="clear" w:color="auto" w:fill="auto"/>
            <w:vAlign w:val="center"/>
            <w:hideMark/>
          </w:tcPr>
          <w:p w14:paraId="2D38918A" w14:textId="77777777" w:rsidR="006C591C" w:rsidRPr="006D57F1" w:rsidRDefault="006C591C" w:rsidP="006C591C">
            <w:pPr>
              <w:jc w:val="center"/>
              <w:rPr>
                <w:rFonts w:ascii="Barlow" w:hAnsi="Barlow" w:cs="Arial"/>
                <w:color w:val="000000"/>
                <w:sz w:val="20"/>
                <w:szCs w:val="20"/>
                <w:lang w:eastAsia="es-MX"/>
              </w:rPr>
            </w:pPr>
          </w:p>
          <w:p w14:paraId="6E341AD2" w14:textId="77777777" w:rsidR="006C591C" w:rsidRPr="006D57F1" w:rsidRDefault="006C591C" w:rsidP="006C591C">
            <w:pPr>
              <w:jc w:val="center"/>
              <w:rPr>
                <w:rFonts w:ascii="Barlow" w:hAnsi="Barlow" w:cs="Arial"/>
                <w:color w:val="000000"/>
                <w:sz w:val="20"/>
                <w:szCs w:val="20"/>
                <w:lang w:eastAsia="es-MX"/>
              </w:rPr>
            </w:pPr>
          </w:p>
          <w:p w14:paraId="5FF5D343" w14:textId="77777777" w:rsidR="006C591C" w:rsidRPr="006D57F1" w:rsidRDefault="006C591C" w:rsidP="006C591C">
            <w:pPr>
              <w:jc w:val="center"/>
              <w:rPr>
                <w:rFonts w:ascii="Barlow" w:hAnsi="Barlow" w:cs="Arial"/>
                <w:color w:val="000000"/>
                <w:sz w:val="20"/>
                <w:szCs w:val="20"/>
                <w:lang w:eastAsia="es-MX"/>
              </w:rPr>
            </w:pPr>
          </w:p>
          <w:p w14:paraId="74B69D9C" w14:textId="77777777" w:rsidR="006C591C" w:rsidRPr="006D57F1" w:rsidRDefault="006C591C" w:rsidP="006C591C">
            <w:pPr>
              <w:jc w:val="center"/>
              <w:rPr>
                <w:rFonts w:ascii="Barlow" w:hAnsi="Barlow" w:cs="Arial"/>
                <w:color w:val="000000"/>
                <w:sz w:val="20"/>
                <w:szCs w:val="20"/>
                <w:lang w:eastAsia="es-MX"/>
              </w:rPr>
            </w:pPr>
          </w:p>
          <w:p w14:paraId="1CC95592" w14:textId="77777777" w:rsidR="006C591C" w:rsidRPr="006D57F1" w:rsidRDefault="006C591C" w:rsidP="006C591C">
            <w:pPr>
              <w:jc w:val="center"/>
              <w:rPr>
                <w:rFonts w:ascii="Barlow" w:hAnsi="Barlow" w:cs="Arial"/>
                <w:color w:val="000000"/>
                <w:sz w:val="20"/>
                <w:szCs w:val="20"/>
                <w:lang w:eastAsia="es-MX"/>
              </w:rPr>
            </w:pPr>
          </w:p>
          <w:p w14:paraId="72E48B17" w14:textId="77777777" w:rsidR="006C591C" w:rsidRPr="006D57F1" w:rsidRDefault="006C591C" w:rsidP="006C591C">
            <w:pPr>
              <w:jc w:val="center"/>
              <w:rPr>
                <w:rFonts w:ascii="Barlow" w:hAnsi="Barlow" w:cs="Arial"/>
                <w:color w:val="000000"/>
                <w:sz w:val="20"/>
                <w:szCs w:val="20"/>
                <w:lang w:eastAsia="es-MX"/>
              </w:rPr>
            </w:pPr>
          </w:p>
          <w:p w14:paraId="44B8F561" w14:textId="77777777" w:rsidR="006C591C" w:rsidRPr="006D57F1" w:rsidRDefault="006C591C" w:rsidP="006C591C">
            <w:pPr>
              <w:jc w:val="center"/>
              <w:rPr>
                <w:rFonts w:ascii="Barlow" w:hAnsi="Barlow" w:cs="Arial"/>
                <w:color w:val="000000"/>
                <w:sz w:val="20"/>
                <w:szCs w:val="20"/>
                <w:lang w:eastAsia="es-MX"/>
              </w:rPr>
            </w:pPr>
          </w:p>
          <w:p w14:paraId="06AA662E" w14:textId="77777777" w:rsidR="006C591C" w:rsidRPr="006D57F1" w:rsidRDefault="006C591C" w:rsidP="006C591C">
            <w:pPr>
              <w:jc w:val="center"/>
              <w:rPr>
                <w:rFonts w:ascii="Barlow" w:hAnsi="Barlow" w:cs="Arial"/>
                <w:color w:val="000000"/>
                <w:sz w:val="20"/>
                <w:szCs w:val="20"/>
                <w:lang w:eastAsia="es-MX"/>
              </w:rPr>
            </w:pPr>
          </w:p>
          <w:p w14:paraId="521EA151" w14:textId="77777777" w:rsidR="006C591C" w:rsidRPr="006D57F1" w:rsidRDefault="006C591C" w:rsidP="006C591C">
            <w:pPr>
              <w:jc w:val="center"/>
              <w:rPr>
                <w:rFonts w:ascii="Barlow" w:hAnsi="Barlow" w:cs="Arial"/>
                <w:color w:val="000000"/>
                <w:sz w:val="20"/>
                <w:szCs w:val="20"/>
                <w:lang w:eastAsia="es-MX"/>
              </w:rPr>
            </w:pPr>
          </w:p>
          <w:p w14:paraId="7C1F7983" w14:textId="77777777" w:rsidR="006C591C" w:rsidRPr="006D57F1" w:rsidRDefault="006C591C" w:rsidP="006C591C">
            <w:pPr>
              <w:jc w:val="center"/>
              <w:rPr>
                <w:rFonts w:ascii="Barlow" w:hAnsi="Barlow" w:cs="Arial"/>
                <w:color w:val="000000"/>
                <w:sz w:val="20"/>
                <w:szCs w:val="20"/>
                <w:lang w:eastAsia="es-MX"/>
              </w:rPr>
            </w:pPr>
            <w:r w:rsidRPr="006D57F1">
              <w:rPr>
                <w:rFonts w:ascii="Barlow" w:hAnsi="Barlow" w:cs="Arial"/>
                <w:color w:val="000000"/>
                <w:sz w:val="20"/>
                <w:szCs w:val="20"/>
                <w:lang w:eastAsia="es-MX"/>
              </w:rPr>
              <w:t>Recaudación 2022</w:t>
            </w:r>
          </w:p>
        </w:tc>
        <w:tc>
          <w:tcPr>
            <w:tcW w:w="2180" w:type="dxa"/>
            <w:tcBorders>
              <w:top w:val="nil"/>
              <w:left w:val="nil"/>
              <w:bottom w:val="nil"/>
              <w:right w:val="nil"/>
            </w:tcBorders>
            <w:shd w:val="clear" w:color="auto" w:fill="auto"/>
            <w:vAlign w:val="center"/>
            <w:hideMark/>
          </w:tcPr>
          <w:p w14:paraId="5E8595AB" w14:textId="77777777" w:rsidR="006C591C" w:rsidRPr="006D57F1" w:rsidRDefault="006C591C" w:rsidP="006C591C">
            <w:pPr>
              <w:jc w:val="center"/>
              <w:rPr>
                <w:rFonts w:ascii="Barlow" w:hAnsi="Barlow" w:cs="Arial"/>
                <w:color w:val="000000"/>
                <w:sz w:val="20"/>
                <w:szCs w:val="20"/>
                <w:lang w:eastAsia="es-MX"/>
              </w:rPr>
            </w:pPr>
          </w:p>
          <w:p w14:paraId="45CB9D5C" w14:textId="77777777" w:rsidR="006C591C" w:rsidRPr="006D57F1" w:rsidRDefault="006C591C" w:rsidP="006C591C">
            <w:pPr>
              <w:jc w:val="center"/>
              <w:rPr>
                <w:rFonts w:ascii="Barlow" w:hAnsi="Barlow" w:cs="Arial"/>
                <w:color w:val="000000"/>
                <w:sz w:val="20"/>
                <w:szCs w:val="20"/>
                <w:lang w:eastAsia="es-MX"/>
              </w:rPr>
            </w:pPr>
          </w:p>
          <w:p w14:paraId="2F609CE7" w14:textId="77777777" w:rsidR="006C591C" w:rsidRPr="006D57F1" w:rsidRDefault="006C591C" w:rsidP="006C591C">
            <w:pPr>
              <w:jc w:val="center"/>
              <w:rPr>
                <w:rFonts w:ascii="Barlow" w:hAnsi="Barlow" w:cs="Arial"/>
                <w:color w:val="000000"/>
                <w:sz w:val="20"/>
                <w:szCs w:val="20"/>
                <w:lang w:eastAsia="es-MX"/>
              </w:rPr>
            </w:pPr>
          </w:p>
          <w:p w14:paraId="28701286" w14:textId="77777777" w:rsidR="006C591C" w:rsidRPr="006D57F1" w:rsidRDefault="006C591C" w:rsidP="006C591C">
            <w:pPr>
              <w:jc w:val="center"/>
              <w:rPr>
                <w:rFonts w:ascii="Barlow" w:hAnsi="Barlow" w:cs="Arial"/>
                <w:color w:val="000000"/>
                <w:sz w:val="20"/>
                <w:szCs w:val="20"/>
                <w:lang w:eastAsia="es-MX"/>
              </w:rPr>
            </w:pPr>
          </w:p>
          <w:p w14:paraId="6E8378E4" w14:textId="77777777" w:rsidR="006C591C" w:rsidRPr="006D57F1" w:rsidRDefault="006C591C" w:rsidP="006C591C">
            <w:pPr>
              <w:jc w:val="center"/>
              <w:rPr>
                <w:rFonts w:ascii="Barlow" w:hAnsi="Barlow" w:cs="Arial"/>
                <w:color w:val="000000"/>
                <w:sz w:val="20"/>
                <w:szCs w:val="20"/>
                <w:lang w:eastAsia="es-MX"/>
              </w:rPr>
            </w:pPr>
          </w:p>
          <w:p w14:paraId="44C1B757" w14:textId="77777777" w:rsidR="006C591C" w:rsidRPr="006D57F1" w:rsidRDefault="006C591C" w:rsidP="006C591C">
            <w:pPr>
              <w:jc w:val="center"/>
              <w:rPr>
                <w:rFonts w:ascii="Barlow" w:hAnsi="Barlow" w:cs="Arial"/>
                <w:color w:val="000000"/>
                <w:sz w:val="20"/>
                <w:szCs w:val="20"/>
                <w:lang w:eastAsia="es-MX"/>
              </w:rPr>
            </w:pPr>
          </w:p>
          <w:p w14:paraId="56A36FD4" w14:textId="77777777" w:rsidR="006C591C" w:rsidRPr="006D57F1" w:rsidRDefault="006C591C" w:rsidP="006C591C">
            <w:pPr>
              <w:jc w:val="center"/>
              <w:rPr>
                <w:rFonts w:ascii="Barlow" w:hAnsi="Barlow" w:cs="Arial"/>
                <w:color w:val="000000"/>
                <w:sz w:val="20"/>
                <w:szCs w:val="20"/>
                <w:lang w:eastAsia="es-MX"/>
              </w:rPr>
            </w:pPr>
          </w:p>
          <w:p w14:paraId="5705EF15" w14:textId="77777777" w:rsidR="006C591C" w:rsidRPr="006D57F1" w:rsidRDefault="006C591C" w:rsidP="006C591C">
            <w:pPr>
              <w:jc w:val="center"/>
              <w:rPr>
                <w:rFonts w:ascii="Barlow" w:hAnsi="Barlow" w:cs="Arial"/>
                <w:color w:val="000000"/>
                <w:sz w:val="20"/>
                <w:szCs w:val="20"/>
                <w:lang w:eastAsia="es-MX"/>
              </w:rPr>
            </w:pPr>
          </w:p>
          <w:p w14:paraId="19B1D505" w14:textId="77777777" w:rsidR="006C591C" w:rsidRPr="006D57F1" w:rsidRDefault="006C591C" w:rsidP="006C591C">
            <w:pPr>
              <w:jc w:val="center"/>
              <w:rPr>
                <w:rFonts w:ascii="Barlow" w:hAnsi="Barlow" w:cs="Arial"/>
                <w:color w:val="000000"/>
                <w:sz w:val="20"/>
                <w:szCs w:val="20"/>
                <w:lang w:eastAsia="es-MX"/>
              </w:rPr>
            </w:pPr>
          </w:p>
          <w:p w14:paraId="5645D2DE" w14:textId="77777777" w:rsidR="006C591C" w:rsidRPr="006D57F1" w:rsidRDefault="006C591C" w:rsidP="006C591C">
            <w:pPr>
              <w:jc w:val="center"/>
              <w:rPr>
                <w:rFonts w:ascii="Barlow" w:hAnsi="Barlow" w:cs="Arial"/>
                <w:color w:val="000000"/>
                <w:sz w:val="20"/>
                <w:szCs w:val="20"/>
                <w:lang w:eastAsia="es-MX"/>
              </w:rPr>
            </w:pPr>
            <w:r w:rsidRPr="006D57F1">
              <w:rPr>
                <w:rFonts w:ascii="Barlow" w:hAnsi="Barlow" w:cs="Arial"/>
                <w:color w:val="000000"/>
                <w:sz w:val="20"/>
                <w:szCs w:val="20"/>
                <w:lang w:eastAsia="es-MX"/>
              </w:rPr>
              <w:t xml:space="preserve">Variación entre lo </w:t>
            </w:r>
          </w:p>
          <w:p w14:paraId="4FB77560" w14:textId="77777777" w:rsidR="006C591C" w:rsidRPr="006D57F1" w:rsidRDefault="006C591C" w:rsidP="006C591C">
            <w:pPr>
              <w:jc w:val="center"/>
              <w:rPr>
                <w:rFonts w:ascii="Barlow" w:hAnsi="Barlow" w:cs="Arial"/>
                <w:color w:val="000000"/>
                <w:sz w:val="20"/>
                <w:szCs w:val="20"/>
                <w:lang w:eastAsia="es-MX"/>
              </w:rPr>
            </w:pPr>
            <w:r w:rsidRPr="006D57F1">
              <w:rPr>
                <w:rFonts w:ascii="Barlow" w:hAnsi="Barlow" w:cs="Arial"/>
                <w:color w:val="000000"/>
                <w:sz w:val="20"/>
                <w:szCs w:val="20"/>
                <w:lang w:eastAsia="es-MX"/>
              </w:rPr>
              <w:t>Recaudado y la Ley de Ingresos</w:t>
            </w:r>
          </w:p>
        </w:tc>
      </w:tr>
      <w:tr w:rsidR="006C591C" w:rsidRPr="006D57F1" w14:paraId="2F48412D" w14:textId="77777777" w:rsidTr="006C591C">
        <w:trPr>
          <w:trHeight w:val="360"/>
        </w:trPr>
        <w:tc>
          <w:tcPr>
            <w:tcW w:w="1180" w:type="dxa"/>
            <w:tcBorders>
              <w:top w:val="nil"/>
              <w:left w:val="nil"/>
              <w:bottom w:val="nil"/>
              <w:right w:val="nil"/>
            </w:tcBorders>
            <w:shd w:val="clear" w:color="auto" w:fill="auto"/>
            <w:vAlign w:val="center"/>
          </w:tcPr>
          <w:p w14:paraId="528C0536" w14:textId="77777777" w:rsidR="006C591C" w:rsidRPr="006D57F1" w:rsidRDefault="006C591C" w:rsidP="006C591C">
            <w:pPr>
              <w:jc w:val="right"/>
              <w:rPr>
                <w:rFonts w:ascii="Barlow" w:hAnsi="Barlow" w:cs="Arial"/>
                <w:color w:val="000000"/>
                <w:sz w:val="20"/>
                <w:szCs w:val="20"/>
                <w:lang w:eastAsia="es-MX"/>
              </w:rPr>
            </w:pPr>
          </w:p>
        </w:tc>
        <w:tc>
          <w:tcPr>
            <w:tcW w:w="2880" w:type="dxa"/>
            <w:tcBorders>
              <w:top w:val="nil"/>
              <w:left w:val="nil"/>
              <w:bottom w:val="nil"/>
              <w:right w:val="nil"/>
            </w:tcBorders>
            <w:shd w:val="clear" w:color="auto" w:fill="auto"/>
            <w:vAlign w:val="center"/>
          </w:tcPr>
          <w:p w14:paraId="60B0D0EA" w14:textId="77777777" w:rsidR="006C591C" w:rsidRPr="006D57F1" w:rsidRDefault="006C591C" w:rsidP="006C591C">
            <w:pPr>
              <w:rPr>
                <w:rFonts w:ascii="Barlow" w:hAnsi="Barlow" w:cs="Arial"/>
                <w:color w:val="000000"/>
                <w:sz w:val="20"/>
                <w:szCs w:val="20"/>
                <w:lang w:eastAsia="es-MX"/>
              </w:rPr>
            </w:pPr>
          </w:p>
        </w:tc>
        <w:tc>
          <w:tcPr>
            <w:tcW w:w="2320" w:type="dxa"/>
            <w:tcBorders>
              <w:top w:val="nil"/>
              <w:left w:val="nil"/>
              <w:bottom w:val="nil"/>
              <w:right w:val="nil"/>
            </w:tcBorders>
            <w:shd w:val="clear" w:color="auto" w:fill="auto"/>
            <w:vAlign w:val="center"/>
          </w:tcPr>
          <w:p w14:paraId="7A4B9B36" w14:textId="77777777" w:rsidR="006C591C" w:rsidRPr="006D57F1" w:rsidRDefault="006C591C" w:rsidP="006C591C">
            <w:pPr>
              <w:jc w:val="right"/>
              <w:rPr>
                <w:rFonts w:ascii="Barlow" w:hAnsi="Barlow" w:cs="Arial"/>
                <w:color w:val="000000"/>
                <w:sz w:val="20"/>
                <w:szCs w:val="20"/>
                <w:lang w:eastAsia="es-MX"/>
              </w:rPr>
            </w:pPr>
          </w:p>
        </w:tc>
        <w:tc>
          <w:tcPr>
            <w:tcW w:w="1940" w:type="dxa"/>
            <w:tcBorders>
              <w:top w:val="nil"/>
              <w:left w:val="nil"/>
              <w:bottom w:val="nil"/>
              <w:right w:val="nil"/>
            </w:tcBorders>
            <w:shd w:val="clear" w:color="auto" w:fill="auto"/>
            <w:vAlign w:val="center"/>
          </w:tcPr>
          <w:p w14:paraId="418E70A3" w14:textId="77777777" w:rsidR="006C591C" w:rsidRPr="006D57F1" w:rsidRDefault="006C591C" w:rsidP="006C591C">
            <w:pPr>
              <w:jc w:val="right"/>
              <w:rPr>
                <w:rFonts w:ascii="Barlow" w:hAnsi="Barlow" w:cs="Arial"/>
                <w:color w:val="000000"/>
                <w:sz w:val="20"/>
                <w:szCs w:val="20"/>
                <w:lang w:eastAsia="es-MX"/>
              </w:rPr>
            </w:pPr>
          </w:p>
        </w:tc>
        <w:tc>
          <w:tcPr>
            <w:tcW w:w="2180" w:type="dxa"/>
            <w:tcBorders>
              <w:top w:val="nil"/>
              <w:left w:val="nil"/>
              <w:bottom w:val="nil"/>
              <w:right w:val="nil"/>
            </w:tcBorders>
            <w:shd w:val="clear" w:color="auto" w:fill="auto"/>
            <w:vAlign w:val="center"/>
          </w:tcPr>
          <w:p w14:paraId="1083E72C" w14:textId="77777777" w:rsidR="006C591C" w:rsidRPr="006D57F1" w:rsidRDefault="006C591C" w:rsidP="006C591C">
            <w:pPr>
              <w:jc w:val="right"/>
              <w:rPr>
                <w:rFonts w:ascii="Barlow" w:hAnsi="Barlow" w:cs="Arial"/>
                <w:color w:val="000000"/>
                <w:sz w:val="20"/>
                <w:szCs w:val="20"/>
                <w:lang w:eastAsia="es-MX"/>
              </w:rPr>
            </w:pPr>
          </w:p>
        </w:tc>
      </w:tr>
      <w:tr w:rsidR="006C591C" w:rsidRPr="006D57F1" w14:paraId="48796C29" w14:textId="77777777" w:rsidTr="006C591C">
        <w:trPr>
          <w:trHeight w:val="300"/>
        </w:trPr>
        <w:tc>
          <w:tcPr>
            <w:tcW w:w="1180" w:type="dxa"/>
            <w:tcBorders>
              <w:top w:val="nil"/>
              <w:left w:val="nil"/>
              <w:bottom w:val="nil"/>
              <w:right w:val="nil"/>
            </w:tcBorders>
            <w:shd w:val="clear" w:color="auto" w:fill="auto"/>
            <w:vAlign w:val="center"/>
            <w:hideMark/>
          </w:tcPr>
          <w:p w14:paraId="01F92C0D"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1</w:t>
            </w:r>
          </w:p>
        </w:tc>
        <w:tc>
          <w:tcPr>
            <w:tcW w:w="2880" w:type="dxa"/>
            <w:tcBorders>
              <w:top w:val="nil"/>
              <w:left w:val="nil"/>
              <w:bottom w:val="nil"/>
              <w:right w:val="nil"/>
            </w:tcBorders>
            <w:shd w:val="clear" w:color="auto" w:fill="auto"/>
            <w:vAlign w:val="center"/>
            <w:hideMark/>
          </w:tcPr>
          <w:p w14:paraId="4F1B93E3" w14:textId="77777777" w:rsidR="006C591C" w:rsidRPr="006D57F1" w:rsidRDefault="006C591C" w:rsidP="006C591C">
            <w:pPr>
              <w:rPr>
                <w:rFonts w:ascii="Barlow" w:hAnsi="Barlow" w:cs="Arial"/>
                <w:color w:val="000000"/>
                <w:sz w:val="20"/>
                <w:szCs w:val="20"/>
                <w:lang w:eastAsia="es-MX"/>
              </w:rPr>
            </w:pPr>
            <w:r w:rsidRPr="006D57F1">
              <w:rPr>
                <w:rFonts w:ascii="Barlow" w:hAnsi="Barlow" w:cs="Arial"/>
                <w:color w:val="000000"/>
                <w:sz w:val="20"/>
                <w:szCs w:val="20"/>
                <w:lang w:eastAsia="es-MX"/>
              </w:rPr>
              <w:t>Productos</w:t>
            </w:r>
          </w:p>
        </w:tc>
        <w:tc>
          <w:tcPr>
            <w:tcW w:w="2320" w:type="dxa"/>
            <w:tcBorders>
              <w:top w:val="nil"/>
              <w:left w:val="nil"/>
              <w:bottom w:val="nil"/>
              <w:right w:val="nil"/>
            </w:tcBorders>
            <w:shd w:val="clear" w:color="auto" w:fill="auto"/>
            <w:vAlign w:val="center"/>
          </w:tcPr>
          <w:p w14:paraId="700548E6"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tcPr>
          <w:p w14:paraId="15CAA3CE"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c>
          <w:tcPr>
            <w:tcW w:w="2180" w:type="dxa"/>
            <w:tcBorders>
              <w:top w:val="nil"/>
              <w:left w:val="nil"/>
              <w:bottom w:val="nil"/>
              <w:right w:val="nil"/>
            </w:tcBorders>
            <w:shd w:val="clear" w:color="auto" w:fill="auto"/>
            <w:vAlign w:val="center"/>
          </w:tcPr>
          <w:p w14:paraId="19FAE03E"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r w:rsidR="006C591C" w:rsidRPr="006D57F1" w14:paraId="63818835" w14:textId="77777777" w:rsidTr="006C591C">
        <w:trPr>
          <w:gridAfter w:val="4"/>
          <w:wAfter w:w="9320" w:type="dxa"/>
          <w:trHeight w:val="375"/>
        </w:trPr>
        <w:tc>
          <w:tcPr>
            <w:tcW w:w="1180" w:type="dxa"/>
            <w:tcBorders>
              <w:top w:val="nil"/>
              <w:left w:val="nil"/>
              <w:bottom w:val="nil"/>
              <w:right w:val="nil"/>
            </w:tcBorders>
            <w:shd w:val="clear" w:color="auto" w:fill="auto"/>
            <w:vAlign w:val="center"/>
          </w:tcPr>
          <w:p w14:paraId="75373F3A" w14:textId="77777777" w:rsidR="006C591C" w:rsidRPr="006D57F1" w:rsidRDefault="006C591C" w:rsidP="006C591C">
            <w:pPr>
              <w:jc w:val="right"/>
              <w:rPr>
                <w:rFonts w:ascii="Barlow" w:hAnsi="Barlow" w:cs="Arial"/>
                <w:color w:val="000000"/>
                <w:sz w:val="20"/>
                <w:szCs w:val="20"/>
                <w:lang w:eastAsia="es-MX"/>
              </w:rPr>
            </w:pPr>
          </w:p>
        </w:tc>
      </w:tr>
      <w:tr w:rsidR="006C591C" w:rsidRPr="006D57F1" w14:paraId="2BA9B06F" w14:textId="77777777" w:rsidTr="006C591C">
        <w:trPr>
          <w:trHeight w:val="270"/>
        </w:trPr>
        <w:tc>
          <w:tcPr>
            <w:tcW w:w="1180" w:type="dxa"/>
            <w:tcBorders>
              <w:top w:val="nil"/>
              <w:left w:val="nil"/>
              <w:bottom w:val="nil"/>
              <w:right w:val="nil"/>
            </w:tcBorders>
            <w:shd w:val="clear" w:color="auto" w:fill="auto"/>
            <w:noWrap/>
            <w:vAlign w:val="center"/>
            <w:hideMark/>
          </w:tcPr>
          <w:p w14:paraId="7B534812" w14:textId="77777777" w:rsidR="006C591C" w:rsidRPr="006D57F1" w:rsidRDefault="006C591C" w:rsidP="006C591C">
            <w:pPr>
              <w:jc w:val="right"/>
              <w:rPr>
                <w:rFonts w:ascii="Barlow" w:hAnsi="Barlow" w:cs="Arial"/>
                <w:color w:val="000000"/>
                <w:sz w:val="20"/>
                <w:szCs w:val="20"/>
                <w:lang w:eastAsia="es-MX"/>
              </w:rPr>
            </w:pPr>
          </w:p>
        </w:tc>
        <w:tc>
          <w:tcPr>
            <w:tcW w:w="2880" w:type="dxa"/>
            <w:tcBorders>
              <w:top w:val="nil"/>
              <w:left w:val="nil"/>
              <w:bottom w:val="nil"/>
              <w:right w:val="nil"/>
            </w:tcBorders>
            <w:shd w:val="clear" w:color="auto" w:fill="auto"/>
            <w:vAlign w:val="center"/>
            <w:hideMark/>
          </w:tcPr>
          <w:p w14:paraId="4500CD2E" w14:textId="77777777" w:rsidR="006C591C" w:rsidRPr="006D57F1" w:rsidRDefault="006C591C" w:rsidP="006C591C">
            <w:pPr>
              <w:rPr>
                <w:rFonts w:ascii="Barlow" w:hAnsi="Barlow" w:cs="Arial"/>
                <w:b/>
                <w:bCs/>
                <w:color w:val="000000"/>
                <w:sz w:val="20"/>
                <w:szCs w:val="20"/>
                <w:lang w:eastAsia="es-MX"/>
              </w:rPr>
            </w:pPr>
            <w:r w:rsidRPr="006D57F1">
              <w:rPr>
                <w:rFonts w:ascii="Barlow" w:hAnsi="Barlow" w:cs="Arial"/>
                <w:b/>
                <w:bCs/>
                <w:color w:val="000000"/>
                <w:sz w:val="20"/>
                <w:szCs w:val="20"/>
                <w:lang w:eastAsia="es-MX"/>
              </w:rPr>
              <w:t>SUBTOTAL</w:t>
            </w:r>
          </w:p>
        </w:tc>
        <w:tc>
          <w:tcPr>
            <w:tcW w:w="2320" w:type="dxa"/>
            <w:tcBorders>
              <w:top w:val="nil"/>
              <w:left w:val="nil"/>
              <w:bottom w:val="nil"/>
              <w:right w:val="nil"/>
            </w:tcBorders>
            <w:shd w:val="clear" w:color="auto" w:fill="auto"/>
            <w:vAlign w:val="center"/>
            <w:hideMark/>
          </w:tcPr>
          <w:p w14:paraId="4ACC3441" w14:textId="77777777" w:rsidR="006C591C" w:rsidRPr="006D57F1" w:rsidRDefault="006C591C" w:rsidP="006C591C">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16FD7396" w14:textId="77777777" w:rsidR="006C591C" w:rsidRPr="006D57F1" w:rsidRDefault="006C591C" w:rsidP="006C591C">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w:t>
            </w:r>
          </w:p>
        </w:tc>
        <w:tc>
          <w:tcPr>
            <w:tcW w:w="2180" w:type="dxa"/>
            <w:tcBorders>
              <w:top w:val="nil"/>
              <w:left w:val="nil"/>
              <w:bottom w:val="nil"/>
              <w:right w:val="nil"/>
            </w:tcBorders>
            <w:shd w:val="clear" w:color="auto" w:fill="auto"/>
            <w:vAlign w:val="center"/>
            <w:hideMark/>
          </w:tcPr>
          <w:p w14:paraId="14481065" w14:textId="77777777" w:rsidR="006C591C" w:rsidRPr="006D57F1" w:rsidRDefault="006C591C" w:rsidP="006C591C">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r>
      <w:tr w:rsidR="006C591C" w:rsidRPr="006D57F1" w14:paraId="3CD907AE" w14:textId="77777777" w:rsidTr="006C591C">
        <w:trPr>
          <w:trHeight w:val="795"/>
        </w:trPr>
        <w:tc>
          <w:tcPr>
            <w:tcW w:w="1180" w:type="dxa"/>
            <w:tcBorders>
              <w:top w:val="nil"/>
              <w:left w:val="nil"/>
              <w:bottom w:val="nil"/>
              <w:right w:val="nil"/>
            </w:tcBorders>
            <w:shd w:val="clear" w:color="auto" w:fill="auto"/>
            <w:vAlign w:val="center"/>
            <w:hideMark/>
          </w:tcPr>
          <w:p w14:paraId="27E25F94"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2</w:t>
            </w:r>
          </w:p>
        </w:tc>
        <w:tc>
          <w:tcPr>
            <w:tcW w:w="2880" w:type="dxa"/>
            <w:tcBorders>
              <w:top w:val="nil"/>
              <w:left w:val="nil"/>
              <w:bottom w:val="nil"/>
              <w:right w:val="nil"/>
            </w:tcBorders>
            <w:shd w:val="clear" w:color="auto" w:fill="auto"/>
            <w:vAlign w:val="center"/>
            <w:hideMark/>
          </w:tcPr>
          <w:p w14:paraId="32796EA8" w14:textId="77777777" w:rsidR="006C591C" w:rsidRPr="006D57F1" w:rsidRDefault="006C591C" w:rsidP="006C591C">
            <w:pPr>
              <w:rPr>
                <w:rFonts w:ascii="Barlow" w:hAnsi="Barlow" w:cs="Arial"/>
                <w:color w:val="000000"/>
                <w:sz w:val="20"/>
                <w:szCs w:val="20"/>
                <w:lang w:eastAsia="es-MX"/>
              </w:rPr>
            </w:pPr>
            <w:r w:rsidRPr="006D57F1">
              <w:rPr>
                <w:rFonts w:ascii="Barlow" w:hAnsi="Barlow" w:cs="Arial"/>
                <w:color w:val="000000"/>
                <w:sz w:val="20"/>
                <w:szCs w:val="20"/>
                <w:lang w:eastAsia="es-MX"/>
              </w:rPr>
              <w:t>Cuotas y aportaciones de Seguridad Social</w:t>
            </w:r>
          </w:p>
        </w:tc>
        <w:tc>
          <w:tcPr>
            <w:tcW w:w="2320" w:type="dxa"/>
            <w:tcBorders>
              <w:top w:val="nil"/>
              <w:left w:val="nil"/>
              <w:bottom w:val="nil"/>
              <w:right w:val="nil"/>
            </w:tcBorders>
            <w:shd w:val="clear" w:color="auto" w:fill="auto"/>
            <w:vAlign w:val="center"/>
            <w:hideMark/>
          </w:tcPr>
          <w:p w14:paraId="7796FE37"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c>
          <w:tcPr>
            <w:tcW w:w="1940" w:type="dxa"/>
            <w:tcBorders>
              <w:top w:val="nil"/>
              <w:left w:val="nil"/>
              <w:bottom w:val="nil"/>
              <w:right w:val="nil"/>
            </w:tcBorders>
            <w:shd w:val="clear" w:color="auto" w:fill="auto"/>
            <w:vAlign w:val="center"/>
            <w:hideMark/>
          </w:tcPr>
          <w:p w14:paraId="76A3865A"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c>
          <w:tcPr>
            <w:tcW w:w="2180" w:type="dxa"/>
            <w:tcBorders>
              <w:top w:val="nil"/>
              <w:left w:val="nil"/>
              <w:bottom w:val="nil"/>
              <w:right w:val="nil"/>
            </w:tcBorders>
            <w:shd w:val="clear" w:color="auto" w:fill="auto"/>
            <w:vAlign w:val="center"/>
            <w:hideMark/>
          </w:tcPr>
          <w:p w14:paraId="7A662CFE"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r>
      <w:tr w:rsidR="006C591C" w:rsidRPr="006D57F1" w14:paraId="229FA37B" w14:textId="77777777" w:rsidTr="006C591C">
        <w:trPr>
          <w:trHeight w:val="480"/>
        </w:trPr>
        <w:tc>
          <w:tcPr>
            <w:tcW w:w="1180" w:type="dxa"/>
            <w:tcBorders>
              <w:top w:val="nil"/>
              <w:left w:val="nil"/>
              <w:bottom w:val="nil"/>
              <w:right w:val="nil"/>
            </w:tcBorders>
            <w:shd w:val="clear" w:color="auto" w:fill="auto"/>
            <w:vAlign w:val="center"/>
            <w:hideMark/>
          </w:tcPr>
          <w:p w14:paraId="6D087E57"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3</w:t>
            </w:r>
          </w:p>
        </w:tc>
        <w:tc>
          <w:tcPr>
            <w:tcW w:w="2880" w:type="dxa"/>
            <w:tcBorders>
              <w:top w:val="nil"/>
              <w:left w:val="nil"/>
              <w:bottom w:val="nil"/>
              <w:right w:val="nil"/>
            </w:tcBorders>
            <w:shd w:val="clear" w:color="auto" w:fill="auto"/>
            <w:vAlign w:val="center"/>
            <w:hideMark/>
          </w:tcPr>
          <w:p w14:paraId="79E3D187" w14:textId="77777777" w:rsidR="006C591C" w:rsidRPr="006D57F1" w:rsidRDefault="006C591C" w:rsidP="006C591C">
            <w:pPr>
              <w:rPr>
                <w:rFonts w:ascii="Barlow" w:hAnsi="Barlow" w:cs="Arial"/>
                <w:color w:val="000000"/>
                <w:sz w:val="20"/>
                <w:szCs w:val="20"/>
                <w:lang w:eastAsia="es-MX"/>
              </w:rPr>
            </w:pPr>
            <w:r w:rsidRPr="006D57F1">
              <w:rPr>
                <w:rFonts w:ascii="Barlow" w:hAnsi="Barlow" w:cs="Arial"/>
                <w:color w:val="000000"/>
                <w:sz w:val="20"/>
                <w:szCs w:val="20"/>
                <w:lang w:eastAsia="es-MX"/>
              </w:rPr>
              <w:t>Ingresos por ventas de bienes y servicios</w:t>
            </w:r>
          </w:p>
        </w:tc>
        <w:tc>
          <w:tcPr>
            <w:tcW w:w="2320" w:type="dxa"/>
            <w:tcBorders>
              <w:top w:val="nil"/>
              <w:left w:val="nil"/>
              <w:bottom w:val="nil"/>
              <w:right w:val="nil"/>
            </w:tcBorders>
            <w:shd w:val="clear" w:color="auto" w:fill="auto"/>
            <w:vAlign w:val="center"/>
            <w:hideMark/>
          </w:tcPr>
          <w:p w14:paraId="33EA270C"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w:t>
            </w:r>
          </w:p>
        </w:tc>
        <w:tc>
          <w:tcPr>
            <w:tcW w:w="1940" w:type="dxa"/>
            <w:tcBorders>
              <w:top w:val="nil"/>
              <w:left w:val="nil"/>
              <w:bottom w:val="nil"/>
              <w:right w:val="nil"/>
            </w:tcBorders>
            <w:shd w:val="clear" w:color="auto" w:fill="auto"/>
            <w:vAlign w:val="center"/>
            <w:hideMark/>
          </w:tcPr>
          <w:p w14:paraId="38E8CCB4"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c>
          <w:tcPr>
            <w:tcW w:w="2180" w:type="dxa"/>
            <w:tcBorders>
              <w:top w:val="nil"/>
              <w:left w:val="nil"/>
              <w:bottom w:val="nil"/>
              <w:right w:val="nil"/>
            </w:tcBorders>
            <w:shd w:val="clear" w:color="auto" w:fill="auto"/>
            <w:vAlign w:val="center"/>
            <w:hideMark/>
          </w:tcPr>
          <w:p w14:paraId="5601EAF5" w14:textId="77777777" w:rsidR="006C591C" w:rsidRPr="006D57F1" w:rsidRDefault="006C591C" w:rsidP="006C591C">
            <w:pPr>
              <w:jc w:val="right"/>
              <w:rPr>
                <w:rFonts w:ascii="Barlow" w:hAnsi="Barlow" w:cs="Arial"/>
                <w:color w:val="000000"/>
                <w:sz w:val="20"/>
                <w:szCs w:val="20"/>
                <w:lang w:eastAsia="es-MX"/>
              </w:rPr>
            </w:pPr>
            <w:r w:rsidRPr="006D57F1">
              <w:rPr>
                <w:rFonts w:ascii="Barlow" w:hAnsi="Barlow" w:cs="Arial"/>
                <w:color w:val="000000"/>
                <w:sz w:val="20"/>
                <w:szCs w:val="20"/>
                <w:lang w:eastAsia="es-MX"/>
              </w:rPr>
              <w:t>0.00</w:t>
            </w:r>
          </w:p>
        </w:tc>
      </w:tr>
      <w:tr w:rsidR="006C591C" w:rsidRPr="006D57F1" w14:paraId="5AEE81A1" w14:textId="77777777" w:rsidTr="006C591C">
        <w:trPr>
          <w:trHeight w:val="300"/>
        </w:trPr>
        <w:tc>
          <w:tcPr>
            <w:tcW w:w="1180" w:type="dxa"/>
            <w:tcBorders>
              <w:top w:val="nil"/>
              <w:left w:val="nil"/>
              <w:bottom w:val="nil"/>
              <w:right w:val="nil"/>
            </w:tcBorders>
            <w:shd w:val="clear" w:color="auto" w:fill="auto"/>
            <w:hideMark/>
          </w:tcPr>
          <w:p w14:paraId="614F5D6E" w14:textId="77777777" w:rsidR="006C591C" w:rsidRPr="006D57F1" w:rsidRDefault="006C591C" w:rsidP="006C591C">
            <w:pPr>
              <w:jc w:val="right"/>
              <w:rPr>
                <w:rFonts w:ascii="Barlow" w:hAnsi="Barlow" w:cs="Arial"/>
                <w:color w:val="000000"/>
                <w:sz w:val="20"/>
                <w:szCs w:val="20"/>
                <w:lang w:eastAsia="es-MX"/>
              </w:rPr>
            </w:pPr>
          </w:p>
        </w:tc>
        <w:tc>
          <w:tcPr>
            <w:tcW w:w="2880" w:type="dxa"/>
            <w:tcBorders>
              <w:top w:val="nil"/>
              <w:left w:val="nil"/>
              <w:bottom w:val="nil"/>
              <w:right w:val="nil"/>
            </w:tcBorders>
            <w:shd w:val="clear" w:color="auto" w:fill="auto"/>
            <w:vAlign w:val="center"/>
            <w:hideMark/>
          </w:tcPr>
          <w:p w14:paraId="3CC02432" w14:textId="77777777" w:rsidR="006C591C" w:rsidRPr="006D57F1" w:rsidRDefault="006C591C" w:rsidP="006C591C">
            <w:pPr>
              <w:rPr>
                <w:rFonts w:ascii="Barlow" w:hAnsi="Barlow" w:cs="Arial"/>
                <w:b/>
                <w:bCs/>
                <w:color w:val="000000"/>
                <w:sz w:val="20"/>
                <w:szCs w:val="20"/>
                <w:lang w:eastAsia="es-MX"/>
              </w:rPr>
            </w:pPr>
            <w:r w:rsidRPr="006D57F1">
              <w:rPr>
                <w:rFonts w:ascii="Barlow" w:hAnsi="Barlow" w:cs="Arial"/>
                <w:b/>
                <w:bCs/>
                <w:color w:val="000000"/>
                <w:sz w:val="20"/>
                <w:szCs w:val="20"/>
                <w:lang w:eastAsia="es-MX"/>
              </w:rPr>
              <w:t>TOTAL</w:t>
            </w:r>
          </w:p>
        </w:tc>
        <w:tc>
          <w:tcPr>
            <w:tcW w:w="2320" w:type="dxa"/>
            <w:tcBorders>
              <w:top w:val="nil"/>
              <w:left w:val="nil"/>
              <w:bottom w:val="nil"/>
              <w:right w:val="nil"/>
            </w:tcBorders>
            <w:shd w:val="clear" w:color="auto" w:fill="auto"/>
            <w:vAlign w:val="center"/>
            <w:hideMark/>
          </w:tcPr>
          <w:p w14:paraId="323966D6" w14:textId="77777777" w:rsidR="006C591C" w:rsidRPr="006D57F1" w:rsidRDefault="006C591C" w:rsidP="006C591C">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5F2ADCF5" w14:textId="77777777" w:rsidR="006C591C" w:rsidRPr="006D57F1" w:rsidRDefault="006C591C" w:rsidP="006C591C">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c>
          <w:tcPr>
            <w:tcW w:w="2180" w:type="dxa"/>
            <w:tcBorders>
              <w:top w:val="nil"/>
              <w:left w:val="nil"/>
              <w:bottom w:val="nil"/>
              <w:right w:val="nil"/>
            </w:tcBorders>
            <w:shd w:val="clear" w:color="auto" w:fill="auto"/>
            <w:vAlign w:val="center"/>
            <w:hideMark/>
          </w:tcPr>
          <w:p w14:paraId="0A6B8C35" w14:textId="77777777" w:rsidR="006C591C" w:rsidRPr="006D57F1" w:rsidRDefault="006C591C" w:rsidP="006C591C">
            <w:pPr>
              <w:jc w:val="right"/>
              <w:rPr>
                <w:rFonts w:ascii="Barlow" w:hAnsi="Barlow" w:cs="Arial"/>
                <w:b/>
                <w:bCs/>
                <w:color w:val="000000"/>
                <w:sz w:val="20"/>
                <w:szCs w:val="20"/>
                <w:lang w:eastAsia="es-MX"/>
              </w:rPr>
            </w:pPr>
            <w:r w:rsidRPr="006D57F1">
              <w:rPr>
                <w:rFonts w:ascii="Barlow" w:hAnsi="Barlow" w:cs="Arial"/>
                <w:b/>
                <w:bCs/>
                <w:color w:val="000000"/>
                <w:sz w:val="20"/>
                <w:szCs w:val="20"/>
                <w:lang w:eastAsia="es-MX"/>
              </w:rPr>
              <w:t>0.00</w:t>
            </w:r>
          </w:p>
        </w:tc>
      </w:tr>
    </w:tbl>
    <w:p w14:paraId="4976AF9F" w14:textId="77777777" w:rsidR="00C90A6E" w:rsidRPr="006D57F1" w:rsidRDefault="00C90A6E" w:rsidP="00C4137E">
      <w:pPr>
        <w:autoSpaceDE w:val="0"/>
        <w:autoSpaceDN w:val="0"/>
        <w:adjustRightInd w:val="0"/>
        <w:spacing w:line="360" w:lineRule="auto"/>
        <w:jc w:val="both"/>
        <w:rPr>
          <w:rFonts w:ascii="Barlow" w:hAnsi="Barlow" w:cs="Arial"/>
          <w:b/>
          <w:sz w:val="20"/>
          <w:szCs w:val="20"/>
        </w:rPr>
      </w:pPr>
    </w:p>
    <w:p w14:paraId="665F7E8C" w14:textId="77777777" w:rsidR="001105EC" w:rsidRPr="006D57F1" w:rsidRDefault="001105EC"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10.- Reporte de la Recaudación.</w:t>
      </w:r>
    </w:p>
    <w:p w14:paraId="06883C5E" w14:textId="6C001110" w:rsidR="001105EC" w:rsidRPr="006D57F1" w:rsidRDefault="001105EC" w:rsidP="00C4137E">
      <w:pPr>
        <w:autoSpaceDE w:val="0"/>
        <w:autoSpaceDN w:val="0"/>
        <w:adjustRightInd w:val="0"/>
        <w:spacing w:line="360" w:lineRule="auto"/>
        <w:jc w:val="both"/>
        <w:rPr>
          <w:rFonts w:ascii="Barlow" w:hAnsi="Barlow" w:cs="Arial"/>
          <w:sz w:val="20"/>
          <w:szCs w:val="20"/>
        </w:rPr>
      </w:pPr>
      <w:r w:rsidRPr="006D57F1">
        <w:rPr>
          <w:rFonts w:ascii="Barlow" w:hAnsi="Barlow" w:cs="Arial"/>
          <w:sz w:val="20"/>
          <w:szCs w:val="20"/>
        </w:rPr>
        <w:t xml:space="preserve"> Proyección de la recaudación </w:t>
      </w:r>
      <w:r w:rsidR="00733A68" w:rsidRPr="006D57F1">
        <w:rPr>
          <w:rFonts w:ascii="Barlow" w:hAnsi="Barlow" w:cs="Arial"/>
          <w:sz w:val="20"/>
          <w:szCs w:val="20"/>
        </w:rPr>
        <w:t>d</w:t>
      </w:r>
      <w:r w:rsidRPr="006D57F1">
        <w:rPr>
          <w:rFonts w:ascii="Barlow" w:hAnsi="Barlow" w:cs="Arial"/>
          <w:sz w:val="20"/>
          <w:szCs w:val="20"/>
        </w:rPr>
        <w:t>e ingresos a mediano plazo</w:t>
      </w:r>
      <w:r w:rsidR="00733A68" w:rsidRPr="006D57F1">
        <w:rPr>
          <w:rFonts w:ascii="Barlow" w:hAnsi="Barlow" w:cs="Arial"/>
          <w:sz w:val="20"/>
          <w:szCs w:val="20"/>
        </w:rPr>
        <w:t xml:space="preserve"> según la Ley de Ingresos 20</w:t>
      </w:r>
      <w:r w:rsidR="004B711C" w:rsidRPr="006D57F1">
        <w:rPr>
          <w:rFonts w:ascii="Barlow" w:hAnsi="Barlow" w:cs="Arial"/>
          <w:sz w:val="20"/>
          <w:szCs w:val="20"/>
        </w:rPr>
        <w:t>2</w:t>
      </w:r>
      <w:r w:rsidR="000850E0" w:rsidRPr="006D57F1">
        <w:rPr>
          <w:rFonts w:ascii="Barlow" w:hAnsi="Barlow" w:cs="Arial"/>
          <w:sz w:val="20"/>
          <w:szCs w:val="20"/>
        </w:rPr>
        <w:t>2</w:t>
      </w:r>
      <w:r w:rsidRPr="006D57F1">
        <w:rPr>
          <w:rFonts w:ascii="Barlow" w:hAnsi="Barlow" w:cs="Arial"/>
          <w:sz w:val="20"/>
          <w:szCs w:val="20"/>
        </w:rPr>
        <w:t>.</w:t>
      </w:r>
    </w:p>
    <w:p w14:paraId="33809B52" w14:textId="77777777" w:rsidR="00190D31" w:rsidRPr="006D57F1" w:rsidRDefault="00190D31" w:rsidP="00C4137E">
      <w:pPr>
        <w:autoSpaceDE w:val="0"/>
        <w:autoSpaceDN w:val="0"/>
        <w:adjustRightInd w:val="0"/>
        <w:spacing w:line="360" w:lineRule="auto"/>
        <w:jc w:val="both"/>
        <w:rPr>
          <w:rFonts w:ascii="Barlow" w:hAnsi="Barlow" w:cs="Arial"/>
          <w:sz w:val="20"/>
          <w:szCs w:val="20"/>
        </w:rPr>
      </w:pPr>
    </w:p>
    <w:p w14:paraId="15D34B05" w14:textId="77777777" w:rsidR="005758D5" w:rsidRPr="006D57F1" w:rsidRDefault="005758D5" w:rsidP="00C4137E">
      <w:pPr>
        <w:autoSpaceDE w:val="0"/>
        <w:autoSpaceDN w:val="0"/>
        <w:adjustRightInd w:val="0"/>
        <w:spacing w:line="360" w:lineRule="auto"/>
        <w:jc w:val="both"/>
        <w:rPr>
          <w:rFonts w:ascii="Barlow" w:hAnsi="Barlow" w:cs="Arial"/>
          <w:b/>
          <w:sz w:val="20"/>
          <w:szCs w:val="20"/>
        </w:rPr>
      </w:pPr>
    </w:p>
    <w:p w14:paraId="65F1CC24" w14:textId="77777777" w:rsidR="001105EC" w:rsidRPr="006D57F1" w:rsidRDefault="001105EC"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 xml:space="preserve">11. Información sobre la Deuda y el Reporte </w:t>
      </w:r>
      <w:r w:rsidR="006E1089" w:rsidRPr="006D57F1">
        <w:rPr>
          <w:rFonts w:ascii="Barlow" w:hAnsi="Barlow" w:cs="Arial"/>
          <w:b/>
          <w:sz w:val="20"/>
          <w:szCs w:val="20"/>
        </w:rPr>
        <w:t>Analítico</w:t>
      </w:r>
      <w:r w:rsidRPr="006D57F1">
        <w:rPr>
          <w:rFonts w:ascii="Barlow" w:hAnsi="Barlow" w:cs="Arial"/>
          <w:b/>
          <w:sz w:val="20"/>
          <w:szCs w:val="20"/>
        </w:rPr>
        <w:t xml:space="preserve"> de la Deuda</w:t>
      </w:r>
    </w:p>
    <w:p w14:paraId="08316C4E" w14:textId="77777777" w:rsidR="00026DF4" w:rsidRPr="006D57F1" w:rsidRDefault="00026DF4" w:rsidP="00026DF4">
      <w:pPr>
        <w:rPr>
          <w:rFonts w:ascii="Barlow" w:hAnsi="Barlow" w:cs="Arial"/>
          <w:b/>
          <w:bCs/>
          <w:sz w:val="20"/>
          <w:szCs w:val="20"/>
        </w:rPr>
      </w:pPr>
    </w:p>
    <w:p w14:paraId="6B149D09" w14:textId="1C3B0087" w:rsidR="00026DF4" w:rsidRPr="006D57F1" w:rsidRDefault="00026DF4" w:rsidP="00026DF4">
      <w:pPr>
        <w:rPr>
          <w:rFonts w:ascii="Barlow" w:hAnsi="Barlow" w:cs="Arial"/>
          <w:b/>
          <w:bCs/>
          <w:sz w:val="20"/>
          <w:szCs w:val="20"/>
        </w:rPr>
      </w:pPr>
      <w:r w:rsidRPr="006D57F1">
        <w:rPr>
          <w:rFonts w:ascii="Barlow" w:hAnsi="Barlow" w:cs="Arial"/>
          <w:b/>
          <w:bCs/>
          <w:sz w:val="20"/>
          <w:szCs w:val="20"/>
        </w:rPr>
        <w:t>Deuda respecto al PIB</w:t>
      </w:r>
      <w:r w:rsidR="003C4B3E" w:rsidRPr="006D57F1">
        <w:rPr>
          <w:rFonts w:ascii="Barlow" w:hAnsi="Barlow" w:cs="Arial"/>
          <w:b/>
          <w:bCs/>
          <w:sz w:val="20"/>
          <w:szCs w:val="20"/>
        </w:rPr>
        <w:t>,</w:t>
      </w:r>
      <w:r w:rsidR="003C4B3E" w:rsidRPr="006D57F1">
        <w:rPr>
          <w:rFonts w:ascii="Barlow" w:hAnsi="Barlow" w:cs="Arial"/>
          <w:sz w:val="20"/>
          <w:szCs w:val="20"/>
        </w:rPr>
        <w:t xml:space="preserve"> No aplica</w:t>
      </w:r>
    </w:p>
    <w:p w14:paraId="10D96506" w14:textId="77777777" w:rsidR="002C2D08" w:rsidRPr="006D57F1" w:rsidRDefault="002C2D08" w:rsidP="00026DF4">
      <w:pPr>
        <w:rPr>
          <w:rFonts w:ascii="Barlow" w:hAnsi="Barlow" w:cs="Arial"/>
          <w:b/>
          <w:bCs/>
          <w:sz w:val="20"/>
          <w:szCs w:val="20"/>
        </w:rPr>
      </w:pPr>
    </w:p>
    <w:p w14:paraId="4B5BD903" w14:textId="77777777" w:rsidR="00DF06E0" w:rsidRPr="006D57F1" w:rsidRDefault="00DF06E0" w:rsidP="00026DF4">
      <w:pPr>
        <w:jc w:val="both"/>
        <w:rPr>
          <w:rFonts w:ascii="Barlow" w:hAnsi="Barlow" w:cs="Arial"/>
          <w:b/>
          <w:bCs/>
          <w:sz w:val="20"/>
          <w:szCs w:val="20"/>
        </w:rPr>
      </w:pPr>
    </w:p>
    <w:p w14:paraId="1DA12621" w14:textId="140BA6FD" w:rsidR="00026DF4" w:rsidRPr="006D57F1" w:rsidRDefault="00026DF4" w:rsidP="00026DF4">
      <w:pPr>
        <w:jc w:val="both"/>
        <w:rPr>
          <w:rFonts w:ascii="Barlow" w:hAnsi="Barlow" w:cs="Arial"/>
          <w:b/>
          <w:bCs/>
          <w:sz w:val="20"/>
          <w:szCs w:val="20"/>
        </w:rPr>
      </w:pPr>
      <w:r w:rsidRPr="006D57F1">
        <w:rPr>
          <w:rFonts w:ascii="Barlow" w:hAnsi="Barlow" w:cs="Arial"/>
          <w:b/>
          <w:bCs/>
          <w:sz w:val="20"/>
          <w:szCs w:val="20"/>
        </w:rPr>
        <w:t>Deuda respecto a la Recaudación</w:t>
      </w:r>
      <w:r w:rsidR="003C4B3E" w:rsidRPr="006D57F1">
        <w:rPr>
          <w:rFonts w:ascii="Barlow" w:hAnsi="Barlow" w:cs="Arial"/>
          <w:b/>
          <w:bCs/>
          <w:sz w:val="20"/>
          <w:szCs w:val="20"/>
        </w:rPr>
        <w:t>,</w:t>
      </w:r>
      <w:r w:rsidR="003C4B3E" w:rsidRPr="006D57F1">
        <w:rPr>
          <w:rFonts w:ascii="Barlow" w:hAnsi="Barlow" w:cs="Arial"/>
          <w:sz w:val="20"/>
          <w:szCs w:val="20"/>
        </w:rPr>
        <w:t xml:space="preserve"> No aplica</w:t>
      </w:r>
    </w:p>
    <w:p w14:paraId="2E854027" w14:textId="48FAF142" w:rsidR="00E3693E" w:rsidRPr="006D57F1" w:rsidRDefault="00E3693E" w:rsidP="00026DF4">
      <w:pPr>
        <w:jc w:val="both"/>
        <w:rPr>
          <w:rFonts w:ascii="Barlow" w:hAnsi="Barlow" w:cs="Arial"/>
          <w:b/>
          <w:bCs/>
          <w:sz w:val="20"/>
          <w:szCs w:val="20"/>
        </w:rPr>
      </w:pPr>
    </w:p>
    <w:p w14:paraId="4D92B85C" w14:textId="77777777" w:rsidR="00905857" w:rsidRPr="006D57F1" w:rsidRDefault="009C4317" w:rsidP="00905857">
      <w:pPr>
        <w:autoSpaceDE w:val="0"/>
        <w:autoSpaceDN w:val="0"/>
        <w:adjustRightInd w:val="0"/>
        <w:spacing w:line="360" w:lineRule="auto"/>
        <w:jc w:val="both"/>
        <w:rPr>
          <w:rFonts w:ascii="Barlow" w:hAnsi="Barlow" w:cs="Arial"/>
          <w:sz w:val="20"/>
          <w:szCs w:val="20"/>
        </w:rPr>
      </w:pPr>
      <w:r w:rsidRPr="006D57F1">
        <w:rPr>
          <w:rFonts w:ascii="Barlow" w:hAnsi="Barlow" w:cs="Arial"/>
          <w:b/>
          <w:sz w:val="20"/>
          <w:szCs w:val="20"/>
        </w:rPr>
        <w:t>12</w:t>
      </w:r>
      <w:r w:rsidR="00D3760C" w:rsidRPr="006D57F1">
        <w:rPr>
          <w:rFonts w:ascii="Barlow" w:hAnsi="Barlow" w:cs="Arial"/>
          <w:b/>
          <w:sz w:val="20"/>
          <w:szCs w:val="20"/>
        </w:rPr>
        <w:t>.- Calificaciones Otorgadas.</w:t>
      </w:r>
      <w:r w:rsidR="00905857" w:rsidRPr="006D57F1">
        <w:rPr>
          <w:rFonts w:ascii="Barlow" w:hAnsi="Barlow" w:cs="Arial"/>
          <w:b/>
          <w:sz w:val="20"/>
          <w:szCs w:val="20"/>
        </w:rPr>
        <w:t xml:space="preserve"> </w:t>
      </w:r>
      <w:r w:rsidR="00905857" w:rsidRPr="006D57F1">
        <w:rPr>
          <w:rFonts w:ascii="Barlow" w:hAnsi="Barlow" w:cs="Arial"/>
          <w:sz w:val="20"/>
          <w:szCs w:val="20"/>
        </w:rPr>
        <w:t>No aplica</w:t>
      </w:r>
    </w:p>
    <w:p w14:paraId="5ED9CB5A" w14:textId="59B2095B" w:rsidR="001568DB" w:rsidRPr="006D57F1" w:rsidRDefault="001568DB" w:rsidP="00905857">
      <w:pPr>
        <w:autoSpaceDE w:val="0"/>
        <w:autoSpaceDN w:val="0"/>
        <w:adjustRightInd w:val="0"/>
        <w:spacing w:line="360" w:lineRule="auto"/>
        <w:jc w:val="both"/>
        <w:rPr>
          <w:rFonts w:ascii="Barlow" w:hAnsi="Barlow" w:cs="Arial"/>
          <w:b/>
          <w:sz w:val="20"/>
          <w:szCs w:val="20"/>
        </w:rPr>
      </w:pPr>
    </w:p>
    <w:p w14:paraId="3E808CB7" w14:textId="77777777" w:rsidR="00DF1596" w:rsidRPr="006D57F1" w:rsidRDefault="00DF1596" w:rsidP="00DF1596">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13.- Proceso de Mejora</w:t>
      </w:r>
    </w:p>
    <w:p w14:paraId="64A318CD" w14:textId="1E1DC7E5" w:rsidR="00DF1596" w:rsidRDefault="00DF1596" w:rsidP="00DF1596">
      <w:pPr>
        <w:autoSpaceDE w:val="0"/>
        <w:autoSpaceDN w:val="0"/>
        <w:adjustRightInd w:val="0"/>
        <w:spacing w:line="360" w:lineRule="auto"/>
        <w:ind w:left="708" w:firstLine="87"/>
        <w:jc w:val="both"/>
        <w:rPr>
          <w:rFonts w:ascii="Barlow" w:hAnsi="Barlow" w:cs="Arial"/>
          <w:sz w:val="20"/>
          <w:szCs w:val="20"/>
        </w:rPr>
      </w:pPr>
      <w:r w:rsidRPr="006D57F1">
        <w:rPr>
          <w:rFonts w:ascii="Barlow" w:hAnsi="Barlow" w:cs="Arial"/>
          <w:sz w:val="20"/>
          <w:szCs w:val="20"/>
        </w:rPr>
        <w:t>Se continúan a partir del cambio de administración se encuentran generando diversos mecanismos de control a efecto de fortalecer los ya existentes o implementar en aquellos casos que son necesarios</w:t>
      </w:r>
      <w:r w:rsidR="00905857" w:rsidRPr="006D57F1">
        <w:rPr>
          <w:rFonts w:ascii="Barlow" w:hAnsi="Barlow" w:cs="Arial"/>
          <w:sz w:val="20"/>
          <w:szCs w:val="20"/>
        </w:rPr>
        <w:t xml:space="preserve"> como es el siguiente:</w:t>
      </w:r>
      <w:r w:rsidRPr="006D57F1">
        <w:rPr>
          <w:rFonts w:ascii="Barlow" w:hAnsi="Barlow" w:cs="Arial"/>
          <w:sz w:val="20"/>
          <w:szCs w:val="20"/>
        </w:rPr>
        <w:t xml:space="preserve">  </w:t>
      </w:r>
    </w:p>
    <w:p w14:paraId="778A5BE1" w14:textId="11F3AFB7" w:rsidR="006D57F1" w:rsidRDefault="006D57F1" w:rsidP="00DF1596">
      <w:pPr>
        <w:autoSpaceDE w:val="0"/>
        <w:autoSpaceDN w:val="0"/>
        <w:adjustRightInd w:val="0"/>
        <w:spacing w:line="360" w:lineRule="auto"/>
        <w:ind w:left="708" w:firstLine="87"/>
        <w:jc w:val="both"/>
        <w:rPr>
          <w:rFonts w:ascii="Barlow" w:hAnsi="Barlow" w:cs="Arial"/>
          <w:sz w:val="20"/>
          <w:szCs w:val="20"/>
        </w:rPr>
      </w:pPr>
    </w:p>
    <w:p w14:paraId="4CA8C563" w14:textId="77777777" w:rsidR="006D57F1" w:rsidRPr="006D57F1" w:rsidRDefault="006D57F1" w:rsidP="00DF1596">
      <w:pPr>
        <w:autoSpaceDE w:val="0"/>
        <w:autoSpaceDN w:val="0"/>
        <w:adjustRightInd w:val="0"/>
        <w:spacing w:line="360" w:lineRule="auto"/>
        <w:ind w:left="708" w:firstLine="87"/>
        <w:jc w:val="both"/>
        <w:rPr>
          <w:rFonts w:ascii="Barlow" w:hAnsi="Barlow" w:cs="Arial"/>
          <w:sz w:val="20"/>
          <w:szCs w:val="20"/>
        </w:rPr>
      </w:pPr>
      <w:bookmarkStart w:id="11" w:name="_GoBack"/>
      <w:bookmarkEnd w:id="11"/>
    </w:p>
    <w:p w14:paraId="206A76B8" w14:textId="77777777" w:rsidR="00E14045" w:rsidRPr="006D57F1" w:rsidRDefault="00E14045" w:rsidP="00DF1596">
      <w:pPr>
        <w:autoSpaceDE w:val="0"/>
        <w:autoSpaceDN w:val="0"/>
        <w:adjustRightInd w:val="0"/>
        <w:spacing w:line="360" w:lineRule="auto"/>
        <w:ind w:left="708" w:firstLine="87"/>
        <w:jc w:val="both"/>
        <w:rPr>
          <w:rFonts w:ascii="Barlow" w:hAnsi="Barlow" w:cs="Arial"/>
          <w:sz w:val="20"/>
          <w:szCs w:val="20"/>
        </w:rPr>
      </w:pPr>
    </w:p>
    <w:p w14:paraId="5FFB65E2" w14:textId="77777777" w:rsidR="00DF1596" w:rsidRPr="006D57F1" w:rsidRDefault="00DF1596" w:rsidP="00DF1596">
      <w:pPr>
        <w:pStyle w:val="Prrafodelista"/>
        <w:ind w:hanging="360"/>
        <w:rPr>
          <w:rFonts w:ascii="Barlow" w:hAnsi="Barlow" w:cs="Arial"/>
          <w:sz w:val="20"/>
          <w:szCs w:val="20"/>
        </w:rPr>
      </w:pPr>
      <w:r w:rsidRPr="006D57F1">
        <w:rPr>
          <w:rFonts w:ascii="Barlow" w:hAnsi="Barlow" w:cs="Arial"/>
          <w:sz w:val="20"/>
          <w:szCs w:val="20"/>
        </w:rPr>
        <w:lastRenderedPageBreak/>
        <w:t>RECONOCIMIENTO</w:t>
      </w:r>
    </w:p>
    <w:p w14:paraId="4A808124" w14:textId="77777777" w:rsidR="00DF1596" w:rsidRPr="006D57F1" w:rsidRDefault="00DF1596" w:rsidP="00DF1596">
      <w:pPr>
        <w:pStyle w:val="Prrafodelista"/>
        <w:ind w:hanging="360"/>
        <w:rPr>
          <w:rFonts w:ascii="Barlow" w:hAnsi="Barlow" w:cs="Arial"/>
          <w:sz w:val="20"/>
          <w:szCs w:val="20"/>
        </w:rPr>
      </w:pPr>
    </w:p>
    <w:p w14:paraId="33EDDA6E" w14:textId="0B52F4E2" w:rsidR="00905857" w:rsidRPr="006D57F1" w:rsidRDefault="00DF1596" w:rsidP="0029073A">
      <w:pPr>
        <w:pStyle w:val="Prrafodelista"/>
        <w:numPr>
          <w:ilvl w:val="0"/>
          <w:numId w:val="11"/>
        </w:numPr>
        <w:autoSpaceDE w:val="0"/>
        <w:autoSpaceDN w:val="0"/>
        <w:adjustRightInd w:val="0"/>
        <w:spacing w:after="200" w:line="360" w:lineRule="auto"/>
        <w:ind w:left="786"/>
        <w:jc w:val="both"/>
        <w:rPr>
          <w:rFonts w:ascii="Barlow" w:hAnsi="Barlow" w:cs="Arial"/>
          <w:b/>
          <w:sz w:val="20"/>
          <w:szCs w:val="20"/>
        </w:rPr>
      </w:pPr>
      <w:r w:rsidRPr="006D57F1">
        <w:rPr>
          <w:rFonts w:ascii="Barlow" w:hAnsi="Barlow" w:cs="Arial"/>
          <w:sz w:val="20"/>
          <w:szCs w:val="20"/>
        </w:rPr>
        <w:t xml:space="preserve">En cumplimiento a la Ley de Disciplina Financiera de las Entidades Federativas y los Municipios, el </w:t>
      </w:r>
      <w:r w:rsidR="00905857" w:rsidRPr="006D57F1">
        <w:rPr>
          <w:rFonts w:ascii="Barlow" w:hAnsi="Barlow" w:cs="Arial"/>
          <w:sz w:val="20"/>
          <w:szCs w:val="20"/>
        </w:rPr>
        <w:t xml:space="preserve">Instituto de Historia y Museos de Yucatán </w:t>
      </w:r>
      <w:r w:rsidRPr="006D57F1">
        <w:rPr>
          <w:rFonts w:ascii="Barlow" w:hAnsi="Barlow" w:cs="Arial"/>
          <w:sz w:val="20"/>
          <w:szCs w:val="20"/>
        </w:rPr>
        <w:t xml:space="preserve">reconocido y continúa actualizando, </w:t>
      </w:r>
    </w:p>
    <w:p w14:paraId="08894278" w14:textId="77777777" w:rsidR="00813F2E" w:rsidRPr="006D57F1" w:rsidRDefault="00813F2E" w:rsidP="00813F2E">
      <w:pPr>
        <w:pStyle w:val="Prrafodelista"/>
        <w:autoSpaceDE w:val="0"/>
        <w:autoSpaceDN w:val="0"/>
        <w:adjustRightInd w:val="0"/>
        <w:spacing w:after="200" w:line="360" w:lineRule="auto"/>
        <w:ind w:left="786"/>
        <w:jc w:val="both"/>
        <w:rPr>
          <w:rFonts w:ascii="Barlow" w:hAnsi="Barlow" w:cs="Arial"/>
          <w:b/>
          <w:sz w:val="20"/>
          <w:szCs w:val="20"/>
        </w:rPr>
      </w:pPr>
    </w:p>
    <w:p w14:paraId="7780CC9A" w14:textId="6E851CE8" w:rsidR="009C4317" w:rsidRPr="006D57F1" w:rsidRDefault="008A76C8" w:rsidP="00905857">
      <w:pPr>
        <w:autoSpaceDE w:val="0"/>
        <w:autoSpaceDN w:val="0"/>
        <w:adjustRightInd w:val="0"/>
        <w:spacing w:after="200" w:line="360" w:lineRule="auto"/>
        <w:jc w:val="both"/>
        <w:rPr>
          <w:rFonts w:ascii="Barlow" w:hAnsi="Barlow" w:cs="Arial"/>
          <w:b/>
          <w:sz w:val="20"/>
          <w:szCs w:val="20"/>
        </w:rPr>
      </w:pPr>
      <w:r w:rsidRPr="006D57F1">
        <w:rPr>
          <w:rFonts w:ascii="Barlow" w:hAnsi="Barlow" w:cs="Arial"/>
          <w:b/>
          <w:sz w:val="20"/>
          <w:szCs w:val="20"/>
        </w:rPr>
        <w:t xml:space="preserve">14. Información por Segmentos, </w:t>
      </w:r>
      <w:r w:rsidRPr="006D57F1">
        <w:rPr>
          <w:rFonts w:ascii="Barlow" w:hAnsi="Barlow" w:cs="Arial"/>
          <w:sz w:val="20"/>
          <w:szCs w:val="20"/>
        </w:rPr>
        <w:t xml:space="preserve">No aplica </w:t>
      </w:r>
      <w:r w:rsidRPr="006D57F1">
        <w:rPr>
          <w:rFonts w:ascii="Barlow" w:hAnsi="Barlow" w:cs="Arial"/>
          <w:b/>
          <w:sz w:val="20"/>
          <w:szCs w:val="20"/>
        </w:rPr>
        <w:t xml:space="preserve">  </w:t>
      </w:r>
    </w:p>
    <w:p w14:paraId="725D627A" w14:textId="77777777" w:rsidR="00512E42" w:rsidRPr="006D57F1" w:rsidRDefault="00512E42" w:rsidP="00C4137E">
      <w:pPr>
        <w:autoSpaceDE w:val="0"/>
        <w:autoSpaceDN w:val="0"/>
        <w:adjustRightInd w:val="0"/>
        <w:spacing w:line="360" w:lineRule="auto"/>
        <w:jc w:val="both"/>
        <w:rPr>
          <w:rFonts w:ascii="Barlow" w:hAnsi="Barlow" w:cs="Arial"/>
          <w:b/>
          <w:sz w:val="20"/>
          <w:szCs w:val="20"/>
        </w:rPr>
      </w:pPr>
      <w:r w:rsidRPr="006D57F1">
        <w:rPr>
          <w:rFonts w:ascii="Barlow" w:hAnsi="Barlow" w:cs="Arial"/>
          <w:b/>
          <w:sz w:val="20"/>
          <w:szCs w:val="20"/>
        </w:rPr>
        <w:t>15.- Eventos Posteriores.</w:t>
      </w:r>
      <w:r w:rsidR="00E25EFA" w:rsidRPr="006D57F1">
        <w:rPr>
          <w:rFonts w:ascii="Barlow" w:hAnsi="Barlow" w:cs="Arial"/>
          <w:b/>
          <w:sz w:val="20"/>
          <w:szCs w:val="20"/>
        </w:rPr>
        <w:t xml:space="preserve"> </w:t>
      </w:r>
      <w:r w:rsidR="00E25EFA" w:rsidRPr="006D57F1">
        <w:rPr>
          <w:rFonts w:ascii="Barlow" w:hAnsi="Barlow" w:cs="Arial"/>
          <w:sz w:val="20"/>
          <w:szCs w:val="20"/>
        </w:rPr>
        <w:t>No aplica</w:t>
      </w:r>
    </w:p>
    <w:p w14:paraId="0397E227" w14:textId="77777777" w:rsidR="00512E42" w:rsidRPr="006D57F1" w:rsidRDefault="00512E42" w:rsidP="00E605B4">
      <w:pPr>
        <w:autoSpaceDE w:val="0"/>
        <w:autoSpaceDN w:val="0"/>
        <w:adjustRightInd w:val="0"/>
        <w:jc w:val="both"/>
        <w:rPr>
          <w:rFonts w:ascii="Barlow" w:hAnsi="Barlow" w:cs="Arial"/>
          <w:sz w:val="20"/>
          <w:szCs w:val="20"/>
        </w:rPr>
      </w:pPr>
    </w:p>
    <w:p w14:paraId="74CBA125" w14:textId="6A5B7851" w:rsidR="009C4317" w:rsidRPr="006D57F1" w:rsidRDefault="00512E42" w:rsidP="00C4137E">
      <w:pPr>
        <w:autoSpaceDE w:val="0"/>
        <w:autoSpaceDN w:val="0"/>
        <w:adjustRightInd w:val="0"/>
        <w:spacing w:line="360" w:lineRule="auto"/>
        <w:jc w:val="both"/>
        <w:rPr>
          <w:rFonts w:ascii="Barlow" w:hAnsi="Barlow" w:cs="Arial"/>
          <w:sz w:val="20"/>
          <w:szCs w:val="20"/>
        </w:rPr>
      </w:pPr>
      <w:r w:rsidRPr="006D57F1">
        <w:rPr>
          <w:rFonts w:ascii="Barlow" w:hAnsi="Barlow" w:cs="Arial"/>
          <w:b/>
          <w:sz w:val="20"/>
          <w:szCs w:val="20"/>
        </w:rPr>
        <w:t>16.- Partes Relacionadas</w:t>
      </w:r>
      <w:r w:rsidR="00E605B4" w:rsidRPr="006D57F1">
        <w:rPr>
          <w:rFonts w:ascii="Barlow" w:hAnsi="Barlow" w:cs="Arial"/>
          <w:b/>
          <w:sz w:val="20"/>
          <w:szCs w:val="20"/>
        </w:rPr>
        <w:t xml:space="preserve">, </w:t>
      </w:r>
      <w:r w:rsidR="00E605B4" w:rsidRPr="006D57F1">
        <w:rPr>
          <w:rFonts w:ascii="Barlow" w:hAnsi="Barlow" w:cs="Arial"/>
          <w:sz w:val="20"/>
          <w:szCs w:val="20"/>
        </w:rPr>
        <w:t>No aplica</w:t>
      </w:r>
      <w:r w:rsidR="007C48C0" w:rsidRPr="006D57F1">
        <w:rPr>
          <w:rFonts w:ascii="Barlow" w:hAnsi="Barlow" w:cs="Arial"/>
          <w:sz w:val="20"/>
          <w:szCs w:val="20"/>
        </w:rPr>
        <w:t>.</w:t>
      </w:r>
    </w:p>
    <w:p w14:paraId="34B25366" w14:textId="77777777" w:rsidR="0023705C" w:rsidRPr="006D57F1" w:rsidRDefault="0023705C" w:rsidP="00055DF3">
      <w:pPr>
        <w:jc w:val="both"/>
        <w:rPr>
          <w:rFonts w:ascii="Barlow" w:hAnsi="Barlow" w:cs="Arial"/>
          <w:color w:val="000000"/>
          <w:sz w:val="20"/>
          <w:szCs w:val="20"/>
          <w:lang w:eastAsia="es-MX"/>
        </w:rPr>
      </w:pPr>
    </w:p>
    <w:p w14:paraId="3836470C" w14:textId="77777777" w:rsidR="0023705C" w:rsidRPr="006D57F1" w:rsidRDefault="0023705C" w:rsidP="00055DF3">
      <w:pPr>
        <w:jc w:val="both"/>
        <w:rPr>
          <w:rFonts w:ascii="Barlow" w:hAnsi="Barlow" w:cs="Arial"/>
          <w:color w:val="000000"/>
          <w:sz w:val="20"/>
          <w:szCs w:val="20"/>
          <w:lang w:eastAsia="es-MX"/>
        </w:rPr>
      </w:pPr>
    </w:p>
    <w:p w14:paraId="15506CC8" w14:textId="77777777" w:rsidR="0023705C" w:rsidRPr="006D57F1" w:rsidRDefault="0023705C" w:rsidP="00055DF3">
      <w:pPr>
        <w:jc w:val="both"/>
        <w:rPr>
          <w:rFonts w:ascii="Barlow" w:hAnsi="Barlow" w:cs="Arial"/>
          <w:color w:val="000000"/>
          <w:sz w:val="20"/>
          <w:szCs w:val="20"/>
          <w:lang w:eastAsia="es-MX"/>
        </w:rPr>
      </w:pPr>
    </w:p>
    <w:p w14:paraId="4969EAD4" w14:textId="7AAA8D7C" w:rsidR="00A17B33" w:rsidRPr="006D57F1" w:rsidRDefault="00A65CCA" w:rsidP="00055DF3">
      <w:pPr>
        <w:jc w:val="both"/>
        <w:rPr>
          <w:rFonts w:ascii="Barlow" w:hAnsi="Barlow" w:cs="Arial"/>
          <w:b/>
          <w:sz w:val="20"/>
          <w:szCs w:val="20"/>
        </w:rPr>
      </w:pPr>
      <w:r w:rsidRPr="006D57F1">
        <w:rPr>
          <w:rFonts w:ascii="Barlow" w:hAnsi="Barlow" w:cs="Arial"/>
          <w:b/>
          <w:bCs/>
          <w:color w:val="000000"/>
          <w:sz w:val="20"/>
          <w:szCs w:val="20"/>
          <w:lang w:eastAsia="es-MX"/>
        </w:rPr>
        <w:t>17.-</w:t>
      </w:r>
      <w:r w:rsidRPr="006D57F1">
        <w:rPr>
          <w:rFonts w:ascii="Barlow" w:hAnsi="Barlow" w:cs="Arial"/>
          <w:color w:val="000000"/>
          <w:sz w:val="20"/>
          <w:szCs w:val="20"/>
          <w:lang w:eastAsia="es-MX"/>
        </w:rPr>
        <w:t xml:space="preserve"> </w:t>
      </w:r>
      <w:r w:rsidR="00D20015" w:rsidRPr="006D57F1">
        <w:rPr>
          <w:rFonts w:ascii="Barlow" w:hAnsi="Barlow" w:cs="Arial"/>
          <w:color w:val="000000"/>
          <w:sz w:val="20"/>
          <w:szCs w:val="20"/>
          <w:lang w:eastAsia="es-MX"/>
        </w:rPr>
        <w:t xml:space="preserve">Bajo protesta de decir verdad declaramos que los Estados Financieros y sus Notas son razonablemente correctos y </w:t>
      </w:r>
      <w:r w:rsidR="006D57F1">
        <w:rPr>
          <w:rFonts w:ascii="Barlow" w:hAnsi="Barlow" w:cs="Arial"/>
          <w:color w:val="000000"/>
          <w:sz w:val="20"/>
          <w:szCs w:val="20"/>
          <w:lang w:eastAsia="es-MX"/>
        </w:rPr>
        <w:t xml:space="preserve">son </w:t>
      </w:r>
      <w:r w:rsidR="00D20015" w:rsidRPr="006D57F1">
        <w:rPr>
          <w:rFonts w:ascii="Barlow" w:hAnsi="Barlow" w:cs="Arial"/>
          <w:color w:val="000000"/>
          <w:sz w:val="20"/>
          <w:szCs w:val="20"/>
          <w:lang w:eastAsia="es-MX"/>
        </w:rPr>
        <w:t>responsabilidad del emisor.</w:t>
      </w:r>
      <w:r w:rsidR="00055DF3" w:rsidRPr="006D57F1">
        <w:rPr>
          <w:rFonts w:ascii="Barlow" w:hAnsi="Barlow" w:cs="Arial"/>
          <w:b/>
          <w:sz w:val="20"/>
          <w:szCs w:val="20"/>
        </w:rPr>
        <w:t xml:space="preserve"> </w:t>
      </w:r>
    </w:p>
    <w:p w14:paraId="38EAE458" w14:textId="2646CCF3" w:rsidR="00E14045" w:rsidRDefault="00E14045" w:rsidP="00055DF3">
      <w:pPr>
        <w:jc w:val="both"/>
        <w:rPr>
          <w:rFonts w:ascii="Barlow" w:hAnsi="Barlow" w:cs="Arial"/>
          <w:b/>
          <w:sz w:val="20"/>
          <w:szCs w:val="20"/>
        </w:rPr>
      </w:pPr>
    </w:p>
    <w:p w14:paraId="05315CF9" w14:textId="51C87600" w:rsidR="00E14045" w:rsidRDefault="00E14045" w:rsidP="00055DF3">
      <w:pPr>
        <w:jc w:val="both"/>
        <w:rPr>
          <w:rFonts w:ascii="Barlow" w:hAnsi="Barlow" w:cs="Arial"/>
          <w:b/>
          <w:sz w:val="20"/>
          <w:szCs w:val="20"/>
        </w:rPr>
      </w:pPr>
    </w:p>
    <w:p w14:paraId="2853DE41" w14:textId="14390D35" w:rsidR="0029667A" w:rsidRDefault="006D57F1" w:rsidP="006D57F1">
      <w:pPr>
        <w:jc w:val="both"/>
        <w:rPr>
          <w:rFonts w:ascii="Barlow" w:hAnsi="Barlow" w:cs="Arial"/>
          <w:b/>
          <w:sz w:val="20"/>
          <w:szCs w:val="20"/>
        </w:rPr>
      </w:pPr>
      <w:r w:rsidRPr="006D57F1">
        <w:rPr>
          <w:rFonts w:ascii="Barlow" w:hAnsi="Barlow" w:cs="Arial"/>
          <w:color w:val="000000"/>
          <w:sz w:val="20"/>
          <w:szCs w:val="20"/>
          <w:lang w:eastAsia="es-MX"/>
        </w:rPr>
        <w:t xml:space="preserve">Bajo protesta de decir verdad declaramos que los Estados Financieros y sus Notas son razonablemente correctos y </w:t>
      </w:r>
      <w:r>
        <w:rPr>
          <w:rFonts w:ascii="Barlow" w:hAnsi="Barlow" w:cs="Arial"/>
          <w:color w:val="000000"/>
          <w:sz w:val="20"/>
          <w:szCs w:val="20"/>
          <w:lang w:eastAsia="es-MX"/>
        </w:rPr>
        <w:t xml:space="preserve">son </w:t>
      </w:r>
      <w:r w:rsidRPr="006D57F1">
        <w:rPr>
          <w:rFonts w:ascii="Barlow" w:hAnsi="Barlow" w:cs="Arial"/>
          <w:color w:val="000000"/>
          <w:sz w:val="20"/>
          <w:szCs w:val="20"/>
          <w:lang w:eastAsia="es-MX"/>
        </w:rPr>
        <w:t>responsabilidad del emisor.</w:t>
      </w:r>
    </w:p>
    <w:p w14:paraId="505D5305" w14:textId="2746CD3F" w:rsidR="00F60F50" w:rsidRDefault="00F60F50" w:rsidP="00055DF3">
      <w:pPr>
        <w:jc w:val="both"/>
        <w:rPr>
          <w:rFonts w:ascii="Barlow" w:hAnsi="Barlow" w:cs="Arial"/>
          <w:b/>
          <w:sz w:val="20"/>
          <w:szCs w:val="20"/>
        </w:rPr>
      </w:pPr>
    </w:p>
    <w:p w14:paraId="623CA8F9" w14:textId="77777777" w:rsidR="00F60F50" w:rsidRDefault="00F60F50" w:rsidP="00055DF3">
      <w:pPr>
        <w:jc w:val="both"/>
        <w:rPr>
          <w:rFonts w:ascii="Barlow" w:hAnsi="Barlow" w:cs="Arial"/>
          <w:b/>
          <w:sz w:val="20"/>
          <w:szCs w:val="20"/>
        </w:rPr>
      </w:pPr>
    </w:p>
    <w:p w14:paraId="07AC83B2" w14:textId="01A8CB75" w:rsidR="00E14045" w:rsidRDefault="00E14045" w:rsidP="00055DF3">
      <w:pPr>
        <w:jc w:val="both"/>
        <w:rPr>
          <w:rFonts w:ascii="Barlow" w:hAnsi="Barlow" w:cs="Arial"/>
          <w:b/>
          <w:sz w:val="20"/>
          <w:szCs w:val="20"/>
        </w:rPr>
      </w:pPr>
    </w:p>
    <w:p w14:paraId="71EC44AF" w14:textId="38B4EAFA" w:rsidR="00E14045" w:rsidRDefault="00E14045" w:rsidP="00055DF3">
      <w:pPr>
        <w:jc w:val="both"/>
        <w:rPr>
          <w:rFonts w:ascii="Barlow" w:hAnsi="Barlow" w:cs="Arial"/>
          <w:b/>
          <w:sz w:val="20"/>
          <w:szCs w:val="20"/>
        </w:rPr>
      </w:pPr>
    </w:p>
    <w:p w14:paraId="6861E22B" w14:textId="2E34305D" w:rsidR="00E14045" w:rsidRPr="002353BC" w:rsidRDefault="00E14045" w:rsidP="00055DF3">
      <w:pPr>
        <w:jc w:val="both"/>
        <w:rPr>
          <w:rFonts w:ascii="Barlow" w:hAnsi="Barlow" w:cs="Arial"/>
          <w:b/>
          <w:sz w:val="20"/>
          <w:szCs w:val="20"/>
        </w:rPr>
      </w:pPr>
    </w:p>
    <w:sectPr w:rsidR="00E14045" w:rsidRPr="002353BC" w:rsidSect="006D57F1">
      <w:headerReference w:type="default" r:id="rId8"/>
      <w:footerReference w:type="even" r:id="rId9"/>
      <w:footerReference w:type="default" r:id="rId10"/>
      <w:pgSz w:w="15840" w:h="12240" w:orient="landscape" w:code="1"/>
      <w:pgMar w:top="2835" w:right="1134" w:bottom="1701"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8D0B" w14:textId="77777777" w:rsidR="00771D02" w:rsidRDefault="00771D02" w:rsidP="00DA679B">
      <w:r>
        <w:separator/>
      </w:r>
    </w:p>
  </w:endnote>
  <w:endnote w:type="continuationSeparator" w:id="0">
    <w:p w14:paraId="2F674FA6" w14:textId="77777777" w:rsidR="00771D02" w:rsidRDefault="00771D02"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9295" w14:textId="77777777" w:rsidR="00B655F6" w:rsidRDefault="00B655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01D5F" w14:textId="77777777" w:rsidR="00B655F6" w:rsidRDefault="00B655F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BF69" w14:textId="77777777" w:rsidR="00B655F6" w:rsidRDefault="00B655F6"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C909D" w14:textId="77777777" w:rsidR="00771D02" w:rsidRDefault="00771D02" w:rsidP="00DA679B">
      <w:r>
        <w:separator/>
      </w:r>
    </w:p>
  </w:footnote>
  <w:footnote w:type="continuationSeparator" w:id="0">
    <w:p w14:paraId="765AA7F0" w14:textId="77777777" w:rsidR="00771D02" w:rsidRDefault="00771D02"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193E" w14:textId="77FD432F" w:rsidR="00B655F6" w:rsidRDefault="00B655F6" w:rsidP="00A17B33">
    <w:pPr>
      <w:pStyle w:val="Encabezado"/>
      <w:rPr>
        <w:noProof/>
        <w:lang w:eastAsia="es-MX"/>
      </w:rPr>
    </w:pPr>
    <w:r>
      <w:rPr>
        <w:noProof/>
        <w:lang w:eastAsia="es-MX"/>
      </w:rPr>
      <mc:AlternateContent>
        <mc:Choice Requires="wps">
          <w:drawing>
            <wp:inline distT="0" distB="0" distL="0" distR="0" wp14:anchorId="40008ACE" wp14:editId="6FD9D6B3">
              <wp:extent cx="304800" cy="304800"/>
              <wp:effectExtent l="0" t="0" r="0" b="0"/>
              <wp:docPr id="2" name="AutoShape 2" descr="Gobierno del Estado de Yucat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2F3E8C" id="AutoShape 2" o:spid="_x0000_s1026" alt="Gobierno del Estado de Yucat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KdzW9MGAgAA7AMAAA4AAAAAAAAA&#10;AAAAAAAALgIAAGRycy9lMm9Eb2MueG1sUEsBAi0AFAAGAAgAAAAhAEyg6SzYAAAAAwEAAA8AAAAA&#10;AAAAAAAAAAAAYAQAAGRycy9kb3ducmV2LnhtbFBLBQYAAAAABAAEAPMAAABlBQ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2F81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3C4F1C"/>
    <w:multiLevelType w:val="hybridMultilevel"/>
    <w:tmpl w:val="1B8C1B40"/>
    <w:lvl w:ilvl="0" w:tplc="D25EE2A8">
      <w:start w:val="1"/>
      <w:numFmt w:val="lowerLetter"/>
      <w:lvlText w:val="%1)"/>
      <w:lvlJc w:val="left"/>
      <w:pPr>
        <w:ind w:left="1290" w:hanging="360"/>
      </w:pPr>
      <w:rPr>
        <w:rFonts w:ascii="Barlow" w:eastAsia="Times New Roman" w:hAnsi="Barlow" w:cs="Arial"/>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2"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3"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205C163D"/>
    <w:multiLevelType w:val="hybridMultilevel"/>
    <w:tmpl w:val="DE02A212"/>
    <w:lvl w:ilvl="0" w:tplc="B918410C">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245E60E7"/>
    <w:multiLevelType w:val="hybridMultilevel"/>
    <w:tmpl w:val="4CFA60A2"/>
    <w:lvl w:ilvl="0" w:tplc="8BE0941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8BC6998"/>
    <w:multiLevelType w:val="hybridMultilevel"/>
    <w:tmpl w:val="D4BCCECE"/>
    <w:lvl w:ilvl="0" w:tplc="080A0013">
      <w:start w:val="1"/>
      <w:numFmt w:val="upperRoman"/>
      <w:lvlText w:val="%1."/>
      <w:lvlJc w:val="right"/>
      <w:pPr>
        <w:ind w:left="720" w:hanging="360"/>
      </w:pPr>
    </w:lvl>
    <w:lvl w:ilvl="1" w:tplc="6D20F94A">
      <w:start w:val="1"/>
      <w:numFmt w:val="lowerLetter"/>
      <w:lvlText w:val="%2)"/>
      <w:lvlJc w:val="left"/>
      <w:pPr>
        <w:ind w:left="1515" w:hanging="435"/>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AF20D80"/>
    <w:multiLevelType w:val="hybridMultilevel"/>
    <w:tmpl w:val="61F42A5C"/>
    <w:lvl w:ilvl="0" w:tplc="A1FA68AE">
      <w:start w:val="1"/>
      <w:numFmt w:val="lowerLetter"/>
      <w:lvlText w:val="%1)"/>
      <w:lvlJc w:val="left"/>
      <w:pPr>
        <w:ind w:left="1335" w:hanging="360"/>
      </w:pPr>
      <w:rPr>
        <w:rFonts w:hint="default"/>
      </w:rPr>
    </w:lvl>
    <w:lvl w:ilvl="1" w:tplc="080A0019" w:tentative="1">
      <w:start w:val="1"/>
      <w:numFmt w:val="lowerLetter"/>
      <w:lvlText w:val="%2."/>
      <w:lvlJc w:val="left"/>
      <w:pPr>
        <w:ind w:left="2055" w:hanging="360"/>
      </w:pPr>
    </w:lvl>
    <w:lvl w:ilvl="2" w:tplc="080A001B" w:tentative="1">
      <w:start w:val="1"/>
      <w:numFmt w:val="lowerRoman"/>
      <w:lvlText w:val="%3."/>
      <w:lvlJc w:val="right"/>
      <w:pPr>
        <w:ind w:left="2775" w:hanging="180"/>
      </w:pPr>
    </w:lvl>
    <w:lvl w:ilvl="3" w:tplc="080A000F" w:tentative="1">
      <w:start w:val="1"/>
      <w:numFmt w:val="decimal"/>
      <w:lvlText w:val="%4."/>
      <w:lvlJc w:val="left"/>
      <w:pPr>
        <w:ind w:left="3495" w:hanging="360"/>
      </w:pPr>
    </w:lvl>
    <w:lvl w:ilvl="4" w:tplc="080A0019" w:tentative="1">
      <w:start w:val="1"/>
      <w:numFmt w:val="lowerLetter"/>
      <w:lvlText w:val="%5."/>
      <w:lvlJc w:val="left"/>
      <w:pPr>
        <w:ind w:left="4215" w:hanging="360"/>
      </w:pPr>
    </w:lvl>
    <w:lvl w:ilvl="5" w:tplc="080A001B" w:tentative="1">
      <w:start w:val="1"/>
      <w:numFmt w:val="lowerRoman"/>
      <w:lvlText w:val="%6."/>
      <w:lvlJc w:val="right"/>
      <w:pPr>
        <w:ind w:left="4935" w:hanging="180"/>
      </w:pPr>
    </w:lvl>
    <w:lvl w:ilvl="6" w:tplc="080A000F" w:tentative="1">
      <w:start w:val="1"/>
      <w:numFmt w:val="decimal"/>
      <w:lvlText w:val="%7."/>
      <w:lvlJc w:val="left"/>
      <w:pPr>
        <w:ind w:left="5655" w:hanging="360"/>
      </w:pPr>
    </w:lvl>
    <w:lvl w:ilvl="7" w:tplc="080A0019" w:tentative="1">
      <w:start w:val="1"/>
      <w:numFmt w:val="lowerLetter"/>
      <w:lvlText w:val="%8."/>
      <w:lvlJc w:val="left"/>
      <w:pPr>
        <w:ind w:left="6375" w:hanging="360"/>
      </w:pPr>
    </w:lvl>
    <w:lvl w:ilvl="8" w:tplc="080A001B" w:tentative="1">
      <w:start w:val="1"/>
      <w:numFmt w:val="lowerRoman"/>
      <w:lvlText w:val="%9."/>
      <w:lvlJc w:val="right"/>
      <w:pPr>
        <w:ind w:left="7095" w:hanging="180"/>
      </w:pPr>
    </w:lvl>
  </w:abstractNum>
  <w:abstractNum w:abstractNumId="14" w15:restartNumberingAfterBreak="0">
    <w:nsid w:val="3D7C0A75"/>
    <w:multiLevelType w:val="hybridMultilevel"/>
    <w:tmpl w:val="D18EAF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10"/>
  </w:num>
  <w:num w:numId="4">
    <w:abstractNumId w:val="12"/>
  </w:num>
  <w:num w:numId="5">
    <w:abstractNumId w:val="19"/>
  </w:num>
  <w:num w:numId="6">
    <w:abstractNumId w:val="6"/>
  </w:num>
  <w:num w:numId="7">
    <w:abstractNumId w:val="15"/>
  </w:num>
  <w:num w:numId="8">
    <w:abstractNumId w:val="3"/>
  </w:num>
  <w:num w:numId="9">
    <w:abstractNumId w:val="17"/>
  </w:num>
  <w:num w:numId="10">
    <w:abstractNumId w:val="0"/>
  </w:num>
  <w:num w:numId="11">
    <w:abstractNumId w:val="9"/>
  </w:num>
  <w:num w:numId="12">
    <w:abstractNumId w:val="11"/>
  </w:num>
  <w:num w:numId="13">
    <w:abstractNumId w:val="8"/>
  </w:num>
  <w:num w:numId="14">
    <w:abstractNumId w:val="7"/>
  </w:num>
  <w:num w:numId="15">
    <w:abstractNumId w:val="2"/>
  </w:num>
  <w:num w:numId="16">
    <w:abstractNumId w:val="5"/>
  </w:num>
  <w:num w:numId="17">
    <w:abstractNumId w:val="4"/>
  </w:num>
  <w:num w:numId="18">
    <w:abstractNumId w:val="13"/>
  </w:num>
  <w:num w:numId="19">
    <w:abstractNumId w:val="1"/>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27"/>
    <w:rsid w:val="000002CC"/>
    <w:rsid w:val="00002753"/>
    <w:rsid w:val="00005ABB"/>
    <w:rsid w:val="00005FDB"/>
    <w:rsid w:val="0001378A"/>
    <w:rsid w:val="000144F5"/>
    <w:rsid w:val="0001792B"/>
    <w:rsid w:val="00023829"/>
    <w:rsid w:val="00026DF4"/>
    <w:rsid w:val="00027A31"/>
    <w:rsid w:val="00027B2E"/>
    <w:rsid w:val="00030AFF"/>
    <w:rsid w:val="000317F3"/>
    <w:rsid w:val="00031E20"/>
    <w:rsid w:val="000336F3"/>
    <w:rsid w:val="00034549"/>
    <w:rsid w:val="0003650E"/>
    <w:rsid w:val="00040F2F"/>
    <w:rsid w:val="000456A4"/>
    <w:rsid w:val="000474B9"/>
    <w:rsid w:val="00051110"/>
    <w:rsid w:val="00051C2B"/>
    <w:rsid w:val="00052C47"/>
    <w:rsid w:val="0005461F"/>
    <w:rsid w:val="00055DF3"/>
    <w:rsid w:val="000630C9"/>
    <w:rsid w:val="00064C4F"/>
    <w:rsid w:val="00066595"/>
    <w:rsid w:val="00066A1B"/>
    <w:rsid w:val="00066AE7"/>
    <w:rsid w:val="0007023B"/>
    <w:rsid w:val="000703EF"/>
    <w:rsid w:val="00071FE0"/>
    <w:rsid w:val="00072D13"/>
    <w:rsid w:val="000762B7"/>
    <w:rsid w:val="00080A4F"/>
    <w:rsid w:val="00082456"/>
    <w:rsid w:val="000831D9"/>
    <w:rsid w:val="00084C99"/>
    <w:rsid w:val="00084CEB"/>
    <w:rsid w:val="000850E0"/>
    <w:rsid w:val="00092493"/>
    <w:rsid w:val="00093686"/>
    <w:rsid w:val="0009550F"/>
    <w:rsid w:val="00095FE4"/>
    <w:rsid w:val="00097B1C"/>
    <w:rsid w:val="000A2D6E"/>
    <w:rsid w:val="000A302E"/>
    <w:rsid w:val="000A3FB1"/>
    <w:rsid w:val="000A4E76"/>
    <w:rsid w:val="000B1288"/>
    <w:rsid w:val="000B3057"/>
    <w:rsid w:val="000B3FA0"/>
    <w:rsid w:val="000B5D22"/>
    <w:rsid w:val="000B73EE"/>
    <w:rsid w:val="000C0FBD"/>
    <w:rsid w:val="000C1476"/>
    <w:rsid w:val="000C4554"/>
    <w:rsid w:val="000C4DE4"/>
    <w:rsid w:val="000C4FD0"/>
    <w:rsid w:val="000C6F61"/>
    <w:rsid w:val="000C7FE0"/>
    <w:rsid w:val="000D16E3"/>
    <w:rsid w:val="000D398D"/>
    <w:rsid w:val="000D5A06"/>
    <w:rsid w:val="000D6032"/>
    <w:rsid w:val="000D61D6"/>
    <w:rsid w:val="000E4FB8"/>
    <w:rsid w:val="000F0871"/>
    <w:rsid w:val="000F168D"/>
    <w:rsid w:val="000F1D87"/>
    <w:rsid w:val="000F3FB3"/>
    <w:rsid w:val="000F4594"/>
    <w:rsid w:val="000F6DC4"/>
    <w:rsid w:val="000F7DA5"/>
    <w:rsid w:val="00100D43"/>
    <w:rsid w:val="00100EE3"/>
    <w:rsid w:val="00107174"/>
    <w:rsid w:val="001100EC"/>
    <w:rsid w:val="001105EC"/>
    <w:rsid w:val="00110B2A"/>
    <w:rsid w:val="00111623"/>
    <w:rsid w:val="00112895"/>
    <w:rsid w:val="00112D72"/>
    <w:rsid w:val="001160EF"/>
    <w:rsid w:val="00121131"/>
    <w:rsid w:val="001238F2"/>
    <w:rsid w:val="00125074"/>
    <w:rsid w:val="00126173"/>
    <w:rsid w:val="00131617"/>
    <w:rsid w:val="00132B42"/>
    <w:rsid w:val="00133136"/>
    <w:rsid w:val="00133635"/>
    <w:rsid w:val="001340B5"/>
    <w:rsid w:val="0013531A"/>
    <w:rsid w:val="00135456"/>
    <w:rsid w:val="001410A8"/>
    <w:rsid w:val="001436E6"/>
    <w:rsid w:val="001503EE"/>
    <w:rsid w:val="00153501"/>
    <w:rsid w:val="00155916"/>
    <w:rsid w:val="00155C1B"/>
    <w:rsid w:val="001568DB"/>
    <w:rsid w:val="00164BDE"/>
    <w:rsid w:val="00165EA7"/>
    <w:rsid w:val="00167B72"/>
    <w:rsid w:val="00175A7E"/>
    <w:rsid w:val="0017605A"/>
    <w:rsid w:val="00180B8B"/>
    <w:rsid w:val="00184B9D"/>
    <w:rsid w:val="00185BD6"/>
    <w:rsid w:val="00185FB7"/>
    <w:rsid w:val="00186C9F"/>
    <w:rsid w:val="00190239"/>
    <w:rsid w:val="00190D31"/>
    <w:rsid w:val="001947C2"/>
    <w:rsid w:val="00194BED"/>
    <w:rsid w:val="00196319"/>
    <w:rsid w:val="0019788C"/>
    <w:rsid w:val="00197A46"/>
    <w:rsid w:val="00197B70"/>
    <w:rsid w:val="001A1A31"/>
    <w:rsid w:val="001A4389"/>
    <w:rsid w:val="001A531F"/>
    <w:rsid w:val="001A54DD"/>
    <w:rsid w:val="001A5B59"/>
    <w:rsid w:val="001A6556"/>
    <w:rsid w:val="001B0EFD"/>
    <w:rsid w:val="001B320E"/>
    <w:rsid w:val="001B39C2"/>
    <w:rsid w:val="001B698E"/>
    <w:rsid w:val="001C13B2"/>
    <w:rsid w:val="001C33E3"/>
    <w:rsid w:val="001C3547"/>
    <w:rsid w:val="001C466C"/>
    <w:rsid w:val="001C4822"/>
    <w:rsid w:val="001C4957"/>
    <w:rsid w:val="001C652E"/>
    <w:rsid w:val="001C670D"/>
    <w:rsid w:val="001C6AD4"/>
    <w:rsid w:val="001C7430"/>
    <w:rsid w:val="001C7DB8"/>
    <w:rsid w:val="001D2032"/>
    <w:rsid w:val="001D3924"/>
    <w:rsid w:val="001D4619"/>
    <w:rsid w:val="001D667F"/>
    <w:rsid w:val="001E0215"/>
    <w:rsid w:val="001E03E7"/>
    <w:rsid w:val="001E1596"/>
    <w:rsid w:val="001E2682"/>
    <w:rsid w:val="001E6396"/>
    <w:rsid w:val="001F03E0"/>
    <w:rsid w:val="001F3231"/>
    <w:rsid w:val="001F4885"/>
    <w:rsid w:val="001F6FB9"/>
    <w:rsid w:val="00200CCE"/>
    <w:rsid w:val="002015F6"/>
    <w:rsid w:val="002074BA"/>
    <w:rsid w:val="00211FCA"/>
    <w:rsid w:val="00213453"/>
    <w:rsid w:val="00213CFF"/>
    <w:rsid w:val="00215509"/>
    <w:rsid w:val="00216493"/>
    <w:rsid w:val="00216AF8"/>
    <w:rsid w:val="002172C7"/>
    <w:rsid w:val="00221446"/>
    <w:rsid w:val="00222282"/>
    <w:rsid w:val="00223612"/>
    <w:rsid w:val="00231117"/>
    <w:rsid w:val="00232C44"/>
    <w:rsid w:val="00232EA7"/>
    <w:rsid w:val="00234B5D"/>
    <w:rsid w:val="002353BC"/>
    <w:rsid w:val="002358C5"/>
    <w:rsid w:val="00235FC8"/>
    <w:rsid w:val="0023705C"/>
    <w:rsid w:val="002370C0"/>
    <w:rsid w:val="002370F8"/>
    <w:rsid w:val="00240562"/>
    <w:rsid w:val="00240C3B"/>
    <w:rsid w:val="00244250"/>
    <w:rsid w:val="0024458B"/>
    <w:rsid w:val="00244932"/>
    <w:rsid w:val="002458BE"/>
    <w:rsid w:val="00245CFB"/>
    <w:rsid w:val="00251A08"/>
    <w:rsid w:val="00252F86"/>
    <w:rsid w:val="00253F29"/>
    <w:rsid w:val="00254474"/>
    <w:rsid w:val="00254C60"/>
    <w:rsid w:val="002563E6"/>
    <w:rsid w:val="00264851"/>
    <w:rsid w:val="002679A0"/>
    <w:rsid w:val="00272492"/>
    <w:rsid w:val="002776BE"/>
    <w:rsid w:val="00286070"/>
    <w:rsid w:val="002906E2"/>
    <w:rsid w:val="0029073A"/>
    <w:rsid w:val="0029084C"/>
    <w:rsid w:val="00290ED6"/>
    <w:rsid w:val="00291770"/>
    <w:rsid w:val="00291FBC"/>
    <w:rsid w:val="002920B2"/>
    <w:rsid w:val="002920EE"/>
    <w:rsid w:val="002926DF"/>
    <w:rsid w:val="00293B50"/>
    <w:rsid w:val="002940B3"/>
    <w:rsid w:val="0029667A"/>
    <w:rsid w:val="002968DF"/>
    <w:rsid w:val="00297366"/>
    <w:rsid w:val="002A0A76"/>
    <w:rsid w:val="002A4571"/>
    <w:rsid w:val="002A6A34"/>
    <w:rsid w:val="002B3407"/>
    <w:rsid w:val="002B4C8F"/>
    <w:rsid w:val="002C1A37"/>
    <w:rsid w:val="002C2D08"/>
    <w:rsid w:val="002C663F"/>
    <w:rsid w:val="002D1B96"/>
    <w:rsid w:val="002D3464"/>
    <w:rsid w:val="002D4328"/>
    <w:rsid w:val="002D4AD6"/>
    <w:rsid w:val="002D4F5A"/>
    <w:rsid w:val="002D7C5C"/>
    <w:rsid w:val="002E6169"/>
    <w:rsid w:val="002F14F7"/>
    <w:rsid w:val="002F414C"/>
    <w:rsid w:val="002F58BA"/>
    <w:rsid w:val="002F63A8"/>
    <w:rsid w:val="00301618"/>
    <w:rsid w:val="00302965"/>
    <w:rsid w:val="00307F50"/>
    <w:rsid w:val="003105B5"/>
    <w:rsid w:val="00314C97"/>
    <w:rsid w:val="003153C1"/>
    <w:rsid w:val="00316546"/>
    <w:rsid w:val="00320AB1"/>
    <w:rsid w:val="00324920"/>
    <w:rsid w:val="00324DAC"/>
    <w:rsid w:val="00326025"/>
    <w:rsid w:val="003271C9"/>
    <w:rsid w:val="00327A0E"/>
    <w:rsid w:val="003301EC"/>
    <w:rsid w:val="00331938"/>
    <w:rsid w:val="00335386"/>
    <w:rsid w:val="00335CAE"/>
    <w:rsid w:val="003409D0"/>
    <w:rsid w:val="00340E9A"/>
    <w:rsid w:val="00340EF9"/>
    <w:rsid w:val="0034103B"/>
    <w:rsid w:val="003422C6"/>
    <w:rsid w:val="0034445C"/>
    <w:rsid w:val="003510A3"/>
    <w:rsid w:val="00352187"/>
    <w:rsid w:val="0035316C"/>
    <w:rsid w:val="0035580E"/>
    <w:rsid w:val="00356BCA"/>
    <w:rsid w:val="003571A1"/>
    <w:rsid w:val="0035767A"/>
    <w:rsid w:val="00357B82"/>
    <w:rsid w:val="0036136E"/>
    <w:rsid w:val="00365030"/>
    <w:rsid w:val="003661A9"/>
    <w:rsid w:val="00366BDC"/>
    <w:rsid w:val="0037046D"/>
    <w:rsid w:val="00370D38"/>
    <w:rsid w:val="00373189"/>
    <w:rsid w:val="00373A1D"/>
    <w:rsid w:val="00374219"/>
    <w:rsid w:val="003756FA"/>
    <w:rsid w:val="00377B00"/>
    <w:rsid w:val="00381BCE"/>
    <w:rsid w:val="0038524F"/>
    <w:rsid w:val="00386B2C"/>
    <w:rsid w:val="00387981"/>
    <w:rsid w:val="00391686"/>
    <w:rsid w:val="003931EB"/>
    <w:rsid w:val="00393663"/>
    <w:rsid w:val="003947A5"/>
    <w:rsid w:val="00395941"/>
    <w:rsid w:val="00397A3F"/>
    <w:rsid w:val="003A14C2"/>
    <w:rsid w:val="003A2D4F"/>
    <w:rsid w:val="003A6427"/>
    <w:rsid w:val="003A7680"/>
    <w:rsid w:val="003B1778"/>
    <w:rsid w:val="003B3712"/>
    <w:rsid w:val="003B5D3C"/>
    <w:rsid w:val="003B6D1B"/>
    <w:rsid w:val="003C4116"/>
    <w:rsid w:val="003C4423"/>
    <w:rsid w:val="003C4B3E"/>
    <w:rsid w:val="003C4DC6"/>
    <w:rsid w:val="003C64F3"/>
    <w:rsid w:val="003C6FD8"/>
    <w:rsid w:val="003D7C6A"/>
    <w:rsid w:val="003E1F3D"/>
    <w:rsid w:val="003E3F5B"/>
    <w:rsid w:val="003E4E9A"/>
    <w:rsid w:val="003E65BE"/>
    <w:rsid w:val="003E7911"/>
    <w:rsid w:val="003F3C90"/>
    <w:rsid w:val="003F40BF"/>
    <w:rsid w:val="003F6A80"/>
    <w:rsid w:val="003F7175"/>
    <w:rsid w:val="00401362"/>
    <w:rsid w:val="0040153B"/>
    <w:rsid w:val="00401FD4"/>
    <w:rsid w:val="00406218"/>
    <w:rsid w:val="00407C63"/>
    <w:rsid w:val="00410528"/>
    <w:rsid w:val="00410FA1"/>
    <w:rsid w:val="0041166D"/>
    <w:rsid w:val="00412E0B"/>
    <w:rsid w:val="00415C59"/>
    <w:rsid w:val="00422075"/>
    <w:rsid w:val="00422E7E"/>
    <w:rsid w:val="00425215"/>
    <w:rsid w:val="00433460"/>
    <w:rsid w:val="0043560D"/>
    <w:rsid w:val="004361C1"/>
    <w:rsid w:val="00441E7D"/>
    <w:rsid w:val="00443738"/>
    <w:rsid w:val="004441FA"/>
    <w:rsid w:val="00452397"/>
    <w:rsid w:val="00453B11"/>
    <w:rsid w:val="00454BA9"/>
    <w:rsid w:val="00455288"/>
    <w:rsid w:val="00456046"/>
    <w:rsid w:val="004577A3"/>
    <w:rsid w:val="00467119"/>
    <w:rsid w:val="00467B84"/>
    <w:rsid w:val="00470D54"/>
    <w:rsid w:val="00471F27"/>
    <w:rsid w:val="004740D5"/>
    <w:rsid w:val="0047465B"/>
    <w:rsid w:val="00475060"/>
    <w:rsid w:val="00475BB6"/>
    <w:rsid w:val="00477739"/>
    <w:rsid w:val="00481155"/>
    <w:rsid w:val="00481B90"/>
    <w:rsid w:val="00482B0C"/>
    <w:rsid w:val="00482C33"/>
    <w:rsid w:val="004832E5"/>
    <w:rsid w:val="0048331C"/>
    <w:rsid w:val="004855A0"/>
    <w:rsid w:val="00490849"/>
    <w:rsid w:val="00490DBF"/>
    <w:rsid w:val="004979C6"/>
    <w:rsid w:val="004A465A"/>
    <w:rsid w:val="004A498C"/>
    <w:rsid w:val="004A6026"/>
    <w:rsid w:val="004A685F"/>
    <w:rsid w:val="004A6C7E"/>
    <w:rsid w:val="004B0334"/>
    <w:rsid w:val="004B6928"/>
    <w:rsid w:val="004B711C"/>
    <w:rsid w:val="004C012E"/>
    <w:rsid w:val="004C17C7"/>
    <w:rsid w:val="004C1F8A"/>
    <w:rsid w:val="004D258E"/>
    <w:rsid w:val="004D45C9"/>
    <w:rsid w:val="004E2742"/>
    <w:rsid w:val="004E76FD"/>
    <w:rsid w:val="004E7F0F"/>
    <w:rsid w:val="004F1940"/>
    <w:rsid w:val="004F1957"/>
    <w:rsid w:val="004F22A7"/>
    <w:rsid w:val="004F40D4"/>
    <w:rsid w:val="005014F3"/>
    <w:rsid w:val="00501D97"/>
    <w:rsid w:val="00504130"/>
    <w:rsid w:val="005050D4"/>
    <w:rsid w:val="005108BB"/>
    <w:rsid w:val="00512057"/>
    <w:rsid w:val="00512E42"/>
    <w:rsid w:val="00520BAB"/>
    <w:rsid w:val="00521696"/>
    <w:rsid w:val="00522850"/>
    <w:rsid w:val="00523088"/>
    <w:rsid w:val="00523DAA"/>
    <w:rsid w:val="00524569"/>
    <w:rsid w:val="00524779"/>
    <w:rsid w:val="00524E82"/>
    <w:rsid w:val="00526740"/>
    <w:rsid w:val="005268B4"/>
    <w:rsid w:val="00532252"/>
    <w:rsid w:val="00534B00"/>
    <w:rsid w:val="005351F8"/>
    <w:rsid w:val="00535C44"/>
    <w:rsid w:val="00543730"/>
    <w:rsid w:val="00544A47"/>
    <w:rsid w:val="00546656"/>
    <w:rsid w:val="00550847"/>
    <w:rsid w:val="005512E6"/>
    <w:rsid w:val="00553EFC"/>
    <w:rsid w:val="00556031"/>
    <w:rsid w:val="00557A5E"/>
    <w:rsid w:val="005656E3"/>
    <w:rsid w:val="00565897"/>
    <w:rsid w:val="00571014"/>
    <w:rsid w:val="005720ED"/>
    <w:rsid w:val="00574443"/>
    <w:rsid w:val="00575261"/>
    <w:rsid w:val="005758D5"/>
    <w:rsid w:val="00577786"/>
    <w:rsid w:val="00582E45"/>
    <w:rsid w:val="0058376F"/>
    <w:rsid w:val="00585774"/>
    <w:rsid w:val="005868D9"/>
    <w:rsid w:val="00591CE1"/>
    <w:rsid w:val="00591E1C"/>
    <w:rsid w:val="00593E51"/>
    <w:rsid w:val="00594BAD"/>
    <w:rsid w:val="005977D6"/>
    <w:rsid w:val="005A0960"/>
    <w:rsid w:val="005A13AD"/>
    <w:rsid w:val="005A2D1D"/>
    <w:rsid w:val="005A3DE1"/>
    <w:rsid w:val="005A4A75"/>
    <w:rsid w:val="005B002D"/>
    <w:rsid w:val="005B0155"/>
    <w:rsid w:val="005B439A"/>
    <w:rsid w:val="005B6A4E"/>
    <w:rsid w:val="005C534E"/>
    <w:rsid w:val="005C6B9D"/>
    <w:rsid w:val="005D08F2"/>
    <w:rsid w:val="005D147D"/>
    <w:rsid w:val="005D39CB"/>
    <w:rsid w:val="005D49FD"/>
    <w:rsid w:val="005D6501"/>
    <w:rsid w:val="005E1803"/>
    <w:rsid w:val="005F03BA"/>
    <w:rsid w:val="005F2C60"/>
    <w:rsid w:val="005F3621"/>
    <w:rsid w:val="005F3725"/>
    <w:rsid w:val="005F4581"/>
    <w:rsid w:val="00600CF0"/>
    <w:rsid w:val="00600D6F"/>
    <w:rsid w:val="006038CC"/>
    <w:rsid w:val="006074F1"/>
    <w:rsid w:val="00612F59"/>
    <w:rsid w:val="00613686"/>
    <w:rsid w:val="0061389D"/>
    <w:rsid w:val="0062340E"/>
    <w:rsid w:val="00624D47"/>
    <w:rsid w:val="00627601"/>
    <w:rsid w:val="00630657"/>
    <w:rsid w:val="006308A5"/>
    <w:rsid w:val="00630DA9"/>
    <w:rsid w:val="006327B7"/>
    <w:rsid w:val="006329D5"/>
    <w:rsid w:val="006370E9"/>
    <w:rsid w:val="00637120"/>
    <w:rsid w:val="006379D1"/>
    <w:rsid w:val="0064058E"/>
    <w:rsid w:val="00641E52"/>
    <w:rsid w:val="00644E8A"/>
    <w:rsid w:val="00646BA4"/>
    <w:rsid w:val="00654B65"/>
    <w:rsid w:val="006577D7"/>
    <w:rsid w:val="00661ABD"/>
    <w:rsid w:val="00662428"/>
    <w:rsid w:val="00663976"/>
    <w:rsid w:val="006676BC"/>
    <w:rsid w:val="00667B60"/>
    <w:rsid w:val="00670145"/>
    <w:rsid w:val="006720EF"/>
    <w:rsid w:val="00672CB0"/>
    <w:rsid w:val="00672DFF"/>
    <w:rsid w:val="00673B01"/>
    <w:rsid w:val="0067540B"/>
    <w:rsid w:val="0067650C"/>
    <w:rsid w:val="00677702"/>
    <w:rsid w:val="00677ECB"/>
    <w:rsid w:val="006801C0"/>
    <w:rsid w:val="00681540"/>
    <w:rsid w:val="00685944"/>
    <w:rsid w:val="00685A6F"/>
    <w:rsid w:val="006863C9"/>
    <w:rsid w:val="006869C9"/>
    <w:rsid w:val="006872FD"/>
    <w:rsid w:val="00691041"/>
    <w:rsid w:val="00695A38"/>
    <w:rsid w:val="006967F4"/>
    <w:rsid w:val="006968E3"/>
    <w:rsid w:val="006A0BB0"/>
    <w:rsid w:val="006A24E2"/>
    <w:rsid w:val="006A26B5"/>
    <w:rsid w:val="006A5082"/>
    <w:rsid w:val="006A6D32"/>
    <w:rsid w:val="006A7E4A"/>
    <w:rsid w:val="006B117A"/>
    <w:rsid w:val="006B248C"/>
    <w:rsid w:val="006B40AD"/>
    <w:rsid w:val="006B65F8"/>
    <w:rsid w:val="006B77E6"/>
    <w:rsid w:val="006C4D57"/>
    <w:rsid w:val="006C591C"/>
    <w:rsid w:val="006C6391"/>
    <w:rsid w:val="006C73FB"/>
    <w:rsid w:val="006D0B6C"/>
    <w:rsid w:val="006D57F1"/>
    <w:rsid w:val="006D5820"/>
    <w:rsid w:val="006D5ABF"/>
    <w:rsid w:val="006E1089"/>
    <w:rsid w:val="006E11E0"/>
    <w:rsid w:val="006E3356"/>
    <w:rsid w:val="006E7C6F"/>
    <w:rsid w:val="006F0767"/>
    <w:rsid w:val="006F3B1E"/>
    <w:rsid w:val="006F452C"/>
    <w:rsid w:val="006F6D52"/>
    <w:rsid w:val="006F732B"/>
    <w:rsid w:val="00700A04"/>
    <w:rsid w:val="00704748"/>
    <w:rsid w:val="00704DEB"/>
    <w:rsid w:val="00705583"/>
    <w:rsid w:val="00706E8B"/>
    <w:rsid w:val="0071143C"/>
    <w:rsid w:val="00712FA5"/>
    <w:rsid w:val="00713AF8"/>
    <w:rsid w:val="007216B9"/>
    <w:rsid w:val="0072194E"/>
    <w:rsid w:val="00721A11"/>
    <w:rsid w:val="00723D9B"/>
    <w:rsid w:val="00725A48"/>
    <w:rsid w:val="007272F7"/>
    <w:rsid w:val="007279C6"/>
    <w:rsid w:val="00731788"/>
    <w:rsid w:val="007321A5"/>
    <w:rsid w:val="007323B1"/>
    <w:rsid w:val="00733A68"/>
    <w:rsid w:val="007345D7"/>
    <w:rsid w:val="007401F7"/>
    <w:rsid w:val="00740634"/>
    <w:rsid w:val="007411D4"/>
    <w:rsid w:val="007415C4"/>
    <w:rsid w:val="0074453A"/>
    <w:rsid w:val="00744C38"/>
    <w:rsid w:val="00747E1C"/>
    <w:rsid w:val="007500A6"/>
    <w:rsid w:val="00754336"/>
    <w:rsid w:val="007601BE"/>
    <w:rsid w:val="00761A86"/>
    <w:rsid w:val="00764771"/>
    <w:rsid w:val="00767340"/>
    <w:rsid w:val="00771D02"/>
    <w:rsid w:val="00773172"/>
    <w:rsid w:val="00773C5F"/>
    <w:rsid w:val="007747F0"/>
    <w:rsid w:val="00775193"/>
    <w:rsid w:val="00780474"/>
    <w:rsid w:val="00780833"/>
    <w:rsid w:val="00780E6A"/>
    <w:rsid w:val="007811C5"/>
    <w:rsid w:val="007814DC"/>
    <w:rsid w:val="00785D65"/>
    <w:rsid w:val="00786CE1"/>
    <w:rsid w:val="00790F0E"/>
    <w:rsid w:val="00792D2B"/>
    <w:rsid w:val="00794864"/>
    <w:rsid w:val="00795C99"/>
    <w:rsid w:val="00796391"/>
    <w:rsid w:val="0079690A"/>
    <w:rsid w:val="007A230C"/>
    <w:rsid w:val="007A2EB6"/>
    <w:rsid w:val="007A3861"/>
    <w:rsid w:val="007A3D91"/>
    <w:rsid w:val="007A4722"/>
    <w:rsid w:val="007A4E92"/>
    <w:rsid w:val="007A52AE"/>
    <w:rsid w:val="007A593E"/>
    <w:rsid w:val="007A643E"/>
    <w:rsid w:val="007A7DD6"/>
    <w:rsid w:val="007B28E8"/>
    <w:rsid w:val="007C3FB5"/>
    <w:rsid w:val="007C48C0"/>
    <w:rsid w:val="007C5B18"/>
    <w:rsid w:val="007C6790"/>
    <w:rsid w:val="007C789A"/>
    <w:rsid w:val="007D06F0"/>
    <w:rsid w:val="007D10F9"/>
    <w:rsid w:val="007D1F7D"/>
    <w:rsid w:val="007D378F"/>
    <w:rsid w:val="007D65BE"/>
    <w:rsid w:val="007E2498"/>
    <w:rsid w:val="007E5CED"/>
    <w:rsid w:val="007E77DA"/>
    <w:rsid w:val="007E7FA6"/>
    <w:rsid w:val="007F1062"/>
    <w:rsid w:val="007F1C9E"/>
    <w:rsid w:val="007F2B5F"/>
    <w:rsid w:val="007F3941"/>
    <w:rsid w:val="007F6B98"/>
    <w:rsid w:val="0080077B"/>
    <w:rsid w:val="00800CA6"/>
    <w:rsid w:val="008027BD"/>
    <w:rsid w:val="00805C19"/>
    <w:rsid w:val="00812110"/>
    <w:rsid w:val="0081278B"/>
    <w:rsid w:val="00813F2E"/>
    <w:rsid w:val="00817680"/>
    <w:rsid w:val="00821208"/>
    <w:rsid w:val="00824CA5"/>
    <w:rsid w:val="00824D12"/>
    <w:rsid w:val="008273DF"/>
    <w:rsid w:val="008353C7"/>
    <w:rsid w:val="0083707A"/>
    <w:rsid w:val="00840E07"/>
    <w:rsid w:val="00842987"/>
    <w:rsid w:val="00845E6E"/>
    <w:rsid w:val="0084764A"/>
    <w:rsid w:val="00847F46"/>
    <w:rsid w:val="00852797"/>
    <w:rsid w:val="00856C65"/>
    <w:rsid w:val="00856D99"/>
    <w:rsid w:val="0086191D"/>
    <w:rsid w:val="008637E7"/>
    <w:rsid w:val="008640D2"/>
    <w:rsid w:val="00865017"/>
    <w:rsid w:val="008662C2"/>
    <w:rsid w:val="00867C4E"/>
    <w:rsid w:val="0087145A"/>
    <w:rsid w:val="00872E71"/>
    <w:rsid w:val="008744B8"/>
    <w:rsid w:val="00876308"/>
    <w:rsid w:val="00880C46"/>
    <w:rsid w:val="00884C3A"/>
    <w:rsid w:val="00886595"/>
    <w:rsid w:val="00893DBC"/>
    <w:rsid w:val="008942F0"/>
    <w:rsid w:val="008943E3"/>
    <w:rsid w:val="008976C7"/>
    <w:rsid w:val="00897CF9"/>
    <w:rsid w:val="008A0458"/>
    <w:rsid w:val="008A19B7"/>
    <w:rsid w:val="008A1FA7"/>
    <w:rsid w:val="008A304E"/>
    <w:rsid w:val="008A43B1"/>
    <w:rsid w:val="008A76C8"/>
    <w:rsid w:val="008A7729"/>
    <w:rsid w:val="008B0770"/>
    <w:rsid w:val="008B16BF"/>
    <w:rsid w:val="008B1A84"/>
    <w:rsid w:val="008B4629"/>
    <w:rsid w:val="008B6E6D"/>
    <w:rsid w:val="008C30DE"/>
    <w:rsid w:val="008C34D3"/>
    <w:rsid w:val="008C4C70"/>
    <w:rsid w:val="008C74C7"/>
    <w:rsid w:val="008C7BD2"/>
    <w:rsid w:val="008D406C"/>
    <w:rsid w:val="008D4684"/>
    <w:rsid w:val="008D4C67"/>
    <w:rsid w:val="008D5EE2"/>
    <w:rsid w:val="008D6B28"/>
    <w:rsid w:val="008D7408"/>
    <w:rsid w:val="008E456C"/>
    <w:rsid w:val="008E48E4"/>
    <w:rsid w:val="008E6D8A"/>
    <w:rsid w:val="008F0C0F"/>
    <w:rsid w:val="008F4971"/>
    <w:rsid w:val="008F6E97"/>
    <w:rsid w:val="009011D7"/>
    <w:rsid w:val="0090276E"/>
    <w:rsid w:val="009046ED"/>
    <w:rsid w:val="00904C57"/>
    <w:rsid w:val="00905857"/>
    <w:rsid w:val="00905912"/>
    <w:rsid w:val="00907C42"/>
    <w:rsid w:val="00910150"/>
    <w:rsid w:val="00910306"/>
    <w:rsid w:val="0091235D"/>
    <w:rsid w:val="00914DAB"/>
    <w:rsid w:val="0091567C"/>
    <w:rsid w:val="00915960"/>
    <w:rsid w:val="00916B24"/>
    <w:rsid w:val="009266D7"/>
    <w:rsid w:val="00933889"/>
    <w:rsid w:val="0093585E"/>
    <w:rsid w:val="0094498C"/>
    <w:rsid w:val="00944CAE"/>
    <w:rsid w:val="00944EAC"/>
    <w:rsid w:val="00945B9F"/>
    <w:rsid w:val="00946A14"/>
    <w:rsid w:val="00950DBE"/>
    <w:rsid w:val="00951D08"/>
    <w:rsid w:val="0096174F"/>
    <w:rsid w:val="00961879"/>
    <w:rsid w:val="00962E2B"/>
    <w:rsid w:val="0096470C"/>
    <w:rsid w:val="00964F32"/>
    <w:rsid w:val="009657A2"/>
    <w:rsid w:val="00965E6D"/>
    <w:rsid w:val="00972B9D"/>
    <w:rsid w:val="00973C4A"/>
    <w:rsid w:val="00976DA4"/>
    <w:rsid w:val="00977FD7"/>
    <w:rsid w:val="0098050B"/>
    <w:rsid w:val="00984751"/>
    <w:rsid w:val="00986F2D"/>
    <w:rsid w:val="00990045"/>
    <w:rsid w:val="009902A8"/>
    <w:rsid w:val="009A1145"/>
    <w:rsid w:val="009A3BAB"/>
    <w:rsid w:val="009B25EF"/>
    <w:rsid w:val="009B5AF8"/>
    <w:rsid w:val="009B7816"/>
    <w:rsid w:val="009C0869"/>
    <w:rsid w:val="009C3FBD"/>
    <w:rsid w:val="009C3FC5"/>
    <w:rsid w:val="009C4025"/>
    <w:rsid w:val="009C4317"/>
    <w:rsid w:val="009C4513"/>
    <w:rsid w:val="009C5023"/>
    <w:rsid w:val="009C6E2D"/>
    <w:rsid w:val="009C77EE"/>
    <w:rsid w:val="009D3345"/>
    <w:rsid w:val="009E3421"/>
    <w:rsid w:val="009E426A"/>
    <w:rsid w:val="009E6426"/>
    <w:rsid w:val="009E6E37"/>
    <w:rsid w:val="009F0440"/>
    <w:rsid w:val="009F176D"/>
    <w:rsid w:val="009F268A"/>
    <w:rsid w:val="009F4EC7"/>
    <w:rsid w:val="009F79D5"/>
    <w:rsid w:val="00A0053F"/>
    <w:rsid w:val="00A01402"/>
    <w:rsid w:val="00A01697"/>
    <w:rsid w:val="00A025E5"/>
    <w:rsid w:val="00A05752"/>
    <w:rsid w:val="00A05D19"/>
    <w:rsid w:val="00A167FD"/>
    <w:rsid w:val="00A17B33"/>
    <w:rsid w:val="00A20628"/>
    <w:rsid w:val="00A20F8D"/>
    <w:rsid w:val="00A21908"/>
    <w:rsid w:val="00A22DB6"/>
    <w:rsid w:val="00A24147"/>
    <w:rsid w:val="00A24E55"/>
    <w:rsid w:val="00A2648E"/>
    <w:rsid w:val="00A31A81"/>
    <w:rsid w:val="00A33168"/>
    <w:rsid w:val="00A34A65"/>
    <w:rsid w:val="00A43BCF"/>
    <w:rsid w:val="00A52367"/>
    <w:rsid w:val="00A52BF9"/>
    <w:rsid w:val="00A537B4"/>
    <w:rsid w:val="00A54DFF"/>
    <w:rsid w:val="00A563A1"/>
    <w:rsid w:val="00A573B9"/>
    <w:rsid w:val="00A61BA8"/>
    <w:rsid w:val="00A658F8"/>
    <w:rsid w:val="00A65A76"/>
    <w:rsid w:val="00A65CCA"/>
    <w:rsid w:val="00A65D9F"/>
    <w:rsid w:val="00A67FAE"/>
    <w:rsid w:val="00A70892"/>
    <w:rsid w:val="00A71585"/>
    <w:rsid w:val="00A7574C"/>
    <w:rsid w:val="00A75EF4"/>
    <w:rsid w:val="00A773A2"/>
    <w:rsid w:val="00A77C6D"/>
    <w:rsid w:val="00A92141"/>
    <w:rsid w:val="00A92B97"/>
    <w:rsid w:val="00A9325D"/>
    <w:rsid w:val="00A935CB"/>
    <w:rsid w:val="00A95564"/>
    <w:rsid w:val="00AA5235"/>
    <w:rsid w:val="00AA55FA"/>
    <w:rsid w:val="00AA7614"/>
    <w:rsid w:val="00AA76DF"/>
    <w:rsid w:val="00AA7F21"/>
    <w:rsid w:val="00AB0980"/>
    <w:rsid w:val="00AC043B"/>
    <w:rsid w:val="00AC07F7"/>
    <w:rsid w:val="00AC09D0"/>
    <w:rsid w:val="00AC1C07"/>
    <w:rsid w:val="00AC2181"/>
    <w:rsid w:val="00AC623C"/>
    <w:rsid w:val="00AD04E7"/>
    <w:rsid w:val="00AD1320"/>
    <w:rsid w:val="00AD20A2"/>
    <w:rsid w:val="00AD2263"/>
    <w:rsid w:val="00AD3205"/>
    <w:rsid w:val="00AD45FC"/>
    <w:rsid w:val="00AD6A6F"/>
    <w:rsid w:val="00AD6EB8"/>
    <w:rsid w:val="00AD76D1"/>
    <w:rsid w:val="00AD7B8E"/>
    <w:rsid w:val="00AE526A"/>
    <w:rsid w:val="00AE5989"/>
    <w:rsid w:val="00AE71EA"/>
    <w:rsid w:val="00AF0D82"/>
    <w:rsid w:val="00AF3A61"/>
    <w:rsid w:val="00AF47B8"/>
    <w:rsid w:val="00B01A6B"/>
    <w:rsid w:val="00B02F14"/>
    <w:rsid w:val="00B07CFD"/>
    <w:rsid w:val="00B10223"/>
    <w:rsid w:val="00B13C1B"/>
    <w:rsid w:val="00B14A7C"/>
    <w:rsid w:val="00B14AFC"/>
    <w:rsid w:val="00B16531"/>
    <w:rsid w:val="00B20F77"/>
    <w:rsid w:val="00B212B8"/>
    <w:rsid w:val="00B26976"/>
    <w:rsid w:val="00B27303"/>
    <w:rsid w:val="00B274C2"/>
    <w:rsid w:val="00B3580A"/>
    <w:rsid w:val="00B36F69"/>
    <w:rsid w:val="00B37732"/>
    <w:rsid w:val="00B42A2F"/>
    <w:rsid w:val="00B43200"/>
    <w:rsid w:val="00B44AEE"/>
    <w:rsid w:val="00B46B48"/>
    <w:rsid w:val="00B47192"/>
    <w:rsid w:val="00B50EC8"/>
    <w:rsid w:val="00B5499E"/>
    <w:rsid w:val="00B5544F"/>
    <w:rsid w:val="00B60C85"/>
    <w:rsid w:val="00B60CBF"/>
    <w:rsid w:val="00B61896"/>
    <w:rsid w:val="00B63533"/>
    <w:rsid w:val="00B6442D"/>
    <w:rsid w:val="00B6486A"/>
    <w:rsid w:val="00B65305"/>
    <w:rsid w:val="00B655F6"/>
    <w:rsid w:val="00B67075"/>
    <w:rsid w:val="00B71F24"/>
    <w:rsid w:val="00B73C42"/>
    <w:rsid w:val="00B743EF"/>
    <w:rsid w:val="00B7450B"/>
    <w:rsid w:val="00B76817"/>
    <w:rsid w:val="00B76E69"/>
    <w:rsid w:val="00B8021D"/>
    <w:rsid w:val="00B8044E"/>
    <w:rsid w:val="00B81BA7"/>
    <w:rsid w:val="00B81E09"/>
    <w:rsid w:val="00B83254"/>
    <w:rsid w:val="00B83BCB"/>
    <w:rsid w:val="00B844AF"/>
    <w:rsid w:val="00B85591"/>
    <w:rsid w:val="00B91E5E"/>
    <w:rsid w:val="00B93FA0"/>
    <w:rsid w:val="00B95FDB"/>
    <w:rsid w:val="00BA41AE"/>
    <w:rsid w:val="00BA568D"/>
    <w:rsid w:val="00BA573A"/>
    <w:rsid w:val="00BA6327"/>
    <w:rsid w:val="00BA6774"/>
    <w:rsid w:val="00BA6EC9"/>
    <w:rsid w:val="00BB0477"/>
    <w:rsid w:val="00BB42BE"/>
    <w:rsid w:val="00BB50EC"/>
    <w:rsid w:val="00BB54F9"/>
    <w:rsid w:val="00BB67B3"/>
    <w:rsid w:val="00BB6C2E"/>
    <w:rsid w:val="00BC4311"/>
    <w:rsid w:val="00BC523F"/>
    <w:rsid w:val="00BC52B9"/>
    <w:rsid w:val="00BC6C2B"/>
    <w:rsid w:val="00BD3D3D"/>
    <w:rsid w:val="00BD63EC"/>
    <w:rsid w:val="00BE03B2"/>
    <w:rsid w:val="00BE4BE2"/>
    <w:rsid w:val="00BE7D6E"/>
    <w:rsid w:val="00BF1A1B"/>
    <w:rsid w:val="00BF1F48"/>
    <w:rsid w:val="00BF33E6"/>
    <w:rsid w:val="00BF458F"/>
    <w:rsid w:val="00BF5926"/>
    <w:rsid w:val="00BF6106"/>
    <w:rsid w:val="00BF6CAF"/>
    <w:rsid w:val="00C1115B"/>
    <w:rsid w:val="00C11C39"/>
    <w:rsid w:val="00C1329B"/>
    <w:rsid w:val="00C16031"/>
    <w:rsid w:val="00C24743"/>
    <w:rsid w:val="00C24CE5"/>
    <w:rsid w:val="00C2581B"/>
    <w:rsid w:val="00C3082A"/>
    <w:rsid w:val="00C3122D"/>
    <w:rsid w:val="00C32746"/>
    <w:rsid w:val="00C32F12"/>
    <w:rsid w:val="00C34939"/>
    <w:rsid w:val="00C36F7F"/>
    <w:rsid w:val="00C4072B"/>
    <w:rsid w:val="00C40954"/>
    <w:rsid w:val="00C4137E"/>
    <w:rsid w:val="00C4584A"/>
    <w:rsid w:val="00C46887"/>
    <w:rsid w:val="00C508F5"/>
    <w:rsid w:val="00C509FF"/>
    <w:rsid w:val="00C524FC"/>
    <w:rsid w:val="00C5714A"/>
    <w:rsid w:val="00C6065E"/>
    <w:rsid w:val="00C62654"/>
    <w:rsid w:val="00C626B0"/>
    <w:rsid w:val="00C6387F"/>
    <w:rsid w:val="00C63E54"/>
    <w:rsid w:val="00C80285"/>
    <w:rsid w:val="00C806E7"/>
    <w:rsid w:val="00C81D32"/>
    <w:rsid w:val="00C8213B"/>
    <w:rsid w:val="00C850B8"/>
    <w:rsid w:val="00C86740"/>
    <w:rsid w:val="00C90A6E"/>
    <w:rsid w:val="00C91D4B"/>
    <w:rsid w:val="00C955D7"/>
    <w:rsid w:val="00C97ECC"/>
    <w:rsid w:val="00CA11D5"/>
    <w:rsid w:val="00CA1A19"/>
    <w:rsid w:val="00CA36B1"/>
    <w:rsid w:val="00CA4B74"/>
    <w:rsid w:val="00CA74DE"/>
    <w:rsid w:val="00CA7800"/>
    <w:rsid w:val="00CB7579"/>
    <w:rsid w:val="00CB7825"/>
    <w:rsid w:val="00CB7917"/>
    <w:rsid w:val="00CC1A8D"/>
    <w:rsid w:val="00CC1D7E"/>
    <w:rsid w:val="00CC3AF1"/>
    <w:rsid w:val="00CC4371"/>
    <w:rsid w:val="00CC4B35"/>
    <w:rsid w:val="00CD30AC"/>
    <w:rsid w:val="00CE0060"/>
    <w:rsid w:val="00CE30E1"/>
    <w:rsid w:val="00CE3CA5"/>
    <w:rsid w:val="00CE641D"/>
    <w:rsid w:val="00CE7655"/>
    <w:rsid w:val="00CF2C9A"/>
    <w:rsid w:val="00CF41DF"/>
    <w:rsid w:val="00CF5765"/>
    <w:rsid w:val="00CF5EFE"/>
    <w:rsid w:val="00CF6FAB"/>
    <w:rsid w:val="00D01079"/>
    <w:rsid w:val="00D0139D"/>
    <w:rsid w:val="00D01A42"/>
    <w:rsid w:val="00D06563"/>
    <w:rsid w:val="00D1317A"/>
    <w:rsid w:val="00D14E43"/>
    <w:rsid w:val="00D14F4C"/>
    <w:rsid w:val="00D20015"/>
    <w:rsid w:val="00D252DC"/>
    <w:rsid w:val="00D258C6"/>
    <w:rsid w:val="00D25B57"/>
    <w:rsid w:val="00D265A1"/>
    <w:rsid w:val="00D30E1D"/>
    <w:rsid w:val="00D32281"/>
    <w:rsid w:val="00D35180"/>
    <w:rsid w:val="00D36264"/>
    <w:rsid w:val="00D363B5"/>
    <w:rsid w:val="00D363C8"/>
    <w:rsid w:val="00D36F2E"/>
    <w:rsid w:val="00D3760C"/>
    <w:rsid w:val="00D3777C"/>
    <w:rsid w:val="00D42613"/>
    <w:rsid w:val="00D43E56"/>
    <w:rsid w:val="00D45698"/>
    <w:rsid w:val="00D45902"/>
    <w:rsid w:val="00D4661A"/>
    <w:rsid w:val="00D475C7"/>
    <w:rsid w:val="00D51641"/>
    <w:rsid w:val="00D55B9F"/>
    <w:rsid w:val="00D56311"/>
    <w:rsid w:val="00D62038"/>
    <w:rsid w:val="00D632AD"/>
    <w:rsid w:val="00D632EC"/>
    <w:rsid w:val="00D65106"/>
    <w:rsid w:val="00D67CDC"/>
    <w:rsid w:val="00D7373E"/>
    <w:rsid w:val="00D73A97"/>
    <w:rsid w:val="00D75B11"/>
    <w:rsid w:val="00D83798"/>
    <w:rsid w:val="00D84843"/>
    <w:rsid w:val="00D848C7"/>
    <w:rsid w:val="00D876F1"/>
    <w:rsid w:val="00D87FFD"/>
    <w:rsid w:val="00D9176F"/>
    <w:rsid w:val="00D917A5"/>
    <w:rsid w:val="00D96E08"/>
    <w:rsid w:val="00D96E20"/>
    <w:rsid w:val="00DA26F2"/>
    <w:rsid w:val="00DA2F0A"/>
    <w:rsid w:val="00DA363A"/>
    <w:rsid w:val="00DA467F"/>
    <w:rsid w:val="00DA5E82"/>
    <w:rsid w:val="00DA679B"/>
    <w:rsid w:val="00DA6EAD"/>
    <w:rsid w:val="00DB0D62"/>
    <w:rsid w:val="00DB1C1F"/>
    <w:rsid w:val="00DB25FF"/>
    <w:rsid w:val="00DB2B36"/>
    <w:rsid w:val="00DB2EDB"/>
    <w:rsid w:val="00DB5E38"/>
    <w:rsid w:val="00DB6BFE"/>
    <w:rsid w:val="00DC09B3"/>
    <w:rsid w:val="00DC3F51"/>
    <w:rsid w:val="00DC5194"/>
    <w:rsid w:val="00DC6566"/>
    <w:rsid w:val="00DC6E2E"/>
    <w:rsid w:val="00DD19DB"/>
    <w:rsid w:val="00DD3FD0"/>
    <w:rsid w:val="00DD5945"/>
    <w:rsid w:val="00DD673B"/>
    <w:rsid w:val="00DD721F"/>
    <w:rsid w:val="00DE0360"/>
    <w:rsid w:val="00DE1B6C"/>
    <w:rsid w:val="00DE22F8"/>
    <w:rsid w:val="00DE28CE"/>
    <w:rsid w:val="00DE2D2A"/>
    <w:rsid w:val="00DE31AB"/>
    <w:rsid w:val="00DE3218"/>
    <w:rsid w:val="00DE5C93"/>
    <w:rsid w:val="00DF06E0"/>
    <w:rsid w:val="00DF1596"/>
    <w:rsid w:val="00DF20FC"/>
    <w:rsid w:val="00DF3080"/>
    <w:rsid w:val="00DF47F3"/>
    <w:rsid w:val="00DF5487"/>
    <w:rsid w:val="00DF6FF1"/>
    <w:rsid w:val="00DF72D5"/>
    <w:rsid w:val="00DF7971"/>
    <w:rsid w:val="00DF799E"/>
    <w:rsid w:val="00DF7D5B"/>
    <w:rsid w:val="00E00444"/>
    <w:rsid w:val="00E047C9"/>
    <w:rsid w:val="00E06E3B"/>
    <w:rsid w:val="00E11A28"/>
    <w:rsid w:val="00E14045"/>
    <w:rsid w:val="00E1436E"/>
    <w:rsid w:val="00E14B45"/>
    <w:rsid w:val="00E1795E"/>
    <w:rsid w:val="00E17E25"/>
    <w:rsid w:val="00E20254"/>
    <w:rsid w:val="00E23209"/>
    <w:rsid w:val="00E24F8E"/>
    <w:rsid w:val="00E25EFA"/>
    <w:rsid w:val="00E26DBB"/>
    <w:rsid w:val="00E27571"/>
    <w:rsid w:val="00E30D42"/>
    <w:rsid w:val="00E31B05"/>
    <w:rsid w:val="00E33F51"/>
    <w:rsid w:val="00E35493"/>
    <w:rsid w:val="00E3678C"/>
    <w:rsid w:val="00E3693E"/>
    <w:rsid w:val="00E37615"/>
    <w:rsid w:val="00E4174E"/>
    <w:rsid w:val="00E42A29"/>
    <w:rsid w:val="00E4399D"/>
    <w:rsid w:val="00E528BB"/>
    <w:rsid w:val="00E549B2"/>
    <w:rsid w:val="00E55617"/>
    <w:rsid w:val="00E57074"/>
    <w:rsid w:val="00E5714B"/>
    <w:rsid w:val="00E605B4"/>
    <w:rsid w:val="00E622A4"/>
    <w:rsid w:val="00E63264"/>
    <w:rsid w:val="00E66916"/>
    <w:rsid w:val="00E732D9"/>
    <w:rsid w:val="00E74546"/>
    <w:rsid w:val="00E84E4B"/>
    <w:rsid w:val="00E91FB0"/>
    <w:rsid w:val="00E94A89"/>
    <w:rsid w:val="00E95C8A"/>
    <w:rsid w:val="00EA17F5"/>
    <w:rsid w:val="00EA2098"/>
    <w:rsid w:val="00EA3AE8"/>
    <w:rsid w:val="00EB119B"/>
    <w:rsid w:val="00EB2855"/>
    <w:rsid w:val="00EB30EA"/>
    <w:rsid w:val="00EB3BC3"/>
    <w:rsid w:val="00EB3F18"/>
    <w:rsid w:val="00EB4195"/>
    <w:rsid w:val="00EC3D8E"/>
    <w:rsid w:val="00EC517C"/>
    <w:rsid w:val="00EC5D4C"/>
    <w:rsid w:val="00EC5EA4"/>
    <w:rsid w:val="00ED26EC"/>
    <w:rsid w:val="00ED629C"/>
    <w:rsid w:val="00ED7F4D"/>
    <w:rsid w:val="00EE0804"/>
    <w:rsid w:val="00EE0DE5"/>
    <w:rsid w:val="00EE1544"/>
    <w:rsid w:val="00EE1FE7"/>
    <w:rsid w:val="00EE49E5"/>
    <w:rsid w:val="00EE5E23"/>
    <w:rsid w:val="00EF0C32"/>
    <w:rsid w:val="00EF15F0"/>
    <w:rsid w:val="00EF1636"/>
    <w:rsid w:val="00EF24C7"/>
    <w:rsid w:val="00EF4A26"/>
    <w:rsid w:val="00EF6AC7"/>
    <w:rsid w:val="00EF7EFA"/>
    <w:rsid w:val="00F019B0"/>
    <w:rsid w:val="00F02290"/>
    <w:rsid w:val="00F03E02"/>
    <w:rsid w:val="00F052ED"/>
    <w:rsid w:val="00F072AD"/>
    <w:rsid w:val="00F11D7B"/>
    <w:rsid w:val="00F13098"/>
    <w:rsid w:val="00F14D6A"/>
    <w:rsid w:val="00F22AF0"/>
    <w:rsid w:val="00F22D1C"/>
    <w:rsid w:val="00F23B94"/>
    <w:rsid w:val="00F2495B"/>
    <w:rsid w:val="00F25530"/>
    <w:rsid w:val="00F31E2F"/>
    <w:rsid w:val="00F3281C"/>
    <w:rsid w:val="00F33947"/>
    <w:rsid w:val="00F34865"/>
    <w:rsid w:val="00F36FDD"/>
    <w:rsid w:val="00F3706B"/>
    <w:rsid w:val="00F37B02"/>
    <w:rsid w:val="00F439F8"/>
    <w:rsid w:val="00F43A15"/>
    <w:rsid w:val="00F47B69"/>
    <w:rsid w:val="00F52D56"/>
    <w:rsid w:val="00F55B53"/>
    <w:rsid w:val="00F5643D"/>
    <w:rsid w:val="00F56605"/>
    <w:rsid w:val="00F56712"/>
    <w:rsid w:val="00F57CBB"/>
    <w:rsid w:val="00F60F50"/>
    <w:rsid w:val="00F62E25"/>
    <w:rsid w:val="00F64201"/>
    <w:rsid w:val="00F67ABD"/>
    <w:rsid w:val="00F67CBC"/>
    <w:rsid w:val="00F701D4"/>
    <w:rsid w:val="00F72626"/>
    <w:rsid w:val="00F72740"/>
    <w:rsid w:val="00F72D2D"/>
    <w:rsid w:val="00F7450A"/>
    <w:rsid w:val="00F75490"/>
    <w:rsid w:val="00F76A89"/>
    <w:rsid w:val="00F77151"/>
    <w:rsid w:val="00F7773E"/>
    <w:rsid w:val="00F81D39"/>
    <w:rsid w:val="00F823E3"/>
    <w:rsid w:val="00F8255D"/>
    <w:rsid w:val="00F84637"/>
    <w:rsid w:val="00F84D9D"/>
    <w:rsid w:val="00F937CD"/>
    <w:rsid w:val="00F95B60"/>
    <w:rsid w:val="00F97100"/>
    <w:rsid w:val="00FA104C"/>
    <w:rsid w:val="00FA2055"/>
    <w:rsid w:val="00FA3ED0"/>
    <w:rsid w:val="00FB00C1"/>
    <w:rsid w:val="00FB03FA"/>
    <w:rsid w:val="00FB077B"/>
    <w:rsid w:val="00FB0FBB"/>
    <w:rsid w:val="00FB5B9F"/>
    <w:rsid w:val="00FC2576"/>
    <w:rsid w:val="00FC397A"/>
    <w:rsid w:val="00FC47B5"/>
    <w:rsid w:val="00FC4FA3"/>
    <w:rsid w:val="00FC5CFD"/>
    <w:rsid w:val="00FD032C"/>
    <w:rsid w:val="00FD034A"/>
    <w:rsid w:val="00FD1EB0"/>
    <w:rsid w:val="00FD6E2C"/>
    <w:rsid w:val="00FD7836"/>
    <w:rsid w:val="00FE21DA"/>
    <w:rsid w:val="00FE344F"/>
    <w:rsid w:val="00FE47D1"/>
    <w:rsid w:val="00FE4C4B"/>
    <w:rsid w:val="00FE7108"/>
    <w:rsid w:val="00FE7803"/>
    <w:rsid w:val="00FF44C4"/>
    <w:rsid w:val="00FF56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8D2A"/>
  <w15:docId w15:val="{B19AEEED-0C03-4391-959B-07A9ACC7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3">
    <w:name w:val="heading 3"/>
    <w:basedOn w:val="Normal"/>
    <w:next w:val="Normal"/>
    <w:link w:val="Ttulo3Car"/>
    <w:uiPriority w:val="9"/>
    <w:unhideWhenUsed/>
    <w:qFormat/>
    <w:rsid w:val="00E549B2"/>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character" w:customStyle="1" w:styleId="Ttulo3Car">
    <w:name w:val="Título 3 Car"/>
    <w:basedOn w:val="Fuentedeprrafopredeter"/>
    <w:link w:val="Ttulo3"/>
    <w:uiPriority w:val="9"/>
    <w:rsid w:val="00E549B2"/>
    <w:rPr>
      <w:rFonts w:asciiTheme="majorHAnsi" w:eastAsiaTheme="majorEastAsia" w:hAnsiTheme="majorHAnsi" w:cstheme="majorBidi"/>
      <w:color w:val="243F60" w:themeColor="accent1" w:themeShade="7F"/>
      <w:sz w:val="24"/>
      <w:szCs w:val="24"/>
      <w:lang w:eastAsia="es-ES"/>
    </w:rPr>
  </w:style>
  <w:style w:type="character" w:customStyle="1" w:styleId="n6sl8d">
    <w:name w:val="n6sl8d"/>
    <w:basedOn w:val="Fuentedeprrafopredeter"/>
    <w:rsid w:val="00E5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347">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67701933">
      <w:bodyDiv w:val="1"/>
      <w:marLeft w:val="0"/>
      <w:marRight w:val="0"/>
      <w:marTop w:val="0"/>
      <w:marBottom w:val="0"/>
      <w:divBdr>
        <w:top w:val="none" w:sz="0" w:space="0" w:color="auto"/>
        <w:left w:val="none" w:sz="0" w:space="0" w:color="auto"/>
        <w:bottom w:val="none" w:sz="0" w:space="0" w:color="auto"/>
        <w:right w:val="none" w:sz="0" w:space="0" w:color="auto"/>
      </w:divBdr>
    </w:div>
    <w:div w:id="69624105">
      <w:bodyDiv w:val="1"/>
      <w:marLeft w:val="0"/>
      <w:marRight w:val="0"/>
      <w:marTop w:val="0"/>
      <w:marBottom w:val="0"/>
      <w:divBdr>
        <w:top w:val="none" w:sz="0" w:space="0" w:color="auto"/>
        <w:left w:val="none" w:sz="0" w:space="0" w:color="auto"/>
        <w:bottom w:val="none" w:sz="0" w:space="0" w:color="auto"/>
        <w:right w:val="none" w:sz="0" w:space="0" w:color="auto"/>
      </w:divBdr>
    </w:div>
    <w:div w:id="81996030">
      <w:bodyDiv w:val="1"/>
      <w:marLeft w:val="0"/>
      <w:marRight w:val="0"/>
      <w:marTop w:val="0"/>
      <w:marBottom w:val="0"/>
      <w:divBdr>
        <w:top w:val="none" w:sz="0" w:space="0" w:color="auto"/>
        <w:left w:val="none" w:sz="0" w:space="0" w:color="auto"/>
        <w:bottom w:val="none" w:sz="0" w:space="0" w:color="auto"/>
        <w:right w:val="none" w:sz="0" w:space="0" w:color="auto"/>
      </w:divBdr>
    </w:div>
    <w:div w:id="90007222">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6394868">
      <w:bodyDiv w:val="1"/>
      <w:marLeft w:val="0"/>
      <w:marRight w:val="0"/>
      <w:marTop w:val="0"/>
      <w:marBottom w:val="0"/>
      <w:divBdr>
        <w:top w:val="none" w:sz="0" w:space="0" w:color="auto"/>
        <w:left w:val="none" w:sz="0" w:space="0" w:color="auto"/>
        <w:bottom w:val="none" w:sz="0" w:space="0" w:color="auto"/>
        <w:right w:val="none" w:sz="0" w:space="0" w:color="auto"/>
      </w:divBdr>
    </w:div>
    <w:div w:id="108282463">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9055944">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39877714">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8119740">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0746501">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7488586">
      <w:bodyDiv w:val="1"/>
      <w:marLeft w:val="0"/>
      <w:marRight w:val="0"/>
      <w:marTop w:val="0"/>
      <w:marBottom w:val="0"/>
      <w:divBdr>
        <w:top w:val="none" w:sz="0" w:space="0" w:color="auto"/>
        <w:left w:val="none" w:sz="0" w:space="0" w:color="auto"/>
        <w:bottom w:val="none" w:sz="0" w:space="0" w:color="auto"/>
        <w:right w:val="none" w:sz="0" w:space="0" w:color="auto"/>
      </w:divBdr>
    </w:div>
    <w:div w:id="351491821">
      <w:bodyDiv w:val="1"/>
      <w:marLeft w:val="0"/>
      <w:marRight w:val="0"/>
      <w:marTop w:val="0"/>
      <w:marBottom w:val="0"/>
      <w:divBdr>
        <w:top w:val="none" w:sz="0" w:space="0" w:color="auto"/>
        <w:left w:val="none" w:sz="0" w:space="0" w:color="auto"/>
        <w:bottom w:val="none" w:sz="0" w:space="0" w:color="auto"/>
        <w:right w:val="none" w:sz="0" w:space="0" w:color="auto"/>
      </w:divBdr>
    </w:div>
    <w:div w:id="365570676">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547018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3257738">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3094466">
      <w:bodyDiv w:val="1"/>
      <w:marLeft w:val="0"/>
      <w:marRight w:val="0"/>
      <w:marTop w:val="0"/>
      <w:marBottom w:val="0"/>
      <w:divBdr>
        <w:top w:val="none" w:sz="0" w:space="0" w:color="auto"/>
        <w:left w:val="none" w:sz="0" w:space="0" w:color="auto"/>
        <w:bottom w:val="none" w:sz="0" w:space="0" w:color="auto"/>
        <w:right w:val="none" w:sz="0" w:space="0" w:color="auto"/>
      </w:divBdr>
    </w:div>
    <w:div w:id="419326912">
      <w:bodyDiv w:val="1"/>
      <w:marLeft w:val="0"/>
      <w:marRight w:val="0"/>
      <w:marTop w:val="0"/>
      <w:marBottom w:val="0"/>
      <w:divBdr>
        <w:top w:val="none" w:sz="0" w:space="0" w:color="auto"/>
        <w:left w:val="none" w:sz="0" w:space="0" w:color="auto"/>
        <w:bottom w:val="none" w:sz="0" w:space="0" w:color="auto"/>
        <w:right w:val="none" w:sz="0" w:space="0" w:color="auto"/>
      </w:divBdr>
    </w:div>
    <w:div w:id="423646345">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7507245">
      <w:bodyDiv w:val="1"/>
      <w:marLeft w:val="0"/>
      <w:marRight w:val="0"/>
      <w:marTop w:val="0"/>
      <w:marBottom w:val="0"/>
      <w:divBdr>
        <w:top w:val="none" w:sz="0" w:space="0" w:color="auto"/>
        <w:left w:val="none" w:sz="0" w:space="0" w:color="auto"/>
        <w:bottom w:val="none" w:sz="0" w:space="0" w:color="auto"/>
        <w:right w:val="none" w:sz="0" w:space="0" w:color="auto"/>
      </w:divBdr>
    </w:div>
    <w:div w:id="451486337">
      <w:bodyDiv w:val="1"/>
      <w:marLeft w:val="0"/>
      <w:marRight w:val="0"/>
      <w:marTop w:val="0"/>
      <w:marBottom w:val="0"/>
      <w:divBdr>
        <w:top w:val="none" w:sz="0" w:space="0" w:color="auto"/>
        <w:left w:val="none" w:sz="0" w:space="0" w:color="auto"/>
        <w:bottom w:val="none" w:sz="0" w:space="0" w:color="auto"/>
        <w:right w:val="none" w:sz="0" w:space="0" w:color="auto"/>
      </w:divBdr>
    </w:div>
    <w:div w:id="459112257">
      <w:bodyDiv w:val="1"/>
      <w:marLeft w:val="0"/>
      <w:marRight w:val="0"/>
      <w:marTop w:val="0"/>
      <w:marBottom w:val="0"/>
      <w:divBdr>
        <w:top w:val="none" w:sz="0" w:space="0" w:color="auto"/>
        <w:left w:val="none" w:sz="0" w:space="0" w:color="auto"/>
        <w:bottom w:val="none" w:sz="0" w:space="0" w:color="auto"/>
        <w:right w:val="none" w:sz="0" w:space="0" w:color="auto"/>
      </w:divBdr>
    </w:div>
    <w:div w:id="464737978">
      <w:bodyDiv w:val="1"/>
      <w:marLeft w:val="0"/>
      <w:marRight w:val="0"/>
      <w:marTop w:val="0"/>
      <w:marBottom w:val="0"/>
      <w:divBdr>
        <w:top w:val="none" w:sz="0" w:space="0" w:color="auto"/>
        <w:left w:val="none" w:sz="0" w:space="0" w:color="auto"/>
        <w:bottom w:val="none" w:sz="0" w:space="0" w:color="auto"/>
        <w:right w:val="none" w:sz="0" w:space="0" w:color="auto"/>
      </w:divBdr>
    </w:div>
    <w:div w:id="469323594">
      <w:bodyDiv w:val="1"/>
      <w:marLeft w:val="0"/>
      <w:marRight w:val="0"/>
      <w:marTop w:val="0"/>
      <w:marBottom w:val="0"/>
      <w:divBdr>
        <w:top w:val="none" w:sz="0" w:space="0" w:color="auto"/>
        <w:left w:val="none" w:sz="0" w:space="0" w:color="auto"/>
        <w:bottom w:val="none" w:sz="0" w:space="0" w:color="auto"/>
        <w:right w:val="none" w:sz="0" w:space="0" w:color="auto"/>
      </w:divBdr>
    </w:div>
    <w:div w:id="506676434">
      <w:bodyDiv w:val="1"/>
      <w:marLeft w:val="0"/>
      <w:marRight w:val="0"/>
      <w:marTop w:val="0"/>
      <w:marBottom w:val="0"/>
      <w:divBdr>
        <w:top w:val="none" w:sz="0" w:space="0" w:color="auto"/>
        <w:left w:val="none" w:sz="0" w:space="0" w:color="auto"/>
        <w:bottom w:val="none" w:sz="0" w:space="0" w:color="auto"/>
        <w:right w:val="none" w:sz="0" w:space="0" w:color="auto"/>
      </w:divBdr>
    </w:div>
    <w:div w:id="517740344">
      <w:bodyDiv w:val="1"/>
      <w:marLeft w:val="0"/>
      <w:marRight w:val="0"/>
      <w:marTop w:val="0"/>
      <w:marBottom w:val="0"/>
      <w:divBdr>
        <w:top w:val="none" w:sz="0" w:space="0" w:color="auto"/>
        <w:left w:val="none" w:sz="0" w:space="0" w:color="auto"/>
        <w:bottom w:val="none" w:sz="0" w:space="0" w:color="auto"/>
        <w:right w:val="none" w:sz="0" w:space="0" w:color="auto"/>
      </w:divBdr>
    </w:div>
    <w:div w:id="52070789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53346095">
      <w:bodyDiv w:val="1"/>
      <w:marLeft w:val="0"/>
      <w:marRight w:val="0"/>
      <w:marTop w:val="0"/>
      <w:marBottom w:val="0"/>
      <w:divBdr>
        <w:top w:val="none" w:sz="0" w:space="0" w:color="auto"/>
        <w:left w:val="none" w:sz="0" w:space="0" w:color="auto"/>
        <w:bottom w:val="none" w:sz="0" w:space="0" w:color="auto"/>
        <w:right w:val="none" w:sz="0" w:space="0" w:color="auto"/>
      </w:divBdr>
    </w:div>
    <w:div w:id="56880724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806062">
      <w:bodyDiv w:val="1"/>
      <w:marLeft w:val="0"/>
      <w:marRight w:val="0"/>
      <w:marTop w:val="0"/>
      <w:marBottom w:val="0"/>
      <w:divBdr>
        <w:top w:val="none" w:sz="0" w:space="0" w:color="auto"/>
        <w:left w:val="none" w:sz="0" w:space="0" w:color="auto"/>
        <w:bottom w:val="none" w:sz="0" w:space="0" w:color="auto"/>
        <w:right w:val="none" w:sz="0" w:space="0" w:color="auto"/>
      </w:divBdr>
    </w:div>
    <w:div w:id="63387546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79821197">
      <w:bodyDiv w:val="1"/>
      <w:marLeft w:val="0"/>
      <w:marRight w:val="0"/>
      <w:marTop w:val="0"/>
      <w:marBottom w:val="0"/>
      <w:divBdr>
        <w:top w:val="none" w:sz="0" w:space="0" w:color="auto"/>
        <w:left w:val="none" w:sz="0" w:space="0" w:color="auto"/>
        <w:bottom w:val="none" w:sz="0" w:space="0" w:color="auto"/>
        <w:right w:val="none" w:sz="0" w:space="0" w:color="auto"/>
      </w:divBdr>
    </w:div>
    <w:div w:id="700978847">
      <w:bodyDiv w:val="1"/>
      <w:marLeft w:val="0"/>
      <w:marRight w:val="0"/>
      <w:marTop w:val="0"/>
      <w:marBottom w:val="0"/>
      <w:divBdr>
        <w:top w:val="none" w:sz="0" w:space="0" w:color="auto"/>
        <w:left w:val="none" w:sz="0" w:space="0" w:color="auto"/>
        <w:bottom w:val="none" w:sz="0" w:space="0" w:color="auto"/>
        <w:right w:val="none" w:sz="0" w:space="0" w:color="auto"/>
      </w:divBdr>
    </w:div>
    <w:div w:id="723025907">
      <w:bodyDiv w:val="1"/>
      <w:marLeft w:val="0"/>
      <w:marRight w:val="0"/>
      <w:marTop w:val="0"/>
      <w:marBottom w:val="0"/>
      <w:divBdr>
        <w:top w:val="none" w:sz="0" w:space="0" w:color="auto"/>
        <w:left w:val="none" w:sz="0" w:space="0" w:color="auto"/>
        <w:bottom w:val="none" w:sz="0" w:space="0" w:color="auto"/>
        <w:right w:val="none" w:sz="0" w:space="0" w:color="auto"/>
      </w:divBdr>
    </w:div>
    <w:div w:id="7344018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4884737">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1702849">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23081393">
      <w:bodyDiv w:val="1"/>
      <w:marLeft w:val="0"/>
      <w:marRight w:val="0"/>
      <w:marTop w:val="0"/>
      <w:marBottom w:val="0"/>
      <w:divBdr>
        <w:top w:val="none" w:sz="0" w:space="0" w:color="auto"/>
        <w:left w:val="none" w:sz="0" w:space="0" w:color="auto"/>
        <w:bottom w:val="none" w:sz="0" w:space="0" w:color="auto"/>
        <w:right w:val="none" w:sz="0" w:space="0" w:color="auto"/>
      </w:divBdr>
    </w:div>
    <w:div w:id="823814192">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72302938">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48703688">
      <w:bodyDiv w:val="1"/>
      <w:marLeft w:val="0"/>
      <w:marRight w:val="0"/>
      <w:marTop w:val="0"/>
      <w:marBottom w:val="0"/>
      <w:divBdr>
        <w:top w:val="none" w:sz="0" w:space="0" w:color="auto"/>
        <w:left w:val="none" w:sz="0" w:space="0" w:color="auto"/>
        <w:bottom w:val="none" w:sz="0" w:space="0" w:color="auto"/>
        <w:right w:val="none" w:sz="0" w:space="0" w:color="auto"/>
      </w:divBdr>
    </w:div>
    <w:div w:id="950281164">
      <w:bodyDiv w:val="1"/>
      <w:marLeft w:val="0"/>
      <w:marRight w:val="0"/>
      <w:marTop w:val="0"/>
      <w:marBottom w:val="0"/>
      <w:divBdr>
        <w:top w:val="none" w:sz="0" w:space="0" w:color="auto"/>
        <w:left w:val="none" w:sz="0" w:space="0" w:color="auto"/>
        <w:bottom w:val="none" w:sz="0" w:space="0" w:color="auto"/>
        <w:right w:val="none" w:sz="0" w:space="0" w:color="auto"/>
      </w:divBdr>
    </w:div>
    <w:div w:id="964698180">
      <w:bodyDiv w:val="1"/>
      <w:marLeft w:val="0"/>
      <w:marRight w:val="0"/>
      <w:marTop w:val="0"/>
      <w:marBottom w:val="0"/>
      <w:divBdr>
        <w:top w:val="none" w:sz="0" w:space="0" w:color="auto"/>
        <w:left w:val="none" w:sz="0" w:space="0" w:color="auto"/>
        <w:bottom w:val="none" w:sz="0" w:space="0" w:color="auto"/>
        <w:right w:val="none" w:sz="0" w:space="0" w:color="auto"/>
      </w:divBdr>
    </w:div>
    <w:div w:id="96917026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5647593">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57510395">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2894987">
      <w:bodyDiv w:val="1"/>
      <w:marLeft w:val="0"/>
      <w:marRight w:val="0"/>
      <w:marTop w:val="0"/>
      <w:marBottom w:val="0"/>
      <w:divBdr>
        <w:top w:val="none" w:sz="0" w:space="0" w:color="auto"/>
        <w:left w:val="none" w:sz="0" w:space="0" w:color="auto"/>
        <w:bottom w:val="none" w:sz="0" w:space="0" w:color="auto"/>
        <w:right w:val="none" w:sz="0" w:space="0" w:color="auto"/>
      </w:divBdr>
    </w:div>
    <w:div w:id="1075708520">
      <w:bodyDiv w:val="1"/>
      <w:marLeft w:val="0"/>
      <w:marRight w:val="0"/>
      <w:marTop w:val="0"/>
      <w:marBottom w:val="0"/>
      <w:divBdr>
        <w:top w:val="none" w:sz="0" w:space="0" w:color="auto"/>
        <w:left w:val="none" w:sz="0" w:space="0" w:color="auto"/>
        <w:bottom w:val="none" w:sz="0" w:space="0" w:color="auto"/>
        <w:right w:val="none" w:sz="0" w:space="0" w:color="auto"/>
      </w:divBdr>
    </w:div>
    <w:div w:id="109085658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58305402">
      <w:bodyDiv w:val="1"/>
      <w:marLeft w:val="0"/>
      <w:marRight w:val="0"/>
      <w:marTop w:val="0"/>
      <w:marBottom w:val="0"/>
      <w:divBdr>
        <w:top w:val="none" w:sz="0" w:space="0" w:color="auto"/>
        <w:left w:val="none" w:sz="0" w:space="0" w:color="auto"/>
        <w:bottom w:val="none" w:sz="0" w:space="0" w:color="auto"/>
        <w:right w:val="none" w:sz="0" w:space="0" w:color="auto"/>
      </w:divBdr>
    </w:div>
    <w:div w:id="1173450730">
      <w:bodyDiv w:val="1"/>
      <w:marLeft w:val="0"/>
      <w:marRight w:val="0"/>
      <w:marTop w:val="0"/>
      <w:marBottom w:val="0"/>
      <w:divBdr>
        <w:top w:val="none" w:sz="0" w:space="0" w:color="auto"/>
        <w:left w:val="none" w:sz="0" w:space="0" w:color="auto"/>
        <w:bottom w:val="none" w:sz="0" w:space="0" w:color="auto"/>
        <w:right w:val="none" w:sz="0" w:space="0" w:color="auto"/>
      </w:divBdr>
    </w:div>
    <w:div w:id="1177424940">
      <w:bodyDiv w:val="1"/>
      <w:marLeft w:val="0"/>
      <w:marRight w:val="0"/>
      <w:marTop w:val="0"/>
      <w:marBottom w:val="0"/>
      <w:divBdr>
        <w:top w:val="none" w:sz="0" w:space="0" w:color="auto"/>
        <w:left w:val="none" w:sz="0" w:space="0" w:color="auto"/>
        <w:bottom w:val="none" w:sz="0" w:space="0" w:color="auto"/>
        <w:right w:val="none" w:sz="0" w:space="0" w:color="auto"/>
      </w:divBdr>
    </w:div>
    <w:div w:id="1199004227">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4466091">
      <w:bodyDiv w:val="1"/>
      <w:marLeft w:val="0"/>
      <w:marRight w:val="0"/>
      <w:marTop w:val="0"/>
      <w:marBottom w:val="0"/>
      <w:divBdr>
        <w:top w:val="none" w:sz="0" w:space="0" w:color="auto"/>
        <w:left w:val="none" w:sz="0" w:space="0" w:color="auto"/>
        <w:bottom w:val="none" w:sz="0" w:space="0" w:color="auto"/>
        <w:right w:val="none" w:sz="0" w:space="0" w:color="auto"/>
      </w:divBdr>
    </w:div>
    <w:div w:id="1229875690">
      <w:bodyDiv w:val="1"/>
      <w:marLeft w:val="0"/>
      <w:marRight w:val="0"/>
      <w:marTop w:val="0"/>
      <w:marBottom w:val="0"/>
      <w:divBdr>
        <w:top w:val="none" w:sz="0" w:space="0" w:color="auto"/>
        <w:left w:val="none" w:sz="0" w:space="0" w:color="auto"/>
        <w:bottom w:val="none" w:sz="0" w:space="0" w:color="auto"/>
        <w:right w:val="none" w:sz="0" w:space="0" w:color="auto"/>
      </w:divBdr>
    </w:div>
    <w:div w:id="1246956806">
      <w:bodyDiv w:val="1"/>
      <w:marLeft w:val="0"/>
      <w:marRight w:val="0"/>
      <w:marTop w:val="0"/>
      <w:marBottom w:val="0"/>
      <w:divBdr>
        <w:top w:val="none" w:sz="0" w:space="0" w:color="auto"/>
        <w:left w:val="none" w:sz="0" w:space="0" w:color="auto"/>
        <w:bottom w:val="none" w:sz="0" w:space="0" w:color="auto"/>
        <w:right w:val="none" w:sz="0" w:space="0" w:color="auto"/>
      </w:divBdr>
    </w:div>
    <w:div w:id="1248148355">
      <w:bodyDiv w:val="1"/>
      <w:marLeft w:val="0"/>
      <w:marRight w:val="0"/>
      <w:marTop w:val="0"/>
      <w:marBottom w:val="0"/>
      <w:divBdr>
        <w:top w:val="none" w:sz="0" w:space="0" w:color="auto"/>
        <w:left w:val="none" w:sz="0" w:space="0" w:color="auto"/>
        <w:bottom w:val="none" w:sz="0" w:space="0" w:color="auto"/>
        <w:right w:val="none" w:sz="0" w:space="0" w:color="auto"/>
      </w:divBdr>
    </w:div>
    <w:div w:id="1268806720">
      <w:bodyDiv w:val="1"/>
      <w:marLeft w:val="0"/>
      <w:marRight w:val="0"/>
      <w:marTop w:val="0"/>
      <w:marBottom w:val="0"/>
      <w:divBdr>
        <w:top w:val="none" w:sz="0" w:space="0" w:color="auto"/>
        <w:left w:val="none" w:sz="0" w:space="0" w:color="auto"/>
        <w:bottom w:val="none" w:sz="0" w:space="0" w:color="auto"/>
        <w:right w:val="none" w:sz="0" w:space="0" w:color="auto"/>
      </w:divBdr>
    </w:div>
    <w:div w:id="1277564841">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09164963">
      <w:bodyDiv w:val="1"/>
      <w:marLeft w:val="0"/>
      <w:marRight w:val="0"/>
      <w:marTop w:val="0"/>
      <w:marBottom w:val="0"/>
      <w:divBdr>
        <w:top w:val="none" w:sz="0" w:space="0" w:color="auto"/>
        <w:left w:val="none" w:sz="0" w:space="0" w:color="auto"/>
        <w:bottom w:val="none" w:sz="0" w:space="0" w:color="auto"/>
        <w:right w:val="none" w:sz="0" w:space="0" w:color="auto"/>
      </w:divBdr>
    </w:div>
    <w:div w:id="1331055490">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8874689">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2219673">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6004573">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1964308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66460651">
      <w:bodyDiv w:val="1"/>
      <w:marLeft w:val="0"/>
      <w:marRight w:val="0"/>
      <w:marTop w:val="0"/>
      <w:marBottom w:val="0"/>
      <w:divBdr>
        <w:top w:val="none" w:sz="0" w:space="0" w:color="auto"/>
        <w:left w:val="none" w:sz="0" w:space="0" w:color="auto"/>
        <w:bottom w:val="none" w:sz="0" w:space="0" w:color="auto"/>
        <w:right w:val="none" w:sz="0" w:space="0" w:color="auto"/>
      </w:divBdr>
    </w:div>
    <w:div w:id="1479611042">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86837832">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4288607">
      <w:bodyDiv w:val="1"/>
      <w:marLeft w:val="0"/>
      <w:marRight w:val="0"/>
      <w:marTop w:val="0"/>
      <w:marBottom w:val="0"/>
      <w:divBdr>
        <w:top w:val="none" w:sz="0" w:space="0" w:color="auto"/>
        <w:left w:val="none" w:sz="0" w:space="0" w:color="auto"/>
        <w:bottom w:val="none" w:sz="0" w:space="0" w:color="auto"/>
        <w:right w:val="none" w:sz="0" w:space="0" w:color="auto"/>
      </w:divBdr>
    </w:div>
    <w:div w:id="165714634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7217111">
      <w:bodyDiv w:val="1"/>
      <w:marLeft w:val="0"/>
      <w:marRight w:val="0"/>
      <w:marTop w:val="0"/>
      <w:marBottom w:val="0"/>
      <w:divBdr>
        <w:top w:val="none" w:sz="0" w:space="0" w:color="auto"/>
        <w:left w:val="none" w:sz="0" w:space="0" w:color="auto"/>
        <w:bottom w:val="none" w:sz="0" w:space="0" w:color="auto"/>
        <w:right w:val="none" w:sz="0" w:space="0" w:color="auto"/>
      </w:divBdr>
    </w:div>
    <w:div w:id="1709404039">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42212963">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58401399">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89813857">
      <w:bodyDiv w:val="1"/>
      <w:marLeft w:val="0"/>
      <w:marRight w:val="0"/>
      <w:marTop w:val="0"/>
      <w:marBottom w:val="0"/>
      <w:divBdr>
        <w:top w:val="none" w:sz="0" w:space="0" w:color="auto"/>
        <w:left w:val="none" w:sz="0" w:space="0" w:color="auto"/>
        <w:bottom w:val="none" w:sz="0" w:space="0" w:color="auto"/>
        <w:right w:val="none" w:sz="0" w:space="0" w:color="auto"/>
      </w:divBdr>
    </w:div>
    <w:div w:id="1807502285">
      <w:bodyDiv w:val="1"/>
      <w:marLeft w:val="0"/>
      <w:marRight w:val="0"/>
      <w:marTop w:val="0"/>
      <w:marBottom w:val="0"/>
      <w:divBdr>
        <w:top w:val="none" w:sz="0" w:space="0" w:color="auto"/>
        <w:left w:val="none" w:sz="0" w:space="0" w:color="auto"/>
        <w:bottom w:val="none" w:sz="0" w:space="0" w:color="auto"/>
        <w:right w:val="none" w:sz="0" w:space="0" w:color="auto"/>
      </w:divBdr>
    </w:div>
    <w:div w:id="1810440225">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8052400">
      <w:bodyDiv w:val="1"/>
      <w:marLeft w:val="0"/>
      <w:marRight w:val="0"/>
      <w:marTop w:val="0"/>
      <w:marBottom w:val="0"/>
      <w:divBdr>
        <w:top w:val="none" w:sz="0" w:space="0" w:color="auto"/>
        <w:left w:val="none" w:sz="0" w:space="0" w:color="auto"/>
        <w:bottom w:val="none" w:sz="0" w:space="0" w:color="auto"/>
        <w:right w:val="none" w:sz="0" w:space="0" w:color="auto"/>
      </w:divBdr>
    </w:div>
    <w:div w:id="1884830306">
      <w:bodyDiv w:val="1"/>
      <w:marLeft w:val="0"/>
      <w:marRight w:val="0"/>
      <w:marTop w:val="0"/>
      <w:marBottom w:val="0"/>
      <w:divBdr>
        <w:top w:val="none" w:sz="0" w:space="0" w:color="auto"/>
        <w:left w:val="none" w:sz="0" w:space="0" w:color="auto"/>
        <w:bottom w:val="none" w:sz="0" w:space="0" w:color="auto"/>
        <w:right w:val="none" w:sz="0" w:space="0" w:color="auto"/>
      </w:divBdr>
    </w:div>
    <w:div w:id="1889800876">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2518992">
      <w:bodyDiv w:val="1"/>
      <w:marLeft w:val="0"/>
      <w:marRight w:val="0"/>
      <w:marTop w:val="0"/>
      <w:marBottom w:val="0"/>
      <w:divBdr>
        <w:top w:val="none" w:sz="0" w:space="0" w:color="auto"/>
        <w:left w:val="none" w:sz="0" w:space="0" w:color="auto"/>
        <w:bottom w:val="none" w:sz="0" w:space="0" w:color="auto"/>
        <w:right w:val="none" w:sz="0" w:space="0" w:color="auto"/>
      </w:divBdr>
    </w:div>
    <w:div w:id="1922249857">
      <w:bodyDiv w:val="1"/>
      <w:marLeft w:val="0"/>
      <w:marRight w:val="0"/>
      <w:marTop w:val="0"/>
      <w:marBottom w:val="0"/>
      <w:divBdr>
        <w:top w:val="none" w:sz="0" w:space="0" w:color="auto"/>
        <w:left w:val="none" w:sz="0" w:space="0" w:color="auto"/>
        <w:bottom w:val="none" w:sz="0" w:space="0" w:color="auto"/>
        <w:right w:val="none" w:sz="0" w:space="0" w:color="auto"/>
      </w:divBdr>
    </w:div>
    <w:div w:id="1925065016">
      <w:bodyDiv w:val="1"/>
      <w:marLeft w:val="0"/>
      <w:marRight w:val="0"/>
      <w:marTop w:val="0"/>
      <w:marBottom w:val="0"/>
      <w:divBdr>
        <w:top w:val="none" w:sz="0" w:space="0" w:color="auto"/>
        <w:left w:val="none" w:sz="0" w:space="0" w:color="auto"/>
        <w:bottom w:val="none" w:sz="0" w:space="0" w:color="auto"/>
        <w:right w:val="none" w:sz="0" w:space="0" w:color="auto"/>
      </w:divBdr>
    </w:div>
    <w:div w:id="1927034900">
      <w:bodyDiv w:val="1"/>
      <w:marLeft w:val="0"/>
      <w:marRight w:val="0"/>
      <w:marTop w:val="0"/>
      <w:marBottom w:val="0"/>
      <w:divBdr>
        <w:top w:val="none" w:sz="0" w:space="0" w:color="auto"/>
        <w:left w:val="none" w:sz="0" w:space="0" w:color="auto"/>
        <w:bottom w:val="none" w:sz="0" w:space="0" w:color="auto"/>
        <w:right w:val="none" w:sz="0" w:space="0" w:color="auto"/>
      </w:divBdr>
    </w:div>
    <w:div w:id="1939560699">
      <w:bodyDiv w:val="1"/>
      <w:marLeft w:val="0"/>
      <w:marRight w:val="0"/>
      <w:marTop w:val="0"/>
      <w:marBottom w:val="0"/>
      <w:divBdr>
        <w:top w:val="none" w:sz="0" w:space="0" w:color="auto"/>
        <w:left w:val="none" w:sz="0" w:space="0" w:color="auto"/>
        <w:bottom w:val="none" w:sz="0" w:space="0" w:color="auto"/>
        <w:right w:val="none" w:sz="0" w:space="0" w:color="auto"/>
      </w:divBdr>
    </w:div>
    <w:div w:id="20062785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6974703">
      <w:bodyDiv w:val="1"/>
      <w:marLeft w:val="0"/>
      <w:marRight w:val="0"/>
      <w:marTop w:val="0"/>
      <w:marBottom w:val="0"/>
      <w:divBdr>
        <w:top w:val="none" w:sz="0" w:space="0" w:color="auto"/>
        <w:left w:val="none" w:sz="0" w:space="0" w:color="auto"/>
        <w:bottom w:val="none" w:sz="0" w:space="0" w:color="auto"/>
        <w:right w:val="none" w:sz="0" w:space="0" w:color="auto"/>
      </w:divBdr>
    </w:div>
    <w:div w:id="2132548526">
      <w:bodyDiv w:val="1"/>
      <w:marLeft w:val="0"/>
      <w:marRight w:val="0"/>
      <w:marTop w:val="0"/>
      <w:marBottom w:val="0"/>
      <w:divBdr>
        <w:top w:val="none" w:sz="0" w:space="0" w:color="auto"/>
        <w:left w:val="none" w:sz="0" w:space="0" w:color="auto"/>
        <w:bottom w:val="none" w:sz="0" w:space="0" w:color="auto"/>
        <w:right w:val="none" w:sz="0" w:space="0" w:color="auto"/>
      </w:divBdr>
    </w:div>
    <w:div w:id="213648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F829-29B4-477A-91F7-1F2C5FF4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4167</Words>
  <Characters>22924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Sharon Yanelli Lara Medrano</cp:lastModifiedBy>
  <cp:revision>2</cp:revision>
  <cp:lastPrinted>2021-09-01T19:56:00Z</cp:lastPrinted>
  <dcterms:created xsi:type="dcterms:W3CDTF">2022-04-26T21:10:00Z</dcterms:created>
  <dcterms:modified xsi:type="dcterms:W3CDTF">2022-04-26T21:10:00Z</dcterms:modified>
</cp:coreProperties>
</file>