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0A" w:rsidRPr="00FF0069" w:rsidRDefault="005A790A" w:rsidP="005A790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069">
        <w:rPr>
          <w:rFonts w:ascii="Barlow" w:hAnsi="Barlow" w:cs="Arial"/>
          <w:b/>
          <w:sz w:val="20"/>
          <w:szCs w:val="20"/>
        </w:rPr>
        <w:t>Notas a los Estados Financieros</w:t>
      </w:r>
    </w:p>
    <w:p w:rsidR="005A790A" w:rsidRPr="00FF0069" w:rsidRDefault="005A790A" w:rsidP="00445EC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069">
        <w:rPr>
          <w:rFonts w:ascii="Barlow" w:hAnsi="Barlow" w:cs="Arial"/>
          <w:b/>
          <w:sz w:val="20"/>
          <w:szCs w:val="20"/>
        </w:rPr>
        <w:t>A</w:t>
      </w:r>
      <w:r w:rsidR="0088432F" w:rsidRPr="00FF0069">
        <w:rPr>
          <w:rFonts w:ascii="Barlow" w:hAnsi="Barlow" w:cs="Arial"/>
          <w:b/>
          <w:sz w:val="20"/>
          <w:szCs w:val="20"/>
        </w:rPr>
        <w:t xml:space="preserve">l </w:t>
      </w:r>
      <w:r w:rsidR="00270552">
        <w:rPr>
          <w:rFonts w:ascii="Barlow" w:hAnsi="Barlow" w:cs="Arial"/>
          <w:b/>
          <w:sz w:val="20"/>
          <w:szCs w:val="20"/>
        </w:rPr>
        <w:t>31</w:t>
      </w:r>
      <w:r w:rsidR="00DC7D67" w:rsidRPr="00FF0069">
        <w:rPr>
          <w:rFonts w:ascii="Barlow" w:hAnsi="Barlow" w:cs="Arial"/>
          <w:b/>
          <w:sz w:val="20"/>
          <w:szCs w:val="20"/>
        </w:rPr>
        <w:t xml:space="preserve"> de </w:t>
      </w:r>
      <w:r w:rsidR="00270552">
        <w:rPr>
          <w:rFonts w:ascii="Barlow" w:hAnsi="Barlow" w:cs="Arial"/>
          <w:b/>
          <w:sz w:val="20"/>
          <w:szCs w:val="20"/>
        </w:rPr>
        <w:t>Marzo</w:t>
      </w:r>
      <w:r w:rsidR="00917AE9" w:rsidRPr="00917AE9">
        <w:rPr>
          <w:rFonts w:ascii="Barlow" w:hAnsi="Barlow" w:cs="Arial"/>
          <w:b/>
          <w:sz w:val="20"/>
          <w:szCs w:val="20"/>
        </w:rPr>
        <w:t xml:space="preserve"> </w:t>
      </w:r>
      <w:r w:rsidR="0065478C">
        <w:rPr>
          <w:rFonts w:ascii="Barlow" w:hAnsi="Barlow" w:cs="Arial"/>
          <w:b/>
          <w:sz w:val="20"/>
          <w:szCs w:val="20"/>
        </w:rPr>
        <w:t>de 2022</w:t>
      </w:r>
    </w:p>
    <w:p w:rsidR="005A790A" w:rsidRPr="00FF0069" w:rsidRDefault="005A790A" w:rsidP="005A790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F0069">
        <w:rPr>
          <w:rFonts w:ascii="Barlow" w:hAnsi="Barlow" w:cs="Arial"/>
          <w:b/>
          <w:sz w:val="20"/>
          <w:szCs w:val="20"/>
        </w:rPr>
        <w:t>(</w:t>
      </w:r>
      <w:r w:rsidR="0042067F">
        <w:rPr>
          <w:rFonts w:ascii="Barlow" w:hAnsi="Barlow" w:cs="Arial"/>
          <w:b/>
          <w:sz w:val="20"/>
          <w:szCs w:val="20"/>
        </w:rPr>
        <w:t xml:space="preserve">Cifras en </w:t>
      </w:r>
      <w:r w:rsidRPr="00FF0069">
        <w:rPr>
          <w:rFonts w:ascii="Barlow" w:hAnsi="Barlow" w:cs="Arial"/>
          <w:b/>
          <w:sz w:val="20"/>
          <w:szCs w:val="20"/>
        </w:rPr>
        <w:t>Pesos)</w:t>
      </w:r>
    </w:p>
    <w:p w:rsidR="005A790A" w:rsidRPr="00FF0069" w:rsidRDefault="005A790A" w:rsidP="005A790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A790A" w:rsidRPr="00FF0069" w:rsidRDefault="005A790A" w:rsidP="005A790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FF0069">
        <w:rPr>
          <w:rFonts w:ascii="Barlow" w:hAnsi="Barlow" w:cs="Arial"/>
          <w:b/>
          <w:sz w:val="20"/>
          <w:szCs w:val="20"/>
        </w:rPr>
        <w:t>Ente Público: HOSPITAL GENERAL DE TEKAX, YUCATAN</w:t>
      </w:r>
    </w:p>
    <w:p w:rsidR="005A790A" w:rsidRPr="00FF0069" w:rsidRDefault="00F4332F" w:rsidP="00AA093B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>A)</w:t>
      </w:r>
      <w:r w:rsidRPr="00FF0069">
        <w:rPr>
          <w:rFonts w:ascii="Barlow" w:hAnsi="Barlow" w:cs="Times New Roman"/>
          <w:b/>
          <w:sz w:val="20"/>
          <w:szCs w:val="20"/>
        </w:rPr>
        <w:tab/>
        <w:t>NOTAS DE DESGLOCE</w:t>
      </w:r>
    </w:p>
    <w:p w:rsidR="0055175A" w:rsidRPr="00FF0069" w:rsidRDefault="00F4332F" w:rsidP="0055175A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>I) NOTAS AL ESTADO DE SITUACIÓN FINANCIERA.</w:t>
      </w:r>
    </w:p>
    <w:p w:rsidR="0055175A" w:rsidRPr="00FF0069" w:rsidRDefault="0055175A" w:rsidP="0055175A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>ACTIVO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EFECTIVO Y EQUIVALENTES</w:t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Este rubro se encuentra </w:t>
      </w:r>
      <w:r w:rsidR="00C4583B" w:rsidRPr="00FF0069">
        <w:rPr>
          <w:rFonts w:ascii="Barlow" w:hAnsi="Barlow" w:cs="Times New Roman"/>
          <w:sz w:val="20"/>
          <w:szCs w:val="20"/>
        </w:rPr>
        <w:t>integrado</w:t>
      </w:r>
      <w:r w:rsidR="00926A55" w:rsidRPr="00FF0069">
        <w:rPr>
          <w:rFonts w:ascii="Barlow" w:hAnsi="Barlow" w:cs="Times New Roman"/>
          <w:sz w:val="20"/>
          <w:szCs w:val="20"/>
        </w:rPr>
        <w:t xml:space="preserve"> por</w:t>
      </w:r>
      <w:r w:rsidRPr="00FF0069">
        <w:rPr>
          <w:rFonts w:ascii="Barlow" w:hAnsi="Barlow" w:cs="Times New Roman"/>
          <w:sz w:val="20"/>
          <w:szCs w:val="20"/>
        </w:rPr>
        <w:t xml:space="preserve"> Caja General</w:t>
      </w:r>
      <w:r w:rsidR="009113F5" w:rsidRPr="00FF0069">
        <w:rPr>
          <w:rFonts w:ascii="Barlow" w:hAnsi="Barlow" w:cs="Times New Roman"/>
          <w:sz w:val="20"/>
          <w:szCs w:val="20"/>
        </w:rPr>
        <w:t>, Fondo Fijo</w:t>
      </w:r>
      <w:r w:rsidR="00926A55" w:rsidRPr="00FF0069">
        <w:rPr>
          <w:rFonts w:ascii="Barlow" w:hAnsi="Barlow" w:cs="Times New Roman"/>
          <w:sz w:val="20"/>
          <w:szCs w:val="20"/>
        </w:rPr>
        <w:t xml:space="preserve"> a cargo de</w:t>
      </w:r>
      <w:r w:rsidR="00C4583B" w:rsidRPr="00FF0069">
        <w:rPr>
          <w:rFonts w:ascii="Barlow" w:hAnsi="Barlow" w:cs="Times New Roman"/>
          <w:sz w:val="20"/>
          <w:szCs w:val="20"/>
        </w:rPr>
        <w:t>l L.</w:t>
      </w:r>
      <w:r w:rsidR="00DD3CE0" w:rsidRPr="00FF0069">
        <w:rPr>
          <w:rFonts w:ascii="Barlow" w:hAnsi="Barlow" w:cs="Times New Roman"/>
          <w:sz w:val="20"/>
          <w:szCs w:val="20"/>
        </w:rPr>
        <w:t>C.A</w:t>
      </w:r>
      <w:r w:rsidR="00E21A9E" w:rsidRPr="00FF0069">
        <w:rPr>
          <w:rFonts w:ascii="Barlow" w:hAnsi="Barlow" w:cs="Times New Roman"/>
          <w:sz w:val="20"/>
          <w:szCs w:val="20"/>
        </w:rPr>
        <w:t>.</w:t>
      </w:r>
      <w:r w:rsidR="00DD3CE0" w:rsidRPr="00FF0069">
        <w:rPr>
          <w:rFonts w:ascii="Barlow" w:hAnsi="Barlow" w:cs="Times New Roman"/>
          <w:sz w:val="20"/>
          <w:szCs w:val="20"/>
        </w:rPr>
        <w:t xml:space="preserve"> Juan José Uicab López</w:t>
      </w:r>
      <w:r w:rsidR="009113F5" w:rsidRPr="00FF0069">
        <w:rPr>
          <w:rFonts w:ascii="Barlow" w:hAnsi="Barlow" w:cs="Times New Roman"/>
          <w:sz w:val="20"/>
          <w:szCs w:val="20"/>
        </w:rPr>
        <w:t xml:space="preserve"> </w:t>
      </w:r>
      <w:r w:rsidRPr="00FF0069">
        <w:rPr>
          <w:rFonts w:ascii="Barlow" w:hAnsi="Barlow" w:cs="Times New Roman"/>
          <w:sz w:val="20"/>
          <w:szCs w:val="20"/>
        </w:rPr>
        <w:t>y está integrado como se detalla más adelante.</w:t>
      </w:r>
    </w:p>
    <w:p w:rsidR="005140D0" w:rsidRPr="00FF0069" w:rsidRDefault="005140D0" w:rsidP="005140D0">
      <w:pPr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ab/>
        <w:t>CAJA GENERAL</w:t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</w:p>
    <w:p w:rsidR="005140D0" w:rsidRPr="00FF0069" w:rsidRDefault="009113F5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>Cuenta</w:t>
      </w:r>
      <w:r w:rsidRPr="00FF0069">
        <w:rPr>
          <w:rFonts w:ascii="Barlow" w:hAnsi="Barlow" w:cs="Times New Roman"/>
          <w:sz w:val="20"/>
          <w:szCs w:val="20"/>
        </w:rPr>
        <w:t xml:space="preserve"> Contable</w:t>
      </w:r>
      <w:r w:rsidRPr="00FF0069">
        <w:rPr>
          <w:rFonts w:ascii="Barlow" w:hAnsi="Barlow" w:cs="Times New Roman"/>
          <w:sz w:val="20"/>
          <w:szCs w:val="20"/>
        </w:rPr>
        <w:tab/>
      </w:r>
      <w:r w:rsidR="00926A55" w:rsidRPr="00FF0069">
        <w:rPr>
          <w:rFonts w:ascii="Barlow" w:hAnsi="Barlow" w:cs="Times New Roman"/>
          <w:sz w:val="20"/>
          <w:szCs w:val="20"/>
        </w:rPr>
        <w:t xml:space="preserve">                 </w:t>
      </w:r>
      <w:r w:rsidR="005140D0" w:rsidRPr="00FF0069">
        <w:rPr>
          <w:rFonts w:ascii="Barlow" w:hAnsi="Barlow" w:cs="Times New Roman"/>
          <w:sz w:val="20"/>
          <w:szCs w:val="20"/>
        </w:rPr>
        <w:t>Responsable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1074E3" w:rsidRPr="00FF0069">
        <w:rPr>
          <w:rFonts w:ascii="Barlow" w:hAnsi="Barlow" w:cs="Times New Roman"/>
          <w:sz w:val="20"/>
          <w:szCs w:val="20"/>
        </w:rPr>
        <w:t xml:space="preserve">                                    </w:t>
      </w:r>
      <w:r w:rsidRPr="00FF0069">
        <w:rPr>
          <w:rFonts w:ascii="Barlow" w:hAnsi="Barlow" w:cs="Times New Roman"/>
          <w:sz w:val="20"/>
          <w:szCs w:val="20"/>
        </w:rPr>
        <w:t>Importe</w:t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9113F5" w:rsidRPr="00FF0069" w:rsidRDefault="009113F5" w:rsidP="009113F5">
      <w:pPr>
        <w:ind w:left="705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1-1-1-1-0-0001   </w:t>
      </w:r>
      <w:r w:rsidR="00987A95" w:rsidRPr="00FF0069">
        <w:rPr>
          <w:rFonts w:ascii="Barlow" w:hAnsi="Barlow" w:cs="Times New Roman"/>
          <w:sz w:val="20"/>
          <w:szCs w:val="20"/>
        </w:rPr>
        <w:t xml:space="preserve">            </w:t>
      </w:r>
      <w:r w:rsidRPr="00FF0069">
        <w:rPr>
          <w:rFonts w:ascii="Barlow" w:hAnsi="Barlow" w:cs="Times New Roman"/>
          <w:sz w:val="20"/>
          <w:szCs w:val="20"/>
        </w:rPr>
        <w:t xml:space="preserve">   </w:t>
      </w:r>
      <w:r w:rsidR="00717A83" w:rsidRPr="00FF0069">
        <w:rPr>
          <w:rFonts w:ascii="Barlow" w:hAnsi="Barlow" w:cs="Times New Roman"/>
          <w:sz w:val="20"/>
          <w:szCs w:val="20"/>
        </w:rPr>
        <w:t>L.C.A</w:t>
      </w:r>
      <w:r w:rsidR="00E21A9E" w:rsidRPr="00FF0069">
        <w:rPr>
          <w:rFonts w:ascii="Barlow" w:hAnsi="Barlow" w:cs="Times New Roman"/>
          <w:sz w:val="20"/>
          <w:szCs w:val="20"/>
        </w:rPr>
        <w:t>.</w:t>
      </w:r>
      <w:r w:rsidR="001074E3" w:rsidRPr="00FF0069">
        <w:rPr>
          <w:rFonts w:ascii="Barlow" w:hAnsi="Barlow" w:cs="Times New Roman"/>
          <w:sz w:val="20"/>
          <w:szCs w:val="20"/>
        </w:rPr>
        <w:t xml:space="preserve"> Juan </w:t>
      </w:r>
      <w:r w:rsidR="00717A83" w:rsidRPr="00FF0069">
        <w:rPr>
          <w:rFonts w:ascii="Barlow" w:hAnsi="Barlow" w:cs="Times New Roman"/>
          <w:sz w:val="20"/>
          <w:szCs w:val="20"/>
        </w:rPr>
        <w:t>José Uicab López</w:t>
      </w:r>
      <w:r w:rsidR="00211BEC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ab/>
        <w:t xml:space="preserve"> </w:t>
      </w:r>
      <w:r w:rsidR="001074E3" w:rsidRPr="00FF0069">
        <w:rPr>
          <w:rFonts w:ascii="Barlow" w:hAnsi="Barlow" w:cs="Times New Roman"/>
          <w:sz w:val="20"/>
          <w:szCs w:val="20"/>
        </w:rPr>
        <w:t>$</w:t>
      </w:r>
      <w:r w:rsidR="00211BEC">
        <w:rPr>
          <w:rFonts w:ascii="Barlow" w:hAnsi="Barlow" w:cs="Times New Roman"/>
          <w:sz w:val="20"/>
          <w:szCs w:val="20"/>
        </w:rPr>
        <w:t xml:space="preserve"> </w:t>
      </w:r>
      <w:r w:rsidR="00F4332F" w:rsidRPr="00FF0069">
        <w:rPr>
          <w:rFonts w:ascii="Barlow" w:hAnsi="Barlow" w:cs="Times New Roman"/>
          <w:sz w:val="20"/>
          <w:szCs w:val="20"/>
        </w:rPr>
        <w:t>00.00</w:t>
      </w:r>
    </w:p>
    <w:p w:rsidR="009113F5" w:rsidRPr="00FF0069" w:rsidRDefault="009113F5" w:rsidP="009113F5">
      <w:pPr>
        <w:ind w:left="705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>FONFO FIJO</w:t>
      </w:r>
    </w:p>
    <w:p w:rsidR="009113F5" w:rsidRPr="00FF0069" w:rsidRDefault="009113F5" w:rsidP="00987A95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Cuenta Contable</w:t>
      </w:r>
      <w:r w:rsidRPr="00FF0069">
        <w:rPr>
          <w:rFonts w:ascii="Barlow" w:hAnsi="Barlow" w:cs="Times New Roman"/>
          <w:sz w:val="20"/>
          <w:szCs w:val="20"/>
        </w:rPr>
        <w:tab/>
        <w:t xml:space="preserve">                 Responsable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  <w:t xml:space="preserve">                                    Importe</w:t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FF0069" w:rsidRDefault="009113F5" w:rsidP="007C4683">
      <w:pPr>
        <w:ind w:left="705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1-1-1-1-0-0002     </w:t>
      </w:r>
      <w:r w:rsidR="00987A95" w:rsidRPr="00FF0069">
        <w:rPr>
          <w:rFonts w:ascii="Barlow" w:hAnsi="Barlow" w:cs="Times New Roman"/>
          <w:sz w:val="20"/>
          <w:szCs w:val="20"/>
        </w:rPr>
        <w:t xml:space="preserve">            </w:t>
      </w:r>
      <w:r w:rsidRPr="00FF0069">
        <w:rPr>
          <w:rFonts w:ascii="Barlow" w:hAnsi="Barlow" w:cs="Times New Roman"/>
          <w:sz w:val="20"/>
          <w:szCs w:val="20"/>
        </w:rPr>
        <w:t xml:space="preserve"> </w:t>
      </w:r>
      <w:r w:rsidR="00717A83" w:rsidRPr="00FF0069">
        <w:rPr>
          <w:rFonts w:ascii="Barlow" w:hAnsi="Barlow" w:cs="Times New Roman"/>
          <w:sz w:val="20"/>
          <w:szCs w:val="20"/>
        </w:rPr>
        <w:t>L.C.A</w:t>
      </w:r>
      <w:r w:rsidR="00E21A9E" w:rsidRPr="00FF0069">
        <w:rPr>
          <w:rFonts w:ascii="Barlow" w:hAnsi="Barlow" w:cs="Times New Roman"/>
          <w:sz w:val="20"/>
          <w:szCs w:val="20"/>
        </w:rPr>
        <w:t>.</w:t>
      </w:r>
      <w:r w:rsidR="00717A83" w:rsidRPr="00FF0069">
        <w:rPr>
          <w:rFonts w:ascii="Barlow" w:hAnsi="Barlow" w:cs="Times New Roman"/>
          <w:sz w:val="20"/>
          <w:szCs w:val="20"/>
        </w:rPr>
        <w:t xml:space="preserve"> Juan José Uicab López</w:t>
      </w:r>
      <w:r w:rsidR="00445EC2">
        <w:rPr>
          <w:rFonts w:ascii="Barlow" w:hAnsi="Barlow" w:cs="Times New Roman"/>
          <w:sz w:val="20"/>
          <w:szCs w:val="20"/>
        </w:rPr>
        <w:tab/>
      </w:r>
      <w:r w:rsidR="00445EC2">
        <w:rPr>
          <w:rFonts w:ascii="Barlow" w:hAnsi="Barlow" w:cs="Times New Roman"/>
          <w:sz w:val="20"/>
          <w:szCs w:val="20"/>
        </w:rPr>
        <w:tab/>
      </w:r>
      <w:r w:rsidR="00445EC2">
        <w:rPr>
          <w:rFonts w:ascii="Barlow" w:hAnsi="Barlow" w:cs="Times New Roman"/>
          <w:sz w:val="20"/>
          <w:szCs w:val="20"/>
        </w:rPr>
        <w:tab/>
      </w:r>
      <w:r w:rsidR="00445EC2">
        <w:rPr>
          <w:rFonts w:ascii="Barlow" w:hAnsi="Barlow" w:cs="Times New Roman"/>
          <w:sz w:val="20"/>
          <w:szCs w:val="20"/>
        </w:rPr>
        <w:tab/>
      </w:r>
      <w:r w:rsidR="00445EC2">
        <w:rPr>
          <w:rFonts w:ascii="Barlow" w:hAnsi="Barlow" w:cs="Times New Roman"/>
          <w:sz w:val="20"/>
          <w:szCs w:val="20"/>
        </w:rPr>
        <w:tab/>
        <w:t xml:space="preserve"> </w:t>
      </w:r>
      <w:r w:rsidR="00445EC2" w:rsidRPr="00FF0069">
        <w:rPr>
          <w:rFonts w:ascii="Barlow" w:hAnsi="Barlow" w:cs="Times New Roman"/>
          <w:sz w:val="20"/>
          <w:szCs w:val="20"/>
        </w:rPr>
        <w:t>$</w:t>
      </w:r>
      <w:r w:rsidR="00445EC2">
        <w:rPr>
          <w:rFonts w:ascii="Barlow" w:hAnsi="Barlow" w:cs="Times New Roman"/>
          <w:sz w:val="20"/>
          <w:szCs w:val="20"/>
        </w:rPr>
        <w:t xml:space="preserve"> </w:t>
      </w:r>
      <w:r w:rsidR="00445EC2" w:rsidRPr="00FF0069">
        <w:rPr>
          <w:rFonts w:ascii="Barlow" w:hAnsi="Barlow" w:cs="Times New Roman"/>
          <w:sz w:val="20"/>
          <w:szCs w:val="20"/>
        </w:rPr>
        <w:t>00.00</w:t>
      </w:r>
    </w:p>
    <w:p w:rsidR="007C4683" w:rsidRDefault="007C4683" w:rsidP="007C4683">
      <w:pPr>
        <w:ind w:left="705"/>
        <w:rPr>
          <w:rFonts w:ascii="Barlow" w:hAnsi="Barlow" w:cs="Times New Roman"/>
          <w:sz w:val="20"/>
          <w:szCs w:val="20"/>
        </w:rPr>
      </w:pPr>
    </w:p>
    <w:p w:rsidR="009113F5" w:rsidRPr="00FF0069" w:rsidRDefault="009113F5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Así mismo este rubro está integrado por las cuentas bancarias.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5140D0">
      <w:pPr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lastRenderedPageBreak/>
        <w:tab/>
        <w:t>CUENTAS DE CHEQUES</w:t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  <w:r w:rsidRPr="00FF0069">
        <w:rPr>
          <w:rFonts w:ascii="Barlow" w:hAnsi="Barlow" w:cs="Times New Roman"/>
          <w:b/>
          <w:sz w:val="20"/>
          <w:szCs w:val="20"/>
        </w:rPr>
        <w:tab/>
      </w:r>
    </w:p>
    <w:p w:rsidR="005140D0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No. Cuenta</w:t>
      </w:r>
      <w:r w:rsidRPr="00FF0069">
        <w:rPr>
          <w:rFonts w:ascii="Barlow" w:hAnsi="Barlow" w:cs="Times New Roman"/>
          <w:sz w:val="20"/>
          <w:szCs w:val="20"/>
        </w:rPr>
        <w:tab/>
        <w:t>Banco</w:t>
      </w:r>
      <w:r w:rsidRPr="00FF0069">
        <w:rPr>
          <w:rFonts w:ascii="Barlow" w:hAnsi="Barlow" w:cs="Times New Roman"/>
          <w:sz w:val="20"/>
          <w:szCs w:val="20"/>
        </w:rPr>
        <w:tab/>
      </w:r>
      <w:r w:rsidR="009113F5" w:rsidRPr="00FF0069">
        <w:rPr>
          <w:rFonts w:ascii="Barlow" w:hAnsi="Barlow" w:cs="Times New Roman"/>
          <w:sz w:val="20"/>
          <w:szCs w:val="20"/>
        </w:rPr>
        <w:t xml:space="preserve">             </w:t>
      </w:r>
      <w:r w:rsidRPr="00FF0069">
        <w:rPr>
          <w:rFonts w:ascii="Barlow" w:hAnsi="Barlow" w:cs="Times New Roman"/>
          <w:sz w:val="20"/>
          <w:szCs w:val="20"/>
        </w:rPr>
        <w:t>Programa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="001074E3" w:rsidRPr="00FF0069">
        <w:rPr>
          <w:rFonts w:ascii="Barlow" w:hAnsi="Barlow" w:cs="Times New Roman"/>
          <w:sz w:val="20"/>
          <w:szCs w:val="20"/>
        </w:rPr>
        <w:tab/>
      </w:r>
      <w:r w:rsidR="001074E3" w:rsidRPr="00FF0069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ab/>
      </w:r>
      <w:r w:rsidR="001074E3" w:rsidRPr="00FF0069">
        <w:rPr>
          <w:rFonts w:ascii="Barlow" w:hAnsi="Barlow" w:cs="Times New Roman"/>
          <w:sz w:val="20"/>
          <w:szCs w:val="20"/>
        </w:rPr>
        <w:t>Importe</w:t>
      </w:r>
      <w:r w:rsidR="001074E3" w:rsidRPr="00FF0069">
        <w:rPr>
          <w:rFonts w:ascii="Barlow" w:hAnsi="Barlow" w:cs="Times New Roman"/>
          <w:sz w:val="20"/>
          <w:szCs w:val="20"/>
        </w:rPr>
        <w:tab/>
      </w:r>
    </w:p>
    <w:p w:rsidR="00337439" w:rsidRDefault="00441FFD" w:rsidP="00337439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1052398565</w:t>
      </w:r>
      <w:r w:rsidRPr="00FF0069">
        <w:rPr>
          <w:rFonts w:ascii="Barlow" w:hAnsi="Barlow" w:cs="Times New Roman"/>
          <w:sz w:val="20"/>
          <w:szCs w:val="20"/>
        </w:rPr>
        <w:tab/>
        <w:t xml:space="preserve">Banorte </w:t>
      </w:r>
      <w:r w:rsidRPr="00FF0069">
        <w:rPr>
          <w:rFonts w:ascii="Barlow" w:hAnsi="Barlow" w:cs="Times New Roman"/>
          <w:sz w:val="20"/>
          <w:szCs w:val="20"/>
        </w:rPr>
        <w:tab/>
        <w:t>Presupuesto Estat</w:t>
      </w:r>
      <w:r w:rsidR="00036ECC">
        <w:rPr>
          <w:rFonts w:ascii="Barlow" w:hAnsi="Barlow" w:cs="Times New Roman"/>
          <w:sz w:val="20"/>
          <w:szCs w:val="20"/>
        </w:rPr>
        <w:t>al</w:t>
      </w:r>
      <w:r w:rsidR="00036ECC">
        <w:rPr>
          <w:rFonts w:ascii="Barlow" w:hAnsi="Barlow" w:cs="Times New Roman"/>
          <w:sz w:val="20"/>
          <w:szCs w:val="20"/>
        </w:rPr>
        <w:tab/>
      </w:r>
      <w:r w:rsidR="00036ECC">
        <w:rPr>
          <w:rFonts w:ascii="Barlow" w:hAnsi="Barlow" w:cs="Times New Roman"/>
          <w:sz w:val="20"/>
          <w:szCs w:val="20"/>
        </w:rPr>
        <w:tab/>
      </w:r>
      <w:r w:rsidR="00036ECC">
        <w:rPr>
          <w:rFonts w:ascii="Barlow" w:hAnsi="Barlow" w:cs="Times New Roman"/>
          <w:sz w:val="20"/>
          <w:szCs w:val="20"/>
        </w:rPr>
        <w:tab/>
      </w:r>
      <w:r w:rsidR="00036ECC">
        <w:rPr>
          <w:rFonts w:ascii="Barlow" w:hAnsi="Barlow" w:cs="Times New Roman"/>
          <w:sz w:val="20"/>
          <w:szCs w:val="20"/>
        </w:rPr>
        <w:tab/>
      </w:r>
      <w:r w:rsidR="00036ECC">
        <w:rPr>
          <w:rFonts w:ascii="Barlow" w:hAnsi="Barlow" w:cs="Times New Roman"/>
          <w:sz w:val="20"/>
          <w:szCs w:val="20"/>
        </w:rPr>
        <w:tab/>
        <w:t xml:space="preserve">   </w:t>
      </w:r>
      <w:r w:rsidR="00065448">
        <w:rPr>
          <w:rFonts w:ascii="Barlow" w:hAnsi="Barlow" w:cs="Times New Roman"/>
          <w:sz w:val="20"/>
          <w:szCs w:val="20"/>
        </w:rPr>
        <w:t xml:space="preserve"> </w:t>
      </w:r>
      <w:r w:rsidR="00065448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>$</w:t>
      </w:r>
      <w:r w:rsidR="00036ECC">
        <w:rPr>
          <w:rFonts w:ascii="Barlow" w:hAnsi="Barlow" w:cs="Times New Roman"/>
          <w:sz w:val="20"/>
          <w:szCs w:val="20"/>
        </w:rPr>
        <w:t xml:space="preserve"> </w:t>
      </w:r>
      <w:r w:rsidR="00065448">
        <w:rPr>
          <w:rFonts w:ascii="Barlow" w:hAnsi="Barlow" w:cs="Times New Roman"/>
          <w:sz w:val="20"/>
          <w:szCs w:val="20"/>
        </w:rPr>
        <w:t>00.00</w:t>
      </w:r>
      <w:r w:rsidRPr="00FF0069">
        <w:rPr>
          <w:rFonts w:ascii="Barlow" w:hAnsi="Barlow" w:cs="Times New Roman"/>
          <w:sz w:val="20"/>
          <w:szCs w:val="20"/>
        </w:rPr>
        <w:br/>
        <w:t xml:space="preserve">     </w:t>
      </w:r>
      <w:r w:rsidRPr="00FF0069">
        <w:rPr>
          <w:rFonts w:ascii="Barlow" w:hAnsi="Barlow" w:cs="Times New Roman"/>
          <w:sz w:val="20"/>
          <w:szCs w:val="20"/>
        </w:rPr>
        <w:tab/>
        <w:t>1052422732</w:t>
      </w:r>
      <w:r w:rsidRPr="00FF0069">
        <w:rPr>
          <w:rFonts w:ascii="Barlow" w:hAnsi="Barlow" w:cs="Times New Roman"/>
          <w:sz w:val="20"/>
          <w:szCs w:val="20"/>
        </w:rPr>
        <w:tab/>
        <w:t xml:space="preserve">Banorte </w:t>
      </w:r>
      <w:r w:rsidRPr="00FF0069">
        <w:rPr>
          <w:rFonts w:ascii="Barlow" w:hAnsi="Barlow" w:cs="Times New Roman"/>
          <w:sz w:val="20"/>
          <w:szCs w:val="20"/>
        </w:rPr>
        <w:tab/>
        <w:t>Presupuesto cuotas</w:t>
      </w:r>
      <w:r w:rsidR="00036ECC">
        <w:rPr>
          <w:rFonts w:ascii="Barlow" w:hAnsi="Barlow" w:cs="Times New Roman"/>
          <w:sz w:val="20"/>
          <w:szCs w:val="20"/>
        </w:rPr>
        <w:t xml:space="preserve"> de recuperación             </w:t>
      </w:r>
      <w:r w:rsidR="00211BEC">
        <w:rPr>
          <w:rFonts w:ascii="Barlow" w:hAnsi="Barlow" w:cs="Times New Roman"/>
          <w:sz w:val="20"/>
          <w:szCs w:val="20"/>
        </w:rPr>
        <w:t xml:space="preserve"> </w:t>
      </w:r>
      <w:r w:rsidR="00065448">
        <w:rPr>
          <w:rFonts w:ascii="Barlow" w:hAnsi="Barlow" w:cs="Times New Roman"/>
          <w:sz w:val="20"/>
          <w:szCs w:val="20"/>
        </w:rPr>
        <w:t xml:space="preserve"> </w:t>
      </w:r>
      <w:r w:rsidR="007C4683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>$</w:t>
      </w:r>
      <w:r w:rsidR="00211BEC">
        <w:rPr>
          <w:rFonts w:ascii="Barlow" w:hAnsi="Barlow"/>
          <w:sz w:val="20"/>
          <w:szCs w:val="20"/>
        </w:rPr>
        <w:t xml:space="preserve"> </w:t>
      </w:r>
      <w:r w:rsidR="007C4683">
        <w:rPr>
          <w:rFonts w:ascii="Barlow" w:hAnsi="Barlow" w:cs="Times New Roman"/>
          <w:sz w:val="20"/>
          <w:szCs w:val="20"/>
        </w:rPr>
        <w:t>0</w:t>
      </w:r>
      <w:r w:rsidR="00065448">
        <w:rPr>
          <w:rFonts w:ascii="Barlow" w:hAnsi="Barlow" w:cs="Times New Roman"/>
          <w:sz w:val="20"/>
          <w:szCs w:val="20"/>
        </w:rPr>
        <w:t>0.00</w:t>
      </w:r>
      <w:r w:rsidRPr="00FF0069">
        <w:rPr>
          <w:rFonts w:ascii="Barlow" w:hAnsi="Barlow" w:cs="Times New Roman"/>
          <w:sz w:val="20"/>
          <w:szCs w:val="20"/>
        </w:rPr>
        <w:br/>
        <w:t xml:space="preserve">     </w:t>
      </w:r>
      <w:r w:rsidRPr="00FF0069">
        <w:rPr>
          <w:rFonts w:ascii="Barlow" w:hAnsi="Barlow" w:cs="Times New Roman"/>
          <w:sz w:val="20"/>
          <w:szCs w:val="20"/>
        </w:rPr>
        <w:tab/>
        <w:t>1077527836</w:t>
      </w:r>
      <w:r w:rsidRPr="00FF0069">
        <w:rPr>
          <w:rFonts w:ascii="Barlow" w:hAnsi="Barlow" w:cs="Times New Roman"/>
          <w:sz w:val="20"/>
          <w:szCs w:val="20"/>
        </w:rPr>
        <w:tab/>
        <w:t xml:space="preserve">Banorte </w:t>
      </w:r>
      <w:r w:rsidRPr="00FF0069">
        <w:rPr>
          <w:rFonts w:ascii="Barlow" w:hAnsi="Barlow" w:cs="Times New Roman"/>
          <w:sz w:val="20"/>
          <w:szCs w:val="20"/>
        </w:rPr>
        <w:tab/>
        <w:t>Presupuesto Estatal</w:t>
      </w:r>
      <w:r w:rsidR="007C4683">
        <w:rPr>
          <w:rFonts w:ascii="Barlow" w:hAnsi="Barlow" w:cs="Times New Roman"/>
          <w:sz w:val="20"/>
          <w:szCs w:val="20"/>
        </w:rPr>
        <w:t xml:space="preserve"> Fuente Finan 01</w:t>
      </w:r>
      <w:r w:rsidR="00337439">
        <w:rPr>
          <w:rFonts w:ascii="Barlow" w:hAnsi="Barlow" w:cs="Times New Roman"/>
          <w:sz w:val="20"/>
          <w:szCs w:val="20"/>
        </w:rPr>
        <w:t xml:space="preserve"> (2019)</w:t>
      </w:r>
      <w:r w:rsidR="007C4683">
        <w:rPr>
          <w:rFonts w:ascii="Barlow" w:hAnsi="Barlow" w:cs="Times New Roman"/>
          <w:sz w:val="20"/>
          <w:szCs w:val="20"/>
        </w:rPr>
        <w:tab/>
        <w:t xml:space="preserve">  </w:t>
      </w:r>
      <w:r w:rsidRPr="00FF0069">
        <w:rPr>
          <w:rFonts w:ascii="Barlow" w:hAnsi="Barlow" w:cs="Times New Roman"/>
          <w:sz w:val="20"/>
          <w:szCs w:val="20"/>
        </w:rPr>
        <w:t>$</w:t>
      </w:r>
      <w:r w:rsidRPr="00FF0069">
        <w:rPr>
          <w:rFonts w:ascii="Barlow" w:hAnsi="Barlow"/>
          <w:sz w:val="20"/>
          <w:szCs w:val="20"/>
        </w:rPr>
        <w:t xml:space="preserve"> </w:t>
      </w:r>
      <w:r w:rsidR="00270552" w:rsidRPr="00270552">
        <w:rPr>
          <w:rFonts w:ascii="Barlow" w:hAnsi="Barlow" w:cs="Times New Roman"/>
          <w:sz w:val="20"/>
          <w:szCs w:val="20"/>
        </w:rPr>
        <w:t>31,474.85</w:t>
      </w:r>
      <w:r w:rsidR="00894E45">
        <w:rPr>
          <w:rFonts w:ascii="Barlow" w:hAnsi="Barlow" w:cs="Times New Roman"/>
          <w:sz w:val="20"/>
          <w:szCs w:val="20"/>
        </w:rPr>
        <w:br/>
      </w:r>
      <w:r w:rsidR="00894E45">
        <w:rPr>
          <w:rFonts w:ascii="Barlow" w:hAnsi="Barlow" w:cs="Times New Roman"/>
          <w:sz w:val="20"/>
          <w:szCs w:val="20"/>
        </w:rPr>
        <w:tab/>
      </w:r>
      <w:r w:rsidR="007E2F7E">
        <w:rPr>
          <w:rFonts w:ascii="Barlow" w:hAnsi="Barlow" w:cs="Times New Roman"/>
          <w:sz w:val="20"/>
          <w:szCs w:val="20"/>
        </w:rPr>
        <w:t>1096876973</w:t>
      </w:r>
      <w:r w:rsidR="00894E45" w:rsidRPr="00FF0069">
        <w:rPr>
          <w:rFonts w:ascii="Barlow" w:hAnsi="Barlow" w:cs="Times New Roman"/>
          <w:sz w:val="20"/>
          <w:szCs w:val="20"/>
        </w:rPr>
        <w:tab/>
      </w:r>
      <w:r w:rsidR="007E2F7E">
        <w:rPr>
          <w:rFonts w:ascii="Barlow" w:hAnsi="Barlow" w:cs="Times New Roman"/>
          <w:sz w:val="20"/>
          <w:szCs w:val="20"/>
        </w:rPr>
        <w:t>Banorte</w:t>
      </w:r>
      <w:r w:rsidR="00894E45" w:rsidRPr="00FF0069">
        <w:rPr>
          <w:rFonts w:ascii="Barlow" w:hAnsi="Barlow" w:cs="Times New Roman"/>
          <w:sz w:val="20"/>
          <w:szCs w:val="20"/>
        </w:rPr>
        <w:t xml:space="preserve"> </w:t>
      </w:r>
      <w:r w:rsidR="00894E45" w:rsidRPr="00FF0069">
        <w:rPr>
          <w:rFonts w:ascii="Barlow" w:hAnsi="Barlow" w:cs="Times New Roman"/>
          <w:sz w:val="20"/>
          <w:szCs w:val="20"/>
        </w:rPr>
        <w:tab/>
        <w:t>Presupuesto Estatal</w:t>
      </w:r>
      <w:r w:rsidR="00036ECC">
        <w:rPr>
          <w:rFonts w:ascii="Barlow" w:hAnsi="Barlow" w:cs="Times New Roman"/>
          <w:sz w:val="20"/>
          <w:szCs w:val="20"/>
        </w:rPr>
        <w:t xml:space="preserve"> Fuente Finan </w:t>
      </w:r>
      <w:r w:rsidR="00894E45">
        <w:rPr>
          <w:rFonts w:ascii="Barlow" w:hAnsi="Barlow" w:cs="Times New Roman"/>
          <w:sz w:val="20"/>
          <w:szCs w:val="20"/>
        </w:rPr>
        <w:t>1</w:t>
      </w:r>
      <w:r w:rsidR="00036ECC">
        <w:rPr>
          <w:rFonts w:ascii="Barlow" w:hAnsi="Barlow" w:cs="Times New Roman"/>
          <w:sz w:val="20"/>
          <w:szCs w:val="20"/>
        </w:rPr>
        <w:t xml:space="preserve"> </w:t>
      </w:r>
      <w:r w:rsidR="00DD68A8">
        <w:rPr>
          <w:rFonts w:ascii="Barlow" w:hAnsi="Barlow" w:cs="Times New Roman"/>
          <w:sz w:val="20"/>
          <w:szCs w:val="20"/>
        </w:rPr>
        <w:t>(2020)</w:t>
      </w:r>
      <w:r w:rsidR="00DD68A8">
        <w:rPr>
          <w:rFonts w:ascii="Barlow" w:hAnsi="Barlow" w:cs="Times New Roman"/>
          <w:sz w:val="20"/>
          <w:szCs w:val="20"/>
        </w:rPr>
        <w:tab/>
      </w:r>
      <w:r w:rsidR="00DD68A8">
        <w:rPr>
          <w:rFonts w:ascii="Barlow" w:hAnsi="Barlow" w:cs="Times New Roman"/>
          <w:sz w:val="20"/>
          <w:szCs w:val="20"/>
        </w:rPr>
        <w:tab/>
        <w:t xml:space="preserve">     </w:t>
      </w:r>
      <w:r w:rsidR="00894E45" w:rsidRPr="00FF0069">
        <w:rPr>
          <w:rFonts w:ascii="Barlow" w:hAnsi="Barlow" w:cs="Times New Roman"/>
          <w:sz w:val="20"/>
          <w:szCs w:val="20"/>
        </w:rPr>
        <w:t>$</w:t>
      </w:r>
      <w:r w:rsidR="00894E45" w:rsidRPr="00FF0069">
        <w:rPr>
          <w:rFonts w:ascii="Barlow" w:hAnsi="Barlow"/>
          <w:sz w:val="20"/>
          <w:szCs w:val="20"/>
        </w:rPr>
        <w:t xml:space="preserve"> </w:t>
      </w:r>
      <w:r w:rsidR="00DD68A8" w:rsidRPr="00DD68A8">
        <w:rPr>
          <w:rFonts w:ascii="Barlow" w:hAnsi="Barlow" w:cs="Times New Roman"/>
          <w:sz w:val="20"/>
          <w:szCs w:val="20"/>
        </w:rPr>
        <w:t>144.80</w:t>
      </w:r>
      <w:r w:rsidR="007E2F7E">
        <w:rPr>
          <w:rFonts w:ascii="Barlow" w:hAnsi="Barlow" w:cs="Times New Roman"/>
          <w:sz w:val="20"/>
          <w:szCs w:val="20"/>
        </w:rPr>
        <w:br/>
      </w:r>
      <w:r w:rsidR="00337439" w:rsidRPr="00FF0069">
        <w:rPr>
          <w:rFonts w:ascii="Barlow" w:hAnsi="Barlow" w:cs="Times New Roman"/>
          <w:sz w:val="20"/>
          <w:szCs w:val="20"/>
        </w:rPr>
        <w:t xml:space="preserve">     </w:t>
      </w:r>
      <w:r w:rsidR="00337439" w:rsidRPr="00FF0069">
        <w:rPr>
          <w:rFonts w:ascii="Barlow" w:hAnsi="Barlow" w:cs="Times New Roman"/>
          <w:sz w:val="20"/>
          <w:szCs w:val="20"/>
        </w:rPr>
        <w:tab/>
      </w:r>
      <w:r w:rsidR="00337439" w:rsidRPr="00337439">
        <w:rPr>
          <w:rFonts w:ascii="Barlow" w:hAnsi="Barlow" w:cs="Times New Roman"/>
          <w:sz w:val="20"/>
          <w:szCs w:val="20"/>
        </w:rPr>
        <w:t>1137295570</w:t>
      </w:r>
      <w:r w:rsidR="00337439" w:rsidRPr="00FF0069">
        <w:rPr>
          <w:rFonts w:ascii="Barlow" w:hAnsi="Barlow" w:cs="Times New Roman"/>
          <w:sz w:val="20"/>
          <w:szCs w:val="20"/>
        </w:rPr>
        <w:tab/>
        <w:t xml:space="preserve">Banorte </w:t>
      </w:r>
      <w:r w:rsidR="00337439" w:rsidRPr="00FF0069">
        <w:rPr>
          <w:rFonts w:ascii="Barlow" w:hAnsi="Barlow" w:cs="Times New Roman"/>
          <w:sz w:val="20"/>
          <w:szCs w:val="20"/>
        </w:rPr>
        <w:tab/>
        <w:t>Presupuesto Estatal</w:t>
      </w:r>
      <w:r w:rsidR="00270552">
        <w:rPr>
          <w:rFonts w:ascii="Barlow" w:hAnsi="Barlow" w:cs="Times New Roman"/>
          <w:sz w:val="20"/>
          <w:szCs w:val="20"/>
        </w:rPr>
        <w:t xml:space="preserve"> Fuente Finan 1 (2021)</w:t>
      </w:r>
      <w:r w:rsidR="00270552">
        <w:rPr>
          <w:rFonts w:ascii="Barlow" w:hAnsi="Barlow" w:cs="Times New Roman"/>
          <w:sz w:val="20"/>
          <w:szCs w:val="20"/>
        </w:rPr>
        <w:tab/>
      </w:r>
      <w:r w:rsidR="00270552">
        <w:rPr>
          <w:rFonts w:ascii="Barlow" w:hAnsi="Barlow" w:cs="Times New Roman"/>
          <w:sz w:val="20"/>
          <w:szCs w:val="20"/>
        </w:rPr>
        <w:tab/>
        <w:t xml:space="preserve">   </w:t>
      </w:r>
      <w:r w:rsidR="00337439" w:rsidRPr="00FF0069">
        <w:rPr>
          <w:rFonts w:ascii="Barlow" w:hAnsi="Barlow" w:cs="Times New Roman"/>
          <w:sz w:val="20"/>
          <w:szCs w:val="20"/>
        </w:rPr>
        <w:t>$</w:t>
      </w:r>
      <w:r w:rsidR="00337439" w:rsidRPr="00FF0069">
        <w:rPr>
          <w:rFonts w:ascii="Barlow" w:hAnsi="Barlow"/>
          <w:sz w:val="20"/>
          <w:szCs w:val="20"/>
        </w:rPr>
        <w:t xml:space="preserve"> </w:t>
      </w:r>
      <w:r w:rsidR="00270552" w:rsidRPr="00270552">
        <w:rPr>
          <w:rFonts w:ascii="Barlow" w:hAnsi="Barlow"/>
          <w:sz w:val="20"/>
          <w:szCs w:val="20"/>
        </w:rPr>
        <w:t>3,933.42</w:t>
      </w:r>
      <w:r w:rsidR="00337439">
        <w:rPr>
          <w:rFonts w:ascii="Barlow" w:hAnsi="Barlow" w:cs="Times New Roman"/>
          <w:sz w:val="20"/>
          <w:szCs w:val="20"/>
        </w:rPr>
        <w:br/>
      </w:r>
      <w:r w:rsidR="00337439">
        <w:rPr>
          <w:rFonts w:ascii="Barlow" w:hAnsi="Barlow" w:cs="Times New Roman"/>
          <w:sz w:val="20"/>
          <w:szCs w:val="20"/>
        </w:rPr>
        <w:tab/>
      </w:r>
      <w:r w:rsidR="00337439" w:rsidRPr="00337439">
        <w:rPr>
          <w:rFonts w:ascii="Barlow" w:hAnsi="Barlow" w:cs="Times New Roman"/>
          <w:sz w:val="20"/>
          <w:szCs w:val="20"/>
        </w:rPr>
        <w:t>1137355830</w:t>
      </w:r>
      <w:r w:rsidR="00337439" w:rsidRPr="00FF0069">
        <w:rPr>
          <w:rFonts w:ascii="Barlow" w:hAnsi="Barlow" w:cs="Times New Roman"/>
          <w:sz w:val="20"/>
          <w:szCs w:val="20"/>
        </w:rPr>
        <w:tab/>
      </w:r>
      <w:r w:rsidR="00337439">
        <w:rPr>
          <w:rFonts w:ascii="Barlow" w:hAnsi="Barlow" w:cs="Times New Roman"/>
          <w:sz w:val="20"/>
          <w:szCs w:val="20"/>
        </w:rPr>
        <w:t>Banorte</w:t>
      </w:r>
      <w:r w:rsidR="00337439" w:rsidRPr="00FF0069">
        <w:rPr>
          <w:rFonts w:ascii="Barlow" w:hAnsi="Barlow" w:cs="Times New Roman"/>
          <w:sz w:val="20"/>
          <w:szCs w:val="20"/>
        </w:rPr>
        <w:t xml:space="preserve"> </w:t>
      </w:r>
      <w:r w:rsidR="00337439" w:rsidRPr="00FF0069">
        <w:rPr>
          <w:rFonts w:ascii="Barlow" w:hAnsi="Barlow" w:cs="Times New Roman"/>
          <w:sz w:val="20"/>
          <w:szCs w:val="20"/>
        </w:rPr>
        <w:tab/>
        <w:t>Presupuesto Estatal</w:t>
      </w:r>
      <w:r w:rsidR="002B24F1">
        <w:rPr>
          <w:rFonts w:ascii="Barlow" w:hAnsi="Barlow" w:cs="Times New Roman"/>
          <w:sz w:val="20"/>
          <w:szCs w:val="20"/>
        </w:rPr>
        <w:t xml:space="preserve"> Fuente Finan 101 (2021)</w:t>
      </w:r>
      <w:r w:rsidR="002B24F1">
        <w:rPr>
          <w:rFonts w:ascii="Barlow" w:hAnsi="Barlow" w:cs="Times New Roman"/>
          <w:sz w:val="20"/>
          <w:szCs w:val="20"/>
        </w:rPr>
        <w:tab/>
        <w:t xml:space="preserve">  </w:t>
      </w:r>
      <w:r w:rsidR="00270552">
        <w:rPr>
          <w:rFonts w:ascii="Barlow" w:hAnsi="Barlow" w:cs="Times New Roman"/>
          <w:sz w:val="20"/>
          <w:szCs w:val="20"/>
        </w:rPr>
        <w:t xml:space="preserve"> </w:t>
      </w:r>
      <w:r w:rsidR="00337439" w:rsidRPr="00FF0069">
        <w:rPr>
          <w:rFonts w:ascii="Barlow" w:hAnsi="Barlow" w:cs="Times New Roman"/>
          <w:sz w:val="20"/>
          <w:szCs w:val="20"/>
        </w:rPr>
        <w:t>$</w:t>
      </w:r>
      <w:r w:rsidR="00337439" w:rsidRPr="00FF0069">
        <w:rPr>
          <w:rFonts w:ascii="Barlow" w:hAnsi="Barlow"/>
          <w:sz w:val="20"/>
          <w:szCs w:val="20"/>
        </w:rPr>
        <w:t xml:space="preserve"> </w:t>
      </w:r>
      <w:r w:rsidR="00270552" w:rsidRPr="00270552">
        <w:rPr>
          <w:rFonts w:ascii="Barlow" w:hAnsi="Barlow"/>
          <w:sz w:val="20"/>
          <w:szCs w:val="20"/>
        </w:rPr>
        <w:t>1,526.92</w:t>
      </w:r>
      <w:r w:rsidR="00337439">
        <w:rPr>
          <w:rFonts w:ascii="Barlow" w:hAnsi="Barlow" w:cs="Times New Roman"/>
          <w:sz w:val="20"/>
          <w:szCs w:val="20"/>
        </w:rPr>
        <w:br/>
      </w:r>
      <w:r w:rsidR="00337439">
        <w:rPr>
          <w:rFonts w:ascii="Barlow" w:hAnsi="Barlow" w:cs="Times New Roman"/>
          <w:sz w:val="20"/>
          <w:szCs w:val="20"/>
        </w:rPr>
        <w:tab/>
        <w:t>0114647726</w:t>
      </w:r>
      <w:r w:rsidR="00337439" w:rsidRPr="00FF0069">
        <w:rPr>
          <w:rFonts w:ascii="Barlow" w:hAnsi="Barlow" w:cs="Times New Roman"/>
          <w:sz w:val="20"/>
          <w:szCs w:val="20"/>
        </w:rPr>
        <w:tab/>
        <w:t>B</w:t>
      </w:r>
      <w:r w:rsidR="00337439">
        <w:rPr>
          <w:rFonts w:ascii="Barlow" w:hAnsi="Barlow" w:cs="Times New Roman"/>
          <w:sz w:val="20"/>
          <w:szCs w:val="20"/>
        </w:rPr>
        <w:t>ANCOMER</w:t>
      </w:r>
      <w:r w:rsidR="00337439" w:rsidRPr="00FF0069">
        <w:rPr>
          <w:rFonts w:ascii="Barlow" w:hAnsi="Barlow" w:cs="Times New Roman"/>
          <w:sz w:val="20"/>
          <w:szCs w:val="20"/>
        </w:rPr>
        <w:t xml:space="preserve"> </w:t>
      </w:r>
      <w:r w:rsidR="00337439" w:rsidRPr="00FF0069">
        <w:rPr>
          <w:rFonts w:ascii="Barlow" w:hAnsi="Barlow" w:cs="Times New Roman"/>
          <w:sz w:val="20"/>
          <w:szCs w:val="20"/>
        </w:rPr>
        <w:tab/>
        <w:t>Presupuesto Estatal</w:t>
      </w:r>
      <w:r w:rsidR="00337439">
        <w:rPr>
          <w:rFonts w:ascii="Barlow" w:hAnsi="Barlow" w:cs="Times New Roman"/>
          <w:sz w:val="20"/>
          <w:szCs w:val="20"/>
        </w:rPr>
        <w:t xml:space="preserve"> Fuente Finan 101 (2020)</w:t>
      </w:r>
      <w:r w:rsidR="00337439">
        <w:rPr>
          <w:rFonts w:ascii="Barlow" w:hAnsi="Barlow" w:cs="Times New Roman"/>
          <w:sz w:val="20"/>
          <w:szCs w:val="20"/>
        </w:rPr>
        <w:tab/>
      </w:r>
      <w:r w:rsidR="00DD68A8">
        <w:rPr>
          <w:rFonts w:ascii="Barlow" w:hAnsi="Barlow" w:cs="Times New Roman"/>
          <w:sz w:val="20"/>
          <w:szCs w:val="20"/>
        </w:rPr>
        <w:t xml:space="preserve"> </w:t>
      </w:r>
      <w:r w:rsidR="00337439">
        <w:rPr>
          <w:rFonts w:ascii="Barlow" w:hAnsi="Barlow" w:cs="Times New Roman"/>
          <w:sz w:val="20"/>
          <w:szCs w:val="20"/>
        </w:rPr>
        <w:t xml:space="preserve"> </w:t>
      </w:r>
      <w:r w:rsidR="00337439" w:rsidRPr="00FF0069">
        <w:rPr>
          <w:rFonts w:ascii="Barlow" w:hAnsi="Barlow" w:cs="Times New Roman"/>
          <w:sz w:val="20"/>
          <w:szCs w:val="20"/>
        </w:rPr>
        <w:t>$</w:t>
      </w:r>
      <w:r w:rsidR="00337439" w:rsidRPr="00FF0069">
        <w:rPr>
          <w:rFonts w:ascii="Barlow" w:hAnsi="Barlow"/>
          <w:sz w:val="20"/>
          <w:szCs w:val="20"/>
        </w:rPr>
        <w:t xml:space="preserve"> </w:t>
      </w:r>
      <w:r w:rsidR="00270552" w:rsidRPr="00270552">
        <w:rPr>
          <w:rFonts w:ascii="Barlow" w:hAnsi="Barlow" w:cs="Times New Roman"/>
          <w:sz w:val="20"/>
          <w:szCs w:val="20"/>
        </w:rPr>
        <w:t>37,079.22</w:t>
      </w:r>
    </w:p>
    <w:p w:rsidR="00441FFD" w:rsidRPr="00FF0069" w:rsidRDefault="00DD68A8" w:rsidP="00DD68A8">
      <w:pPr>
        <w:ind w:left="8496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t xml:space="preserve">    </w:t>
      </w:r>
      <w:r w:rsidR="002B24F1">
        <w:rPr>
          <w:rFonts w:ascii="Barlow" w:hAnsi="Barlow" w:cs="Times New Roman"/>
          <w:sz w:val="20"/>
          <w:szCs w:val="20"/>
        </w:rPr>
        <w:tab/>
      </w:r>
      <w:r w:rsidR="00270552">
        <w:rPr>
          <w:rFonts w:ascii="Barlow" w:hAnsi="Barlow" w:cs="Times New Roman"/>
          <w:sz w:val="20"/>
          <w:szCs w:val="20"/>
        </w:rPr>
        <w:t xml:space="preserve"> </w:t>
      </w:r>
      <w:r w:rsidR="002B24F1">
        <w:rPr>
          <w:rFonts w:ascii="Barlow" w:hAnsi="Barlow" w:cs="Times New Roman"/>
          <w:sz w:val="20"/>
          <w:szCs w:val="20"/>
        </w:rPr>
        <w:t xml:space="preserve"> </w:t>
      </w:r>
      <w:r w:rsidR="00441FFD" w:rsidRPr="00FF0069">
        <w:rPr>
          <w:rFonts w:ascii="Barlow" w:hAnsi="Barlow" w:cs="Times New Roman"/>
          <w:sz w:val="20"/>
          <w:szCs w:val="20"/>
        </w:rPr>
        <w:t>$</w:t>
      </w:r>
      <w:r w:rsidR="004C52CC">
        <w:rPr>
          <w:rFonts w:ascii="Barlow" w:hAnsi="Barlow" w:cs="Times New Roman"/>
          <w:sz w:val="20"/>
          <w:szCs w:val="20"/>
        </w:rPr>
        <w:t xml:space="preserve"> </w:t>
      </w:r>
      <w:r w:rsidR="00270552" w:rsidRPr="00270552">
        <w:rPr>
          <w:rFonts w:ascii="Barlow" w:hAnsi="Barlow" w:cs="Times New Roman"/>
          <w:sz w:val="20"/>
          <w:szCs w:val="20"/>
        </w:rPr>
        <w:t>74,159.21</w:t>
      </w:r>
    </w:p>
    <w:p w:rsidR="00C072C7" w:rsidRPr="00FF0069" w:rsidRDefault="00A1193D" w:rsidP="005140D0">
      <w:pPr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>TOTAL EFECTIVO Y EQUIVALENTES</w:t>
      </w:r>
      <w:r w:rsidR="00E05672" w:rsidRPr="00FF0069">
        <w:rPr>
          <w:rFonts w:ascii="Barlow" w:hAnsi="Barlow" w:cs="Times New Roman"/>
          <w:b/>
          <w:sz w:val="20"/>
          <w:szCs w:val="20"/>
        </w:rPr>
        <w:t xml:space="preserve"> </w:t>
      </w:r>
      <w:r w:rsidR="00F97FFC" w:rsidRPr="00FF0069">
        <w:rPr>
          <w:rFonts w:ascii="Barlow" w:hAnsi="Barlow" w:cs="Times New Roman"/>
          <w:b/>
          <w:sz w:val="20"/>
          <w:szCs w:val="20"/>
        </w:rPr>
        <w:t xml:space="preserve">    </w:t>
      </w:r>
      <w:r w:rsidR="0088659C" w:rsidRPr="00FF0069">
        <w:rPr>
          <w:rFonts w:ascii="Barlow" w:hAnsi="Barlow" w:cs="Times New Roman"/>
          <w:b/>
          <w:sz w:val="20"/>
          <w:szCs w:val="20"/>
        </w:rPr>
        <w:t xml:space="preserve"> </w:t>
      </w:r>
      <w:r w:rsidR="00BD2871" w:rsidRPr="00FF0069">
        <w:rPr>
          <w:rFonts w:ascii="Barlow" w:hAnsi="Barlow" w:cs="Times New Roman"/>
          <w:b/>
          <w:sz w:val="20"/>
          <w:szCs w:val="20"/>
        </w:rPr>
        <w:t xml:space="preserve">   </w:t>
      </w:r>
      <w:r w:rsidR="009113F5" w:rsidRPr="00FF0069">
        <w:rPr>
          <w:rFonts w:ascii="Barlow" w:hAnsi="Barlow" w:cs="Times New Roman"/>
          <w:b/>
          <w:sz w:val="20"/>
          <w:szCs w:val="20"/>
        </w:rPr>
        <w:t xml:space="preserve">             </w:t>
      </w:r>
      <w:r w:rsidR="00432D54" w:rsidRPr="00FF0069">
        <w:rPr>
          <w:rFonts w:ascii="Barlow" w:hAnsi="Barlow" w:cs="Times New Roman"/>
          <w:b/>
          <w:sz w:val="20"/>
          <w:szCs w:val="20"/>
        </w:rPr>
        <w:t xml:space="preserve">    </w:t>
      </w:r>
      <w:r w:rsidR="0088659C" w:rsidRPr="00FF0069">
        <w:rPr>
          <w:rFonts w:ascii="Barlow" w:hAnsi="Barlow" w:cs="Times New Roman"/>
          <w:b/>
          <w:sz w:val="20"/>
          <w:szCs w:val="20"/>
        </w:rPr>
        <w:t xml:space="preserve">                   </w:t>
      </w:r>
      <w:r w:rsidR="008F4E13">
        <w:rPr>
          <w:rFonts w:ascii="Barlow" w:hAnsi="Barlow" w:cs="Times New Roman"/>
          <w:b/>
          <w:sz w:val="20"/>
          <w:szCs w:val="20"/>
        </w:rPr>
        <w:t xml:space="preserve"> </w:t>
      </w:r>
      <w:r w:rsidR="002B24F1">
        <w:rPr>
          <w:rFonts w:ascii="Barlow" w:hAnsi="Barlow" w:cs="Times New Roman"/>
          <w:b/>
          <w:sz w:val="20"/>
          <w:szCs w:val="20"/>
        </w:rPr>
        <w:tab/>
      </w:r>
      <w:r w:rsidR="00270552">
        <w:rPr>
          <w:rFonts w:ascii="Barlow" w:hAnsi="Barlow" w:cs="Times New Roman"/>
          <w:b/>
          <w:sz w:val="20"/>
          <w:szCs w:val="20"/>
        </w:rPr>
        <w:t xml:space="preserve"> </w:t>
      </w:r>
      <w:r w:rsidR="002B24F1">
        <w:rPr>
          <w:rFonts w:ascii="Barlow" w:hAnsi="Barlow" w:cs="Times New Roman"/>
          <w:b/>
          <w:sz w:val="20"/>
          <w:szCs w:val="20"/>
        </w:rPr>
        <w:t xml:space="preserve"> </w:t>
      </w:r>
      <w:r w:rsidR="00DD68A8">
        <w:rPr>
          <w:rFonts w:ascii="Barlow" w:hAnsi="Barlow" w:cs="Times New Roman"/>
          <w:b/>
          <w:sz w:val="20"/>
          <w:szCs w:val="20"/>
        </w:rPr>
        <w:t xml:space="preserve">$ </w:t>
      </w:r>
      <w:r w:rsidR="00270552" w:rsidRPr="00270552">
        <w:rPr>
          <w:rFonts w:ascii="Barlow" w:hAnsi="Barlow" w:cs="Times New Roman"/>
          <w:b/>
          <w:sz w:val="20"/>
          <w:szCs w:val="20"/>
        </w:rPr>
        <w:t>74,159.21</w:t>
      </w:r>
      <w:r w:rsidR="005140D0" w:rsidRPr="00FF0069">
        <w:rPr>
          <w:rFonts w:ascii="Barlow" w:hAnsi="Barlow" w:cs="Times New Roman"/>
          <w:b/>
          <w:sz w:val="20"/>
          <w:szCs w:val="20"/>
        </w:rPr>
        <w:tab/>
      </w:r>
      <w:r w:rsidR="005140D0" w:rsidRPr="00FF0069">
        <w:rPr>
          <w:rFonts w:ascii="Barlow" w:hAnsi="Barlow" w:cs="Times New Roman"/>
          <w:b/>
          <w:sz w:val="20"/>
          <w:szCs w:val="20"/>
        </w:rPr>
        <w:tab/>
      </w:r>
    </w:p>
    <w:p w:rsidR="00991FEB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2</w:t>
      </w:r>
    </w:p>
    <w:p w:rsidR="005140D0" w:rsidRPr="00FF0069" w:rsidRDefault="00DD3CE0" w:rsidP="00991FEB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DERECHOS A RECIBOR </w:t>
      </w:r>
      <w:r w:rsidR="005140D0" w:rsidRPr="00FF0069">
        <w:rPr>
          <w:rFonts w:ascii="Barlow" w:hAnsi="Barlow" w:cs="Times New Roman"/>
          <w:sz w:val="20"/>
          <w:szCs w:val="20"/>
        </w:rPr>
        <w:t xml:space="preserve">EFECTIVO O </w:t>
      </w:r>
      <w:r w:rsidRPr="00FF0069">
        <w:rPr>
          <w:rFonts w:ascii="Barlow" w:hAnsi="Barlow" w:cs="Times New Roman"/>
          <w:sz w:val="20"/>
          <w:szCs w:val="20"/>
        </w:rPr>
        <w:t>EQUIVALENTES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211BEC" w:rsidRDefault="005140D0" w:rsidP="00727EE5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No. Cuenta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  <w:t>Nombre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 xml:space="preserve">                              </w:t>
      </w:r>
      <w:r w:rsidR="00402DC8" w:rsidRPr="00FF0069">
        <w:rPr>
          <w:rFonts w:ascii="Barlow" w:hAnsi="Barlow" w:cs="Times New Roman"/>
          <w:sz w:val="20"/>
          <w:szCs w:val="20"/>
        </w:rPr>
        <w:t xml:space="preserve">     </w:t>
      </w:r>
      <w:r w:rsidR="00211BEC">
        <w:rPr>
          <w:rFonts w:ascii="Barlow" w:hAnsi="Barlow" w:cs="Times New Roman"/>
          <w:sz w:val="20"/>
          <w:szCs w:val="20"/>
        </w:rPr>
        <w:t xml:space="preserve">  </w:t>
      </w:r>
      <w:r w:rsidRPr="00FF0069">
        <w:rPr>
          <w:rFonts w:ascii="Barlow" w:hAnsi="Barlow" w:cs="Times New Roman"/>
          <w:sz w:val="20"/>
          <w:szCs w:val="20"/>
        </w:rPr>
        <w:t>Importe</w:t>
      </w:r>
    </w:p>
    <w:p w:rsidR="007D7430" w:rsidRDefault="00AF40F1" w:rsidP="007D7430">
      <w:pPr>
        <w:ind w:firstLine="708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t>1-1-2-2</w:t>
      </w:r>
      <w:r w:rsidR="007D7430">
        <w:rPr>
          <w:rFonts w:ascii="Barlow" w:hAnsi="Barlow" w:cs="Times New Roman"/>
          <w:sz w:val="20"/>
          <w:szCs w:val="20"/>
        </w:rPr>
        <w:t>-0-0000</w:t>
      </w:r>
      <w:r w:rsidR="007D7430">
        <w:rPr>
          <w:rFonts w:ascii="Barlow" w:hAnsi="Barlow" w:cs="Times New Roman"/>
          <w:sz w:val="20"/>
          <w:szCs w:val="20"/>
        </w:rPr>
        <w:tab/>
      </w:r>
      <w:r w:rsidRPr="00AF40F1">
        <w:rPr>
          <w:rFonts w:ascii="Barlow" w:hAnsi="Barlow" w:cs="Times New Roman"/>
          <w:sz w:val="20"/>
          <w:szCs w:val="20"/>
        </w:rPr>
        <w:t>Cuentas por cobrar a corto plazo</w:t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  <w:t xml:space="preserve">    </w:t>
      </w:r>
      <w:r w:rsidR="00DA2FBE">
        <w:rPr>
          <w:rFonts w:ascii="Barlow" w:hAnsi="Barlow" w:cs="Times New Roman"/>
          <w:sz w:val="20"/>
          <w:szCs w:val="20"/>
        </w:rPr>
        <w:tab/>
        <w:t xml:space="preserve"> </w:t>
      </w:r>
      <w:r w:rsidR="007D7430" w:rsidRPr="00FF0069">
        <w:rPr>
          <w:rFonts w:ascii="Barlow" w:hAnsi="Barlow" w:cs="Times New Roman"/>
          <w:sz w:val="20"/>
          <w:szCs w:val="20"/>
        </w:rPr>
        <w:t>$</w:t>
      </w:r>
      <w:r w:rsidR="007D7430">
        <w:rPr>
          <w:rFonts w:ascii="Barlow" w:hAnsi="Barlow" w:cs="Times New Roman"/>
          <w:sz w:val="20"/>
          <w:szCs w:val="20"/>
        </w:rPr>
        <w:t xml:space="preserve"> </w:t>
      </w:r>
      <w:r w:rsidR="00DA2FBE">
        <w:rPr>
          <w:rFonts w:ascii="Barlow" w:hAnsi="Barlow" w:cs="Times New Roman"/>
          <w:sz w:val="20"/>
          <w:szCs w:val="20"/>
        </w:rPr>
        <w:t>00.00</w:t>
      </w:r>
    </w:p>
    <w:p w:rsidR="002E310F" w:rsidRDefault="008F4E13" w:rsidP="00211BEC">
      <w:pPr>
        <w:ind w:firstLine="708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t>1-1-2-3</w:t>
      </w:r>
      <w:r w:rsidR="00050703">
        <w:rPr>
          <w:rFonts w:ascii="Barlow" w:hAnsi="Barlow" w:cs="Times New Roman"/>
          <w:sz w:val="20"/>
          <w:szCs w:val="20"/>
        </w:rPr>
        <w:t>-0-0000</w:t>
      </w:r>
      <w:r w:rsidR="00211BEC"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>Deudores di</w:t>
      </w:r>
      <w:r w:rsidR="00AF40F1">
        <w:rPr>
          <w:rFonts w:ascii="Barlow" w:hAnsi="Barlow" w:cs="Times New Roman"/>
          <w:sz w:val="20"/>
          <w:szCs w:val="20"/>
        </w:rPr>
        <w:t>versos</w:t>
      </w:r>
      <w:r w:rsidR="00270552">
        <w:rPr>
          <w:rFonts w:ascii="Barlow" w:hAnsi="Barlow" w:cs="Times New Roman"/>
          <w:sz w:val="20"/>
          <w:szCs w:val="20"/>
        </w:rPr>
        <w:t xml:space="preserve"> por cobrar a corto plazo</w:t>
      </w:r>
      <w:r w:rsidR="00270552">
        <w:rPr>
          <w:rFonts w:ascii="Barlow" w:hAnsi="Barlow" w:cs="Times New Roman"/>
          <w:sz w:val="20"/>
          <w:szCs w:val="20"/>
        </w:rPr>
        <w:tab/>
      </w:r>
      <w:r w:rsidR="00270552">
        <w:rPr>
          <w:rFonts w:ascii="Barlow" w:hAnsi="Barlow" w:cs="Times New Roman"/>
          <w:sz w:val="20"/>
          <w:szCs w:val="20"/>
        </w:rPr>
        <w:tab/>
      </w:r>
      <w:r w:rsidR="00270552">
        <w:rPr>
          <w:rFonts w:ascii="Barlow" w:hAnsi="Barlow" w:cs="Times New Roman"/>
          <w:sz w:val="20"/>
          <w:szCs w:val="20"/>
        </w:rPr>
        <w:tab/>
        <w:t xml:space="preserve"> </w:t>
      </w:r>
      <w:r w:rsidR="00727EE5" w:rsidRPr="00FF0069">
        <w:rPr>
          <w:rFonts w:ascii="Barlow" w:hAnsi="Barlow" w:cs="Times New Roman"/>
          <w:sz w:val="20"/>
          <w:szCs w:val="20"/>
        </w:rPr>
        <w:t>$</w:t>
      </w:r>
      <w:r w:rsidR="00445EC2">
        <w:rPr>
          <w:rFonts w:ascii="Barlow" w:hAnsi="Barlow" w:cs="Times New Roman"/>
          <w:sz w:val="20"/>
          <w:szCs w:val="20"/>
        </w:rPr>
        <w:t xml:space="preserve"> </w:t>
      </w:r>
      <w:r w:rsidR="00270552">
        <w:rPr>
          <w:rFonts w:ascii="Barlow" w:hAnsi="Barlow" w:cs="Times New Roman"/>
          <w:sz w:val="20"/>
          <w:szCs w:val="20"/>
        </w:rPr>
        <w:t>00.00</w:t>
      </w:r>
    </w:p>
    <w:p w:rsidR="00AF40F1" w:rsidRPr="00FF0069" w:rsidRDefault="00AF40F1" w:rsidP="001740B5">
      <w:pPr>
        <w:rPr>
          <w:rFonts w:ascii="Barlow" w:hAnsi="Barlow" w:cs="Times New Roman"/>
          <w:sz w:val="20"/>
          <w:szCs w:val="20"/>
        </w:rPr>
      </w:pPr>
      <w:r w:rsidRPr="00AF40F1">
        <w:rPr>
          <w:rFonts w:ascii="Barlow" w:hAnsi="Barlow" w:cs="Times New Roman"/>
          <w:b/>
          <w:sz w:val="20"/>
          <w:szCs w:val="20"/>
        </w:rPr>
        <w:t>TOTAL DERECHOS A RECIBOR EFECTIVO O EQUIVALENTES</w:t>
      </w:r>
      <w:r w:rsidR="00270552">
        <w:rPr>
          <w:rFonts w:ascii="Barlow" w:hAnsi="Barlow" w:cs="Times New Roman"/>
          <w:b/>
          <w:sz w:val="20"/>
          <w:szCs w:val="20"/>
        </w:rPr>
        <w:tab/>
      </w:r>
      <w:r w:rsidR="00270552">
        <w:rPr>
          <w:rFonts w:ascii="Barlow" w:hAnsi="Barlow" w:cs="Times New Roman"/>
          <w:b/>
          <w:sz w:val="20"/>
          <w:szCs w:val="20"/>
        </w:rPr>
        <w:tab/>
      </w:r>
      <w:r w:rsidR="00270552">
        <w:rPr>
          <w:rFonts w:ascii="Barlow" w:hAnsi="Barlow" w:cs="Times New Roman"/>
          <w:b/>
          <w:sz w:val="20"/>
          <w:szCs w:val="20"/>
        </w:rPr>
        <w:tab/>
      </w:r>
      <w:r w:rsidR="00270552">
        <w:rPr>
          <w:rFonts w:ascii="Barlow" w:hAnsi="Barlow" w:cs="Times New Roman"/>
          <w:b/>
          <w:sz w:val="20"/>
          <w:szCs w:val="20"/>
        </w:rPr>
        <w:tab/>
      </w:r>
      <w:r w:rsidR="00270552">
        <w:rPr>
          <w:rFonts w:ascii="Barlow" w:hAnsi="Barlow" w:cs="Times New Roman"/>
          <w:b/>
          <w:sz w:val="20"/>
          <w:szCs w:val="20"/>
        </w:rPr>
        <w:tab/>
      </w:r>
      <w:r w:rsidR="00270552">
        <w:rPr>
          <w:rFonts w:ascii="Barlow" w:hAnsi="Barlow" w:cs="Times New Roman"/>
          <w:b/>
          <w:sz w:val="20"/>
          <w:szCs w:val="20"/>
        </w:rPr>
        <w:tab/>
        <w:t xml:space="preserve"> </w:t>
      </w:r>
      <w:r w:rsidR="00445EC2">
        <w:rPr>
          <w:rFonts w:ascii="Barlow" w:hAnsi="Barlow" w:cs="Times New Roman"/>
          <w:b/>
          <w:sz w:val="20"/>
          <w:szCs w:val="20"/>
        </w:rPr>
        <w:t xml:space="preserve">$ </w:t>
      </w:r>
      <w:r w:rsidR="00270552">
        <w:rPr>
          <w:rFonts w:ascii="Barlow" w:hAnsi="Barlow" w:cs="Times New Roman"/>
          <w:b/>
          <w:sz w:val="20"/>
          <w:szCs w:val="20"/>
        </w:rPr>
        <w:t>00.00</w:t>
      </w:r>
    </w:p>
    <w:p w:rsidR="005140D0" w:rsidRPr="00FF0069" w:rsidRDefault="005140D0" w:rsidP="00476188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3</w:t>
      </w:r>
    </w:p>
    <w:p w:rsidR="005140D0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 xml:space="preserve">DERECHOS A </w:t>
      </w:r>
      <w:r w:rsidR="00476188" w:rsidRPr="00FF0069">
        <w:rPr>
          <w:rFonts w:ascii="Barlow" w:hAnsi="Barlow" w:cs="Times New Roman"/>
          <w:sz w:val="20"/>
          <w:szCs w:val="20"/>
        </w:rPr>
        <w:t>RECIBIR BIENES</w:t>
      </w:r>
      <w:r w:rsidRPr="00FF0069">
        <w:rPr>
          <w:rFonts w:ascii="Barlow" w:hAnsi="Barlow" w:cs="Times New Roman"/>
          <w:sz w:val="20"/>
          <w:szCs w:val="20"/>
        </w:rPr>
        <w:t xml:space="preserve"> O SERVICIOS 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No. Cuenta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  <w:t>Nombre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 xml:space="preserve">                              </w:t>
      </w:r>
      <w:r w:rsidR="00402DC8" w:rsidRPr="00FF0069">
        <w:rPr>
          <w:rFonts w:ascii="Barlow" w:hAnsi="Barlow" w:cs="Times New Roman"/>
          <w:sz w:val="20"/>
          <w:szCs w:val="20"/>
        </w:rPr>
        <w:t xml:space="preserve">    </w:t>
      </w:r>
      <w:r w:rsidR="00476188" w:rsidRPr="00FF0069">
        <w:rPr>
          <w:rFonts w:ascii="Barlow" w:hAnsi="Barlow" w:cs="Times New Roman"/>
          <w:sz w:val="20"/>
          <w:szCs w:val="20"/>
        </w:rPr>
        <w:t xml:space="preserve"> </w:t>
      </w:r>
      <w:r w:rsidR="00E348F8" w:rsidRPr="00FF0069">
        <w:rPr>
          <w:rFonts w:ascii="Barlow" w:hAnsi="Barlow" w:cs="Times New Roman"/>
          <w:sz w:val="20"/>
          <w:szCs w:val="20"/>
        </w:rPr>
        <w:t xml:space="preserve">  </w:t>
      </w:r>
      <w:r w:rsidRPr="00FF0069">
        <w:rPr>
          <w:rFonts w:ascii="Barlow" w:hAnsi="Barlow" w:cs="Times New Roman"/>
          <w:sz w:val="20"/>
          <w:szCs w:val="20"/>
        </w:rPr>
        <w:t>Importe</w:t>
      </w:r>
      <w:r w:rsidR="009725C4" w:rsidRPr="00FF0069">
        <w:rPr>
          <w:rFonts w:ascii="Barlow" w:hAnsi="Barlow" w:cs="Times New Roman"/>
          <w:sz w:val="20"/>
          <w:szCs w:val="20"/>
        </w:rPr>
        <w:tab/>
      </w:r>
    </w:p>
    <w:p w:rsidR="00C567B8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</w:r>
      <w:r w:rsidR="00065448">
        <w:rPr>
          <w:rFonts w:ascii="Barlow" w:hAnsi="Barlow" w:cs="Times New Roman"/>
          <w:sz w:val="20"/>
          <w:szCs w:val="20"/>
        </w:rPr>
        <w:t>1-1-3-1-0-0000</w:t>
      </w:r>
      <w:r w:rsidR="00476188" w:rsidRPr="00FF0069">
        <w:rPr>
          <w:rFonts w:ascii="Barlow" w:hAnsi="Barlow" w:cs="Times New Roman"/>
          <w:sz w:val="20"/>
          <w:szCs w:val="20"/>
        </w:rPr>
        <w:t xml:space="preserve">  </w:t>
      </w:r>
      <w:r w:rsidRPr="00FF0069">
        <w:rPr>
          <w:rFonts w:ascii="Barlow" w:hAnsi="Barlow" w:cs="Times New Roman"/>
          <w:sz w:val="20"/>
          <w:szCs w:val="20"/>
        </w:rPr>
        <w:tab/>
        <w:t xml:space="preserve">Anticipo a proveedores </w:t>
      </w:r>
      <w:r w:rsidR="00E05672" w:rsidRPr="00FF0069">
        <w:rPr>
          <w:rFonts w:ascii="Barlow" w:hAnsi="Barlow" w:cs="Times New Roman"/>
          <w:sz w:val="20"/>
          <w:szCs w:val="20"/>
        </w:rPr>
        <w:t>a corto pl</w:t>
      </w:r>
      <w:r w:rsidR="00183EA1" w:rsidRPr="00FF0069">
        <w:rPr>
          <w:rFonts w:ascii="Barlow" w:hAnsi="Barlow" w:cs="Times New Roman"/>
          <w:sz w:val="20"/>
          <w:szCs w:val="20"/>
        </w:rPr>
        <w:t>a</w:t>
      </w:r>
      <w:r w:rsidR="00EE43AF" w:rsidRPr="00FF0069">
        <w:rPr>
          <w:rFonts w:ascii="Barlow" w:hAnsi="Barlow" w:cs="Times New Roman"/>
          <w:sz w:val="20"/>
          <w:szCs w:val="20"/>
        </w:rPr>
        <w:t>z</w:t>
      </w:r>
      <w:r w:rsidR="006410BA">
        <w:rPr>
          <w:rFonts w:ascii="Barlow" w:hAnsi="Barlow" w:cs="Times New Roman"/>
          <w:sz w:val="20"/>
          <w:szCs w:val="20"/>
        </w:rPr>
        <w:t>o</w:t>
      </w:r>
      <w:r w:rsidR="006410BA">
        <w:rPr>
          <w:rFonts w:ascii="Barlow" w:hAnsi="Barlow" w:cs="Times New Roman"/>
          <w:sz w:val="20"/>
          <w:szCs w:val="20"/>
        </w:rPr>
        <w:tab/>
      </w:r>
      <w:r w:rsidR="006410BA">
        <w:rPr>
          <w:rFonts w:ascii="Barlow" w:hAnsi="Barlow" w:cs="Times New Roman"/>
          <w:sz w:val="20"/>
          <w:szCs w:val="20"/>
        </w:rPr>
        <w:tab/>
      </w:r>
      <w:r w:rsidR="006410BA">
        <w:rPr>
          <w:rFonts w:ascii="Barlow" w:hAnsi="Barlow" w:cs="Times New Roman"/>
          <w:sz w:val="20"/>
          <w:szCs w:val="20"/>
        </w:rPr>
        <w:tab/>
      </w:r>
      <w:r w:rsidR="006410BA">
        <w:rPr>
          <w:rFonts w:ascii="Barlow" w:hAnsi="Barlow" w:cs="Times New Roman"/>
          <w:sz w:val="20"/>
          <w:szCs w:val="20"/>
        </w:rPr>
        <w:tab/>
        <w:t xml:space="preserve">  </w:t>
      </w:r>
      <w:r w:rsidR="00926A55" w:rsidRPr="00FF0069">
        <w:rPr>
          <w:rFonts w:ascii="Barlow" w:hAnsi="Barlow" w:cs="Times New Roman"/>
          <w:sz w:val="20"/>
          <w:szCs w:val="20"/>
        </w:rPr>
        <w:t>$</w:t>
      </w:r>
      <w:r w:rsidR="00065448">
        <w:rPr>
          <w:rFonts w:ascii="Barlow" w:hAnsi="Barlow" w:cs="Times New Roman"/>
          <w:sz w:val="20"/>
          <w:szCs w:val="20"/>
        </w:rPr>
        <w:t xml:space="preserve"> </w:t>
      </w:r>
      <w:r w:rsidR="006410BA">
        <w:rPr>
          <w:rFonts w:ascii="Barlow" w:hAnsi="Barlow" w:cs="Times New Roman"/>
          <w:sz w:val="20"/>
          <w:szCs w:val="20"/>
        </w:rPr>
        <w:t>00.00</w:t>
      </w:r>
    </w:p>
    <w:p w:rsidR="008832E6" w:rsidRDefault="001740B5" w:rsidP="008832E6">
      <w:pPr>
        <w:rPr>
          <w:rFonts w:ascii="Barlow" w:hAnsi="Barlow" w:cs="Times New Roman"/>
          <w:b/>
          <w:sz w:val="20"/>
          <w:szCs w:val="20"/>
        </w:rPr>
      </w:pPr>
      <w:r w:rsidRPr="00AF40F1">
        <w:rPr>
          <w:rFonts w:ascii="Barlow" w:hAnsi="Barlow" w:cs="Times New Roman"/>
          <w:b/>
          <w:sz w:val="20"/>
          <w:szCs w:val="20"/>
        </w:rPr>
        <w:lastRenderedPageBreak/>
        <w:t xml:space="preserve">TOTAL </w:t>
      </w:r>
      <w:r w:rsidRPr="001740B5">
        <w:rPr>
          <w:rFonts w:ascii="Barlow" w:hAnsi="Barlow" w:cs="Times New Roman"/>
          <w:b/>
          <w:sz w:val="20"/>
          <w:szCs w:val="20"/>
        </w:rPr>
        <w:t>DERECHOS A RECIBIR BIENES O SERVICIOS</w:t>
      </w:r>
      <w:r>
        <w:rPr>
          <w:rFonts w:ascii="Barlow" w:hAnsi="Barlow" w:cs="Times New Roman"/>
          <w:b/>
          <w:sz w:val="20"/>
          <w:szCs w:val="20"/>
        </w:rPr>
        <w:tab/>
      </w:r>
      <w:r>
        <w:rPr>
          <w:rFonts w:ascii="Barlow" w:hAnsi="Barlow" w:cs="Times New Roman"/>
          <w:b/>
          <w:sz w:val="20"/>
          <w:szCs w:val="20"/>
        </w:rPr>
        <w:tab/>
      </w:r>
      <w:r>
        <w:rPr>
          <w:rFonts w:ascii="Barlow" w:hAnsi="Barlow" w:cs="Times New Roman"/>
          <w:b/>
          <w:sz w:val="20"/>
          <w:szCs w:val="20"/>
        </w:rPr>
        <w:tab/>
      </w:r>
      <w:r>
        <w:rPr>
          <w:rFonts w:ascii="Barlow" w:hAnsi="Barlow" w:cs="Times New Roman"/>
          <w:b/>
          <w:sz w:val="20"/>
          <w:szCs w:val="20"/>
        </w:rPr>
        <w:tab/>
      </w:r>
      <w:r>
        <w:rPr>
          <w:rFonts w:ascii="Barlow" w:hAnsi="Barlow" w:cs="Times New Roman"/>
          <w:b/>
          <w:sz w:val="20"/>
          <w:szCs w:val="20"/>
        </w:rPr>
        <w:tab/>
      </w:r>
      <w:r>
        <w:rPr>
          <w:rFonts w:ascii="Barlow" w:hAnsi="Barlow" w:cs="Times New Roman"/>
          <w:b/>
          <w:sz w:val="20"/>
          <w:szCs w:val="20"/>
        </w:rPr>
        <w:tab/>
        <w:t xml:space="preserve">    </w:t>
      </w:r>
      <w:r w:rsidR="006410BA">
        <w:rPr>
          <w:rFonts w:ascii="Barlow" w:hAnsi="Barlow" w:cs="Times New Roman"/>
          <w:b/>
          <w:sz w:val="20"/>
          <w:szCs w:val="20"/>
        </w:rPr>
        <w:t xml:space="preserve">    </w:t>
      </w:r>
      <w:r w:rsidRPr="00AF40F1">
        <w:rPr>
          <w:rFonts w:ascii="Barlow" w:hAnsi="Barlow" w:cs="Times New Roman"/>
          <w:b/>
          <w:sz w:val="20"/>
          <w:szCs w:val="20"/>
        </w:rPr>
        <w:t xml:space="preserve">$ </w:t>
      </w:r>
      <w:r w:rsidR="006410BA">
        <w:rPr>
          <w:rFonts w:ascii="Barlow" w:hAnsi="Barlow" w:cs="Times New Roman"/>
          <w:b/>
          <w:sz w:val="20"/>
          <w:szCs w:val="20"/>
        </w:rPr>
        <w:t>00.00</w:t>
      </w:r>
      <w:r w:rsidR="008832E6">
        <w:rPr>
          <w:rFonts w:ascii="Barlow" w:hAnsi="Barlow" w:cs="Times New Roman"/>
          <w:b/>
          <w:sz w:val="20"/>
          <w:szCs w:val="20"/>
        </w:rPr>
        <w:br/>
      </w:r>
    </w:p>
    <w:p w:rsidR="00B17853" w:rsidRPr="00FF0069" w:rsidRDefault="00667DE7" w:rsidP="008832E6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BIENES DISPONIBLES PARA SU TRANSFORMACIÓN O CONSUMO (INVENTARIOS)</w:t>
      </w:r>
    </w:p>
    <w:p w:rsidR="00667DE7" w:rsidRPr="00FF0069" w:rsidRDefault="00667DE7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4</w:t>
      </w:r>
    </w:p>
    <w:p w:rsidR="00B17853" w:rsidRPr="00FF0069" w:rsidRDefault="00CD2B33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</w:t>
      </w:r>
      <w:r w:rsidR="00667DE7" w:rsidRPr="00FF0069">
        <w:rPr>
          <w:rFonts w:ascii="Barlow" w:hAnsi="Barlow" w:cs="Times New Roman"/>
          <w:sz w:val="20"/>
          <w:szCs w:val="20"/>
        </w:rPr>
        <w:t>Hospital General de Tekax, Yucatán</w:t>
      </w:r>
      <w:r w:rsidRPr="00FF0069">
        <w:rPr>
          <w:rFonts w:ascii="Barlow" w:hAnsi="Barlow" w:cs="Times New Roman"/>
          <w:sz w:val="20"/>
          <w:szCs w:val="20"/>
        </w:rPr>
        <w:t xml:space="preserve"> no realiza ningún proceso de transformación y/o elaboración de bienes.</w:t>
      </w:r>
    </w:p>
    <w:p w:rsidR="00667DE7" w:rsidRPr="00FF0069" w:rsidRDefault="00667DE7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5</w:t>
      </w:r>
    </w:p>
    <w:p w:rsidR="00667DE7" w:rsidRPr="00FF0069" w:rsidRDefault="00667DE7" w:rsidP="00667DE7">
      <w:pPr>
        <w:pStyle w:val="Texto"/>
        <w:spacing w:after="80" w:line="203" w:lineRule="exact"/>
        <w:ind w:firstLine="0"/>
        <w:rPr>
          <w:rFonts w:ascii="Barlow" w:hAnsi="Barlow"/>
          <w:b/>
          <w:sz w:val="20"/>
          <w:szCs w:val="20"/>
          <w:lang w:val="es-MX"/>
        </w:rPr>
      </w:pPr>
      <w:r w:rsidRPr="00FF0069">
        <w:rPr>
          <w:rFonts w:ascii="Barlow" w:hAnsi="Barlow" w:cs="Times New Roman"/>
          <w:sz w:val="20"/>
          <w:szCs w:val="20"/>
          <w:lang w:val="es-MX" w:eastAsia="en-US"/>
        </w:rPr>
        <w:t>El Hospital General de Tekax, Yucatán no maneja registros, ni bienes en la cuenta de almacén</w:t>
      </w:r>
      <w:r w:rsidRPr="00FF0069">
        <w:rPr>
          <w:rFonts w:ascii="Barlow" w:hAnsi="Barlow"/>
          <w:sz w:val="20"/>
          <w:szCs w:val="20"/>
        </w:rPr>
        <w:t>.</w:t>
      </w:r>
    </w:p>
    <w:p w:rsidR="00667DE7" w:rsidRPr="00FF0069" w:rsidRDefault="00667DE7" w:rsidP="00667DE7">
      <w:pPr>
        <w:pStyle w:val="Texto"/>
        <w:spacing w:after="80" w:line="203" w:lineRule="exact"/>
        <w:ind w:firstLine="0"/>
        <w:rPr>
          <w:rFonts w:ascii="Barlow" w:hAnsi="Barlow" w:cs="Times New Roman"/>
          <w:sz w:val="20"/>
          <w:szCs w:val="20"/>
          <w:lang w:val="es-MX" w:eastAsia="en-US"/>
        </w:rPr>
      </w:pPr>
    </w:p>
    <w:p w:rsidR="00B17853" w:rsidRPr="00FF0069" w:rsidRDefault="00667DE7" w:rsidP="00667DE7">
      <w:pPr>
        <w:pStyle w:val="Texto"/>
        <w:spacing w:after="80" w:line="203" w:lineRule="exact"/>
        <w:ind w:left="708" w:firstLine="0"/>
        <w:rPr>
          <w:rFonts w:ascii="Barlow" w:hAnsi="Barlow" w:cs="Times New Roman"/>
          <w:sz w:val="20"/>
          <w:szCs w:val="20"/>
          <w:lang w:val="es-MX" w:eastAsia="en-US"/>
        </w:rPr>
      </w:pPr>
      <w:r w:rsidRPr="00FF0069">
        <w:rPr>
          <w:rFonts w:ascii="Barlow" w:hAnsi="Barlow" w:cs="Times New Roman"/>
          <w:sz w:val="20"/>
          <w:szCs w:val="20"/>
          <w:lang w:val="es-MX" w:eastAsia="en-US"/>
        </w:rPr>
        <w:t>INVERSIONES FINANCIERAS</w:t>
      </w:r>
    </w:p>
    <w:p w:rsidR="00667DE7" w:rsidRPr="00FF0069" w:rsidRDefault="00667DE7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6</w:t>
      </w:r>
    </w:p>
    <w:p w:rsidR="00667DE7" w:rsidRPr="00FF0069" w:rsidRDefault="00667DE7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Hospital General de Tekax, Yucatán no cuenta con Inversiones Financieras.</w:t>
      </w:r>
    </w:p>
    <w:p w:rsidR="00667DE7" w:rsidRPr="00FF0069" w:rsidRDefault="00667DE7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7</w:t>
      </w:r>
    </w:p>
    <w:p w:rsidR="00B17853" w:rsidRPr="00FF0069" w:rsidRDefault="00667DE7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Hospital General de Tekax, Yucatán no cuenta Participaciones y aportaciones de capital.</w:t>
      </w:r>
    </w:p>
    <w:p w:rsidR="005140D0" w:rsidRPr="00FF0069" w:rsidRDefault="00667DE7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8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991FEB" w:rsidP="00991FEB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BIENES MUEBLES, INMUEBLES E INTANGIBLES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="00476188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42067F" w:rsidRDefault="0042067F" w:rsidP="003A4FF9">
      <w:pPr>
        <w:jc w:val="both"/>
        <w:rPr>
          <w:rFonts w:ascii="Barlow" w:hAnsi="Barlow" w:cs="Times New Roman"/>
          <w:sz w:val="20"/>
          <w:szCs w:val="20"/>
        </w:rPr>
      </w:pPr>
    </w:p>
    <w:p w:rsidR="000A1519" w:rsidRDefault="005140D0" w:rsidP="003A4FF9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Los Activos Fijos </w:t>
      </w:r>
      <w:r w:rsidR="003A4FF9" w:rsidRPr="00FF0069">
        <w:rPr>
          <w:rFonts w:ascii="Barlow" w:hAnsi="Barlow" w:cs="Times New Roman"/>
          <w:sz w:val="20"/>
          <w:szCs w:val="20"/>
        </w:rPr>
        <w:t>que se encuentran en el hospital</w:t>
      </w:r>
      <w:r w:rsidR="00A0677F" w:rsidRPr="00FF0069">
        <w:rPr>
          <w:rFonts w:ascii="Barlow" w:hAnsi="Barlow" w:cs="Times New Roman"/>
          <w:sz w:val="20"/>
          <w:szCs w:val="20"/>
        </w:rPr>
        <w:t>, en su gran mayoría</w:t>
      </w:r>
      <w:r w:rsidR="003A4FF9" w:rsidRPr="00FF0069">
        <w:rPr>
          <w:rFonts w:ascii="Barlow" w:hAnsi="Barlow" w:cs="Times New Roman"/>
          <w:sz w:val="20"/>
          <w:szCs w:val="20"/>
        </w:rPr>
        <w:t xml:space="preserve"> son propiedad de Servicios de Salud de Yucatán</w:t>
      </w:r>
      <w:r w:rsidRPr="00FF0069">
        <w:rPr>
          <w:rFonts w:ascii="Barlow" w:hAnsi="Barlow" w:cs="Times New Roman"/>
          <w:sz w:val="20"/>
          <w:szCs w:val="20"/>
        </w:rPr>
        <w:t>.</w:t>
      </w:r>
      <w:r w:rsidR="000A1519" w:rsidRPr="00FF0069">
        <w:rPr>
          <w:rFonts w:ascii="Barlow" w:hAnsi="Barlow" w:cs="Times New Roman"/>
          <w:sz w:val="20"/>
          <w:szCs w:val="20"/>
        </w:rPr>
        <w:t xml:space="preserve"> El Hospital cuenta con</w:t>
      </w:r>
      <w:r w:rsidR="00A0677F" w:rsidRPr="00FF0069">
        <w:rPr>
          <w:rFonts w:ascii="Barlow" w:hAnsi="Barlow" w:cs="Times New Roman"/>
          <w:sz w:val="20"/>
          <w:szCs w:val="20"/>
        </w:rPr>
        <w:t xml:space="preserve"> Bienes Muebles propios,</w:t>
      </w:r>
      <w:r w:rsidR="000A1519" w:rsidRPr="00FF0069">
        <w:rPr>
          <w:rFonts w:ascii="Barlow" w:hAnsi="Barlow" w:cs="Times New Roman"/>
          <w:sz w:val="20"/>
          <w:szCs w:val="20"/>
        </w:rPr>
        <w:t xml:space="preserve"> su</w:t>
      </w:r>
      <w:r w:rsidR="00A0677F" w:rsidRPr="00FF0069">
        <w:rPr>
          <w:rFonts w:ascii="Barlow" w:hAnsi="Barlow" w:cs="Times New Roman"/>
          <w:sz w:val="20"/>
          <w:szCs w:val="20"/>
        </w:rPr>
        <w:t xml:space="preserve"> depreciación es de acuerdo </w:t>
      </w:r>
      <w:r w:rsidR="008F4E13">
        <w:rPr>
          <w:rFonts w:ascii="Barlow" w:hAnsi="Barlow" w:cs="Times New Roman"/>
          <w:sz w:val="20"/>
          <w:szCs w:val="20"/>
        </w:rPr>
        <w:t xml:space="preserve">a los </w:t>
      </w:r>
      <w:r w:rsidR="008F4E13" w:rsidRPr="008F4E13">
        <w:rPr>
          <w:rFonts w:ascii="Barlow" w:hAnsi="Barlow" w:cs="Times New Roman"/>
          <w:sz w:val="20"/>
          <w:szCs w:val="20"/>
        </w:rPr>
        <w:t>Parámetros de Estimación de Vida Útil</w:t>
      </w:r>
      <w:r w:rsidR="008F4E13">
        <w:rPr>
          <w:rFonts w:ascii="Barlow" w:hAnsi="Barlow" w:cs="Times New Roman"/>
          <w:sz w:val="20"/>
          <w:szCs w:val="20"/>
        </w:rPr>
        <w:t xml:space="preserve"> establecidos por el CONAC</w:t>
      </w:r>
      <w:r w:rsidR="000A1519" w:rsidRPr="00FF0069">
        <w:rPr>
          <w:rFonts w:ascii="Barlow" w:hAnsi="Barlow" w:cs="Times New Roman"/>
          <w:sz w:val="20"/>
          <w:szCs w:val="20"/>
        </w:rPr>
        <w:t>.</w:t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DF5AE3" w:rsidRPr="00FF0069" w:rsidRDefault="00DF5AE3" w:rsidP="003A4FF9">
      <w:pPr>
        <w:jc w:val="both"/>
        <w:rPr>
          <w:rFonts w:ascii="Barlow" w:hAnsi="Barlow" w:cs="Times New Roman"/>
          <w:sz w:val="20"/>
          <w:szCs w:val="20"/>
        </w:rPr>
      </w:pPr>
    </w:p>
    <w:tbl>
      <w:tblPr>
        <w:tblStyle w:val="Tablaconcuadrcula"/>
        <w:tblW w:w="10082" w:type="dxa"/>
        <w:tblInd w:w="1741" w:type="dxa"/>
        <w:tblLayout w:type="fixed"/>
        <w:tblLook w:val="04A0" w:firstRow="1" w:lastRow="0" w:firstColumn="1" w:lastColumn="0" w:noHBand="0" w:noVBand="1"/>
      </w:tblPr>
      <w:tblGrid>
        <w:gridCol w:w="4979"/>
        <w:gridCol w:w="1701"/>
        <w:gridCol w:w="1701"/>
        <w:gridCol w:w="1701"/>
      </w:tblGrid>
      <w:tr w:rsidR="008C6BD6" w:rsidRPr="00FF0069" w:rsidTr="00FF0069">
        <w:tc>
          <w:tcPr>
            <w:tcW w:w="4979" w:type="dxa"/>
          </w:tcPr>
          <w:p w:rsidR="008C6BD6" w:rsidRPr="00FF0069" w:rsidRDefault="008C6BD6" w:rsidP="008C6BD6">
            <w:pPr>
              <w:jc w:val="center"/>
              <w:rPr>
                <w:rFonts w:ascii="Barlow" w:hAnsi="Barlow" w:cs="Times New Roman"/>
                <w:b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b/>
                <w:sz w:val="20"/>
                <w:szCs w:val="20"/>
              </w:rPr>
              <w:lastRenderedPageBreak/>
              <w:t>TIPO</w:t>
            </w:r>
          </w:p>
        </w:tc>
        <w:tc>
          <w:tcPr>
            <w:tcW w:w="1701" w:type="dxa"/>
          </w:tcPr>
          <w:p w:rsidR="008C6BD6" w:rsidRPr="00FF0069" w:rsidRDefault="008C6BD6" w:rsidP="008C6BD6">
            <w:pPr>
              <w:jc w:val="center"/>
              <w:rPr>
                <w:rFonts w:ascii="Barlow" w:hAnsi="Barlow" w:cs="Times New Roman"/>
                <w:b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b/>
                <w:sz w:val="20"/>
                <w:szCs w:val="20"/>
              </w:rPr>
              <w:t>V.H.O.</w:t>
            </w:r>
          </w:p>
        </w:tc>
        <w:tc>
          <w:tcPr>
            <w:tcW w:w="1701" w:type="dxa"/>
          </w:tcPr>
          <w:p w:rsidR="008C6BD6" w:rsidRPr="00FF0069" w:rsidRDefault="008C6BD6" w:rsidP="008C6BD6">
            <w:pPr>
              <w:jc w:val="center"/>
              <w:rPr>
                <w:rFonts w:ascii="Barlow" w:hAnsi="Barlow" w:cs="Times New Roman"/>
                <w:b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b/>
                <w:sz w:val="20"/>
                <w:szCs w:val="20"/>
              </w:rPr>
              <w:t>% MENSUAL</w:t>
            </w:r>
          </w:p>
        </w:tc>
        <w:tc>
          <w:tcPr>
            <w:tcW w:w="1701" w:type="dxa"/>
          </w:tcPr>
          <w:p w:rsidR="008C6BD6" w:rsidRPr="00FF0069" w:rsidRDefault="009219ED" w:rsidP="008C6BD6">
            <w:pPr>
              <w:jc w:val="center"/>
              <w:rPr>
                <w:rFonts w:ascii="Barlow" w:hAnsi="Barlow" w:cs="Times New Roman"/>
                <w:b/>
                <w:sz w:val="20"/>
                <w:szCs w:val="20"/>
              </w:rPr>
            </w:pPr>
            <w:r>
              <w:rPr>
                <w:rFonts w:ascii="Barlow" w:hAnsi="Barlow" w:cs="Times New Roman"/>
                <w:b/>
                <w:sz w:val="20"/>
                <w:szCs w:val="20"/>
              </w:rPr>
              <w:t>DEPREC</w:t>
            </w:r>
            <w:r w:rsidR="008C6BD6" w:rsidRPr="00FF0069">
              <w:rPr>
                <w:rFonts w:ascii="Barlow" w:hAnsi="Barlow" w:cs="Times New Roman"/>
                <w:b/>
                <w:sz w:val="20"/>
                <w:szCs w:val="20"/>
              </w:rPr>
              <w:t xml:space="preserve"> ACUM</w:t>
            </w:r>
          </w:p>
        </w:tc>
      </w:tr>
      <w:tr w:rsidR="008C6BD6" w:rsidRPr="00FF0069" w:rsidTr="00FF0069">
        <w:tc>
          <w:tcPr>
            <w:tcW w:w="4979" w:type="dxa"/>
          </w:tcPr>
          <w:p w:rsidR="008C6BD6" w:rsidRPr="00FF0069" w:rsidRDefault="008C6BD6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b/>
                <w:sz w:val="20"/>
                <w:szCs w:val="20"/>
              </w:rPr>
              <w:t>BIENES MUEBLES</w:t>
            </w:r>
          </w:p>
        </w:tc>
        <w:tc>
          <w:tcPr>
            <w:tcW w:w="1701" w:type="dxa"/>
          </w:tcPr>
          <w:p w:rsidR="008C6BD6" w:rsidRPr="00FF0069" w:rsidRDefault="008C6BD6" w:rsidP="003A4FF9">
            <w:pPr>
              <w:jc w:val="both"/>
              <w:rPr>
                <w:rFonts w:ascii="Barlow" w:hAnsi="Barl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BD6" w:rsidRPr="00FF0069" w:rsidRDefault="008C6BD6" w:rsidP="003A4FF9">
            <w:pPr>
              <w:jc w:val="both"/>
              <w:rPr>
                <w:rFonts w:ascii="Barlow" w:hAnsi="Barl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BD6" w:rsidRPr="00FF0069" w:rsidRDefault="008C6BD6" w:rsidP="003A4FF9">
            <w:pPr>
              <w:jc w:val="both"/>
              <w:rPr>
                <w:rFonts w:ascii="Barlow" w:hAnsi="Barlow" w:cs="Times New Roman"/>
                <w:sz w:val="20"/>
                <w:szCs w:val="20"/>
              </w:rPr>
            </w:pPr>
          </w:p>
        </w:tc>
      </w:tr>
      <w:tr w:rsidR="004D6B22" w:rsidRPr="00FF0069" w:rsidTr="004D6B22">
        <w:tc>
          <w:tcPr>
            <w:tcW w:w="4979" w:type="dxa"/>
          </w:tcPr>
          <w:p w:rsidR="004D6B22" w:rsidRPr="004D6B22" w:rsidRDefault="004D6B22" w:rsidP="004D6B22">
            <w:pPr>
              <w:rPr>
                <w:rFonts w:ascii="Barlow" w:hAnsi="Barlow" w:cs="Times New Roman"/>
                <w:sz w:val="20"/>
                <w:szCs w:val="20"/>
              </w:rPr>
            </w:pPr>
            <w:r w:rsidRPr="004D6B22">
              <w:rPr>
                <w:rFonts w:ascii="Barlow" w:hAnsi="Barlow" w:cs="Times New Roman"/>
                <w:sz w:val="20"/>
                <w:szCs w:val="20"/>
              </w:rPr>
              <w:t>MUEBLES DE OFICINA Y ESTANTERIA</w:t>
            </w:r>
          </w:p>
        </w:tc>
        <w:tc>
          <w:tcPr>
            <w:tcW w:w="1701" w:type="dxa"/>
            <w:vAlign w:val="center"/>
          </w:tcPr>
          <w:p w:rsidR="004D6B22" w:rsidRPr="00FF0069" w:rsidRDefault="004D6B22" w:rsidP="004D6B22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4D6B22">
              <w:rPr>
                <w:rFonts w:ascii="Barlow" w:hAnsi="Barlow" w:cs="Times New Roman"/>
                <w:sz w:val="20"/>
                <w:szCs w:val="20"/>
              </w:rPr>
              <w:t>9,443.48</w:t>
            </w:r>
          </w:p>
        </w:tc>
        <w:tc>
          <w:tcPr>
            <w:tcW w:w="1701" w:type="dxa"/>
            <w:vAlign w:val="center"/>
          </w:tcPr>
          <w:p w:rsidR="004D6B22" w:rsidRPr="00FF0069" w:rsidRDefault="004D6B22" w:rsidP="004D6B22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>
              <w:rPr>
                <w:rFonts w:ascii="Barlow" w:hAnsi="Barlow" w:cs="Times New Roman"/>
                <w:sz w:val="20"/>
                <w:szCs w:val="20"/>
              </w:rPr>
              <w:t>0.83</w:t>
            </w:r>
          </w:p>
        </w:tc>
        <w:tc>
          <w:tcPr>
            <w:tcW w:w="1701" w:type="dxa"/>
            <w:vAlign w:val="center"/>
          </w:tcPr>
          <w:p w:rsidR="004D6B22" w:rsidRPr="00FF0069" w:rsidRDefault="00270552" w:rsidP="004D6B22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sz w:val="20"/>
                <w:szCs w:val="20"/>
              </w:rPr>
              <w:t>1,652.49</w:t>
            </w:r>
          </w:p>
        </w:tc>
      </w:tr>
      <w:tr w:rsidR="008C6BD6" w:rsidRPr="00FF0069" w:rsidTr="00FF0069">
        <w:tc>
          <w:tcPr>
            <w:tcW w:w="4979" w:type="dxa"/>
          </w:tcPr>
          <w:p w:rsidR="008C6BD6" w:rsidRPr="00FF0069" w:rsidRDefault="00C8242A" w:rsidP="008C6BD6">
            <w:pPr>
              <w:rPr>
                <w:rFonts w:ascii="Barlow" w:hAnsi="Barlow" w:cs="Times New Roman"/>
                <w:sz w:val="20"/>
                <w:szCs w:val="20"/>
              </w:rPr>
            </w:pPr>
            <w:r w:rsidRPr="00C8242A">
              <w:rPr>
                <w:rFonts w:ascii="Barlow" w:hAnsi="Barlow" w:cs="Times New Roman"/>
                <w:sz w:val="20"/>
                <w:szCs w:val="20"/>
              </w:rPr>
              <w:t>EQUIPO DE COMPUTO Y TECNOLOGIAS</w:t>
            </w:r>
          </w:p>
        </w:tc>
        <w:tc>
          <w:tcPr>
            <w:tcW w:w="1701" w:type="dxa"/>
          </w:tcPr>
          <w:p w:rsidR="008C6BD6" w:rsidRPr="00FF0069" w:rsidRDefault="00C8242A" w:rsidP="008C6BD6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C8242A">
              <w:rPr>
                <w:rFonts w:ascii="Barlow" w:hAnsi="Barlow" w:cs="Times New Roman"/>
                <w:sz w:val="20"/>
                <w:szCs w:val="20"/>
              </w:rPr>
              <w:t>8,502.84</w:t>
            </w:r>
          </w:p>
        </w:tc>
        <w:tc>
          <w:tcPr>
            <w:tcW w:w="1701" w:type="dxa"/>
          </w:tcPr>
          <w:p w:rsidR="008C6BD6" w:rsidRPr="00FF0069" w:rsidRDefault="0036632D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>
              <w:rPr>
                <w:rFonts w:ascii="Barlow" w:hAnsi="Barlow" w:cs="Times New Roman"/>
                <w:sz w:val="20"/>
                <w:szCs w:val="20"/>
              </w:rPr>
              <w:t>2.78</w:t>
            </w:r>
          </w:p>
        </w:tc>
        <w:tc>
          <w:tcPr>
            <w:tcW w:w="1701" w:type="dxa"/>
          </w:tcPr>
          <w:p w:rsidR="008C6BD6" w:rsidRPr="00FF0069" w:rsidRDefault="00270552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sz w:val="20"/>
                <w:szCs w:val="20"/>
              </w:rPr>
              <w:t>7,267.23</w:t>
            </w:r>
          </w:p>
        </w:tc>
      </w:tr>
      <w:tr w:rsidR="00474363" w:rsidRPr="00FF0069" w:rsidTr="00FF0069">
        <w:tc>
          <w:tcPr>
            <w:tcW w:w="4979" w:type="dxa"/>
          </w:tcPr>
          <w:p w:rsidR="00474363" w:rsidRPr="00C8242A" w:rsidRDefault="00474363" w:rsidP="008C6BD6">
            <w:pPr>
              <w:rPr>
                <w:rFonts w:ascii="Barlow" w:hAnsi="Barlow" w:cs="Times New Roman"/>
                <w:sz w:val="20"/>
                <w:szCs w:val="20"/>
              </w:rPr>
            </w:pPr>
            <w:r w:rsidRPr="00474363">
              <w:rPr>
                <w:rFonts w:ascii="Barlow" w:hAnsi="Barlow" w:cs="Times New Roman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701" w:type="dxa"/>
          </w:tcPr>
          <w:p w:rsidR="00474363" w:rsidRPr="00C8242A" w:rsidRDefault="00474363" w:rsidP="008C6BD6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474363">
              <w:rPr>
                <w:rFonts w:ascii="Barlow" w:hAnsi="Barlow" w:cs="Times New Roman"/>
                <w:sz w:val="20"/>
                <w:szCs w:val="20"/>
              </w:rPr>
              <w:t>41,997.99</w:t>
            </w:r>
          </w:p>
        </w:tc>
        <w:tc>
          <w:tcPr>
            <w:tcW w:w="1701" w:type="dxa"/>
          </w:tcPr>
          <w:p w:rsidR="00474363" w:rsidRDefault="00474363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474363">
              <w:rPr>
                <w:rFonts w:ascii="Barlow" w:hAnsi="Barlow" w:cs="Times New Roman"/>
                <w:sz w:val="20"/>
                <w:szCs w:val="20"/>
              </w:rPr>
              <w:t>0.83</w:t>
            </w:r>
          </w:p>
        </w:tc>
        <w:tc>
          <w:tcPr>
            <w:tcW w:w="1701" w:type="dxa"/>
          </w:tcPr>
          <w:p w:rsidR="00474363" w:rsidRPr="0036632D" w:rsidRDefault="00270552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sz w:val="20"/>
                <w:szCs w:val="20"/>
              </w:rPr>
              <w:t>6,299.64</w:t>
            </w:r>
          </w:p>
        </w:tc>
      </w:tr>
      <w:tr w:rsidR="007C4683" w:rsidRPr="00FF0069" w:rsidTr="001A3326">
        <w:tc>
          <w:tcPr>
            <w:tcW w:w="4979" w:type="dxa"/>
          </w:tcPr>
          <w:p w:rsidR="007C4683" w:rsidRPr="00474363" w:rsidRDefault="007C4683" w:rsidP="008C6BD6">
            <w:pPr>
              <w:rPr>
                <w:rFonts w:ascii="Barlow" w:hAnsi="Barlow" w:cs="Times New Roman"/>
                <w:sz w:val="20"/>
                <w:szCs w:val="20"/>
              </w:rPr>
            </w:pPr>
            <w:r w:rsidRPr="007C4683">
              <w:rPr>
                <w:rFonts w:ascii="Barlow" w:hAnsi="Barlow" w:cs="Times New Roman"/>
                <w:sz w:val="20"/>
                <w:szCs w:val="20"/>
              </w:rPr>
              <w:t>EQUIPO MEDICO Y DE LABORATORIO</w:t>
            </w:r>
          </w:p>
        </w:tc>
        <w:tc>
          <w:tcPr>
            <w:tcW w:w="1701" w:type="dxa"/>
          </w:tcPr>
          <w:p w:rsidR="007C4683" w:rsidRPr="00474363" w:rsidRDefault="007C4683" w:rsidP="008C6BD6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7C4683">
              <w:rPr>
                <w:rFonts w:ascii="Barlow" w:hAnsi="Barlow" w:cs="Times New Roman"/>
                <w:sz w:val="20"/>
                <w:szCs w:val="20"/>
              </w:rPr>
              <w:t>16,078.96</w:t>
            </w:r>
          </w:p>
        </w:tc>
        <w:tc>
          <w:tcPr>
            <w:tcW w:w="1701" w:type="dxa"/>
            <w:shd w:val="clear" w:color="auto" w:fill="auto"/>
          </w:tcPr>
          <w:p w:rsidR="007C4683" w:rsidRPr="00C71D6C" w:rsidRDefault="001A3326" w:rsidP="001A3326">
            <w:pPr>
              <w:tabs>
                <w:tab w:val="center" w:pos="742"/>
                <w:tab w:val="left" w:pos="1410"/>
              </w:tabs>
              <w:rPr>
                <w:rFonts w:ascii="Barlow" w:hAnsi="Barlow" w:cs="Times New Roman"/>
                <w:sz w:val="20"/>
                <w:szCs w:val="20"/>
              </w:rPr>
            </w:pPr>
            <w:r>
              <w:rPr>
                <w:rFonts w:ascii="Barlow" w:hAnsi="Barlow" w:cs="Times New Roman"/>
                <w:sz w:val="20"/>
                <w:szCs w:val="20"/>
              </w:rPr>
              <w:tab/>
              <w:t>1.67</w:t>
            </w:r>
            <w:r>
              <w:rPr>
                <w:rFonts w:ascii="Barlow" w:hAnsi="Barlow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7C4683" w:rsidRPr="006410BA" w:rsidRDefault="00270552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sz w:val="20"/>
                <w:szCs w:val="20"/>
              </w:rPr>
              <w:t>4,019.70</w:t>
            </w:r>
          </w:p>
        </w:tc>
      </w:tr>
      <w:tr w:rsidR="00DC7D67" w:rsidRPr="00FF0069" w:rsidTr="00FF0069">
        <w:tc>
          <w:tcPr>
            <w:tcW w:w="4979" w:type="dxa"/>
            <w:vAlign w:val="center"/>
          </w:tcPr>
          <w:p w:rsidR="00DC7D67" w:rsidRPr="00FF0069" w:rsidRDefault="00DC7D67" w:rsidP="00DC7D67">
            <w:pPr>
              <w:rPr>
                <w:rFonts w:ascii="Barlow" w:hAnsi="Barlow" w:cs="Times New Roman"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sz w:val="20"/>
                <w:szCs w:val="20"/>
              </w:rPr>
              <w:t>MAQUINARIA, OTROS EQUIPOS Y HERRAMIENTAS</w:t>
            </w:r>
          </w:p>
        </w:tc>
        <w:tc>
          <w:tcPr>
            <w:tcW w:w="1701" w:type="dxa"/>
            <w:vAlign w:val="center"/>
          </w:tcPr>
          <w:p w:rsidR="00DC7D67" w:rsidRPr="00FF0069" w:rsidRDefault="007C4683" w:rsidP="00DC7D67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7C4683">
              <w:rPr>
                <w:rFonts w:ascii="Barlow" w:hAnsi="Barlow" w:cs="Times New Roman"/>
                <w:sz w:val="20"/>
                <w:szCs w:val="20"/>
              </w:rPr>
              <w:t>40,554.45</w:t>
            </w:r>
          </w:p>
        </w:tc>
        <w:tc>
          <w:tcPr>
            <w:tcW w:w="1701" w:type="dxa"/>
            <w:vAlign w:val="center"/>
          </w:tcPr>
          <w:p w:rsidR="00DC7D67" w:rsidRPr="00FF0069" w:rsidRDefault="00474363" w:rsidP="00DC7D67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>
              <w:rPr>
                <w:rFonts w:ascii="Barlow" w:hAnsi="Barlow" w:cs="Times New Roman"/>
                <w:sz w:val="20"/>
                <w:szCs w:val="20"/>
              </w:rPr>
              <w:t>0.83</w:t>
            </w:r>
          </w:p>
        </w:tc>
        <w:tc>
          <w:tcPr>
            <w:tcW w:w="1701" w:type="dxa"/>
            <w:vAlign w:val="center"/>
          </w:tcPr>
          <w:p w:rsidR="00DC7D67" w:rsidRPr="00FF0069" w:rsidRDefault="00270552" w:rsidP="00DC7D67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sz w:val="20"/>
                <w:szCs w:val="20"/>
              </w:rPr>
              <w:t>6,287.10</w:t>
            </w:r>
          </w:p>
        </w:tc>
      </w:tr>
      <w:tr w:rsidR="009E185B" w:rsidRPr="00FF0069" w:rsidTr="00FF0069">
        <w:tc>
          <w:tcPr>
            <w:tcW w:w="4979" w:type="dxa"/>
          </w:tcPr>
          <w:p w:rsidR="009E185B" w:rsidRPr="00FF0069" w:rsidRDefault="009E185B" w:rsidP="008C6BD6">
            <w:pPr>
              <w:rPr>
                <w:rFonts w:ascii="Barlow" w:hAnsi="Barl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85B" w:rsidRPr="00FF0069" w:rsidRDefault="00C71D6C" w:rsidP="008C6BD6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C71D6C">
              <w:rPr>
                <w:rFonts w:ascii="Barlow" w:hAnsi="Barlow" w:cs="Times New Roman"/>
                <w:b/>
                <w:sz w:val="20"/>
                <w:szCs w:val="20"/>
              </w:rPr>
              <w:t>116,577.72</w:t>
            </w:r>
          </w:p>
        </w:tc>
        <w:tc>
          <w:tcPr>
            <w:tcW w:w="1701" w:type="dxa"/>
          </w:tcPr>
          <w:p w:rsidR="009E185B" w:rsidRPr="00FF0069" w:rsidRDefault="009E185B" w:rsidP="003A4FF9">
            <w:pPr>
              <w:jc w:val="both"/>
              <w:rPr>
                <w:rFonts w:ascii="Barlow" w:hAnsi="Barl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185B" w:rsidRPr="00FF0069" w:rsidRDefault="00270552" w:rsidP="009E185B">
            <w:pPr>
              <w:jc w:val="center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b/>
                <w:sz w:val="20"/>
                <w:szCs w:val="20"/>
              </w:rPr>
              <w:t>25,526.16</w:t>
            </w:r>
          </w:p>
        </w:tc>
      </w:tr>
    </w:tbl>
    <w:p w:rsidR="00DF5AE3" w:rsidRDefault="00DF5AE3" w:rsidP="00667DE7">
      <w:pPr>
        <w:rPr>
          <w:rFonts w:ascii="Barlow" w:hAnsi="Barlow" w:cs="Times New Roman"/>
          <w:sz w:val="20"/>
          <w:szCs w:val="20"/>
        </w:rPr>
      </w:pPr>
    </w:p>
    <w:p w:rsidR="00667DE7" w:rsidRPr="00FF0069" w:rsidRDefault="00667DE7" w:rsidP="00667DE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9</w:t>
      </w:r>
    </w:p>
    <w:p w:rsidR="00211BEC" w:rsidRPr="00211BEC" w:rsidRDefault="0036632D" w:rsidP="00211BEC">
      <w:pPr>
        <w:rPr>
          <w:rFonts w:ascii="Barlow" w:hAnsi="Barlow" w:cs="Times New Roman"/>
          <w:sz w:val="20"/>
          <w:szCs w:val="20"/>
        </w:rPr>
      </w:pPr>
      <w:r w:rsidRPr="0036632D">
        <w:rPr>
          <w:rFonts w:ascii="Barlow" w:hAnsi="Barlow" w:cs="Times New Roman"/>
          <w:sz w:val="20"/>
          <w:szCs w:val="20"/>
        </w:rPr>
        <w:t xml:space="preserve">El Hospital General de </w:t>
      </w:r>
      <w:proofErr w:type="spellStart"/>
      <w:r w:rsidRPr="0036632D">
        <w:rPr>
          <w:rFonts w:ascii="Barlow" w:hAnsi="Barlow" w:cs="Times New Roman"/>
          <w:sz w:val="20"/>
          <w:szCs w:val="20"/>
        </w:rPr>
        <w:t>Tekax</w:t>
      </w:r>
      <w:proofErr w:type="spellEnd"/>
      <w:r w:rsidRPr="0036632D">
        <w:rPr>
          <w:rFonts w:ascii="Barlow" w:hAnsi="Barlow" w:cs="Times New Roman"/>
          <w:sz w:val="20"/>
          <w:szCs w:val="20"/>
        </w:rPr>
        <w:t xml:space="preserve">, Yucatán no </w:t>
      </w:r>
      <w:r>
        <w:rPr>
          <w:rFonts w:ascii="Barlow" w:hAnsi="Barlow" w:cs="Times New Roman"/>
          <w:sz w:val="20"/>
          <w:szCs w:val="20"/>
        </w:rPr>
        <w:t xml:space="preserve">cuenta con </w:t>
      </w:r>
      <w:r w:rsidR="00667DE7" w:rsidRPr="00FF0069">
        <w:rPr>
          <w:rFonts w:ascii="Barlow" w:hAnsi="Barlow" w:cs="Times New Roman"/>
          <w:sz w:val="20"/>
          <w:szCs w:val="20"/>
        </w:rPr>
        <w:t>Bienes Intangibles y diferidos:</w:t>
      </w:r>
    </w:p>
    <w:p w:rsidR="009E185B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3A2486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Actualmente la </w:t>
      </w:r>
      <w:r w:rsidR="009725C4" w:rsidRPr="00FF0069">
        <w:rPr>
          <w:rFonts w:ascii="Barlow" w:hAnsi="Barlow" w:cs="Times New Roman"/>
          <w:sz w:val="20"/>
          <w:szCs w:val="20"/>
        </w:rPr>
        <w:t>mayoría</w:t>
      </w:r>
      <w:r w:rsidRPr="00FF0069">
        <w:rPr>
          <w:rFonts w:ascii="Barlow" w:hAnsi="Barlow" w:cs="Times New Roman"/>
          <w:sz w:val="20"/>
          <w:szCs w:val="20"/>
        </w:rPr>
        <w:t xml:space="preserve"> de los activos fijos se encuentran </w:t>
      </w:r>
      <w:r w:rsidR="009725C4" w:rsidRPr="00FF0069">
        <w:rPr>
          <w:rFonts w:ascii="Barlow" w:hAnsi="Barlow" w:cs="Times New Roman"/>
          <w:sz w:val="20"/>
          <w:szCs w:val="20"/>
        </w:rPr>
        <w:t>en buen</w:t>
      </w:r>
      <w:r w:rsidR="0094717A" w:rsidRPr="00FF0069">
        <w:rPr>
          <w:rFonts w:ascii="Barlow" w:hAnsi="Barlow" w:cs="Times New Roman"/>
          <w:sz w:val="20"/>
          <w:szCs w:val="20"/>
        </w:rPr>
        <w:t xml:space="preserve"> estado y en uso.</w:t>
      </w:r>
      <w:r w:rsidR="0094717A" w:rsidRPr="00FF0069">
        <w:rPr>
          <w:rFonts w:ascii="Barlow" w:hAnsi="Barlow" w:cs="Times New Roman"/>
          <w:sz w:val="20"/>
          <w:szCs w:val="20"/>
        </w:rPr>
        <w:tab/>
      </w:r>
      <w:r w:rsidR="0094717A" w:rsidRPr="00FF0069">
        <w:rPr>
          <w:rFonts w:ascii="Barlow" w:hAnsi="Barlow" w:cs="Times New Roman"/>
          <w:sz w:val="20"/>
          <w:szCs w:val="20"/>
        </w:rPr>
        <w:tab/>
      </w:r>
    </w:p>
    <w:p w:rsidR="00B17853" w:rsidRPr="00FF0069" w:rsidRDefault="00B17853" w:rsidP="005140D0">
      <w:pPr>
        <w:rPr>
          <w:rFonts w:ascii="Barlow" w:hAnsi="Barlow" w:cs="Times New Roman"/>
          <w:sz w:val="20"/>
          <w:szCs w:val="20"/>
        </w:rPr>
      </w:pPr>
    </w:p>
    <w:p w:rsidR="00B17853" w:rsidRPr="00FF0069" w:rsidRDefault="00667DE7" w:rsidP="00667DE7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ESTIMACIONES Y DETERIOROS</w:t>
      </w:r>
    </w:p>
    <w:p w:rsidR="0055175A" w:rsidRPr="00FF0069" w:rsidRDefault="0055175A" w:rsidP="0055175A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10</w:t>
      </w:r>
    </w:p>
    <w:p w:rsidR="0055175A" w:rsidRPr="00FF0069" w:rsidRDefault="0055175A" w:rsidP="0055175A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General de Tekax, Yucatán no realizó al </w:t>
      </w:r>
      <w:r w:rsidR="00270552">
        <w:rPr>
          <w:rFonts w:ascii="Barlow" w:hAnsi="Barlow" w:cs="Times New Roman"/>
          <w:sz w:val="20"/>
          <w:szCs w:val="20"/>
        </w:rPr>
        <w:t>31</w:t>
      </w:r>
      <w:r w:rsidRPr="00FF0069">
        <w:rPr>
          <w:rFonts w:ascii="Barlow" w:hAnsi="Barlow" w:cs="Times New Roman"/>
          <w:sz w:val="20"/>
          <w:szCs w:val="20"/>
        </w:rPr>
        <w:t xml:space="preserve"> de </w:t>
      </w:r>
      <w:r w:rsidR="00270552">
        <w:rPr>
          <w:rFonts w:ascii="Barlow" w:hAnsi="Barlow" w:cs="Times New Roman"/>
          <w:sz w:val="20"/>
          <w:szCs w:val="20"/>
        </w:rPr>
        <w:t>Marzo</w:t>
      </w:r>
      <w:r w:rsidR="00466A3C">
        <w:rPr>
          <w:rFonts w:ascii="Barlow" w:hAnsi="Barlow" w:cs="Times New Roman"/>
          <w:sz w:val="20"/>
          <w:szCs w:val="20"/>
        </w:rPr>
        <w:t xml:space="preserve"> de 2022</w:t>
      </w:r>
      <w:r w:rsidRPr="00FF0069">
        <w:rPr>
          <w:rFonts w:ascii="Barlow" w:hAnsi="Barlow" w:cs="Times New Roman"/>
          <w:sz w:val="20"/>
          <w:szCs w:val="20"/>
        </w:rPr>
        <w:t>, la determinación de estimaciones de cuentas incobrables, inversiones deterioro de activos biológicos, etc.</w:t>
      </w:r>
    </w:p>
    <w:p w:rsidR="006B12D9" w:rsidRDefault="006B12D9" w:rsidP="008F3F75">
      <w:pPr>
        <w:ind w:firstLine="708"/>
        <w:rPr>
          <w:rFonts w:ascii="Barlow" w:hAnsi="Barlow" w:cs="Times New Roman"/>
          <w:sz w:val="20"/>
          <w:szCs w:val="20"/>
        </w:rPr>
      </w:pPr>
    </w:p>
    <w:p w:rsidR="00B17853" w:rsidRPr="00FF0069" w:rsidRDefault="0055175A" w:rsidP="008F3F75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OTROS ACTIVOS</w:t>
      </w:r>
    </w:p>
    <w:p w:rsidR="0055175A" w:rsidRPr="00FF0069" w:rsidRDefault="0055175A" w:rsidP="0055175A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11</w:t>
      </w:r>
    </w:p>
    <w:p w:rsidR="0036632D" w:rsidRPr="00DF5AE3" w:rsidRDefault="0055175A" w:rsidP="00474363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General de Tekax, Yucatán </w:t>
      </w:r>
      <w:r w:rsidR="00B665C7" w:rsidRPr="00FF0069">
        <w:rPr>
          <w:rFonts w:ascii="Barlow" w:hAnsi="Barlow" w:cs="Times New Roman"/>
          <w:sz w:val="20"/>
          <w:szCs w:val="20"/>
        </w:rPr>
        <w:t xml:space="preserve">no </w:t>
      </w:r>
      <w:r w:rsidRPr="00FF0069">
        <w:rPr>
          <w:rFonts w:ascii="Barlow" w:hAnsi="Barlow" w:cs="Times New Roman"/>
          <w:sz w:val="20"/>
          <w:szCs w:val="20"/>
        </w:rPr>
        <w:t>cuenta con s</w:t>
      </w:r>
      <w:r w:rsidR="00827F81">
        <w:rPr>
          <w:rFonts w:ascii="Barlow" w:hAnsi="Barlow" w:cs="Times New Roman"/>
          <w:sz w:val="20"/>
          <w:szCs w:val="20"/>
        </w:rPr>
        <w:t>aldo en las cuentas de otros act</w:t>
      </w:r>
      <w:r w:rsidRPr="00FF0069">
        <w:rPr>
          <w:rFonts w:ascii="Barlow" w:hAnsi="Barlow" w:cs="Times New Roman"/>
          <w:sz w:val="20"/>
          <w:szCs w:val="20"/>
        </w:rPr>
        <w:t>ivos.</w:t>
      </w:r>
    </w:p>
    <w:p w:rsidR="0055175A" w:rsidRPr="00FF0069" w:rsidRDefault="0055175A" w:rsidP="0055175A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lastRenderedPageBreak/>
        <w:t>PASIVO</w:t>
      </w:r>
    </w:p>
    <w:p w:rsidR="005140D0" w:rsidRPr="00FF0069" w:rsidRDefault="00B665C7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474A09" w:rsidRPr="00FF0069" w:rsidRDefault="005140D0" w:rsidP="00991FEB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CUENTAS POR PAGAR A CORTO PLAZO</w:t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474A09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Este rubro </w:t>
      </w:r>
      <w:r w:rsidR="00F06DC9" w:rsidRPr="00FF0069">
        <w:rPr>
          <w:rFonts w:ascii="Barlow" w:hAnsi="Barlow" w:cs="Times New Roman"/>
          <w:sz w:val="20"/>
          <w:szCs w:val="20"/>
        </w:rPr>
        <w:t>está</w:t>
      </w:r>
      <w:r w:rsidRPr="00FF0069">
        <w:rPr>
          <w:rFonts w:ascii="Barlow" w:hAnsi="Barlow" w:cs="Times New Roman"/>
          <w:sz w:val="20"/>
          <w:szCs w:val="20"/>
        </w:rPr>
        <w:t xml:space="preserve"> integrado por </w:t>
      </w:r>
      <w:r w:rsidR="00F06DC9" w:rsidRPr="00FF0069">
        <w:rPr>
          <w:rFonts w:ascii="Barlow" w:hAnsi="Barlow" w:cs="Times New Roman"/>
          <w:sz w:val="20"/>
          <w:szCs w:val="20"/>
        </w:rPr>
        <w:t>las cuentas</w:t>
      </w:r>
      <w:r w:rsidRPr="00FF0069">
        <w:rPr>
          <w:rFonts w:ascii="Barlow" w:hAnsi="Barlow" w:cs="Times New Roman"/>
          <w:sz w:val="20"/>
          <w:szCs w:val="20"/>
        </w:rPr>
        <w:t xml:space="preserve"> en las que se registran </w:t>
      </w:r>
      <w:r w:rsidR="00F06DC9" w:rsidRPr="00FF0069">
        <w:rPr>
          <w:rFonts w:ascii="Barlow" w:hAnsi="Barlow" w:cs="Times New Roman"/>
          <w:sz w:val="20"/>
          <w:szCs w:val="20"/>
        </w:rPr>
        <w:t>todas</w:t>
      </w:r>
      <w:r w:rsidRPr="00FF0069">
        <w:rPr>
          <w:rFonts w:ascii="Barlow" w:hAnsi="Barlow" w:cs="Times New Roman"/>
          <w:sz w:val="20"/>
          <w:szCs w:val="20"/>
        </w:rPr>
        <w:t xml:space="preserve"> las adquisiciones a crédito </w:t>
      </w:r>
      <w:r w:rsidR="00F06DC9" w:rsidRPr="00FF0069">
        <w:rPr>
          <w:rFonts w:ascii="Barlow" w:hAnsi="Barlow" w:cs="Times New Roman"/>
          <w:sz w:val="20"/>
          <w:szCs w:val="20"/>
        </w:rPr>
        <w:t>así</w:t>
      </w:r>
      <w:r w:rsidRPr="00FF0069">
        <w:rPr>
          <w:rFonts w:ascii="Barlow" w:hAnsi="Barlow" w:cs="Times New Roman"/>
          <w:sz w:val="20"/>
          <w:szCs w:val="20"/>
        </w:rPr>
        <w:t xml:space="preserve"> como los saldos pendientes de terceros del Hospital inte</w:t>
      </w:r>
      <w:r w:rsidR="00A0677F" w:rsidRPr="00FF0069">
        <w:rPr>
          <w:rFonts w:ascii="Barlow" w:hAnsi="Barlow" w:cs="Times New Roman"/>
          <w:sz w:val="20"/>
          <w:szCs w:val="20"/>
        </w:rPr>
        <w:t>grado de la siguiente manera:</w:t>
      </w:r>
      <w:r w:rsidR="00A0677F" w:rsidRPr="00FF0069">
        <w:rPr>
          <w:rFonts w:ascii="Barlow" w:hAnsi="Barlow" w:cs="Times New Roman"/>
          <w:sz w:val="20"/>
          <w:szCs w:val="20"/>
        </w:rPr>
        <w:tab/>
      </w:r>
      <w:r w:rsidR="00A0677F" w:rsidRPr="00FF0069">
        <w:rPr>
          <w:rFonts w:ascii="Barlow" w:hAnsi="Barlow" w:cs="Times New Roman"/>
          <w:sz w:val="20"/>
          <w:szCs w:val="20"/>
        </w:rPr>
        <w:tab/>
      </w:r>
    </w:p>
    <w:p w:rsidR="0004680C" w:rsidRPr="00FF0069" w:rsidRDefault="005140D0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No. Cuenta</w:t>
      </w:r>
      <w:r w:rsidRPr="00FF0069">
        <w:rPr>
          <w:rFonts w:ascii="Barlow" w:hAnsi="Barlow" w:cs="Times New Roman"/>
          <w:sz w:val="20"/>
          <w:szCs w:val="20"/>
        </w:rPr>
        <w:tab/>
        <w:t>Nombre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="00F06DC9" w:rsidRPr="00FF0069">
        <w:rPr>
          <w:rFonts w:ascii="Barlow" w:hAnsi="Barlow" w:cs="Times New Roman"/>
          <w:sz w:val="20"/>
          <w:szCs w:val="20"/>
        </w:rPr>
        <w:t xml:space="preserve">                                 </w:t>
      </w:r>
      <w:r w:rsidRPr="00FF0069">
        <w:rPr>
          <w:rFonts w:ascii="Barlow" w:hAnsi="Barlow" w:cs="Times New Roman"/>
          <w:sz w:val="20"/>
          <w:szCs w:val="20"/>
        </w:rPr>
        <w:t>Importe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C87F7D" w:rsidRPr="00FF0069" w:rsidRDefault="00CF358E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2-1-1-1-0-000</w:t>
      </w:r>
      <w:r w:rsidR="0088432F" w:rsidRPr="00FF0069">
        <w:rPr>
          <w:rFonts w:ascii="Barlow" w:hAnsi="Barlow" w:cs="Times New Roman"/>
          <w:sz w:val="20"/>
          <w:szCs w:val="20"/>
        </w:rPr>
        <w:t>0</w:t>
      </w:r>
      <w:r w:rsidRPr="00FF0069">
        <w:rPr>
          <w:rFonts w:ascii="Barlow" w:hAnsi="Barlow" w:cs="Times New Roman"/>
          <w:sz w:val="20"/>
          <w:szCs w:val="20"/>
        </w:rPr>
        <w:t>-00-0000</w:t>
      </w:r>
      <w:r w:rsidR="00827F81">
        <w:rPr>
          <w:rFonts w:ascii="Barlow" w:hAnsi="Barlow" w:cs="Times New Roman"/>
          <w:sz w:val="20"/>
          <w:szCs w:val="20"/>
        </w:rPr>
        <w:t>0</w:t>
      </w:r>
      <w:r w:rsidR="00827F81">
        <w:rPr>
          <w:rFonts w:ascii="Barlow" w:hAnsi="Barlow" w:cs="Times New Roman"/>
          <w:sz w:val="20"/>
          <w:szCs w:val="20"/>
        </w:rPr>
        <w:tab/>
        <w:t>Servicios Personales</w:t>
      </w:r>
      <w:r w:rsidR="00827F81">
        <w:rPr>
          <w:rFonts w:ascii="Barlow" w:hAnsi="Barlow" w:cs="Times New Roman"/>
          <w:sz w:val="20"/>
          <w:szCs w:val="20"/>
        </w:rPr>
        <w:tab/>
      </w:r>
      <w:r w:rsidR="00827F81">
        <w:rPr>
          <w:rFonts w:ascii="Barlow" w:hAnsi="Barlow" w:cs="Times New Roman"/>
          <w:sz w:val="20"/>
          <w:szCs w:val="20"/>
        </w:rPr>
        <w:tab/>
      </w:r>
      <w:r w:rsidR="00827F81">
        <w:rPr>
          <w:rFonts w:ascii="Barlow" w:hAnsi="Barlow" w:cs="Times New Roman"/>
          <w:sz w:val="20"/>
          <w:szCs w:val="20"/>
        </w:rPr>
        <w:tab/>
      </w:r>
      <w:r w:rsidR="00827F81">
        <w:rPr>
          <w:rFonts w:ascii="Barlow" w:hAnsi="Barlow" w:cs="Times New Roman"/>
          <w:sz w:val="20"/>
          <w:szCs w:val="20"/>
        </w:rPr>
        <w:tab/>
      </w:r>
      <w:r w:rsidR="00827F81">
        <w:rPr>
          <w:rFonts w:ascii="Barlow" w:hAnsi="Barlow" w:cs="Times New Roman"/>
          <w:sz w:val="20"/>
          <w:szCs w:val="20"/>
        </w:rPr>
        <w:tab/>
        <w:t xml:space="preserve">  </w:t>
      </w:r>
      <w:r w:rsidR="00E348F8" w:rsidRPr="00FF0069">
        <w:rPr>
          <w:rFonts w:ascii="Barlow" w:hAnsi="Barlow" w:cs="Times New Roman"/>
          <w:sz w:val="20"/>
          <w:szCs w:val="20"/>
        </w:rPr>
        <w:t>$</w:t>
      </w:r>
      <w:r w:rsidR="0088432F" w:rsidRPr="00FF0069">
        <w:rPr>
          <w:rFonts w:ascii="Barlow" w:hAnsi="Barlow" w:cs="Times New Roman"/>
          <w:sz w:val="20"/>
          <w:szCs w:val="20"/>
        </w:rPr>
        <w:t xml:space="preserve">   </w:t>
      </w:r>
      <w:r w:rsidR="00827F81">
        <w:rPr>
          <w:rFonts w:ascii="Barlow" w:hAnsi="Barlow" w:cs="Times New Roman"/>
          <w:sz w:val="20"/>
          <w:szCs w:val="20"/>
        </w:rPr>
        <w:t>00.00</w:t>
      </w:r>
    </w:p>
    <w:p w:rsidR="0088432F" w:rsidRPr="00FF0069" w:rsidRDefault="0088432F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2-1-1-2-0-00</w:t>
      </w:r>
      <w:r w:rsidR="002B24F1">
        <w:rPr>
          <w:rFonts w:ascii="Barlow" w:hAnsi="Barlow" w:cs="Times New Roman"/>
          <w:sz w:val="20"/>
          <w:szCs w:val="20"/>
        </w:rPr>
        <w:t>00-00-00000</w:t>
      </w:r>
      <w:r w:rsidR="002B24F1">
        <w:rPr>
          <w:rFonts w:ascii="Barlow" w:hAnsi="Barlow" w:cs="Times New Roman"/>
          <w:sz w:val="20"/>
          <w:szCs w:val="20"/>
        </w:rPr>
        <w:tab/>
        <w:t>Proveedores</w:t>
      </w:r>
      <w:r w:rsidR="002B24F1">
        <w:rPr>
          <w:rFonts w:ascii="Barlow" w:hAnsi="Barlow" w:cs="Times New Roman"/>
          <w:sz w:val="20"/>
          <w:szCs w:val="20"/>
        </w:rPr>
        <w:tab/>
      </w:r>
      <w:r w:rsidR="002B24F1">
        <w:rPr>
          <w:rFonts w:ascii="Barlow" w:hAnsi="Barlow" w:cs="Times New Roman"/>
          <w:sz w:val="20"/>
          <w:szCs w:val="20"/>
        </w:rPr>
        <w:tab/>
      </w:r>
      <w:r w:rsidR="002B24F1">
        <w:rPr>
          <w:rFonts w:ascii="Barlow" w:hAnsi="Barlow" w:cs="Times New Roman"/>
          <w:sz w:val="20"/>
          <w:szCs w:val="20"/>
        </w:rPr>
        <w:tab/>
      </w:r>
      <w:r w:rsidR="002B24F1">
        <w:rPr>
          <w:rFonts w:ascii="Barlow" w:hAnsi="Barlow" w:cs="Times New Roman"/>
          <w:sz w:val="20"/>
          <w:szCs w:val="20"/>
        </w:rPr>
        <w:tab/>
      </w:r>
      <w:r w:rsidR="002B24F1">
        <w:rPr>
          <w:rFonts w:ascii="Barlow" w:hAnsi="Barlow" w:cs="Times New Roman"/>
          <w:sz w:val="20"/>
          <w:szCs w:val="20"/>
        </w:rPr>
        <w:tab/>
      </w:r>
      <w:r w:rsidR="002B24F1">
        <w:rPr>
          <w:rFonts w:ascii="Barlow" w:hAnsi="Barlow" w:cs="Times New Roman"/>
          <w:sz w:val="20"/>
          <w:szCs w:val="20"/>
        </w:rPr>
        <w:tab/>
      </w:r>
      <w:r w:rsidR="002B24F1">
        <w:rPr>
          <w:rFonts w:ascii="Barlow" w:hAnsi="Barlow" w:cs="Times New Roman"/>
          <w:sz w:val="20"/>
          <w:szCs w:val="20"/>
        </w:rPr>
        <w:tab/>
        <w:t xml:space="preserve">  </w:t>
      </w:r>
      <w:r w:rsidR="00140A86">
        <w:rPr>
          <w:rFonts w:ascii="Barlow" w:hAnsi="Barlow" w:cs="Times New Roman"/>
          <w:sz w:val="20"/>
          <w:szCs w:val="20"/>
        </w:rPr>
        <w:t xml:space="preserve">$  </w:t>
      </w:r>
      <w:r w:rsidR="00DF5AE3">
        <w:rPr>
          <w:rFonts w:ascii="Barlow" w:hAnsi="Barlow" w:cs="Times New Roman"/>
          <w:sz w:val="20"/>
          <w:szCs w:val="20"/>
        </w:rPr>
        <w:t xml:space="preserve"> </w:t>
      </w:r>
      <w:r w:rsidR="002B24F1">
        <w:rPr>
          <w:rFonts w:ascii="Barlow" w:hAnsi="Barlow" w:cs="Times New Roman"/>
          <w:sz w:val="20"/>
          <w:szCs w:val="20"/>
        </w:rPr>
        <w:t>00.00</w:t>
      </w:r>
    </w:p>
    <w:p w:rsidR="00185334" w:rsidRDefault="00F7272E" w:rsidP="005140D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  <w:t>2-1-1-7-0-0000-00-00000</w:t>
      </w:r>
      <w:r w:rsidR="005140D0" w:rsidRPr="00FF0069">
        <w:rPr>
          <w:rFonts w:ascii="Barlow" w:hAnsi="Barlow" w:cs="Times New Roman"/>
          <w:sz w:val="20"/>
          <w:szCs w:val="20"/>
        </w:rPr>
        <w:tab/>
        <w:t>Retenciones Y Contri</w:t>
      </w:r>
      <w:r w:rsidR="00F06DC9" w:rsidRPr="00FF0069">
        <w:rPr>
          <w:rFonts w:ascii="Barlow" w:hAnsi="Barlow" w:cs="Times New Roman"/>
          <w:sz w:val="20"/>
          <w:szCs w:val="20"/>
        </w:rPr>
        <w:t xml:space="preserve">buciones 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211BEC">
        <w:rPr>
          <w:rFonts w:ascii="Barlow" w:hAnsi="Barlow" w:cs="Times New Roman"/>
          <w:sz w:val="20"/>
          <w:szCs w:val="20"/>
        </w:rPr>
        <w:t xml:space="preserve">      </w:t>
      </w:r>
      <w:r w:rsidR="00987A95" w:rsidRPr="00FF0069">
        <w:rPr>
          <w:rFonts w:ascii="Barlow" w:hAnsi="Barlow" w:cs="Times New Roman"/>
          <w:sz w:val="20"/>
          <w:szCs w:val="20"/>
        </w:rPr>
        <w:t xml:space="preserve">$  </w:t>
      </w:r>
      <w:r w:rsidR="00E348F8" w:rsidRPr="00FF0069">
        <w:rPr>
          <w:rFonts w:ascii="Barlow" w:hAnsi="Barlow" w:cs="Times New Roman"/>
          <w:sz w:val="20"/>
          <w:szCs w:val="20"/>
        </w:rPr>
        <w:t xml:space="preserve"> </w:t>
      </w:r>
      <w:r w:rsidR="00466A3C" w:rsidRPr="00466A3C">
        <w:rPr>
          <w:rFonts w:ascii="Barlow" w:hAnsi="Barlow" w:cs="Times New Roman"/>
          <w:sz w:val="20"/>
          <w:szCs w:val="20"/>
        </w:rPr>
        <w:t>1,</w:t>
      </w:r>
      <w:r w:rsidR="00466A3C">
        <w:rPr>
          <w:rFonts w:ascii="Barlow" w:hAnsi="Barlow" w:cs="Times New Roman"/>
          <w:sz w:val="20"/>
          <w:szCs w:val="20"/>
        </w:rPr>
        <w:t xml:space="preserve"> </w:t>
      </w:r>
      <w:r w:rsidR="00466A3C" w:rsidRPr="00466A3C">
        <w:rPr>
          <w:rFonts w:ascii="Barlow" w:hAnsi="Barlow" w:cs="Times New Roman"/>
          <w:sz w:val="20"/>
          <w:szCs w:val="20"/>
        </w:rPr>
        <w:t>004,179.48</w:t>
      </w:r>
    </w:p>
    <w:p w:rsidR="00185334" w:rsidRDefault="00185334" w:rsidP="00185334">
      <w:pPr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tab/>
        <w:t>2-1-1-9</w:t>
      </w:r>
      <w:r w:rsidRPr="00FF0069">
        <w:rPr>
          <w:rFonts w:ascii="Barlow" w:hAnsi="Barlow" w:cs="Times New Roman"/>
          <w:sz w:val="20"/>
          <w:szCs w:val="20"/>
        </w:rPr>
        <w:t>-0-0000-00-00000</w:t>
      </w:r>
      <w:r w:rsidRPr="00FF0069"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 xml:space="preserve">Otras cuentas por pagar a corto plazo      </w:t>
      </w:r>
      <w:r w:rsidR="00DF5AE3">
        <w:rPr>
          <w:rFonts w:ascii="Barlow" w:hAnsi="Barlow" w:cs="Times New Roman"/>
          <w:sz w:val="20"/>
          <w:szCs w:val="20"/>
        </w:rPr>
        <w:t xml:space="preserve">  </w:t>
      </w:r>
      <w:r w:rsidR="008B2ECB">
        <w:rPr>
          <w:rFonts w:ascii="Barlow" w:hAnsi="Barlow" w:cs="Times New Roman"/>
          <w:sz w:val="20"/>
          <w:szCs w:val="20"/>
        </w:rPr>
        <w:t xml:space="preserve">  </w:t>
      </w:r>
      <w:r w:rsidR="008B2ECB">
        <w:rPr>
          <w:rFonts w:ascii="Barlow" w:hAnsi="Barlow" w:cs="Times New Roman"/>
          <w:sz w:val="20"/>
          <w:szCs w:val="20"/>
        </w:rPr>
        <w:tab/>
        <w:t xml:space="preserve"> </w:t>
      </w:r>
      <w:r w:rsidR="00DF5AE3">
        <w:rPr>
          <w:rFonts w:ascii="Barlow" w:hAnsi="Barlow" w:cs="Times New Roman"/>
          <w:sz w:val="20"/>
          <w:szCs w:val="20"/>
        </w:rPr>
        <w:t xml:space="preserve"> $</w:t>
      </w:r>
      <w:r>
        <w:rPr>
          <w:rFonts w:ascii="Barlow" w:hAnsi="Barlow" w:cs="Times New Roman"/>
          <w:sz w:val="20"/>
          <w:szCs w:val="20"/>
        </w:rPr>
        <w:t xml:space="preserve">  </w:t>
      </w:r>
      <w:r w:rsidR="00DF5AE3">
        <w:rPr>
          <w:rFonts w:ascii="Barlow" w:hAnsi="Barlow" w:cs="Times New Roman"/>
          <w:sz w:val="20"/>
          <w:szCs w:val="20"/>
        </w:rPr>
        <w:t xml:space="preserve"> </w:t>
      </w:r>
      <w:r w:rsidR="008B2ECB">
        <w:rPr>
          <w:rFonts w:ascii="Barlow" w:hAnsi="Barlow" w:cs="Times New Roman"/>
          <w:sz w:val="20"/>
          <w:szCs w:val="20"/>
        </w:rPr>
        <w:t>00.00</w:t>
      </w:r>
    </w:p>
    <w:p w:rsidR="00285917" w:rsidRPr="00FF0069" w:rsidRDefault="007E2151" w:rsidP="00185334">
      <w:pPr>
        <w:ind w:left="8496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 xml:space="preserve">$   </w:t>
      </w:r>
      <w:r w:rsidR="002B24F1" w:rsidRPr="002B24F1">
        <w:rPr>
          <w:rFonts w:ascii="Barlow" w:hAnsi="Barlow" w:cs="Times New Roman"/>
          <w:b/>
          <w:sz w:val="20"/>
          <w:szCs w:val="20"/>
        </w:rPr>
        <w:t>1,</w:t>
      </w:r>
      <w:r w:rsidR="002B24F1">
        <w:rPr>
          <w:rFonts w:ascii="Barlow" w:hAnsi="Barlow" w:cs="Times New Roman"/>
          <w:b/>
          <w:sz w:val="20"/>
          <w:szCs w:val="20"/>
        </w:rPr>
        <w:t xml:space="preserve"> </w:t>
      </w:r>
      <w:r w:rsidR="002B24F1" w:rsidRPr="002B24F1">
        <w:rPr>
          <w:rFonts w:ascii="Barlow" w:hAnsi="Barlow" w:cs="Times New Roman"/>
          <w:b/>
          <w:sz w:val="20"/>
          <w:szCs w:val="20"/>
        </w:rPr>
        <w:t>004,179.48</w:t>
      </w:r>
    </w:p>
    <w:p w:rsidR="00B665C7" w:rsidRPr="00FF0069" w:rsidRDefault="00B665C7" w:rsidP="00991FEB">
      <w:pPr>
        <w:ind w:firstLine="708"/>
        <w:rPr>
          <w:rFonts w:ascii="Barlow" w:hAnsi="Barlow" w:cs="Times New Roman"/>
          <w:sz w:val="20"/>
          <w:szCs w:val="20"/>
        </w:rPr>
      </w:pPr>
    </w:p>
    <w:p w:rsidR="00285917" w:rsidRPr="00FF0069" w:rsidRDefault="00285917" w:rsidP="00991FEB">
      <w:pPr>
        <w:ind w:firstLine="708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PASIVOS DIFERIDOS A CORTO PLAZO</w:t>
      </w:r>
    </w:p>
    <w:p w:rsidR="00991FEB" w:rsidRPr="00FF0069" w:rsidRDefault="00E42E27" w:rsidP="00991FEB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Este rubro esta la fecha la entidad </w:t>
      </w:r>
      <w:r w:rsidR="00B554E1" w:rsidRPr="00FF0069">
        <w:rPr>
          <w:rFonts w:ascii="Barlow" w:hAnsi="Barlow" w:cs="Times New Roman"/>
          <w:sz w:val="20"/>
          <w:szCs w:val="20"/>
        </w:rPr>
        <w:t>no se tiene</w:t>
      </w:r>
      <w:r w:rsidRPr="00FF0069">
        <w:rPr>
          <w:rFonts w:ascii="Barlow" w:hAnsi="Barlow" w:cs="Times New Roman"/>
          <w:sz w:val="20"/>
          <w:szCs w:val="20"/>
        </w:rPr>
        <w:t xml:space="preserve"> valor alguno para su contabilización</w:t>
      </w:r>
      <w:r w:rsidR="00077B66" w:rsidRPr="00FF0069">
        <w:rPr>
          <w:rFonts w:ascii="Barlow" w:hAnsi="Barlow" w:cs="Times New Roman"/>
          <w:sz w:val="20"/>
          <w:szCs w:val="20"/>
        </w:rPr>
        <w:t>.</w:t>
      </w:r>
    </w:p>
    <w:p w:rsidR="00B665C7" w:rsidRPr="00FF0069" w:rsidRDefault="00B665C7" w:rsidP="00991FEB">
      <w:pPr>
        <w:rPr>
          <w:rFonts w:ascii="Barlow" w:hAnsi="Barlow" w:cs="Times New Roman"/>
          <w:b/>
          <w:sz w:val="20"/>
          <w:szCs w:val="20"/>
        </w:rPr>
      </w:pPr>
    </w:p>
    <w:p w:rsidR="00B665C7" w:rsidRPr="00FF0069" w:rsidRDefault="00B665C7" w:rsidP="00991FEB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2</w:t>
      </w:r>
    </w:p>
    <w:p w:rsidR="00B665C7" w:rsidRPr="00FF0069" w:rsidRDefault="00B665C7" w:rsidP="00B665C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Hospital General de Tekax, Yucatán no cuenta con recursos localizados en Fondos de Bienes de Terceros en Administración y/o en Garantía a corto y largo plazo.</w:t>
      </w:r>
    </w:p>
    <w:p w:rsidR="0042067F" w:rsidRDefault="0042067F" w:rsidP="00B665C7">
      <w:pPr>
        <w:rPr>
          <w:rFonts w:ascii="Barlow" w:hAnsi="Barlow" w:cs="Times New Roman"/>
          <w:sz w:val="20"/>
          <w:szCs w:val="20"/>
        </w:rPr>
      </w:pPr>
    </w:p>
    <w:p w:rsidR="00B665C7" w:rsidRPr="00FF0069" w:rsidRDefault="00B665C7" w:rsidP="00B665C7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>NOTA 3</w:t>
      </w:r>
    </w:p>
    <w:p w:rsidR="00185334" w:rsidRPr="00FB10C0" w:rsidRDefault="00B665C7" w:rsidP="00FB10C0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Hospital General de Tekax, Yucatán no tiene registro de pasivos diferidos de corto o largo plazo.</w:t>
      </w:r>
    </w:p>
    <w:p w:rsidR="0017173C" w:rsidRPr="00FF0069" w:rsidRDefault="0017173C" w:rsidP="0017173C">
      <w:pPr>
        <w:jc w:val="center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 xml:space="preserve">II) </w:t>
      </w:r>
      <w:r w:rsidR="005140D0" w:rsidRPr="00FF0069">
        <w:rPr>
          <w:rFonts w:ascii="Barlow" w:hAnsi="Barlow" w:cs="Times New Roman"/>
          <w:b/>
          <w:sz w:val="20"/>
          <w:szCs w:val="20"/>
        </w:rPr>
        <w:t>NOTAS AL ESTADO DE ACTIVIDADES</w:t>
      </w:r>
    </w:p>
    <w:p w:rsidR="005140D0" w:rsidRPr="00FF0069" w:rsidRDefault="005140D0" w:rsidP="0017173C">
      <w:pPr>
        <w:ind w:firstLine="708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INGRESOS DE GESTION</w:t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  <w:r w:rsidR="00474A09"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F06DC9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</w:t>
      </w:r>
      <w:r w:rsidR="00E42E27" w:rsidRPr="00FF0069">
        <w:rPr>
          <w:rFonts w:ascii="Barlow" w:hAnsi="Barlow" w:cs="Times New Roman"/>
          <w:sz w:val="20"/>
          <w:szCs w:val="20"/>
        </w:rPr>
        <w:t xml:space="preserve">tal General de </w:t>
      </w:r>
      <w:proofErr w:type="spellStart"/>
      <w:r w:rsidR="00E42E27" w:rsidRPr="00FF0069">
        <w:rPr>
          <w:rFonts w:ascii="Barlow" w:hAnsi="Barlow" w:cs="Times New Roman"/>
          <w:sz w:val="20"/>
          <w:szCs w:val="20"/>
        </w:rPr>
        <w:t>Tekax</w:t>
      </w:r>
      <w:proofErr w:type="spellEnd"/>
      <w:r w:rsidR="00033BE4" w:rsidRPr="00FF0069">
        <w:rPr>
          <w:rFonts w:ascii="Barlow" w:hAnsi="Barlow" w:cs="Times New Roman"/>
          <w:sz w:val="20"/>
          <w:szCs w:val="20"/>
        </w:rPr>
        <w:t>, Yucatán</w:t>
      </w:r>
      <w:r w:rsidR="00E42E27" w:rsidRPr="00FF0069">
        <w:rPr>
          <w:rFonts w:ascii="Barlow" w:hAnsi="Barlow" w:cs="Times New Roman"/>
          <w:sz w:val="20"/>
          <w:szCs w:val="20"/>
        </w:rPr>
        <w:t>,</w:t>
      </w:r>
      <w:r w:rsidR="00466A3C">
        <w:rPr>
          <w:rFonts w:ascii="Barlow" w:hAnsi="Barlow" w:cs="Times New Roman"/>
          <w:sz w:val="20"/>
          <w:szCs w:val="20"/>
        </w:rPr>
        <w:t xml:space="preserve"> no</w:t>
      </w:r>
      <w:r w:rsidRPr="00FF0069">
        <w:rPr>
          <w:rFonts w:ascii="Barlow" w:hAnsi="Barlow" w:cs="Times New Roman"/>
          <w:sz w:val="20"/>
          <w:szCs w:val="20"/>
        </w:rPr>
        <w:t xml:space="preserve"> recibe ingresos por parte de la </w:t>
      </w:r>
      <w:r w:rsidR="00E42E27" w:rsidRPr="00FF0069">
        <w:rPr>
          <w:rFonts w:ascii="Barlow" w:hAnsi="Barlow" w:cs="Times New Roman"/>
          <w:sz w:val="20"/>
          <w:szCs w:val="20"/>
        </w:rPr>
        <w:t xml:space="preserve">Secretaria de </w:t>
      </w:r>
      <w:r w:rsidR="00033BE4" w:rsidRPr="00FF0069">
        <w:rPr>
          <w:rFonts w:ascii="Barlow" w:hAnsi="Barlow" w:cs="Times New Roman"/>
          <w:sz w:val="20"/>
          <w:szCs w:val="20"/>
        </w:rPr>
        <w:t>Administración</w:t>
      </w:r>
      <w:r w:rsidR="00E42E27" w:rsidRPr="00FF0069">
        <w:rPr>
          <w:rFonts w:ascii="Barlow" w:hAnsi="Barlow" w:cs="Times New Roman"/>
          <w:sz w:val="20"/>
          <w:szCs w:val="20"/>
        </w:rPr>
        <w:t xml:space="preserve"> y finanzas</w:t>
      </w:r>
      <w:r w:rsidRPr="00FF0069">
        <w:rPr>
          <w:rFonts w:ascii="Barlow" w:hAnsi="Barlow" w:cs="Times New Roman"/>
          <w:sz w:val="20"/>
          <w:szCs w:val="20"/>
        </w:rPr>
        <w:t xml:space="preserve"> </w:t>
      </w:r>
      <w:r w:rsidR="009219ED">
        <w:rPr>
          <w:rFonts w:ascii="Barlow" w:hAnsi="Barlow" w:cs="Times New Roman"/>
          <w:sz w:val="20"/>
          <w:szCs w:val="20"/>
        </w:rPr>
        <w:t>para el Ejercicio 202</w:t>
      </w:r>
      <w:r w:rsidR="00466A3C">
        <w:rPr>
          <w:rFonts w:ascii="Barlow" w:hAnsi="Barlow" w:cs="Times New Roman"/>
          <w:sz w:val="20"/>
          <w:szCs w:val="20"/>
        </w:rPr>
        <w:t>2</w:t>
      </w:r>
      <w:r w:rsidR="00080A30" w:rsidRPr="00FF0069">
        <w:rPr>
          <w:rFonts w:ascii="Barlow" w:hAnsi="Barlow" w:cs="Times New Roman"/>
          <w:sz w:val="20"/>
          <w:szCs w:val="20"/>
        </w:rPr>
        <w:t>.</w:t>
      </w:r>
    </w:p>
    <w:p w:rsidR="0017173C" w:rsidRPr="00FF0069" w:rsidRDefault="0017173C" w:rsidP="00F06DC9">
      <w:pPr>
        <w:jc w:val="both"/>
        <w:rPr>
          <w:rFonts w:ascii="Barlow" w:hAnsi="Barlow" w:cs="Times New Roman"/>
          <w:sz w:val="20"/>
          <w:szCs w:val="20"/>
        </w:rPr>
      </w:pPr>
    </w:p>
    <w:p w:rsidR="00080A30" w:rsidRPr="00FF0069" w:rsidRDefault="00080A30" w:rsidP="00F06DC9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1.- Las cuentas que integran los ingresos de la gestión, presentan los siguientes saldos:</w:t>
      </w:r>
    </w:p>
    <w:tbl>
      <w:tblPr>
        <w:tblpPr w:leftFromText="141" w:rightFromText="141" w:vertAnchor="text" w:horzAnchor="margin" w:tblpXSpec="center" w:tblpY="105"/>
        <w:tblW w:w="7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242"/>
      </w:tblGrid>
      <w:tr w:rsidR="00080A30" w:rsidRPr="00FF0069" w:rsidTr="008224B9">
        <w:trPr>
          <w:trHeight w:val="119"/>
        </w:trPr>
        <w:tc>
          <w:tcPr>
            <w:tcW w:w="53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  <w:hideMark/>
          </w:tcPr>
          <w:p w:rsidR="00080A30" w:rsidRPr="00FF0069" w:rsidRDefault="00080A30" w:rsidP="008224B9">
            <w:pPr>
              <w:jc w:val="both"/>
              <w:rPr>
                <w:rFonts w:ascii="Barlow" w:hAnsi="Barlow" w:cs="Times New Roman"/>
                <w:b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b/>
                <w:sz w:val="20"/>
                <w:szCs w:val="20"/>
              </w:rPr>
              <w:t>INGRESOS DE GESTIÓN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  <w:hideMark/>
          </w:tcPr>
          <w:p w:rsidR="00080A30" w:rsidRPr="00FF0069" w:rsidRDefault="00080A30" w:rsidP="008224B9">
            <w:pPr>
              <w:jc w:val="both"/>
              <w:rPr>
                <w:rFonts w:ascii="Barlow" w:hAnsi="Barlow" w:cs="Times New Roman"/>
                <w:sz w:val="20"/>
                <w:szCs w:val="20"/>
              </w:rPr>
            </w:pPr>
          </w:p>
        </w:tc>
      </w:tr>
      <w:tr w:rsidR="008224B9" w:rsidRPr="00FF0069" w:rsidTr="008224B9">
        <w:trPr>
          <w:trHeight w:val="119"/>
        </w:trPr>
        <w:tc>
          <w:tcPr>
            <w:tcW w:w="538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B9" w:rsidRPr="00FF0069" w:rsidRDefault="008224B9" w:rsidP="008224B9">
            <w:pPr>
              <w:rPr>
                <w:rFonts w:ascii="Barlow" w:hAnsi="Barlow" w:cs="Times New Roman"/>
                <w:sz w:val="20"/>
                <w:szCs w:val="20"/>
              </w:rPr>
            </w:pPr>
            <w:r w:rsidRPr="00FF0069">
              <w:rPr>
                <w:rFonts w:ascii="Barlow" w:hAnsi="Barlow" w:cs="Times New Roman"/>
                <w:sz w:val="20"/>
                <w:szCs w:val="20"/>
              </w:rPr>
              <w:t>PRODUCTOS</w:t>
            </w:r>
          </w:p>
        </w:tc>
        <w:tc>
          <w:tcPr>
            <w:tcW w:w="2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  <w:hideMark/>
          </w:tcPr>
          <w:p w:rsidR="008224B9" w:rsidRPr="00FF0069" w:rsidRDefault="00270552" w:rsidP="008224B9">
            <w:pPr>
              <w:jc w:val="right"/>
              <w:rPr>
                <w:rFonts w:ascii="Barlow" w:hAnsi="Barlow" w:cs="Times New Roman"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sz w:val="20"/>
                <w:szCs w:val="20"/>
              </w:rPr>
              <w:t>1,141.45</w:t>
            </w:r>
          </w:p>
        </w:tc>
      </w:tr>
      <w:tr w:rsidR="008224B9" w:rsidRPr="00FF0069" w:rsidTr="008224B9">
        <w:trPr>
          <w:trHeight w:val="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4B9" w:rsidRPr="00FF0069" w:rsidRDefault="008224B9" w:rsidP="008224B9">
            <w:pPr>
              <w:rPr>
                <w:rFonts w:ascii="Barlow" w:hAnsi="Barlow" w:cs="Times New Roman"/>
                <w:sz w:val="20"/>
                <w:szCs w:val="20"/>
              </w:rPr>
            </w:pPr>
            <w:r w:rsidRPr="008224B9">
              <w:rPr>
                <w:rFonts w:ascii="Barlow" w:hAnsi="Barlow" w:cs="Times New Roman"/>
                <w:sz w:val="20"/>
                <w:szCs w:val="20"/>
              </w:rPr>
              <w:t>INGRESOS POR VENTA DE BIENES Y PRESTACIÓN DE SERVICIOS</w:t>
            </w:r>
          </w:p>
        </w:tc>
        <w:tc>
          <w:tcPr>
            <w:tcW w:w="2242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24B9" w:rsidRPr="003804B4" w:rsidRDefault="008224B9" w:rsidP="008224B9">
            <w:pPr>
              <w:jc w:val="right"/>
              <w:rPr>
                <w:rFonts w:ascii="Barlow" w:hAnsi="Barlow" w:cs="Times New Roman"/>
                <w:sz w:val="20"/>
                <w:szCs w:val="20"/>
              </w:rPr>
            </w:pPr>
            <w:r w:rsidRPr="008224B9">
              <w:rPr>
                <w:rFonts w:ascii="Barlow" w:hAnsi="Barlow" w:cs="Times New Roman"/>
                <w:sz w:val="20"/>
                <w:szCs w:val="20"/>
              </w:rPr>
              <w:t>0.00</w:t>
            </w:r>
          </w:p>
        </w:tc>
      </w:tr>
      <w:tr w:rsidR="00080A30" w:rsidRPr="00FF0069" w:rsidTr="008224B9">
        <w:trPr>
          <w:trHeight w:val="12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0A30" w:rsidRPr="00FF0069" w:rsidRDefault="00080A30" w:rsidP="008224B9">
            <w:pPr>
              <w:jc w:val="right"/>
              <w:rPr>
                <w:rFonts w:ascii="Barlow" w:hAnsi="Barlow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30" w:rsidRPr="00FF0069" w:rsidRDefault="00270552" w:rsidP="008224B9">
            <w:pPr>
              <w:jc w:val="right"/>
              <w:rPr>
                <w:rFonts w:ascii="Barlow" w:hAnsi="Barlow" w:cs="Times New Roman"/>
                <w:b/>
                <w:sz w:val="20"/>
                <w:szCs w:val="20"/>
              </w:rPr>
            </w:pPr>
            <w:r w:rsidRPr="00270552">
              <w:rPr>
                <w:rFonts w:ascii="Barlow" w:hAnsi="Barlow" w:cs="Times New Roman"/>
                <w:b/>
                <w:sz w:val="20"/>
                <w:szCs w:val="20"/>
              </w:rPr>
              <w:t>1,141.45</w:t>
            </w:r>
          </w:p>
        </w:tc>
      </w:tr>
    </w:tbl>
    <w:p w:rsidR="00080A30" w:rsidRPr="00FF0069" w:rsidRDefault="00080A30" w:rsidP="00F06DC9">
      <w:pPr>
        <w:jc w:val="both"/>
        <w:rPr>
          <w:rFonts w:ascii="Barlow" w:hAnsi="Barlow" w:cs="Times New Roman"/>
          <w:b/>
          <w:sz w:val="20"/>
          <w:szCs w:val="20"/>
        </w:rPr>
      </w:pPr>
    </w:p>
    <w:p w:rsidR="00080A30" w:rsidRPr="00FF0069" w:rsidRDefault="00080A30" w:rsidP="00F06DC9">
      <w:pPr>
        <w:jc w:val="both"/>
        <w:rPr>
          <w:rFonts w:ascii="Barlow" w:hAnsi="Barlow" w:cs="Times New Roman"/>
          <w:b/>
          <w:sz w:val="20"/>
          <w:szCs w:val="20"/>
        </w:rPr>
      </w:pPr>
    </w:p>
    <w:p w:rsidR="00387759" w:rsidRPr="00FF0069" w:rsidRDefault="00387759" w:rsidP="00387759">
      <w:pPr>
        <w:tabs>
          <w:tab w:val="left" w:pos="7938"/>
        </w:tabs>
        <w:rPr>
          <w:rFonts w:ascii="Barlow" w:hAnsi="Barlow" w:cs="Times New Roman"/>
          <w:b/>
          <w:sz w:val="20"/>
          <w:szCs w:val="20"/>
        </w:rPr>
      </w:pPr>
    </w:p>
    <w:p w:rsidR="00080A30" w:rsidRPr="00FF0069" w:rsidRDefault="00080A30" w:rsidP="00387759">
      <w:pPr>
        <w:tabs>
          <w:tab w:val="left" w:pos="7938"/>
        </w:tabs>
        <w:rPr>
          <w:rFonts w:ascii="Barlow" w:hAnsi="Barlow" w:cs="Times New Roman"/>
          <w:b/>
          <w:sz w:val="20"/>
          <w:szCs w:val="20"/>
        </w:rPr>
      </w:pPr>
    </w:p>
    <w:p w:rsidR="0094717A" w:rsidRPr="00FF0069" w:rsidRDefault="0094717A" w:rsidP="00387759">
      <w:pPr>
        <w:tabs>
          <w:tab w:val="left" w:pos="7938"/>
        </w:tabs>
        <w:rPr>
          <w:rFonts w:ascii="Barlow" w:hAnsi="Barlow" w:cs="Times New Roman"/>
          <w:b/>
          <w:sz w:val="20"/>
          <w:szCs w:val="20"/>
        </w:rPr>
      </w:pPr>
    </w:p>
    <w:p w:rsidR="00576E84" w:rsidRDefault="00576E84" w:rsidP="0094717A">
      <w:pPr>
        <w:jc w:val="both"/>
        <w:rPr>
          <w:rFonts w:ascii="Barlow" w:hAnsi="Barlow" w:cs="Times New Roman"/>
          <w:sz w:val="20"/>
          <w:szCs w:val="20"/>
        </w:rPr>
      </w:pPr>
    </w:p>
    <w:p w:rsidR="0094717A" w:rsidRPr="00FF0069" w:rsidRDefault="0094717A" w:rsidP="0094717A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2.- Las cuentas que integran los ingresos por participaciones, aportaciones, convenios, incentivos derivados de la colaboración fiscal, fondos distintos de aportaciones, transferencias, asignaciones, subsidios y otras ayudas presentan los siguientes saldos:</w:t>
      </w:r>
    </w:p>
    <w:p w:rsidR="00080A30" w:rsidRPr="00FF0069" w:rsidRDefault="00080A30" w:rsidP="00387759">
      <w:pPr>
        <w:tabs>
          <w:tab w:val="left" w:pos="7938"/>
        </w:tabs>
        <w:rPr>
          <w:rFonts w:ascii="Barlow" w:hAnsi="Barlow" w:cs="Times New Roman"/>
          <w:b/>
          <w:sz w:val="20"/>
          <w:szCs w:val="20"/>
        </w:rPr>
      </w:pPr>
    </w:p>
    <w:tbl>
      <w:tblPr>
        <w:tblW w:w="7560" w:type="dxa"/>
        <w:tblInd w:w="3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2240"/>
      </w:tblGrid>
      <w:tr w:rsidR="00080A30" w:rsidRPr="00FF0069" w:rsidTr="00AA3556">
        <w:trPr>
          <w:trHeight w:val="135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A30" w:rsidRPr="00FF0069" w:rsidRDefault="00080A30" w:rsidP="000774DB">
            <w:pPr>
              <w:jc w:val="both"/>
              <w:rPr>
                <w:rFonts w:ascii="Barlow" w:hAnsi="Barl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PARTICIPACIONES, APORTACIONES, CONVENIOS, INCENTIVOS DERIVADOS DE LA COLABORACIÓN FISCAL, FONDOS DISTINTOS DE APORTACIONES, TRANSFERENCIAS, ASIGNACIONES.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A30" w:rsidRPr="00FF0069" w:rsidRDefault="00080A30" w:rsidP="000774DB">
            <w:pPr>
              <w:rPr>
                <w:rFonts w:ascii="Barlow" w:hAnsi="Barlow" w:cs="Times New Roman"/>
                <w:sz w:val="20"/>
                <w:szCs w:val="20"/>
                <w:lang w:eastAsia="es-MX"/>
              </w:rPr>
            </w:pPr>
          </w:p>
        </w:tc>
      </w:tr>
      <w:tr w:rsidR="00080A30" w:rsidRPr="00FF0069" w:rsidTr="00AA3556">
        <w:trPr>
          <w:trHeight w:val="82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A30" w:rsidRPr="00FF0069" w:rsidRDefault="00080A30" w:rsidP="000774DB">
            <w:pPr>
              <w:jc w:val="both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 xml:space="preserve">TRANSFERENCIAS, ASIGNACIONES, SUBSIDIOS Y SUBVENCIONES, PENSIONES Y JUBILACIONES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30" w:rsidRPr="00FF0069" w:rsidRDefault="00466A3C" w:rsidP="000774DB">
            <w:pPr>
              <w:jc w:val="right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</w:t>
            </w:r>
            <w:r w:rsidR="008224B9" w:rsidRPr="008224B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080A30" w:rsidRPr="00FF0069" w:rsidTr="00AA3556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0A30" w:rsidRPr="00FF0069" w:rsidRDefault="00080A30" w:rsidP="000774DB">
            <w:pPr>
              <w:jc w:val="right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80A30" w:rsidRPr="00FF0069" w:rsidRDefault="00466A3C" w:rsidP="000774DB">
            <w:pPr>
              <w:jc w:val="right"/>
              <w:rPr>
                <w:rFonts w:ascii="Barlow" w:hAnsi="Barl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Times New Roman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  <w:r w:rsidR="008224B9" w:rsidRPr="008224B9">
              <w:rPr>
                <w:rFonts w:ascii="Barlow" w:hAnsi="Barlow" w:cs="Times New Roman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</w:tbl>
    <w:p w:rsidR="0094717A" w:rsidRPr="00FF0069" w:rsidRDefault="0094717A" w:rsidP="00387759">
      <w:pPr>
        <w:tabs>
          <w:tab w:val="left" w:pos="7938"/>
        </w:tabs>
        <w:rPr>
          <w:rFonts w:ascii="Barlow" w:hAnsi="Barlow" w:cs="Times New Roman"/>
          <w:b/>
          <w:sz w:val="20"/>
          <w:szCs w:val="20"/>
        </w:rPr>
      </w:pPr>
    </w:p>
    <w:p w:rsidR="0017173C" w:rsidRDefault="0017173C" w:rsidP="0017173C">
      <w:pPr>
        <w:pStyle w:val="Texto"/>
        <w:spacing w:line="224" w:lineRule="exact"/>
        <w:ind w:firstLine="0"/>
        <w:rPr>
          <w:rFonts w:ascii="Barlow" w:hAnsi="Barlow" w:cs="Times New Roman"/>
          <w:sz w:val="20"/>
          <w:szCs w:val="20"/>
          <w:lang w:val="es-MX" w:eastAsia="en-US"/>
        </w:rPr>
      </w:pPr>
      <w:r w:rsidRPr="00FF0069">
        <w:rPr>
          <w:rFonts w:ascii="Barlow" w:hAnsi="Barlow" w:cs="Times New Roman"/>
          <w:sz w:val="20"/>
          <w:szCs w:val="20"/>
          <w:lang w:val="es-MX" w:eastAsia="en-US"/>
        </w:rPr>
        <w:t xml:space="preserve">3.- </w:t>
      </w:r>
      <w:r w:rsidR="00AA3556" w:rsidRPr="00AA3556">
        <w:rPr>
          <w:rFonts w:ascii="Barlow" w:hAnsi="Barlow" w:cs="Times New Roman"/>
          <w:sz w:val="20"/>
          <w:szCs w:val="20"/>
          <w:lang w:val="es-MX" w:eastAsia="en-US"/>
        </w:rPr>
        <w:t>Las cuentas que integran los otros ingresos y beneficios presentan los siguientes saldos</w:t>
      </w:r>
      <w:r w:rsidRPr="00FF0069">
        <w:rPr>
          <w:rFonts w:ascii="Barlow" w:hAnsi="Barlow" w:cs="Times New Roman"/>
          <w:sz w:val="20"/>
          <w:szCs w:val="20"/>
          <w:lang w:val="es-MX" w:eastAsia="en-US"/>
        </w:rPr>
        <w:t>.</w:t>
      </w:r>
    </w:p>
    <w:tbl>
      <w:tblPr>
        <w:tblpPr w:leftFromText="141" w:rightFromText="141" w:vertAnchor="page" w:horzAnchor="margin" w:tblpXSpec="center" w:tblpY="5341"/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2240"/>
      </w:tblGrid>
      <w:tr w:rsidR="00AA3556" w:rsidRPr="00907C42" w:rsidTr="00AA3556">
        <w:trPr>
          <w:trHeight w:val="27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556" w:rsidRPr="00907C42" w:rsidRDefault="00AA3556" w:rsidP="00AA3556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07C42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OTROS INGRESOS Y BENEFICIOS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556" w:rsidRPr="00907C42" w:rsidRDefault="00AA3556" w:rsidP="00AA3556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AA3556" w:rsidRPr="00907C42" w:rsidTr="00E543C0">
        <w:trPr>
          <w:trHeight w:val="27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3556" w:rsidRPr="00907C42" w:rsidRDefault="00AA3556" w:rsidP="00AA3556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907C4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556" w:rsidRPr="00907C42" w:rsidRDefault="00466A3C" w:rsidP="00AA3556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</w:t>
            </w:r>
            <w:r w:rsidR="00AA355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AA3556" w:rsidRPr="00907C42" w:rsidTr="00E543C0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3556" w:rsidRPr="00907C42" w:rsidRDefault="00AA3556" w:rsidP="00AA3556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A3556" w:rsidRPr="00907C42" w:rsidRDefault="00466A3C" w:rsidP="00AA3556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0.0</w:t>
            </w:r>
            <w:r w:rsidR="00AA355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</w:tbl>
    <w:p w:rsidR="00AA3556" w:rsidRPr="00FF0069" w:rsidRDefault="00AA3556" w:rsidP="0017173C">
      <w:pPr>
        <w:pStyle w:val="Texto"/>
        <w:spacing w:line="224" w:lineRule="exact"/>
        <w:ind w:firstLine="0"/>
        <w:rPr>
          <w:rFonts w:ascii="Barlow" w:hAnsi="Barlow" w:cs="Times New Roman"/>
          <w:sz w:val="20"/>
          <w:szCs w:val="20"/>
          <w:lang w:val="es-MX" w:eastAsia="en-US"/>
        </w:rPr>
      </w:pPr>
    </w:p>
    <w:p w:rsidR="0017173C" w:rsidRDefault="0017173C" w:rsidP="00211BEC">
      <w:pPr>
        <w:pStyle w:val="Texto"/>
        <w:spacing w:line="224" w:lineRule="exact"/>
        <w:ind w:firstLine="0"/>
        <w:rPr>
          <w:rFonts w:ascii="Barlow" w:hAnsi="Barlow"/>
          <w:b/>
          <w:sz w:val="20"/>
          <w:szCs w:val="20"/>
          <w:highlight w:val="yellow"/>
          <w:lang w:val="es-MX"/>
        </w:rPr>
      </w:pPr>
    </w:p>
    <w:p w:rsidR="00AA3556" w:rsidRDefault="00AA3556" w:rsidP="00211BEC">
      <w:pPr>
        <w:pStyle w:val="Texto"/>
        <w:spacing w:line="224" w:lineRule="exact"/>
        <w:ind w:firstLine="0"/>
        <w:rPr>
          <w:rFonts w:ascii="Barlow" w:hAnsi="Barlow"/>
          <w:b/>
          <w:sz w:val="20"/>
          <w:szCs w:val="20"/>
          <w:highlight w:val="yellow"/>
          <w:lang w:val="es-MX"/>
        </w:rPr>
      </w:pPr>
    </w:p>
    <w:p w:rsidR="00AA3556" w:rsidRDefault="00AA3556" w:rsidP="00211BEC">
      <w:pPr>
        <w:pStyle w:val="Texto"/>
        <w:spacing w:line="224" w:lineRule="exact"/>
        <w:ind w:firstLine="0"/>
        <w:rPr>
          <w:rFonts w:ascii="Barlow" w:hAnsi="Barlow"/>
          <w:b/>
          <w:sz w:val="20"/>
          <w:szCs w:val="20"/>
          <w:highlight w:val="yellow"/>
          <w:lang w:val="es-MX"/>
        </w:rPr>
      </w:pPr>
    </w:p>
    <w:p w:rsidR="00AA3556" w:rsidRDefault="00AA3556" w:rsidP="00AA3556">
      <w:pPr>
        <w:pStyle w:val="Texto"/>
        <w:spacing w:line="224" w:lineRule="exact"/>
        <w:ind w:firstLine="0"/>
        <w:rPr>
          <w:rFonts w:ascii="Barlow" w:hAnsi="Barlow" w:cs="Times New Roman"/>
          <w:b/>
          <w:sz w:val="20"/>
          <w:szCs w:val="20"/>
          <w:lang w:val="es-MX" w:eastAsia="en-US"/>
        </w:rPr>
      </w:pPr>
    </w:p>
    <w:p w:rsidR="004129CB" w:rsidRDefault="004129CB" w:rsidP="00AA3556">
      <w:pPr>
        <w:pStyle w:val="Texto"/>
        <w:spacing w:line="224" w:lineRule="exact"/>
        <w:ind w:firstLine="0"/>
        <w:rPr>
          <w:rFonts w:ascii="Barlow" w:hAnsi="Barlow" w:cs="Times New Roman"/>
          <w:b/>
          <w:sz w:val="20"/>
          <w:szCs w:val="20"/>
          <w:lang w:val="es-MX" w:eastAsia="en-US"/>
        </w:rPr>
      </w:pPr>
    </w:p>
    <w:p w:rsidR="00B17853" w:rsidRPr="00FF0069" w:rsidRDefault="0017173C" w:rsidP="0017173C">
      <w:pPr>
        <w:pStyle w:val="Texto"/>
        <w:spacing w:line="224" w:lineRule="exact"/>
        <w:ind w:left="720"/>
        <w:rPr>
          <w:rFonts w:ascii="Barlow" w:hAnsi="Barlow" w:cs="Times New Roman"/>
          <w:b/>
          <w:sz w:val="20"/>
          <w:szCs w:val="20"/>
          <w:lang w:val="es-MX" w:eastAsia="en-US"/>
        </w:rPr>
      </w:pPr>
      <w:r w:rsidRPr="00FF0069">
        <w:rPr>
          <w:rFonts w:ascii="Barlow" w:hAnsi="Barlow" w:cs="Times New Roman"/>
          <w:b/>
          <w:sz w:val="20"/>
          <w:szCs w:val="20"/>
          <w:lang w:val="es-MX" w:eastAsia="en-US"/>
        </w:rPr>
        <w:t>GASTOS Y OTRAS PÉRDIDAS:</w:t>
      </w:r>
    </w:p>
    <w:p w:rsidR="003058D3" w:rsidRPr="003058D3" w:rsidRDefault="003058D3" w:rsidP="003058D3">
      <w:pPr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General de </w:t>
      </w:r>
      <w:proofErr w:type="spellStart"/>
      <w:r w:rsidRPr="00FF0069">
        <w:rPr>
          <w:rFonts w:ascii="Barlow" w:hAnsi="Barlow" w:cs="Times New Roman"/>
          <w:sz w:val="20"/>
          <w:szCs w:val="20"/>
        </w:rPr>
        <w:t>Tekax</w:t>
      </w:r>
      <w:proofErr w:type="spellEnd"/>
      <w:r w:rsidRPr="00FF0069">
        <w:rPr>
          <w:rFonts w:ascii="Barlow" w:hAnsi="Barlow" w:cs="Times New Roman"/>
          <w:sz w:val="20"/>
          <w:szCs w:val="20"/>
        </w:rPr>
        <w:t xml:space="preserve">, Yucatán no tiene registro </w:t>
      </w:r>
      <w:r>
        <w:rPr>
          <w:rFonts w:ascii="Barlow" w:hAnsi="Barlow" w:cs="Times New Roman"/>
          <w:sz w:val="20"/>
          <w:szCs w:val="20"/>
        </w:rPr>
        <w:t xml:space="preserve">de gastos y otras pérdidas </w:t>
      </w:r>
      <w:r w:rsidR="00D345F9" w:rsidRPr="00FF0069">
        <w:rPr>
          <w:rFonts w:ascii="Barlow" w:hAnsi="Barlow" w:cs="Times New Roman"/>
          <w:sz w:val="20"/>
          <w:szCs w:val="20"/>
        </w:rPr>
        <w:t>superiores al 10% del total de gasto</w:t>
      </w:r>
      <w:r>
        <w:rPr>
          <w:rFonts w:ascii="Barlow" w:hAnsi="Barlow" w:cs="Times New Roman"/>
          <w:sz w:val="20"/>
          <w:szCs w:val="20"/>
        </w:rPr>
        <w:t>.</w:t>
      </w:r>
    </w:p>
    <w:p w:rsidR="00576E84" w:rsidRDefault="00576E84" w:rsidP="00584443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387759" w:rsidRPr="00FF0069" w:rsidRDefault="00646FAB" w:rsidP="00584443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 xml:space="preserve">III) </w:t>
      </w:r>
      <w:r w:rsidR="00387759" w:rsidRPr="00FF0069">
        <w:rPr>
          <w:rFonts w:ascii="Barlow" w:hAnsi="Barlow" w:cs="Times New Roman"/>
          <w:b/>
          <w:sz w:val="20"/>
          <w:szCs w:val="20"/>
        </w:rPr>
        <w:t>NOTAS AL ESTADO DE VARIACIONES EN LA HACIENDA PUBLICA/PATRIMONIO</w:t>
      </w:r>
    </w:p>
    <w:p w:rsidR="00387759" w:rsidRPr="00FF0069" w:rsidRDefault="00387759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387759" w:rsidRPr="00FF0069" w:rsidRDefault="00387759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PROCEDENCIA DE LOS RECURSOS QUE MODIFICAN AL PATRIMONIO </w:t>
      </w:r>
      <w:r w:rsidR="003058D3">
        <w:rPr>
          <w:rFonts w:ascii="Barlow" w:hAnsi="Barlow" w:cs="Times New Roman"/>
          <w:sz w:val="20"/>
          <w:szCs w:val="20"/>
        </w:rPr>
        <w:t>GENERADO</w:t>
      </w:r>
      <w:r w:rsidR="003058D3">
        <w:rPr>
          <w:rFonts w:ascii="Barlow" w:hAnsi="Barlow" w:cs="Times New Roman"/>
          <w:sz w:val="20"/>
          <w:szCs w:val="20"/>
        </w:rPr>
        <w:tab/>
      </w:r>
      <w:r w:rsidR="003058D3">
        <w:rPr>
          <w:rFonts w:ascii="Barlow" w:hAnsi="Barlow" w:cs="Times New Roman"/>
          <w:sz w:val="20"/>
          <w:szCs w:val="20"/>
        </w:rPr>
        <w:tab/>
      </w:r>
      <w:r w:rsidR="003058D3">
        <w:rPr>
          <w:rFonts w:ascii="Barlow" w:hAnsi="Barlow" w:cs="Times New Roman"/>
          <w:sz w:val="20"/>
          <w:szCs w:val="20"/>
        </w:rPr>
        <w:tab/>
      </w:r>
      <w:r w:rsidR="003058D3">
        <w:rPr>
          <w:rFonts w:ascii="Barlow" w:hAnsi="Barlow" w:cs="Times New Roman"/>
          <w:sz w:val="20"/>
          <w:szCs w:val="20"/>
        </w:rPr>
        <w:tab/>
      </w:r>
      <w:r w:rsidR="003058D3">
        <w:rPr>
          <w:rFonts w:ascii="Barlow" w:hAnsi="Barlow" w:cs="Times New Roman"/>
          <w:sz w:val="20"/>
          <w:szCs w:val="20"/>
        </w:rPr>
        <w:tab/>
      </w:r>
      <w:r w:rsidR="008866E7" w:rsidRPr="00FF0069">
        <w:rPr>
          <w:rFonts w:ascii="Barlow" w:hAnsi="Barlow" w:cs="Times New Roman"/>
          <w:sz w:val="20"/>
          <w:szCs w:val="20"/>
        </w:rPr>
        <w:tab/>
      </w:r>
      <w:r w:rsidR="008866E7" w:rsidRPr="00FF0069">
        <w:rPr>
          <w:rFonts w:ascii="Barlow" w:hAnsi="Barlow" w:cs="Times New Roman"/>
          <w:sz w:val="20"/>
          <w:szCs w:val="20"/>
        </w:rPr>
        <w:tab/>
      </w:r>
      <w:r w:rsidR="008866E7" w:rsidRPr="00FF0069">
        <w:rPr>
          <w:rFonts w:ascii="Barlow" w:hAnsi="Barlow" w:cs="Times New Roman"/>
          <w:sz w:val="20"/>
          <w:szCs w:val="20"/>
        </w:rPr>
        <w:tab/>
      </w:r>
    </w:p>
    <w:p w:rsidR="003058D3" w:rsidRPr="00576E84" w:rsidRDefault="00387759" w:rsidP="00576E84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En este periodo el Patrimonio Contribuido no tuvo movimientos debido a que no se tuvo aportación alguna de ningún tipo, por lo que respecta al Patrimonio Generado se modifica debido a los recursos </w:t>
      </w:r>
      <w:r w:rsidR="004129CB">
        <w:rPr>
          <w:rFonts w:ascii="Barlow" w:hAnsi="Barlow" w:cs="Times New Roman"/>
          <w:sz w:val="20"/>
          <w:szCs w:val="20"/>
        </w:rPr>
        <w:t xml:space="preserve">que </w:t>
      </w:r>
      <w:r w:rsidR="00B00DAF">
        <w:rPr>
          <w:rFonts w:ascii="Barlow" w:hAnsi="Barlow" w:cs="Times New Roman"/>
          <w:sz w:val="20"/>
          <w:szCs w:val="20"/>
        </w:rPr>
        <w:t xml:space="preserve">se </w:t>
      </w:r>
      <w:r w:rsidR="003058D3">
        <w:rPr>
          <w:rFonts w:ascii="Barlow" w:hAnsi="Barlow" w:cs="Times New Roman"/>
          <w:sz w:val="20"/>
          <w:szCs w:val="20"/>
        </w:rPr>
        <w:t>generaron por intereses bancarios</w:t>
      </w:r>
      <w:r w:rsidRPr="00FF0069">
        <w:rPr>
          <w:rFonts w:ascii="Barlow" w:hAnsi="Barlow" w:cs="Times New Roman"/>
          <w:sz w:val="20"/>
          <w:szCs w:val="20"/>
        </w:rPr>
        <w:t xml:space="preserve">, lo cual genera una </w:t>
      </w:r>
      <w:r w:rsidR="003058D3">
        <w:rPr>
          <w:rFonts w:ascii="Barlow" w:hAnsi="Barlow" w:cs="Times New Roman"/>
          <w:sz w:val="20"/>
          <w:szCs w:val="20"/>
        </w:rPr>
        <w:t>pérdida</w:t>
      </w:r>
      <w:r w:rsidRPr="00FF0069">
        <w:rPr>
          <w:rFonts w:ascii="Barlow" w:hAnsi="Barlow" w:cs="Times New Roman"/>
          <w:sz w:val="20"/>
          <w:szCs w:val="20"/>
        </w:rPr>
        <w:t xml:space="preserve"> que se refleja tanto en el Estado de Situación Financiera así como en el Estado de Variaciones de la Hacienda Pública</w:t>
      </w:r>
      <w:r w:rsidR="008866E7" w:rsidRPr="00FF0069">
        <w:rPr>
          <w:rFonts w:ascii="Barlow" w:hAnsi="Barlow" w:cs="Times New Roman"/>
          <w:sz w:val="20"/>
          <w:szCs w:val="20"/>
        </w:rPr>
        <w:t>/Patrimonio.</w:t>
      </w:r>
    </w:p>
    <w:p w:rsidR="0042067F" w:rsidRDefault="0042067F" w:rsidP="00566287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42067F" w:rsidRDefault="0042067F" w:rsidP="00566287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42067F" w:rsidRDefault="0042067F" w:rsidP="00566287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42067F" w:rsidRDefault="0042067F" w:rsidP="00566287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42067F" w:rsidRDefault="0042067F" w:rsidP="00566287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566287" w:rsidRDefault="00566287" w:rsidP="00566287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 xml:space="preserve">IV) </w:t>
      </w:r>
      <w:r w:rsidR="005140D0" w:rsidRPr="00FF0069">
        <w:rPr>
          <w:rFonts w:ascii="Barlow" w:hAnsi="Barlow" w:cs="Times New Roman"/>
          <w:b/>
          <w:sz w:val="20"/>
          <w:szCs w:val="20"/>
        </w:rPr>
        <w:t>NOTAS AL ESTADO DE FLUJOS DE EFECTIVO</w:t>
      </w:r>
    </w:p>
    <w:p w:rsidR="00280938" w:rsidRPr="00FF0069" w:rsidRDefault="00280938" w:rsidP="00566287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566287" w:rsidRDefault="004057C9" w:rsidP="003363B5">
      <w:pPr>
        <w:jc w:val="both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t xml:space="preserve">1.- Se presenta </w:t>
      </w:r>
      <w:r w:rsidRPr="004057C9">
        <w:rPr>
          <w:rFonts w:ascii="Barlow" w:hAnsi="Barlow" w:cs="Times New Roman"/>
          <w:sz w:val="20"/>
          <w:szCs w:val="20"/>
        </w:rPr>
        <w:t>el análisis de las cifras del periodo actual y periodo anterior del Efectivo y Equivalentes al Efectivo, al Final del Ejercicio del Estado de Flujos de Efectivo, respecto a la composición del rubro de Efectivo y Equivalentes</w:t>
      </w:r>
      <w:r w:rsidR="00566287" w:rsidRPr="00FF0069">
        <w:rPr>
          <w:rFonts w:ascii="Barlow" w:hAnsi="Barlow" w:cs="Times New Roman"/>
          <w:sz w:val="20"/>
          <w:szCs w:val="20"/>
        </w:rPr>
        <w:t xml:space="preserve"> como sigue:</w:t>
      </w:r>
    </w:p>
    <w:p w:rsidR="00067595" w:rsidRDefault="00067595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067595" w:rsidRDefault="00067595" w:rsidP="003363B5">
      <w:pPr>
        <w:jc w:val="both"/>
        <w:rPr>
          <w:rFonts w:ascii="Barlow" w:hAnsi="Barlow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5"/>
        <w:gridCol w:w="1835"/>
        <w:gridCol w:w="2272"/>
      </w:tblGrid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A54576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b/>
                <w:sz w:val="20"/>
                <w:szCs w:val="20"/>
                <w:lang w:val="es-MX"/>
              </w:rPr>
              <w:t>2022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A54576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b/>
                <w:sz w:val="20"/>
                <w:szCs w:val="20"/>
                <w:lang w:val="es-MX"/>
              </w:rPr>
              <w:t>2021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>Efectivo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4057C9" w:rsidRPr="004057C9" w:rsidTr="004057C9">
        <w:trPr>
          <w:cantSplit/>
          <w:trHeight w:val="65"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>Bancos/Tesorería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270552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270552">
              <w:rPr>
                <w:rFonts w:ascii="Barlow" w:hAnsi="Barlow"/>
                <w:sz w:val="20"/>
                <w:szCs w:val="20"/>
                <w:lang w:val="es-MX"/>
              </w:rPr>
              <w:t>74,159.21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A54576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A54576">
              <w:rPr>
                <w:rFonts w:ascii="Barlow" w:hAnsi="Barlow"/>
                <w:sz w:val="20"/>
                <w:szCs w:val="20"/>
                <w:lang w:val="es-MX"/>
              </w:rPr>
              <w:t>2,678,222.27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Del="005F43A8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>Bancos/Dependencias y Otros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 xml:space="preserve">Inversiones Temporales (Hasta 3 meses)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>Fondos con Afectación Específica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>Depósitos de Fondos de Terceros en Garantía y/o Administración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sz w:val="20"/>
                <w:szCs w:val="20"/>
                <w:lang w:val="es-MX"/>
              </w:rPr>
              <w:t>Otros Efectivos y Equivalentes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4057C9" w:rsidRPr="004057C9" w:rsidTr="004057C9">
        <w:trPr>
          <w:cantSplit/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4057C9" w:rsidP="004057C9">
            <w:pPr>
              <w:pStyle w:val="Texto"/>
              <w:spacing w:line="224" w:lineRule="exact"/>
              <w:ind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4057C9">
              <w:rPr>
                <w:rFonts w:ascii="Barlow" w:hAnsi="Barlow"/>
                <w:b/>
                <w:sz w:val="20"/>
                <w:szCs w:val="20"/>
                <w:lang w:val="es-MX"/>
              </w:rPr>
              <w:t>Total de Efectivo y Equivalentes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270552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270552">
              <w:rPr>
                <w:rFonts w:ascii="Barlow" w:hAnsi="Barlow"/>
                <w:b/>
                <w:sz w:val="20"/>
                <w:szCs w:val="20"/>
                <w:lang w:val="es-MX"/>
              </w:rPr>
              <w:t>74,159.21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7C9" w:rsidRPr="004057C9" w:rsidRDefault="00A54576" w:rsidP="004057C9">
            <w:pPr>
              <w:pStyle w:val="Texto"/>
              <w:spacing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A54576">
              <w:rPr>
                <w:rFonts w:ascii="Barlow" w:hAnsi="Barlow"/>
                <w:b/>
                <w:sz w:val="20"/>
                <w:szCs w:val="20"/>
                <w:lang w:val="es-MX"/>
              </w:rPr>
              <w:t>2,678,222.27</w:t>
            </w:r>
          </w:p>
        </w:tc>
      </w:tr>
    </w:tbl>
    <w:p w:rsidR="00067595" w:rsidRDefault="00067595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1B51B4" w:rsidRDefault="004057C9" w:rsidP="003363B5">
      <w:pPr>
        <w:jc w:val="both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lastRenderedPageBreak/>
        <w:t>2</w:t>
      </w:r>
      <w:r w:rsidR="001B51B4" w:rsidRPr="00FF0069">
        <w:rPr>
          <w:rFonts w:ascii="Barlow" w:hAnsi="Barlow" w:cs="Times New Roman"/>
          <w:sz w:val="20"/>
          <w:szCs w:val="20"/>
        </w:rPr>
        <w:t xml:space="preserve">. </w:t>
      </w:r>
      <w:r>
        <w:rPr>
          <w:rFonts w:ascii="Barlow" w:hAnsi="Barlow" w:cs="Times New Roman"/>
          <w:sz w:val="20"/>
          <w:szCs w:val="20"/>
        </w:rPr>
        <w:t>Se presenta la c</w:t>
      </w:r>
      <w:r w:rsidRPr="004057C9">
        <w:rPr>
          <w:rFonts w:ascii="Barlow" w:hAnsi="Barlow" w:cs="Times New Roman"/>
          <w:sz w:val="20"/>
          <w:szCs w:val="20"/>
        </w:rPr>
        <w:t>onciliación de los Flujos de Efectivo Netos de las Actividades de Operación y los saldos de Resultados del Ejercicio (Ahorro/Desahorro)</w:t>
      </w:r>
      <w:r w:rsidR="00067595">
        <w:rPr>
          <w:rFonts w:ascii="Barlow" w:hAnsi="Barlow" w:cs="Times New Roman"/>
          <w:sz w:val="20"/>
          <w:szCs w:val="20"/>
        </w:rPr>
        <w:t>:</w:t>
      </w:r>
    </w:p>
    <w:p w:rsidR="009243B6" w:rsidRDefault="009243B6" w:rsidP="003363B5">
      <w:pPr>
        <w:jc w:val="both"/>
        <w:rPr>
          <w:rFonts w:ascii="Barlow" w:hAnsi="Barlow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12"/>
        <w:gridCol w:w="2051"/>
        <w:gridCol w:w="1985"/>
      </w:tblGrid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A54576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A54576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2021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b/>
                <w:sz w:val="20"/>
                <w:szCs w:val="20"/>
                <w:lang w:val="es-MX"/>
              </w:rPr>
              <w:t>Resultados del Ejercicio Ahorro/Desahorro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270552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270552">
              <w:rPr>
                <w:rFonts w:ascii="Barlow" w:hAnsi="Barlow"/>
                <w:b/>
                <w:sz w:val="20"/>
                <w:szCs w:val="20"/>
                <w:lang w:val="es-MX"/>
              </w:rPr>
              <w:t>-2,858.14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A54576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A54576">
              <w:rPr>
                <w:rFonts w:ascii="Barlow" w:hAnsi="Barlow"/>
                <w:b/>
                <w:sz w:val="20"/>
                <w:szCs w:val="20"/>
                <w:lang w:val="es-MX"/>
              </w:rPr>
              <w:t>848,959.47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firstLine="0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b/>
                <w:sz w:val="20"/>
                <w:szCs w:val="20"/>
                <w:lang w:val="es-MX"/>
              </w:rPr>
              <w:t>Movimientos de partidas (o rubros) que no afectan al efectivo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270552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270552">
              <w:rPr>
                <w:rFonts w:ascii="Barlow" w:hAnsi="Barlow"/>
                <w:b/>
                <w:sz w:val="20"/>
                <w:szCs w:val="20"/>
                <w:lang w:val="es-MX"/>
              </w:rPr>
              <w:t>3,811.68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A54576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b/>
                <w:sz w:val="20"/>
                <w:szCs w:val="20"/>
                <w:lang w:val="es-MX"/>
              </w:rPr>
            </w:pPr>
            <w:r w:rsidRPr="00A54576">
              <w:rPr>
                <w:rFonts w:ascii="Barlow" w:hAnsi="Barlow"/>
                <w:b/>
                <w:sz w:val="20"/>
                <w:szCs w:val="20"/>
                <w:lang w:val="es-MX"/>
              </w:rPr>
              <w:t>15,246.72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sz w:val="20"/>
                <w:szCs w:val="20"/>
                <w:lang w:val="es-MX"/>
              </w:rPr>
              <w:t>Depreciación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270552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270552">
              <w:rPr>
                <w:rFonts w:ascii="Barlow" w:hAnsi="Barlow"/>
                <w:sz w:val="20"/>
                <w:szCs w:val="20"/>
                <w:lang w:val="es-MX"/>
              </w:rPr>
              <w:t>3,811.68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A54576" w:rsidP="009505CC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A54576">
              <w:rPr>
                <w:rFonts w:ascii="Barlow" w:hAnsi="Barlow"/>
                <w:sz w:val="20"/>
                <w:szCs w:val="20"/>
                <w:lang w:val="es-MX"/>
              </w:rPr>
              <w:t>15,246.72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sz w:val="20"/>
                <w:szCs w:val="20"/>
                <w:lang w:val="es-MX"/>
              </w:rPr>
              <w:t>Amortización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sz w:val="20"/>
                <w:szCs w:val="20"/>
                <w:lang w:val="es-MX"/>
              </w:rPr>
              <w:t>Incrementos en las provisiones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</w:t>
            </w:r>
            <w:r w:rsidR="0074312E">
              <w:rPr>
                <w:rFonts w:ascii="Barlow" w:hAnsi="Barlow"/>
                <w:sz w:val="20"/>
                <w:szCs w:val="20"/>
                <w:lang w:val="es-MX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sz w:val="20"/>
                <w:szCs w:val="20"/>
                <w:lang w:val="es-MX"/>
              </w:rPr>
              <w:t>Incremento en inversiones producido por revaluación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sz w:val="20"/>
                <w:szCs w:val="20"/>
                <w:lang w:val="es-MX"/>
              </w:rPr>
              <w:t>Ganancia/pérdida en venta de bienes muebles, inmuebles e intangibles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left="170"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sz w:val="20"/>
                <w:szCs w:val="20"/>
                <w:lang w:val="es-MX"/>
              </w:rPr>
              <w:t>Incremento en cuentas por cobrar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9505CC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>
              <w:rPr>
                <w:rFonts w:ascii="Barlow" w:hAnsi="Barlow"/>
                <w:sz w:val="20"/>
                <w:szCs w:val="20"/>
                <w:lang w:val="es-MX"/>
              </w:rPr>
              <w:t>00.00</w:t>
            </w:r>
          </w:p>
        </w:tc>
      </w:tr>
      <w:tr w:rsidR="00067595" w:rsidRPr="00067595" w:rsidTr="00067595">
        <w:trPr>
          <w:trHeight w:val="20"/>
          <w:jc w:val="center"/>
        </w:trPr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067595" w:rsidP="0074312E">
            <w:pPr>
              <w:pStyle w:val="Texto"/>
              <w:spacing w:after="80" w:line="224" w:lineRule="exact"/>
              <w:ind w:firstLine="0"/>
              <w:rPr>
                <w:rFonts w:ascii="Barlow" w:hAnsi="Barlow"/>
                <w:sz w:val="20"/>
                <w:szCs w:val="20"/>
                <w:lang w:val="es-MX"/>
              </w:rPr>
            </w:pPr>
            <w:r w:rsidRPr="00067595">
              <w:rPr>
                <w:rFonts w:ascii="Barlow" w:hAnsi="Barlow"/>
                <w:b/>
                <w:bCs/>
                <w:color w:val="000000"/>
                <w:sz w:val="20"/>
                <w:szCs w:val="20"/>
                <w:lang w:eastAsia="es-MX"/>
              </w:rPr>
              <w:t>Flujos de Efectivo Netos de las Actividades de Operación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270552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270552">
              <w:rPr>
                <w:rFonts w:ascii="Barlow" w:hAnsi="Barlow"/>
                <w:b/>
                <w:bCs/>
                <w:color w:val="000000"/>
                <w:sz w:val="20"/>
                <w:szCs w:val="20"/>
                <w:lang w:eastAsia="es-MX"/>
              </w:rPr>
              <w:t>-2,604,063.06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595" w:rsidRPr="00067595" w:rsidRDefault="00A54576" w:rsidP="0074312E">
            <w:pPr>
              <w:pStyle w:val="Texto"/>
              <w:spacing w:after="80" w:line="224" w:lineRule="exact"/>
              <w:ind w:firstLine="0"/>
              <w:jc w:val="center"/>
              <w:rPr>
                <w:rFonts w:ascii="Barlow" w:hAnsi="Barlow"/>
                <w:sz w:val="20"/>
                <w:szCs w:val="20"/>
                <w:lang w:val="es-MX"/>
              </w:rPr>
            </w:pPr>
            <w:r w:rsidRPr="00A54576">
              <w:rPr>
                <w:rFonts w:ascii="Barlow" w:hAnsi="Barlow"/>
                <w:b/>
                <w:bCs/>
                <w:color w:val="000000"/>
                <w:sz w:val="20"/>
                <w:szCs w:val="20"/>
                <w:lang w:eastAsia="es-MX"/>
              </w:rPr>
              <w:t>1,097,381.08</w:t>
            </w:r>
          </w:p>
        </w:tc>
      </w:tr>
    </w:tbl>
    <w:p w:rsidR="00067595" w:rsidRDefault="00067595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280938" w:rsidRPr="00FF0069" w:rsidRDefault="00280938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10FB" w:rsidRDefault="004210FB" w:rsidP="00211BEC">
      <w:pPr>
        <w:rPr>
          <w:rFonts w:ascii="Barlow" w:hAnsi="Barlow" w:cs="Times New Roman"/>
          <w:b/>
          <w:sz w:val="20"/>
          <w:szCs w:val="20"/>
        </w:rPr>
      </w:pPr>
    </w:p>
    <w:p w:rsidR="00DD3E9A" w:rsidRDefault="00DD3E9A" w:rsidP="00211BEC">
      <w:pPr>
        <w:rPr>
          <w:rFonts w:ascii="Barlow" w:hAnsi="Barlow" w:cs="Times New Roman"/>
          <w:b/>
          <w:sz w:val="20"/>
          <w:szCs w:val="20"/>
        </w:rPr>
      </w:pPr>
    </w:p>
    <w:p w:rsidR="009243B6" w:rsidRDefault="009243B6" w:rsidP="00211BEC">
      <w:pPr>
        <w:rPr>
          <w:rFonts w:ascii="Barlow" w:hAnsi="Barlow" w:cs="Times New Roman"/>
          <w:b/>
          <w:sz w:val="20"/>
          <w:szCs w:val="20"/>
        </w:rPr>
      </w:pPr>
    </w:p>
    <w:p w:rsidR="0042067F" w:rsidRDefault="0042067F" w:rsidP="00211BEC">
      <w:pPr>
        <w:rPr>
          <w:rFonts w:ascii="Barlow" w:hAnsi="Barlow" w:cs="Times New Roman"/>
          <w:b/>
          <w:sz w:val="20"/>
          <w:szCs w:val="20"/>
        </w:rPr>
      </w:pPr>
    </w:p>
    <w:p w:rsidR="009243B6" w:rsidRDefault="009243B6" w:rsidP="00211BEC">
      <w:pPr>
        <w:rPr>
          <w:rFonts w:ascii="Barlow" w:hAnsi="Barlow" w:cs="Times New Roman"/>
          <w:b/>
          <w:sz w:val="20"/>
          <w:szCs w:val="20"/>
        </w:rPr>
      </w:pPr>
    </w:p>
    <w:p w:rsidR="002316AA" w:rsidRPr="009243B6" w:rsidRDefault="0068432B" w:rsidP="009243B6">
      <w:pPr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lastRenderedPageBreak/>
        <w:t>V) CONCILIACIÓN ENTRE LOS INGRESOS PRESUPUESTARIOS Y CONTABLES, ASÍ COMO ENTRE LOS EGRESOS PRESUPUESTARIOS Y LOS GASTOS CONTABLES.</w:t>
      </w:r>
    </w:p>
    <w:p w:rsidR="00211BEC" w:rsidRPr="004129CB" w:rsidRDefault="00DF1CFD" w:rsidP="004129C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arlow" w:hAnsi="Barlow" w:cs="Arial"/>
          <w:bCs/>
          <w:sz w:val="20"/>
          <w:szCs w:val="20"/>
        </w:rPr>
      </w:pPr>
      <w:r w:rsidRPr="002353BC">
        <w:rPr>
          <w:rFonts w:ascii="Barlow" w:hAnsi="Barlow" w:cs="Arial"/>
          <w:bCs/>
          <w:sz w:val="20"/>
          <w:szCs w:val="20"/>
        </w:rPr>
        <w:t>A. Conciliación de ingresos presupuestarios y contables de</w:t>
      </w:r>
      <w:r>
        <w:rPr>
          <w:rFonts w:ascii="Barlow" w:hAnsi="Barlow" w:cs="Arial"/>
          <w:bCs/>
          <w:sz w:val="20"/>
          <w:szCs w:val="20"/>
        </w:rPr>
        <w:t xml:space="preserve">l 1 de enero al </w:t>
      </w:r>
      <w:r w:rsidR="00270552">
        <w:rPr>
          <w:rFonts w:ascii="Barlow" w:hAnsi="Barlow" w:cs="Arial"/>
          <w:bCs/>
          <w:sz w:val="20"/>
          <w:szCs w:val="20"/>
        </w:rPr>
        <w:t>31</w:t>
      </w:r>
      <w:r w:rsidR="007A757C">
        <w:rPr>
          <w:rFonts w:ascii="Barlow" w:hAnsi="Barlow" w:cs="Arial"/>
          <w:bCs/>
          <w:sz w:val="20"/>
          <w:szCs w:val="20"/>
        </w:rPr>
        <w:t xml:space="preserve"> </w:t>
      </w:r>
      <w:r>
        <w:rPr>
          <w:rFonts w:ascii="Barlow" w:hAnsi="Barlow" w:cs="Arial"/>
          <w:bCs/>
          <w:sz w:val="20"/>
          <w:szCs w:val="20"/>
        </w:rPr>
        <w:t xml:space="preserve">de </w:t>
      </w:r>
      <w:r w:rsidR="00270552">
        <w:rPr>
          <w:rFonts w:ascii="Barlow" w:hAnsi="Barlow" w:cs="Arial"/>
          <w:bCs/>
          <w:sz w:val="20"/>
          <w:szCs w:val="20"/>
        </w:rPr>
        <w:t>marzo</w:t>
      </w:r>
      <w:r>
        <w:rPr>
          <w:rFonts w:ascii="Barlow" w:hAnsi="Barlow" w:cs="Arial"/>
          <w:bCs/>
          <w:sz w:val="20"/>
          <w:szCs w:val="20"/>
        </w:rPr>
        <w:t xml:space="preserve"> </w:t>
      </w:r>
      <w:r w:rsidR="00A54576">
        <w:rPr>
          <w:rFonts w:ascii="Barlow" w:hAnsi="Barlow" w:cs="Arial"/>
          <w:bCs/>
          <w:sz w:val="20"/>
          <w:szCs w:val="20"/>
        </w:rPr>
        <w:t>de 2022</w:t>
      </w:r>
      <w:r w:rsidRPr="002353BC">
        <w:rPr>
          <w:rFonts w:ascii="Barlow" w:hAnsi="Barlow" w:cs="Arial"/>
          <w:bCs/>
          <w:sz w:val="20"/>
          <w:szCs w:val="20"/>
        </w:rPr>
        <w:t>.</w:t>
      </w:r>
    </w:p>
    <w:tbl>
      <w:tblPr>
        <w:tblW w:w="125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  <w:gridCol w:w="2040"/>
        <w:gridCol w:w="2219"/>
        <w:gridCol w:w="2181"/>
      </w:tblGrid>
      <w:tr w:rsidR="00211BEC" w:rsidRPr="00BF5926" w:rsidTr="009243B6">
        <w:trPr>
          <w:trHeight w:val="285"/>
        </w:trPr>
        <w:tc>
          <w:tcPr>
            <w:tcW w:w="8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1. Ingresos Presupuestarios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11BEC" w:rsidRPr="00BF5926" w:rsidRDefault="00270552" w:rsidP="00DF1CF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1,141.45</w:t>
            </w:r>
          </w:p>
        </w:tc>
      </w:tr>
      <w:tr w:rsidR="00211BEC" w:rsidRPr="00BF5926" w:rsidTr="009243B6">
        <w:trPr>
          <w:trHeight w:val="285"/>
        </w:trPr>
        <w:tc>
          <w:tcPr>
            <w:tcW w:w="8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A54576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</w:t>
            </w:r>
            <w:r w:rsidR="00225667" w:rsidRPr="0022566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211BEC" w:rsidRPr="00BF5926" w:rsidTr="00DF1CFD">
        <w:trPr>
          <w:trHeight w:val="315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Ingresos Financieros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DF1CFD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Incremento por variación de inventarios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DF1CFD">
        <w:trPr>
          <w:trHeight w:val="555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Disminución del Exceso de Estimaciones por Pérdida o Deterioro u Obsolescencia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DF1CFD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Disminución del Exceso de Provisiones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DF1CFD">
        <w:trPr>
          <w:trHeight w:val="315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25667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225667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9243B6">
        <w:trPr>
          <w:trHeight w:val="315"/>
        </w:trPr>
        <w:tc>
          <w:tcPr>
            <w:tcW w:w="8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 xml:space="preserve"> Otros Ingresos Contables No Presupuestarios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9243B6">
        <w:trPr>
          <w:trHeight w:val="285"/>
        </w:trPr>
        <w:tc>
          <w:tcPr>
            <w:tcW w:w="8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211BEC" w:rsidRPr="00BF5926" w:rsidTr="00DF1CFD">
        <w:trPr>
          <w:trHeight w:val="315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DF1CFD">
        <w:trPr>
          <w:trHeight w:val="244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BEC" w:rsidRPr="00BF5926" w:rsidRDefault="00211BEC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DF1CFD">
        <w:trPr>
          <w:trHeight w:val="315"/>
        </w:trPr>
        <w:tc>
          <w:tcPr>
            <w:tcW w:w="8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Ingresos presupuestarios no contables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11BEC" w:rsidRPr="00BF5926" w:rsidTr="009243B6">
        <w:trPr>
          <w:trHeight w:val="315"/>
        </w:trPr>
        <w:tc>
          <w:tcPr>
            <w:tcW w:w="8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11BEC" w:rsidRPr="00BF5926" w:rsidTr="009243B6">
        <w:trPr>
          <w:trHeight w:val="285"/>
        </w:trPr>
        <w:tc>
          <w:tcPr>
            <w:tcW w:w="8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211BEC" w:rsidRPr="00BF5926" w:rsidRDefault="00211BEC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4. Total de Ingresos Contables (4 = 1 + 2 - 3)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BEC" w:rsidRPr="00BF5926" w:rsidRDefault="00211BEC" w:rsidP="00DF1CFD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11BEC" w:rsidRPr="00BF5926" w:rsidRDefault="00270552" w:rsidP="00DF1CF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1,141.45</w:t>
            </w:r>
          </w:p>
        </w:tc>
      </w:tr>
    </w:tbl>
    <w:p w:rsidR="00394202" w:rsidRDefault="00DF1CFD" w:rsidP="002316AA">
      <w:pPr>
        <w:ind w:firstLine="708"/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 w:rsidRPr="00BF5926">
        <w:rPr>
          <w:rFonts w:ascii="Barlow" w:hAnsi="Barlow" w:cs="Arial"/>
          <w:color w:val="000000"/>
          <w:sz w:val="20"/>
          <w:szCs w:val="20"/>
          <w:lang w:eastAsia="es-MX"/>
        </w:rPr>
        <w:lastRenderedPageBreak/>
        <w:t xml:space="preserve">B. Conciliación de Egresos presupuestarios y gastos contables del 1 de enero al </w:t>
      </w:r>
      <w:r w:rsidR="00270552">
        <w:rPr>
          <w:rFonts w:ascii="Barlow" w:hAnsi="Barlow" w:cs="Arial"/>
          <w:color w:val="000000"/>
          <w:sz w:val="20"/>
          <w:szCs w:val="20"/>
          <w:lang w:eastAsia="es-MX"/>
        </w:rPr>
        <w:t>31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de </w:t>
      </w:r>
      <w:r w:rsidR="00270552">
        <w:rPr>
          <w:rFonts w:ascii="Barlow" w:hAnsi="Barlow" w:cs="Arial"/>
          <w:color w:val="000000"/>
          <w:sz w:val="20"/>
          <w:szCs w:val="20"/>
          <w:lang w:eastAsia="es-MX"/>
        </w:rPr>
        <w:t>marzo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</w:t>
      </w:r>
      <w:r w:rsidR="00A54576">
        <w:rPr>
          <w:rFonts w:ascii="Barlow" w:hAnsi="Barlow" w:cs="Arial"/>
          <w:color w:val="000000"/>
          <w:sz w:val="20"/>
          <w:szCs w:val="20"/>
          <w:lang w:eastAsia="es-MX"/>
        </w:rPr>
        <w:t>de 2022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>.</w:t>
      </w:r>
    </w:p>
    <w:p w:rsidR="00DF1CFD" w:rsidRDefault="00DF1CFD" w:rsidP="00DF1CFD">
      <w:pPr>
        <w:ind w:firstLine="708"/>
        <w:rPr>
          <w:rFonts w:ascii="Barlow" w:hAnsi="Barlow" w:cs="Arial"/>
          <w:color w:val="000000"/>
          <w:sz w:val="20"/>
          <w:szCs w:val="20"/>
          <w:lang w:eastAsia="es-MX"/>
        </w:rPr>
      </w:pPr>
    </w:p>
    <w:tbl>
      <w:tblPr>
        <w:tblW w:w="125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0"/>
        <w:gridCol w:w="2040"/>
        <w:gridCol w:w="1821"/>
        <w:gridCol w:w="2181"/>
      </w:tblGrid>
      <w:tr w:rsidR="00DF1CFD" w:rsidRPr="00BF5926" w:rsidTr="00A54576">
        <w:trPr>
          <w:trHeight w:val="285"/>
        </w:trPr>
        <w:tc>
          <w:tcPr>
            <w:tcW w:w="8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1. Total de egresos (presupuestarios)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1CFD" w:rsidRPr="00BF5926" w:rsidRDefault="00A54576" w:rsidP="00DF1CF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DF1CFD" w:rsidRPr="00BF5926" w:rsidTr="00DF1CFD">
        <w:trPr>
          <w:trHeight w:val="285"/>
        </w:trPr>
        <w:tc>
          <w:tcPr>
            <w:tcW w:w="8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F1CFD" w:rsidRPr="00BF5926" w:rsidTr="00DF1CFD">
        <w:trPr>
          <w:trHeight w:val="285"/>
        </w:trPr>
        <w:tc>
          <w:tcPr>
            <w:tcW w:w="8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2. Menos egresos presupuestarios no contables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225667" w:rsidP="00DF1CF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225667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225667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153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225667" w:rsidP="001A3BE1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bienes muebles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Activos biológicos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Bienes inmuebles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DF1CFD" w:rsidRDefault="00C12583" w:rsidP="00DF1CFD">
            <w:pPr>
              <w:tabs>
                <w:tab w:val="center" w:pos="840"/>
                <w:tab w:val="right" w:pos="1681"/>
              </w:tabs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lastRenderedPageBreak/>
              <w:t>Compra de títulos y valores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55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Provisiones para contingencias y otras erogaciones especiales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Amortización de la deuda publica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55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Adeudos de ejercicios fiscales anteriores (ADEFAS)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CFD" w:rsidRPr="00DF1CFD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DF1CFD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8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Egresos Presupuestales No Contables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1CFD" w:rsidRDefault="00DF1CFD" w:rsidP="00DF1CFD"/>
        </w:tc>
      </w:tr>
      <w:tr w:rsidR="00DF1CFD" w:rsidRPr="00BF5926" w:rsidTr="00DF1CFD">
        <w:trPr>
          <w:trHeight w:val="285"/>
        </w:trPr>
        <w:tc>
          <w:tcPr>
            <w:tcW w:w="8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F1CFD" w:rsidRPr="00BF5926" w:rsidTr="00DF1CFD">
        <w:trPr>
          <w:trHeight w:val="285"/>
        </w:trPr>
        <w:tc>
          <w:tcPr>
            <w:tcW w:w="8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3. Más gastos contables no presupuestales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270552" w:rsidP="00DF1CF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3,999.59</w:t>
            </w:r>
          </w:p>
        </w:tc>
      </w:tr>
      <w:tr w:rsidR="00DF1CFD" w:rsidRPr="00BF5926" w:rsidTr="00DF1CFD">
        <w:trPr>
          <w:trHeight w:val="555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270552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3,811.68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Provisiones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Disminución de inventarios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55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Aumento por insuficiencia de estimaciones por pérdida o deterioro u obsolescencia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Aumento por insuficiencia de provisiones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DF1CFD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Gastos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A54576">
        <w:trPr>
          <w:trHeight w:val="315"/>
        </w:trPr>
        <w:tc>
          <w:tcPr>
            <w:tcW w:w="8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Otros Gastos Contables No Presupuestales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270552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187.91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F1CFD" w:rsidRPr="00BF5926" w:rsidTr="00A54576">
        <w:trPr>
          <w:trHeight w:val="285"/>
        </w:trPr>
        <w:tc>
          <w:tcPr>
            <w:tcW w:w="8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1CFD" w:rsidRPr="00BF5926" w:rsidRDefault="00DF1CFD" w:rsidP="00DF1CFD">
            <w:pPr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4. Total de Gasto Contable (4 = 1 - 2 + 3)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FD" w:rsidRPr="00BF5926" w:rsidRDefault="00DF1CFD" w:rsidP="00DF1CFD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BF5926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1CFD" w:rsidRPr="00BF5926" w:rsidRDefault="00270552" w:rsidP="00DF1CFD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3,999.59</w:t>
            </w:r>
          </w:p>
        </w:tc>
      </w:tr>
    </w:tbl>
    <w:p w:rsidR="00394202" w:rsidRPr="00FF0069" w:rsidRDefault="00394202" w:rsidP="00DF1CFD">
      <w:pPr>
        <w:rPr>
          <w:rFonts w:ascii="Barlow" w:hAnsi="Barlow" w:cs="Times New Roman"/>
          <w:b/>
          <w:sz w:val="20"/>
          <w:szCs w:val="20"/>
        </w:rPr>
      </w:pPr>
    </w:p>
    <w:p w:rsidR="00B17853" w:rsidRPr="00FF0069" w:rsidRDefault="00B17853" w:rsidP="005C1B18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lastRenderedPageBreak/>
        <w:t>b) NOTAS DE MEMORIA (CUENTAS DE ORDEN)</w:t>
      </w:r>
    </w:p>
    <w:p w:rsidR="005C1B18" w:rsidRPr="00BB2523" w:rsidRDefault="005C1B18" w:rsidP="005C1B1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Los saldos de las cuentas de orden contables y presupuestal</w:t>
      </w:r>
      <w:r w:rsidR="00BB2523">
        <w:rPr>
          <w:rFonts w:ascii="Barlow" w:hAnsi="Barlow" w:cs="Times New Roman"/>
          <w:sz w:val="20"/>
          <w:szCs w:val="20"/>
        </w:rPr>
        <w:t>es se presentan a continuación:</w:t>
      </w:r>
    </w:p>
    <w:p w:rsidR="005C1B18" w:rsidRPr="00FF0069" w:rsidRDefault="005C1B18" w:rsidP="005C1B1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Times New Roman"/>
          <w:bCs/>
          <w:sz w:val="20"/>
          <w:szCs w:val="20"/>
        </w:rPr>
      </w:pPr>
      <w:r w:rsidRPr="00FF0069">
        <w:rPr>
          <w:rFonts w:ascii="Barlow" w:hAnsi="Barlow" w:cs="Times New Roman"/>
          <w:bCs/>
          <w:sz w:val="20"/>
          <w:szCs w:val="20"/>
        </w:rPr>
        <w:t>Cuentas contables.</w:t>
      </w:r>
    </w:p>
    <w:tbl>
      <w:tblPr>
        <w:tblStyle w:val="Tabladecuadrcula1clara"/>
        <w:tblpPr w:leftFromText="141" w:rightFromText="141" w:vertAnchor="text" w:horzAnchor="page" w:tblpX="2226" w:tblpY="302"/>
        <w:tblW w:w="8381" w:type="dxa"/>
        <w:tblLook w:val="04A0" w:firstRow="1" w:lastRow="0" w:firstColumn="1" w:lastColumn="0" w:noHBand="0" w:noVBand="1"/>
      </w:tblPr>
      <w:tblGrid>
        <w:gridCol w:w="6124"/>
        <w:gridCol w:w="2257"/>
      </w:tblGrid>
      <w:tr w:rsidR="005C1B18" w:rsidRPr="00FF0069" w:rsidTr="00331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:rsidR="005C1B18" w:rsidRPr="00FF0069" w:rsidRDefault="00331417" w:rsidP="005C1B18">
            <w:pPr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CUENTAS DE ORDEN CONTABLES</w:t>
            </w:r>
          </w:p>
        </w:tc>
        <w:tc>
          <w:tcPr>
            <w:tcW w:w="2257" w:type="dxa"/>
            <w:vAlign w:val="center"/>
            <w:hideMark/>
          </w:tcPr>
          <w:p w:rsidR="005C1B18" w:rsidRPr="00FF0069" w:rsidRDefault="005C1B18" w:rsidP="0033141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</w:tr>
      <w:tr w:rsidR="005C1B18" w:rsidRPr="00FF0069" w:rsidTr="0033141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:rsidR="005C1B18" w:rsidRPr="00FF0069" w:rsidRDefault="00331417" w:rsidP="005C1B18">
            <w:pPr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VALORES</w:t>
            </w:r>
          </w:p>
        </w:tc>
        <w:tc>
          <w:tcPr>
            <w:tcW w:w="2257" w:type="dxa"/>
            <w:vAlign w:val="center"/>
            <w:hideMark/>
          </w:tcPr>
          <w:p w:rsidR="005C1B18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331417" w:rsidRPr="00FF0069" w:rsidTr="0033141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</w:tcPr>
          <w:p w:rsidR="00331417" w:rsidRPr="00FF0069" w:rsidRDefault="00331417" w:rsidP="005C1B18">
            <w:pPr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EMISIÓN DE OBLIGACIONES</w:t>
            </w:r>
          </w:p>
        </w:tc>
        <w:tc>
          <w:tcPr>
            <w:tcW w:w="2257" w:type="dxa"/>
            <w:vAlign w:val="center"/>
          </w:tcPr>
          <w:p w:rsidR="00331417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331417" w:rsidRPr="00FF0069" w:rsidTr="0033141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:rsidR="00331417" w:rsidRPr="00FF0069" w:rsidRDefault="00331417" w:rsidP="005C1B18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AVALES Y GARANTÍAS</w:t>
            </w:r>
          </w:p>
        </w:tc>
        <w:tc>
          <w:tcPr>
            <w:tcW w:w="2257" w:type="dxa"/>
            <w:vAlign w:val="center"/>
            <w:hideMark/>
          </w:tcPr>
          <w:p w:rsidR="00331417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331417" w:rsidRPr="00FF0069" w:rsidTr="0033141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:rsidR="00331417" w:rsidRPr="00FF0069" w:rsidRDefault="00331417" w:rsidP="005C1B18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JUICIOS</w:t>
            </w:r>
          </w:p>
        </w:tc>
        <w:tc>
          <w:tcPr>
            <w:tcW w:w="2257" w:type="dxa"/>
            <w:vAlign w:val="center"/>
            <w:hideMark/>
          </w:tcPr>
          <w:p w:rsidR="00331417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No aplica</w:t>
            </w: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31417" w:rsidRPr="00FF0069" w:rsidTr="0033141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vAlign w:val="center"/>
            <w:hideMark/>
          </w:tcPr>
          <w:p w:rsidR="00331417" w:rsidRPr="00FF0069" w:rsidRDefault="00331417" w:rsidP="00331417">
            <w:pPr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CONTRATOS PARA INVERSIÓN MEDIANTE PROYECTOS PARA PRESTACIÓN DE SERVICIOS (PPS) Y SIMILARE</w:t>
            </w:r>
          </w:p>
        </w:tc>
        <w:tc>
          <w:tcPr>
            <w:tcW w:w="2257" w:type="dxa"/>
            <w:vAlign w:val="center"/>
            <w:hideMark/>
          </w:tcPr>
          <w:p w:rsidR="00331417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331417" w:rsidRPr="00FF0069" w:rsidTr="0033141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</w:tcPr>
          <w:p w:rsidR="00331417" w:rsidRPr="00FF0069" w:rsidRDefault="00331417" w:rsidP="005C1B18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BIENES CONCESIONADOS O EN COMODATO</w:t>
            </w:r>
          </w:p>
        </w:tc>
        <w:tc>
          <w:tcPr>
            <w:tcW w:w="2257" w:type="dxa"/>
            <w:vAlign w:val="center"/>
          </w:tcPr>
          <w:p w:rsidR="00331417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331417" w:rsidRPr="00FF0069" w:rsidTr="00331417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:rsidR="00331417" w:rsidRPr="00FF0069" w:rsidRDefault="00331417" w:rsidP="005C1B18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257" w:type="dxa"/>
            <w:vAlign w:val="center"/>
            <w:hideMark/>
          </w:tcPr>
          <w:p w:rsidR="00331417" w:rsidRPr="00FF0069" w:rsidRDefault="00331417" w:rsidP="003314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B17853" w:rsidRPr="00FF0069" w:rsidRDefault="00B17853" w:rsidP="005140D0">
      <w:pPr>
        <w:rPr>
          <w:rFonts w:ascii="Barlow" w:hAnsi="Barlow" w:cs="Times New Roman"/>
          <w:b/>
          <w:sz w:val="20"/>
          <w:szCs w:val="20"/>
        </w:rPr>
      </w:pPr>
    </w:p>
    <w:p w:rsidR="00B17853" w:rsidRPr="00FF0069" w:rsidRDefault="00B17853" w:rsidP="005140D0">
      <w:pPr>
        <w:rPr>
          <w:rFonts w:ascii="Barlow" w:hAnsi="Barlow" w:cs="Times New Roman"/>
          <w:b/>
          <w:sz w:val="20"/>
          <w:szCs w:val="20"/>
        </w:rPr>
      </w:pPr>
    </w:p>
    <w:p w:rsidR="003363B5" w:rsidRDefault="003363B5" w:rsidP="003363B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Barlow" w:hAnsi="Barlow" w:cs="Times New Roman"/>
          <w:bCs/>
          <w:sz w:val="20"/>
          <w:szCs w:val="20"/>
        </w:rPr>
      </w:pPr>
    </w:p>
    <w:p w:rsidR="003363B5" w:rsidRDefault="003363B5" w:rsidP="003363B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Barlow" w:hAnsi="Barlow" w:cs="Times New Roman"/>
          <w:bCs/>
          <w:sz w:val="20"/>
          <w:szCs w:val="20"/>
        </w:rPr>
      </w:pPr>
    </w:p>
    <w:p w:rsidR="003363B5" w:rsidRDefault="003363B5" w:rsidP="003363B5">
      <w:p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Times New Roman"/>
          <w:bCs/>
          <w:sz w:val="20"/>
          <w:szCs w:val="20"/>
        </w:rPr>
      </w:pPr>
    </w:p>
    <w:p w:rsidR="003363B5" w:rsidRDefault="003363B5" w:rsidP="003363B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Barlow" w:hAnsi="Barlow" w:cs="Times New Roman"/>
          <w:bCs/>
          <w:sz w:val="20"/>
          <w:szCs w:val="20"/>
        </w:rPr>
      </w:pPr>
    </w:p>
    <w:p w:rsidR="003363B5" w:rsidRDefault="003363B5" w:rsidP="003363B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Barlow" w:hAnsi="Barlow" w:cs="Times New Roman"/>
          <w:bCs/>
          <w:sz w:val="20"/>
          <w:szCs w:val="20"/>
        </w:rPr>
      </w:pPr>
    </w:p>
    <w:p w:rsidR="003363B5" w:rsidRDefault="003363B5" w:rsidP="00630253">
      <w:p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Times New Roman"/>
          <w:bCs/>
          <w:sz w:val="20"/>
          <w:szCs w:val="20"/>
        </w:rPr>
      </w:pPr>
    </w:p>
    <w:p w:rsidR="00331417" w:rsidRPr="00FF0069" w:rsidRDefault="00331417" w:rsidP="0033141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Times New Roman"/>
          <w:bCs/>
          <w:sz w:val="20"/>
          <w:szCs w:val="20"/>
        </w:rPr>
      </w:pPr>
      <w:r w:rsidRPr="00FF0069">
        <w:rPr>
          <w:rFonts w:ascii="Barlow" w:hAnsi="Barlow" w:cs="Times New Roman"/>
          <w:bCs/>
          <w:sz w:val="20"/>
          <w:szCs w:val="20"/>
        </w:rPr>
        <w:t>Cuentas presupuestarias.</w:t>
      </w:r>
    </w:p>
    <w:p w:rsidR="00331417" w:rsidRPr="00FF0069" w:rsidRDefault="00331417" w:rsidP="00331417">
      <w:p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Times New Roman"/>
          <w:bCs/>
          <w:sz w:val="20"/>
          <w:szCs w:val="20"/>
        </w:rPr>
      </w:pPr>
    </w:p>
    <w:tbl>
      <w:tblPr>
        <w:tblStyle w:val="Tabladecuadrcula1clara"/>
        <w:tblW w:w="8803" w:type="dxa"/>
        <w:tblInd w:w="1051" w:type="dxa"/>
        <w:tblLook w:val="04A0" w:firstRow="1" w:lastRow="0" w:firstColumn="1" w:lastColumn="0" w:noHBand="0" w:noVBand="1"/>
      </w:tblPr>
      <w:tblGrid>
        <w:gridCol w:w="6711"/>
        <w:gridCol w:w="2092"/>
      </w:tblGrid>
      <w:tr w:rsidR="00331417" w:rsidRPr="00FF0069" w:rsidTr="00336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1" w:type="dxa"/>
            <w:hideMark/>
          </w:tcPr>
          <w:p w:rsidR="00331417" w:rsidRPr="00FF0069" w:rsidRDefault="00331417" w:rsidP="00331417">
            <w:pPr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bookmarkStart w:id="0" w:name="m15"/>
            <w:bookmarkEnd w:id="0"/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INGRESOS</w:t>
            </w:r>
          </w:p>
        </w:tc>
        <w:tc>
          <w:tcPr>
            <w:tcW w:w="2092" w:type="dxa"/>
            <w:hideMark/>
          </w:tcPr>
          <w:p w:rsidR="00331417" w:rsidRPr="00FF0069" w:rsidRDefault="00331417" w:rsidP="00FF0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417" w:rsidRPr="00FF0069" w:rsidTr="003363B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1" w:type="dxa"/>
            <w:hideMark/>
          </w:tcPr>
          <w:p w:rsidR="00331417" w:rsidRPr="00FF0069" w:rsidRDefault="00331417" w:rsidP="00331417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LEY DE INGRESOS ESTIMADA</w:t>
            </w:r>
          </w:p>
        </w:tc>
        <w:tc>
          <w:tcPr>
            <w:tcW w:w="2092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</w:t>
            </w:r>
            <w:r w:rsidR="00225667" w:rsidRPr="00225667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331417" w:rsidRPr="00FF0069" w:rsidTr="003363B5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1" w:type="dxa"/>
            <w:hideMark/>
          </w:tcPr>
          <w:p w:rsidR="00331417" w:rsidRPr="00FF0069" w:rsidRDefault="00331417" w:rsidP="00331417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LEY DE INGRESOS POR EJECUTAR</w:t>
            </w:r>
          </w:p>
        </w:tc>
        <w:tc>
          <w:tcPr>
            <w:tcW w:w="2092" w:type="dxa"/>
            <w:hideMark/>
          </w:tcPr>
          <w:p w:rsidR="00331417" w:rsidRPr="00FF0069" w:rsidRDefault="00270552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1,141.45</w:t>
            </w:r>
          </w:p>
        </w:tc>
      </w:tr>
      <w:tr w:rsidR="00331417" w:rsidRPr="00FF0069" w:rsidTr="003363B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1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LEY DE INGRESOS MODIFICADA</w:t>
            </w:r>
          </w:p>
        </w:tc>
        <w:tc>
          <w:tcPr>
            <w:tcW w:w="2092" w:type="dxa"/>
            <w:hideMark/>
          </w:tcPr>
          <w:p w:rsidR="00331417" w:rsidRPr="00FF0069" w:rsidRDefault="00270552" w:rsidP="00135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1,141.45</w:t>
            </w:r>
          </w:p>
        </w:tc>
      </w:tr>
      <w:tr w:rsidR="00331417" w:rsidRPr="00FF0069" w:rsidTr="003363B5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1" w:type="dxa"/>
            <w:hideMark/>
          </w:tcPr>
          <w:p w:rsidR="00331417" w:rsidRPr="00FF0069" w:rsidRDefault="00331417" w:rsidP="00331417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LEY DE INGRESOS DEVENGADA</w:t>
            </w:r>
          </w:p>
        </w:tc>
        <w:tc>
          <w:tcPr>
            <w:tcW w:w="2092" w:type="dxa"/>
            <w:hideMark/>
          </w:tcPr>
          <w:p w:rsidR="00331417" w:rsidRPr="00FF0069" w:rsidRDefault="00270552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1,141.45</w:t>
            </w:r>
          </w:p>
        </w:tc>
      </w:tr>
      <w:tr w:rsidR="00331417" w:rsidRPr="00FF0069" w:rsidTr="003363B5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1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LEY DE INGRESOS RECAUDADA</w:t>
            </w:r>
          </w:p>
        </w:tc>
        <w:tc>
          <w:tcPr>
            <w:tcW w:w="2092" w:type="dxa"/>
            <w:hideMark/>
          </w:tcPr>
          <w:p w:rsidR="00331417" w:rsidRPr="00FF0069" w:rsidRDefault="00270552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270552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1,141.45</w:t>
            </w:r>
          </w:p>
        </w:tc>
      </w:tr>
    </w:tbl>
    <w:p w:rsidR="00B17853" w:rsidRDefault="00B17853" w:rsidP="005140D0">
      <w:pPr>
        <w:rPr>
          <w:rFonts w:ascii="Barlow" w:hAnsi="Barlow" w:cs="Times New Roman"/>
          <w:b/>
          <w:sz w:val="20"/>
          <w:szCs w:val="20"/>
        </w:rPr>
      </w:pPr>
    </w:p>
    <w:p w:rsidR="004129CB" w:rsidRDefault="004129CB" w:rsidP="005140D0">
      <w:pPr>
        <w:rPr>
          <w:rFonts w:ascii="Barlow" w:hAnsi="Barlow" w:cs="Times New Roman"/>
          <w:b/>
          <w:sz w:val="20"/>
          <w:szCs w:val="20"/>
        </w:rPr>
      </w:pPr>
    </w:p>
    <w:p w:rsidR="004129CB" w:rsidRPr="00FF0069" w:rsidRDefault="004129CB" w:rsidP="005140D0">
      <w:pPr>
        <w:rPr>
          <w:rFonts w:ascii="Barlow" w:hAnsi="Barlow" w:cs="Times New Roman"/>
          <w:b/>
          <w:sz w:val="20"/>
          <w:szCs w:val="20"/>
        </w:rPr>
      </w:pPr>
    </w:p>
    <w:tbl>
      <w:tblPr>
        <w:tblStyle w:val="Tabladecuadrcula1clara"/>
        <w:tblW w:w="8829" w:type="dxa"/>
        <w:tblInd w:w="1066" w:type="dxa"/>
        <w:tblLook w:val="04A0" w:firstRow="1" w:lastRow="0" w:firstColumn="1" w:lastColumn="0" w:noHBand="0" w:noVBand="1"/>
      </w:tblPr>
      <w:tblGrid>
        <w:gridCol w:w="5463"/>
        <w:gridCol w:w="3366"/>
      </w:tblGrid>
      <w:tr w:rsidR="00331417" w:rsidRPr="00FF0069" w:rsidTr="00336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lastRenderedPageBreak/>
              <w:t>PRESUPUESTO DE EGRESOS</w:t>
            </w:r>
          </w:p>
        </w:tc>
        <w:tc>
          <w:tcPr>
            <w:tcW w:w="3366" w:type="dxa"/>
            <w:hideMark/>
          </w:tcPr>
          <w:p w:rsidR="00331417" w:rsidRPr="00FF0069" w:rsidRDefault="00331417" w:rsidP="00FF0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</w:tr>
      <w:tr w:rsidR="00331417" w:rsidRPr="00FF0069" w:rsidTr="003363B5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3366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331417" w:rsidRPr="00FF0069" w:rsidTr="003363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EGRESOS POR EJERCER</w:t>
            </w:r>
          </w:p>
        </w:tc>
        <w:tc>
          <w:tcPr>
            <w:tcW w:w="3366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331417" w:rsidRPr="00FF0069" w:rsidTr="002316A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MODIFICACIONES AL PRESUPUESTO DE EGRESOS APROBADO</w:t>
            </w:r>
          </w:p>
        </w:tc>
        <w:tc>
          <w:tcPr>
            <w:tcW w:w="3366" w:type="dxa"/>
            <w:hideMark/>
          </w:tcPr>
          <w:p w:rsidR="00331417" w:rsidRPr="00FF0069" w:rsidRDefault="00576E84" w:rsidP="002316AA">
            <w:pPr>
              <w:tabs>
                <w:tab w:val="center" w:pos="1575"/>
                <w:tab w:val="right" w:pos="315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331417" w:rsidRPr="00FF0069" w:rsidTr="003363B5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EGRESOS COMPROMETIDO</w:t>
            </w:r>
          </w:p>
        </w:tc>
        <w:tc>
          <w:tcPr>
            <w:tcW w:w="3366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331417" w:rsidRPr="00FF0069" w:rsidTr="003363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EGRESOS DEVENGADO</w:t>
            </w:r>
          </w:p>
        </w:tc>
        <w:tc>
          <w:tcPr>
            <w:tcW w:w="3366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331417" w:rsidRPr="00FF0069" w:rsidTr="003363B5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EGRESOS EJERCIDO</w:t>
            </w:r>
          </w:p>
        </w:tc>
        <w:tc>
          <w:tcPr>
            <w:tcW w:w="3366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331417" w:rsidRPr="00FF0069" w:rsidTr="003363B5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  <w:hideMark/>
          </w:tcPr>
          <w:p w:rsidR="00331417" w:rsidRPr="00FF0069" w:rsidRDefault="00331417" w:rsidP="00FF0069">
            <w:pPr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FF0069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PRESUPUESTO DE EGRESOS PAGADO</w:t>
            </w:r>
          </w:p>
        </w:tc>
        <w:tc>
          <w:tcPr>
            <w:tcW w:w="3366" w:type="dxa"/>
            <w:hideMark/>
          </w:tcPr>
          <w:p w:rsidR="00331417" w:rsidRPr="00FF0069" w:rsidRDefault="00576E84" w:rsidP="00FF00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</w:pPr>
            <w:r w:rsidRPr="00576E84">
              <w:rPr>
                <w:rFonts w:ascii="Barlow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7E37AE" w:rsidRDefault="007E37AE" w:rsidP="000E1B83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7E37AE" w:rsidRDefault="007E37AE" w:rsidP="000E1B83">
      <w:pPr>
        <w:jc w:val="center"/>
        <w:rPr>
          <w:rFonts w:ascii="Barlow" w:hAnsi="Barlow" w:cs="Times New Roman"/>
          <w:b/>
          <w:sz w:val="20"/>
          <w:szCs w:val="20"/>
        </w:rPr>
      </w:pPr>
    </w:p>
    <w:p w:rsidR="005140D0" w:rsidRPr="00FF0069" w:rsidRDefault="005140D0" w:rsidP="007E37AE">
      <w:pPr>
        <w:jc w:val="center"/>
        <w:rPr>
          <w:rFonts w:ascii="Barlow" w:hAnsi="Barlow" w:cs="Times New Roman"/>
          <w:b/>
          <w:sz w:val="20"/>
          <w:szCs w:val="20"/>
        </w:rPr>
      </w:pPr>
      <w:r w:rsidRPr="00FF0069">
        <w:rPr>
          <w:rFonts w:ascii="Barlow" w:hAnsi="Barlow" w:cs="Times New Roman"/>
          <w:b/>
          <w:sz w:val="20"/>
          <w:szCs w:val="20"/>
        </w:rPr>
        <w:t>NOTAS DE GESTION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387759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INTRODUCCION</w:t>
      </w:r>
    </w:p>
    <w:p w:rsidR="007E37AE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Los Estados Financieros de los Entes Públicos, proveen de información financiera a los principales usuarios de la misma, al Congreso y a los Ciudadan</w:t>
      </w:r>
      <w:r w:rsidR="007E37AE">
        <w:rPr>
          <w:rFonts w:ascii="Barlow" w:hAnsi="Barlow" w:cs="Times New Roman"/>
          <w:sz w:val="20"/>
          <w:szCs w:val="20"/>
        </w:rPr>
        <w:t>os.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Objetivo del presente documento es la revelación del contexto y de los aspectos económicos-financieros </w:t>
      </w:r>
      <w:r w:rsidR="006C5DC7" w:rsidRPr="00FF0069">
        <w:rPr>
          <w:rFonts w:ascii="Barlow" w:hAnsi="Barlow" w:cs="Times New Roman"/>
          <w:sz w:val="20"/>
          <w:szCs w:val="20"/>
        </w:rPr>
        <w:t>más</w:t>
      </w:r>
      <w:r w:rsidRPr="00FF0069">
        <w:rPr>
          <w:rFonts w:ascii="Barlow" w:hAnsi="Barlow" w:cs="Times New Roman"/>
          <w:sz w:val="20"/>
          <w:szCs w:val="20"/>
        </w:rPr>
        <w:t xml:space="preserve"> relevantes que influyeron en las decisiones del período y que deberán ser considerados en la elaboración de los estados financieros para la mayor comprensión de los </w:t>
      </w:r>
      <w:r w:rsidR="001E7780">
        <w:rPr>
          <w:rFonts w:ascii="Barlow" w:hAnsi="Barlow" w:cs="Times New Roman"/>
          <w:sz w:val="20"/>
          <w:szCs w:val="20"/>
        </w:rPr>
        <w:t>mismos y sus particulares.</w:t>
      </w:r>
      <w:r w:rsidR="001E7780">
        <w:rPr>
          <w:rFonts w:ascii="Barlow" w:hAnsi="Barlow" w:cs="Times New Roman"/>
          <w:sz w:val="20"/>
          <w:szCs w:val="20"/>
        </w:rPr>
        <w:tab/>
      </w:r>
      <w:r w:rsidR="001E7780">
        <w:rPr>
          <w:rFonts w:ascii="Barlow" w:hAnsi="Barlow" w:cs="Times New Roman"/>
          <w:sz w:val="20"/>
          <w:szCs w:val="20"/>
        </w:rPr>
        <w:tab/>
      </w:r>
      <w:r w:rsidR="001E7780">
        <w:rPr>
          <w:rFonts w:ascii="Barlow" w:hAnsi="Barlow" w:cs="Times New Roman"/>
          <w:sz w:val="20"/>
          <w:szCs w:val="20"/>
        </w:rPr>
        <w:tab/>
      </w:r>
      <w:r w:rsidR="001E7780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De esta manera, se informa y se explica la respuesta del Gobierno a las condiciones relacionadas con la información financiera de cada período de gestión; además, de exponer aquellas políticas que podrían afectar la toma de decisiones en períodos posteriores.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63529" w:rsidRDefault="00463529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>NOTA 2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PANORAMA ECONOMICO-FINANCIERO</w:t>
      </w:r>
    </w:p>
    <w:p w:rsidR="0067011A" w:rsidRDefault="00AA093B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General de </w:t>
      </w:r>
      <w:proofErr w:type="spellStart"/>
      <w:r w:rsidRPr="00FF0069">
        <w:rPr>
          <w:rFonts w:ascii="Barlow" w:hAnsi="Barlow" w:cs="Times New Roman"/>
          <w:sz w:val="20"/>
          <w:szCs w:val="20"/>
        </w:rPr>
        <w:t>Tekax</w:t>
      </w:r>
      <w:proofErr w:type="spellEnd"/>
      <w:r w:rsidR="005140D0" w:rsidRPr="00FF0069">
        <w:rPr>
          <w:rFonts w:ascii="Barlow" w:hAnsi="Barlow" w:cs="Times New Roman"/>
          <w:sz w:val="20"/>
          <w:szCs w:val="20"/>
        </w:rPr>
        <w:t xml:space="preserve">, Yucatán, </w:t>
      </w:r>
      <w:r w:rsidR="00576E84">
        <w:rPr>
          <w:rFonts w:ascii="Barlow" w:hAnsi="Barlow" w:cs="Times New Roman"/>
          <w:sz w:val="20"/>
          <w:szCs w:val="20"/>
        </w:rPr>
        <w:t xml:space="preserve">no </w:t>
      </w:r>
      <w:r w:rsidR="005140D0" w:rsidRPr="00FF0069">
        <w:rPr>
          <w:rFonts w:ascii="Barlow" w:hAnsi="Barlow" w:cs="Times New Roman"/>
          <w:sz w:val="20"/>
          <w:szCs w:val="20"/>
        </w:rPr>
        <w:t xml:space="preserve">opera bajo condiciones </w:t>
      </w:r>
      <w:r w:rsidR="006C5DC7" w:rsidRPr="00FF0069">
        <w:rPr>
          <w:rFonts w:ascii="Barlow" w:hAnsi="Barlow" w:cs="Times New Roman"/>
          <w:sz w:val="20"/>
          <w:szCs w:val="20"/>
        </w:rPr>
        <w:t>económico</w:t>
      </w:r>
      <w:r w:rsidR="005140D0" w:rsidRPr="00FF0069">
        <w:rPr>
          <w:rFonts w:ascii="Barlow" w:hAnsi="Barlow" w:cs="Times New Roman"/>
          <w:sz w:val="20"/>
          <w:szCs w:val="20"/>
        </w:rPr>
        <w:t xml:space="preserve">-financieras seguras y estables puesto que todos las operaciones </w:t>
      </w:r>
      <w:r w:rsidR="00576E84">
        <w:rPr>
          <w:rFonts w:ascii="Barlow" w:hAnsi="Barlow" w:cs="Times New Roman"/>
          <w:sz w:val="20"/>
          <w:szCs w:val="20"/>
        </w:rPr>
        <w:t xml:space="preserve">no </w:t>
      </w:r>
      <w:r w:rsidR="006C5DC7" w:rsidRPr="00FF0069">
        <w:rPr>
          <w:rFonts w:ascii="Barlow" w:hAnsi="Barlow" w:cs="Times New Roman"/>
          <w:sz w:val="20"/>
          <w:szCs w:val="20"/>
        </w:rPr>
        <w:t>están</w:t>
      </w:r>
      <w:r w:rsidR="005140D0" w:rsidRPr="00FF0069">
        <w:rPr>
          <w:rFonts w:ascii="Barlow" w:hAnsi="Barlow" w:cs="Times New Roman"/>
          <w:sz w:val="20"/>
          <w:szCs w:val="20"/>
        </w:rPr>
        <w:t xml:space="preserve"> contenidas dentro del Decreto de Presupuesto de Egresos del Estado d</w:t>
      </w:r>
      <w:r w:rsidR="009603BA">
        <w:rPr>
          <w:rFonts w:ascii="Barlow" w:hAnsi="Barlow" w:cs="Times New Roman"/>
          <w:sz w:val="20"/>
          <w:szCs w:val="20"/>
        </w:rPr>
        <w:t xml:space="preserve">e Yucatán para el </w:t>
      </w:r>
      <w:r w:rsidR="003A62F7">
        <w:rPr>
          <w:rFonts w:ascii="Barlow" w:hAnsi="Barlow" w:cs="Times New Roman"/>
          <w:sz w:val="20"/>
          <w:szCs w:val="20"/>
        </w:rPr>
        <w:t>Ejercicio 202</w:t>
      </w:r>
      <w:r w:rsidR="00576E84">
        <w:rPr>
          <w:rFonts w:ascii="Barlow" w:hAnsi="Barlow" w:cs="Times New Roman"/>
          <w:sz w:val="20"/>
          <w:szCs w:val="20"/>
        </w:rPr>
        <w:t>2</w:t>
      </w:r>
      <w:r w:rsidR="005140D0" w:rsidRPr="00FF0069">
        <w:rPr>
          <w:rFonts w:ascii="Barlow" w:hAnsi="Barlow" w:cs="Times New Roman"/>
          <w:sz w:val="20"/>
          <w:szCs w:val="20"/>
        </w:rPr>
        <w:t xml:space="preserve">, siempre </w:t>
      </w:r>
      <w:r w:rsidR="006C5DC7" w:rsidRPr="00FF0069">
        <w:rPr>
          <w:rFonts w:ascii="Barlow" w:hAnsi="Barlow" w:cs="Times New Roman"/>
          <w:sz w:val="20"/>
          <w:szCs w:val="20"/>
        </w:rPr>
        <w:t>apegándose</w:t>
      </w:r>
      <w:r w:rsidR="005140D0" w:rsidRPr="00FF0069">
        <w:rPr>
          <w:rFonts w:ascii="Barlow" w:hAnsi="Barlow" w:cs="Times New Roman"/>
          <w:sz w:val="20"/>
          <w:szCs w:val="20"/>
        </w:rPr>
        <w:t xml:space="preserve"> al mismo y a las Leyes y Normas que rigen a la </w:t>
      </w:r>
      <w:r w:rsidR="006C5DC7" w:rsidRPr="00FF0069">
        <w:rPr>
          <w:rFonts w:ascii="Barlow" w:hAnsi="Barlow" w:cs="Times New Roman"/>
          <w:sz w:val="20"/>
          <w:szCs w:val="20"/>
        </w:rPr>
        <w:t>Dependencia</w:t>
      </w:r>
      <w:r w:rsidR="005140D0" w:rsidRPr="00FF0069">
        <w:rPr>
          <w:rFonts w:ascii="Barlow" w:hAnsi="Barlow" w:cs="Times New Roman"/>
          <w:sz w:val="20"/>
          <w:szCs w:val="20"/>
        </w:rPr>
        <w:t xml:space="preserve"> y siempre tomado en </w:t>
      </w:r>
      <w:r w:rsidR="006C5DC7" w:rsidRPr="00FF0069">
        <w:rPr>
          <w:rFonts w:ascii="Barlow" w:hAnsi="Barlow" w:cs="Times New Roman"/>
          <w:sz w:val="20"/>
          <w:szCs w:val="20"/>
        </w:rPr>
        <w:t>consideración</w:t>
      </w:r>
      <w:r w:rsidR="005140D0" w:rsidRPr="00FF0069">
        <w:rPr>
          <w:rFonts w:ascii="Barlow" w:hAnsi="Barlow" w:cs="Times New Roman"/>
          <w:sz w:val="20"/>
          <w:szCs w:val="20"/>
        </w:rPr>
        <w:t xml:space="preserve"> la salvaguarda y </w:t>
      </w:r>
      <w:r w:rsidR="006C5DC7" w:rsidRPr="00FF0069">
        <w:rPr>
          <w:rFonts w:ascii="Barlow" w:hAnsi="Barlow" w:cs="Times New Roman"/>
          <w:sz w:val="20"/>
          <w:szCs w:val="20"/>
        </w:rPr>
        <w:t>protección</w:t>
      </w:r>
      <w:r w:rsidR="005140D0" w:rsidRPr="00FF0069">
        <w:rPr>
          <w:rFonts w:ascii="Barlow" w:hAnsi="Barlow" w:cs="Times New Roman"/>
          <w:sz w:val="20"/>
          <w:szCs w:val="20"/>
        </w:rPr>
        <w:t xml:space="preserve"> de los recur</w:t>
      </w:r>
      <w:r w:rsidR="0067011A">
        <w:rPr>
          <w:rFonts w:ascii="Barlow" w:hAnsi="Barlow" w:cs="Times New Roman"/>
          <w:sz w:val="20"/>
          <w:szCs w:val="20"/>
        </w:rPr>
        <w:t>sos del Estado.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3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8B0D8B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AUTORIZACION E HISTORIA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En el Diario Ofici</w:t>
      </w:r>
      <w:r w:rsidR="00EA33A9" w:rsidRPr="00FF0069">
        <w:rPr>
          <w:rFonts w:ascii="Barlow" w:hAnsi="Barlow" w:cs="Times New Roman"/>
          <w:sz w:val="20"/>
          <w:szCs w:val="20"/>
        </w:rPr>
        <w:t>al del Gobierno del Estado del 10</w:t>
      </w:r>
      <w:r w:rsidRPr="00FF0069">
        <w:rPr>
          <w:rFonts w:ascii="Barlow" w:hAnsi="Barlow" w:cs="Times New Roman"/>
          <w:sz w:val="20"/>
          <w:szCs w:val="20"/>
        </w:rPr>
        <w:t xml:space="preserve"> de</w:t>
      </w:r>
      <w:r w:rsidR="00EA33A9" w:rsidRPr="00FF0069">
        <w:rPr>
          <w:rFonts w:ascii="Barlow" w:hAnsi="Barlow" w:cs="Times New Roman"/>
          <w:sz w:val="20"/>
          <w:szCs w:val="20"/>
        </w:rPr>
        <w:t xml:space="preserve"> mayo</w:t>
      </w:r>
      <w:r w:rsidRPr="00FF0069">
        <w:rPr>
          <w:rFonts w:ascii="Barlow" w:hAnsi="Barlow" w:cs="Times New Roman"/>
          <w:sz w:val="20"/>
          <w:szCs w:val="20"/>
        </w:rPr>
        <w:t xml:space="preserve"> de 20</w:t>
      </w:r>
      <w:r w:rsidR="00EA33A9" w:rsidRPr="00FF0069">
        <w:rPr>
          <w:rFonts w:ascii="Barlow" w:hAnsi="Barlow" w:cs="Times New Roman"/>
          <w:sz w:val="20"/>
          <w:szCs w:val="20"/>
        </w:rPr>
        <w:t>1</w:t>
      </w:r>
      <w:r w:rsidRPr="00FF0069">
        <w:rPr>
          <w:rFonts w:ascii="Barlow" w:hAnsi="Barlow" w:cs="Times New Roman"/>
          <w:sz w:val="20"/>
          <w:szCs w:val="20"/>
        </w:rPr>
        <w:t>7, se</w:t>
      </w:r>
      <w:r w:rsidR="00EA33A9" w:rsidRPr="00FF0069">
        <w:rPr>
          <w:rFonts w:ascii="Barlow" w:hAnsi="Barlow" w:cs="Times New Roman"/>
          <w:sz w:val="20"/>
          <w:szCs w:val="20"/>
        </w:rPr>
        <w:t xml:space="preserve"> publicó el decreto No. </w:t>
      </w:r>
      <w:r w:rsidR="00AA093B" w:rsidRPr="00FF0069">
        <w:rPr>
          <w:rFonts w:ascii="Barlow" w:hAnsi="Barlow" w:cs="Times New Roman"/>
          <w:sz w:val="20"/>
          <w:szCs w:val="20"/>
        </w:rPr>
        <w:t>483/2017</w:t>
      </w:r>
      <w:r w:rsidR="00EA33A9" w:rsidRPr="00FF0069">
        <w:rPr>
          <w:rFonts w:ascii="Barlow" w:hAnsi="Barlow" w:cs="Times New Roman"/>
          <w:sz w:val="20"/>
          <w:szCs w:val="20"/>
        </w:rPr>
        <w:t>, en el cual se regula</w:t>
      </w:r>
      <w:r w:rsidRPr="00FF0069">
        <w:rPr>
          <w:rFonts w:ascii="Barlow" w:hAnsi="Barlow" w:cs="Times New Roman"/>
          <w:sz w:val="20"/>
          <w:szCs w:val="20"/>
        </w:rPr>
        <w:t xml:space="preserve"> El Hospital </w:t>
      </w:r>
      <w:r w:rsidR="00EA33A9" w:rsidRPr="00FF0069">
        <w:rPr>
          <w:rFonts w:ascii="Barlow" w:hAnsi="Barlow" w:cs="Times New Roman"/>
          <w:sz w:val="20"/>
          <w:szCs w:val="20"/>
        </w:rPr>
        <w:t>General de Tekax</w:t>
      </w:r>
      <w:r w:rsidRPr="00FF0069">
        <w:rPr>
          <w:rFonts w:ascii="Barlow" w:hAnsi="Barlow" w:cs="Times New Roman"/>
          <w:sz w:val="20"/>
          <w:szCs w:val="20"/>
        </w:rPr>
        <w:t xml:space="preserve">, Yucatán, como un Organismo </w:t>
      </w:r>
      <w:r w:rsidR="006C5DC7" w:rsidRPr="00FF0069">
        <w:rPr>
          <w:rFonts w:ascii="Barlow" w:hAnsi="Barlow" w:cs="Times New Roman"/>
          <w:sz w:val="20"/>
          <w:szCs w:val="20"/>
        </w:rPr>
        <w:t>Público</w:t>
      </w:r>
      <w:r w:rsidRPr="00FF0069">
        <w:rPr>
          <w:rFonts w:ascii="Barlow" w:hAnsi="Barlow" w:cs="Times New Roman"/>
          <w:sz w:val="20"/>
          <w:szCs w:val="20"/>
        </w:rPr>
        <w:t xml:space="preserve"> </w:t>
      </w:r>
      <w:r w:rsidR="006C5DC7" w:rsidRPr="00FF0069">
        <w:rPr>
          <w:rFonts w:ascii="Barlow" w:hAnsi="Barlow" w:cs="Times New Roman"/>
          <w:sz w:val="20"/>
          <w:szCs w:val="20"/>
        </w:rPr>
        <w:t>Descentralizado</w:t>
      </w:r>
      <w:r w:rsidRPr="00FF0069">
        <w:rPr>
          <w:rFonts w:ascii="Barlow" w:hAnsi="Barlow" w:cs="Times New Roman"/>
          <w:sz w:val="20"/>
          <w:szCs w:val="20"/>
        </w:rPr>
        <w:t xml:space="preserve"> del Gobierno del Estado de Yucatán con personalidad </w:t>
      </w:r>
      <w:r w:rsidR="006C5DC7" w:rsidRPr="00FF0069">
        <w:rPr>
          <w:rFonts w:ascii="Barlow" w:hAnsi="Barlow" w:cs="Times New Roman"/>
          <w:sz w:val="20"/>
          <w:szCs w:val="20"/>
        </w:rPr>
        <w:t>jurídica</w:t>
      </w:r>
      <w:r w:rsidR="00EA33A9" w:rsidRPr="00FF0069">
        <w:rPr>
          <w:rFonts w:ascii="Barlow" w:hAnsi="Barlow" w:cs="Times New Roman"/>
          <w:sz w:val="20"/>
          <w:szCs w:val="20"/>
        </w:rPr>
        <w:t xml:space="preserve"> y patrimonio propio.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4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ORGANIZACIÓN Y OBJETO SOCIAL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"El HOSPITAL tiene por objeto: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I.- Coadyuvar al funcionamiento y consolidación del Sistema Nacional de Salud y contribuir a la protección de la salud de la población en general, pero preferentemente </w:t>
      </w:r>
      <w:r w:rsidR="006C5DC7" w:rsidRPr="00FF0069">
        <w:rPr>
          <w:rFonts w:ascii="Barlow" w:hAnsi="Barlow" w:cs="Times New Roman"/>
          <w:sz w:val="20"/>
          <w:szCs w:val="20"/>
        </w:rPr>
        <w:t>al</w:t>
      </w:r>
      <w:r w:rsidRPr="00FF0069">
        <w:rPr>
          <w:rFonts w:ascii="Barlow" w:hAnsi="Barlow" w:cs="Times New Roman"/>
          <w:sz w:val="20"/>
          <w:szCs w:val="20"/>
        </w:rPr>
        <w:t xml:space="preserve"> materno infantil;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II.- Apoyar la ejecución de los programas sectoriales de salud que le correspondan, según sus funciones y servicios;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III.- Prestar servicios de salud de alta calidad, en las especialidades de ginecología, obstetricia y pediatría, incluyendo servicios de hospitalización a la población, preferentemente de escasos recursos económicos afiliados al Seguro Popular y también a los q</w:t>
      </w:r>
      <w:r w:rsidR="006C5DC7" w:rsidRPr="00FF0069">
        <w:rPr>
          <w:rFonts w:ascii="Barlow" w:hAnsi="Barlow" w:cs="Times New Roman"/>
          <w:sz w:val="20"/>
          <w:szCs w:val="20"/>
        </w:rPr>
        <w:t>ue carezcan de Seguridad Social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Las Operaciones que dieron origen a los Estados Financieros corresponden al ejercicio presupuestal comprendido del 01 de </w:t>
      </w:r>
      <w:r w:rsidR="00C43815" w:rsidRPr="00FF0069">
        <w:rPr>
          <w:rFonts w:ascii="Barlow" w:hAnsi="Barlow" w:cs="Times New Roman"/>
          <w:sz w:val="20"/>
          <w:szCs w:val="20"/>
        </w:rPr>
        <w:t>Enero</w:t>
      </w:r>
      <w:r w:rsidR="00077B66" w:rsidRPr="00FF0069">
        <w:rPr>
          <w:rFonts w:ascii="Barlow" w:hAnsi="Barlow" w:cs="Times New Roman"/>
          <w:sz w:val="20"/>
          <w:szCs w:val="20"/>
        </w:rPr>
        <w:t xml:space="preserve"> al </w:t>
      </w:r>
      <w:r w:rsidR="00270552">
        <w:rPr>
          <w:rFonts w:ascii="Barlow" w:hAnsi="Barlow" w:cs="Times New Roman"/>
          <w:sz w:val="20"/>
          <w:szCs w:val="20"/>
        </w:rPr>
        <w:t>31</w:t>
      </w:r>
      <w:r w:rsidR="008B0D8B" w:rsidRPr="00FF0069">
        <w:rPr>
          <w:rFonts w:ascii="Barlow" w:hAnsi="Barlow" w:cs="Times New Roman"/>
          <w:sz w:val="20"/>
          <w:szCs w:val="20"/>
        </w:rPr>
        <w:t xml:space="preserve"> </w:t>
      </w:r>
      <w:r w:rsidR="00077B66" w:rsidRPr="00FF0069">
        <w:rPr>
          <w:rFonts w:ascii="Barlow" w:hAnsi="Barlow" w:cs="Times New Roman"/>
          <w:sz w:val="20"/>
          <w:szCs w:val="20"/>
        </w:rPr>
        <w:t xml:space="preserve">de </w:t>
      </w:r>
      <w:r w:rsidR="00270552">
        <w:rPr>
          <w:rFonts w:ascii="Barlow" w:hAnsi="Barlow" w:cs="Times New Roman"/>
          <w:sz w:val="20"/>
          <w:szCs w:val="20"/>
        </w:rPr>
        <w:t>Marzo</w:t>
      </w:r>
      <w:r w:rsidR="00576E84">
        <w:rPr>
          <w:rFonts w:ascii="Barlow" w:hAnsi="Barlow" w:cs="Times New Roman"/>
          <w:sz w:val="20"/>
          <w:szCs w:val="20"/>
        </w:rPr>
        <w:t xml:space="preserve"> de 2022</w:t>
      </w:r>
      <w:r w:rsidR="005B0CBC" w:rsidRPr="00FF0069">
        <w:rPr>
          <w:rFonts w:ascii="Barlow" w:hAnsi="Barlow" w:cs="Times New Roman"/>
          <w:sz w:val="20"/>
          <w:szCs w:val="20"/>
        </w:rPr>
        <w:t>.</w:t>
      </w:r>
    </w:p>
    <w:p w:rsidR="004129CB" w:rsidRDefault="00965212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>El Hospital General</w:t>
      </w:r>
      <w:r w:rsidR="005140D0" w:rsidRPr="00FF0069">
        <w:rPr>
          <w:rFonts w:ascii="Barlow" w:hAnsi="Barlow" w:cs="Times New Roman"/>
          <w:sz w:val="20"/>
          <w:szCs w:val="20"/>
        </w:rPr>
        <w:t xml:space="preserve">, Yucatán es un Ente Público Descentralizado y tiene las obligaciones fiscales de retener el ISR por los servicios de asesoría por honorarios de las personas físicas a las que contrate, </w:t>
      </w:r>
      <w:r w:rsidR="006C5DC7" w:rsidRPr="00FF0069">
        <w:rPr>
          <w:rFonts w:ascii="Barlow" w:hAnsi="Barlow" w:cs="Times New Roman"/>
          <w:sz w:val="20"/>
          <w:szCs w:val="20"/>
        </w:rPr>
        <w:t>así</w:t>
      </w:r>
      <w:r w:rsidR="005140D0" w:rsidRPr="00FF0069">
        <w:rPr>
          <w:rFonts w:ascii="Barlow" w:hAnsi="Barlow" w:cs="Times New Roman"/>
          <w:sz w:val="20"/>
          <w:szCs w:val="20"/>
        </w:rPr>
        <w:t xml:space="preserve"> como, por los sueldos y salarios que pague y enterarlas a la Secretaría de Hacienda.</w:t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DD3D81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Hospital General de Tekax</w:t>
      </w:r>
      <w:r w:rsidR="005140D0" w:rsidRPr="00FF0069">
        <w:rPr>
          <w:rFonts w:ascii="Barlow" w:hAnsi="Barlow" w:cs="Times New Roman"/>
          <w:sz w:val="20"/>
          <w:szCs w:val="20"/>
        </w:rPr>
        <w:t>, Yucatán, cuenta con una Estructura Organizacional integrada de la siguie</w:t>
      </w:r>
      <w:r w:rsidR="006632B4" w:rsidRPr="00FF0069">
        <w:rPr>
          <w:rFonts w:ascii="Barlow" w:hAnsi="Barlow" w:cs="Times New Roman"/>
          <w:sz w:val="20"/>
          <w:szCs w:val="20"/>
        </w:rPr>
        <w:t xml:space="preserve">nte manera: 1 Director General, 1 Jefe Médico, </w:t>
      </w:r>
      <w:r w:rsidR="005140D0" w:rsidRPr="00FF0069">
        <w:rPr>
          <w:rFonts w:ascii="Barlow" w:hAnsi="Barlow" w:cs="Times New Roman"/>
          <w:sz w:val="20"/>
          <w:szCs w:val="20"/>
        </w:rPr>
        <w:t>1 Jefe de Administración</w:t>
      </w:r>
      <w:r w:rsidR="006632B4" w:rsidRPr="00FF0069">
        <w:rPr>
          <w:rFonts w:ascii="Barlow" w:hAnsi="Barlow" w:cs="Times New Roman"/>
          <w:sz w:val="20"/>
          <w:szCs w:val="20"/>
        </w:rPr>
        <w:t xml:space="preserve">, </w:t>
      </w:r>
      <w:r w:rsidR="005140D0" w:rsidRPr="00FF0069">
        <w:rPr>
          <w:rFonts w:ascii="Barlow" w:hAnsi="Barlow" w:cs="Times New Roman"/>
          <w:sz w:val="20"/>
          <w:szCs w:val="20"/>
        </w:rPr>
        <w:t xml:space="preserve">1 </w:t>
      </w:r>
      <w:r w:rsidR="006632B4" w:rsidRPr="00FF0069">
        <w:rPr>
          <w:rFonts w:ascii="Barlow" w:hAnsi="Barlow" w:cs="Times New Roman"/>
          <w:sz w:val="20"/>
          <w:szCs w:val="20"/>
        </w:rPr>
        <w:t>Coordinadora</w:t>
      </w:r>
      <w:r w:rsidR="005140D0" w:rsidRPr="00FF0069">
        <w:rPr>
          <w:rFonts w:ascii="Barlow" w:hAnsi="Barlow" w:cs="Times New Roman"/>
          <w:sz w:val="20"/>
          <w:szCs w:val="20"/>
        </w:rPr>
        <w:t xml:space="preserve"> de Enfermeras</w:t>
      </w:r>
      <w:r w:rsidR="006632B4" w:rsidRPr="00FF0069">
        <w:rPr>
          <w:rFonts w:ascii="Barlow" w:hAnsi="Barlow" w:cs="Times New Roman"/>
          <w:sz w:val="20"/>
          <w:szCs w:val="20"/>
        </w:rPr>
        <w:t>, 1 Coordinadora de Trabajo Social, 1 Coordinador de Contabilidad, 1 Coordinador de Recursos Humanos, 1 Coordinador de Compras y Adquisiciones y 1 Coordinador de Mantenimiento</w:t>
      </w:r>
      <w:r w:rsidR="0067011A">
        <w:rPr>
          <w:rFonts w:ascii="Barlow" w:hAnsi="Barlow" w:cs="Times New Roman"/>
          <w:sz w:val="20"/>
          <w:szCs w:val="20"/>
        </w:rPr>
        <w:t>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5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BASES DE PREPARACION DE LOS ESTADOS FINANCIEROS</w:t>
      </w:r>
    </w:p>
    <w:p w:rsidR="003A2486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Para la </w:t>
      </w:r>
      <w:r w:rsidR="006C5DC7" w:rsidRPr="00FF0069">
        <w:rPr>
          <w:rFonts w:ascii="Barlow" w:hAnsi="Barlow" w:cs="Times New Roman"/>
          <w:sz w:val="20"/>
          <w:szCs w:val="20"/>
        </w:rPr>
        <w:t>preparación</w:t>
      </w:r>
      <w:r w:rsidRPr="00FF0069">
        <w:rPr>
          <w:rFonts w:ascii="Barlow" w:hAnsi="Barlow" w:cs="Times New Roman"/>
          <w:sz w:val="20"/>
          <w:szCs w:val="20"/>
        </w:rPr>
        <w:t xml:space="preserve"> de los Estados Financieros se </w:t>
      </w:r>
      <w:r w:rsidR="006C5DC7" w:rsidRPr="00FF0069">
        <w:rPr>
          <w:rFonts w:ascii="Barlow" w:hAnsi="Barlow" w:cs="Times New Roman"/>
          <w:sz w:val="20"/>
          <w:szCs w:val="20"/>
        </w:rPr>
        <w:t>tomó</w:t>
      </w:r>
      <w:r w:rsidRPr="00FF0069">
        <w:rPr>
          <w:rFonts w:ascii="Barlow" w:hAnsi="Barlow" w:cs="Times New Roman"/>
          <w:sz w:val="20"/>
          <w:szCs w:val="20"/>
        </w:rPr>
        <w:t xml:space="preserve"> como base la Ley de Contabilidad Gubernamental </w:t>
      </w:r>
      <w:r w:rsidR="006C5DC7" w:rsidRPr="00FF0069">
        <w:rPr>
          <w:rFonts w:ascii="Barlow" w:hAnsi="Barlow" w:cs="Times New Roman"/>
          <w:sz w:val="20"/>
          <w:szCs w:val="20"/>
        </w:rPr>
        <w:t>así</w:t>
      </w:r>
      <w:r w:rsidRPr="00FF0069">
        <w:rPr>
          <w:rFonts w:ascii="Barlow" w:hAnsi="Barlow" w:cs="Times New Roman"/>
          <w:sz w:val="20"/>
          <w:szCs w:val="20"/>
        </w:rPr>
        <w:t xml:space="preserve"> como </w:t>
      </w:r>
      <w:r w:rsidR="006C5DC7" w:rsidRPr="00FF0069">
        <w:rPr>
          <w:rFonts w:ascii="Barlow" w:hAnsi="Barlow" w:cs="Times New Roman"/>
          <w:sz w:val="20"/>
          <w:szCs w:val="20"/>
        </w:rPr>
        <w:t>también</w:t>
      </w:r>
      <w:r w:rsidRPr="00FF0069">
        <w:rPr>
          <w:rFonts w:ascii="Barlow" w:hAnsi="Barlow" w:cs="Times New Roman"/>
          <w:sz w:val="20"/>
          <w:szCs w:val="20"/>
        </w:rPr>
        <w:t xml:space="preserve"> la normatividad emitida por le CONAC y las disposiciones legales aplicables.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POSTULADOS BASICOS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7E37AE" w:rsidRDefault="007E37AE" w:rsidP="003363B5">
      <w:pPr>
        <w:jc w:val="both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t>Sustancia Económica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Los ingresos y gastos fueron reconocidos en el momento en que fueron realizados y ejercidos, respectivamente y se encuentran registrados de acuerdo con los criterios de la Ley de Contabilidad Gubernamental, las Normas Emitidas por el CONAC, la Ley de Presupuesto y Cont</w:t>
      </w:r>
      <w:r w:rsidR="0067011A">
        <w:rPr>
          <w:rFonts w:ascii="Barlow" w:hAnsi="Barlow" w:cs="Times New Roman"/>
          <w:sz w:val="20"/>
          <w:szCs w:val="20"/>
        </w:rPr>
        <w:t>abilidad Gubernamental.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DE607D" w:rsidRDefault="00DE607D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>Entes Públicos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Los Poderes Ejecutivo, Legislativo y Judicial de la Federación y de las Entidades Federativas; los entes autónomos de la Federación y de las Entidades Federativas; los Ayuntamientos de los Municipios; los </w:t>
      </w:r>
      <w:r w:rsidR="006C5DC7" w:rsidRPr="00FF0069">
        <w:rPr>
          <w:rFonts w:ascii="Barlow" w:hAnsi="Barlow" w:cs="Times New Roman"/>
          <w:sz w:val="20"/>
          <w:szCs w:val="20"/>
        </w:rPr>
        <w:t>Órganos</w:t>
      </w:r>
      <w:r w:rsidRPr="00FF0069">
        <w:rPr>
          <w:rFonts w:ascii="Barlow" w:hAnsi="Barlow" w:cs="Times New Roman"/>
          <w:sz w:val="20"/>
          <w:szCs w:val="20"/>
        </w:rPr>
        <w:t xml:space="preserve"> Políticos Administrativos de las demarcaciones territoriales del Distrito Federal; y las Entidades de la Administración Pública Paraestatal, ya sean Federales, E</w:t>
      </w:r>
      <w:r w:rsidR="004129CB">
        <w:rPr>
          <w:rFonts w:ascii="Barlow" w:hAnsi="Barlow" w:cs="Times New Roman"/>
          <w:sz w:val="20"/>
          <w:szCs w:val="20"/>
        </w:rPr>
        <w:t>statales o Municipales.</w:t>
      </w:r>
    </w:p>
    <w:p w:rsidR="00C64CC6" w:rsidRDefault="00C64CC6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Existencia Permanente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La </w:t>
      </w:r>
      <w:r w:rsidR="006C5DC7" w:rsidRPr="00FF0069">
        <w:rPr>
          <w:rFonts w:ascii="Barlow" w:hAnsi="Barlow" w:cs="Times New Roman"/>
          <w:sz w:val="20"/>
          <w:szCs w:val="20"/>
        </w:rPr>
        <w:t>duración</w:t>
      </w:r>
      <w:r w:rsidRPr="00FF0069">
        <w:rPr>
          <w:rFonts w:ascii="Barlow" w:hAnsi="Barlow" w:cs="Times New Roman"/>
          <w:sz w:val="20"/>
          <w:szCs w:val="20"/>
        </w:rPr>
        <w:t xml:space="preserve"> del Hospital </w:t>
      </w:r>
      <w:r w:rsidR="006B4604" w:rsidRPr="00FF0069">
        <w:rPr>
          <w:rFonts w:ascii="Barlow" w:hAnsi="Barlow" w:cs="Times New Roman"/>
          <w:sz w:val="20"/>
          <w:szCs w:val="20"/>
        </w:rPr>
        <w:t>General de Tekax</w:t>
      </w:r>
      <w:r w:rsidRPr="00FF0069">
        <w:rPr>
          <w:rFonts w:ascii="Barlow" w:hAnsi="Barlow" w:cs="Times New Roman"/>
          <w:sz w:val="20"/>
          <w:szCs w:val="20"/>
        </w:rPr>
        <w:t>, Yucatán, será la máxima que permitan las leyes para cumplir co</w:t>
      </w:r>
      <w:r w:rsidR="0067011A">
        <w:rPr>
          <w:rFonts w:ascii="Barlow" w:hAnsi="Barlow" w:cs="Times New Roman"/>
          <w:sz w:val="20"/>
          <w:szCs w:val="20"/>
        </w:rPr>
        <w:t>n los fines del mismo.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6C5DC7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Revelación</w:t>
      </w:r>
      <w:r w:rsidR="005140D0" w:rsidRPr="00FF0069">
        <w:rPr>
          <w:rFonts w:ascii="Barlow" w:hAnsi="Barlow" w:cs="Times New Roman"/>
          <w:sz w:val="20"/>
          <w:szCs w:val="20"/>
        </w:rPr>
        <w:t xml:space="preserve"> Suficiente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Los estados financieros se presentan conjuntamente con sus notas para una adecuada evaluación cuantitativa cumpliendo con las características de objetividad, verificabilidad y representatividad y que muestran amplia y claramente la </w:t>
      </w:r>
      <w:r w:rsidR="006C5DC7" w:rsidRPr="00FF0069">
        <w:rPr>
          <w:rFonts w:ascii="Barlow" w:hAnsi="Barlow" w:cs="Times New Roman"/>
          <w:sz w:val="20"/>
          <w:szCs w:val="20"/>
        </w:rPr>
        <w:t>situación</w:t>
      </w:r>
      <w:r w:rsidRPr="00FF0069">
        <w:rPr>
          <w:rFonts w:ascii="Barlow" w:hAnsi="Barlow" w:cs="Times New Roman"/>
          <w:sz w:val="20"/>
          <w:szCs w:val="20"/>
        </w:rPr>
        <w:t xml:space="preserve"> financiera y los resultad</w:t>
      </w:r>
      <w:r w:rsidR="0067011A">
        <w:rPr>
          <w:rFonts w:ascii="Barlow" w:hAnsi="Barlow" w:cs="Times New Roman"/>
          <w:sz w:val="20"/>
          <w:szCs w:val="20"/>
        </w:rPr>
        <w:t>os obtenidos del Hospital.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Importancia Relativa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La información financiera presentada del Hospital no tiene riesgo debido a alguna omisión o presentación errónea en sus importes que afecte la percepción de los usuarios de dicha </w:t>
      </w:r>
      <w:r w:rsidR="006C5DC7" w:rsidRPr="00FF0069">
        <w:rPr>
          <w:rFonts w:ascii="Barlow" w:hAnsi="Barlow" w:cs="Times New Roman"/>
          <w:sz w:val="20"/>
          <w:szCs w:val="20"/>
        </w:rPr>
        <w:t>información</w:t>
      </w:r>
      <w:r w:rsidRPr="00FF0069">
        <w:rPr>
          <w:rFonts w:ascii="Barlow" w:hAnsi="Barlow" w:cs="Times New Roman"/>
          <w:sz w:val="20"/>
          <w:szCs w:val="20"/>
        </w:rPr>
        <w:t xml:space="preserve">, en relación con la rendición de cuentas, la fiscalización </w:t>
      </w:r>
      <w:r w:rsidR="0067011A">
        <w:rPr>
          <w:rFonts w:ascii="Barlow" w:hAnsi="Barlow" w:cs="Times New Roman"/>
          <w:sz w:val="20"/>
          <w:szCs w:val="20"/>
        </w:rPr>
        <w:t>y la toma de decisiones.</w:t>
      </w:r>
    </w:p>
    <w:p w:rsidR="00A041EF" w:rsidRDefault="00A041E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Periodo Contable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46352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Las Operaciones que dieron origen a los Estados Financieros corresponden al ejercicio presupuestal comprendido del </w:t>
      </w:r>
      <w:r w:rsidR="00F20617" w:rsidRPr="00FF0069">
        <w:rPr>
          <w:rFonts w:ascii="Barlow" w:hAnsi="Barlow" w:cs="Times New Roman"/>
          <w:sz w:val="20"/>
          <w:szCs w:val="20"/>
        </w:rPr>
        <w:t xml:space="preserve">01 de </w:t>
      </w:r>
      <w:r w:rsidR="00C43815" w:rsidRPr="00FF0069">
        <w:rPr>
          <w:rFonts w:ascii="Barlow" w:hAnsi="Barlow" w:cs="Times New Roman"/>
          <w:sz w:val="20"/>
          <w:szCs w:val="20"/>
        </w:rPr>
        <w:t>Enero</w:t>
      </w:r>
      <w:r w:rsidR="00F20617" w:rsidRPr="00FF0069">
        <w:rPr>
          <w:rFonts w:ascii="Barlow" w:hAnsi="Barlow" w:cs="Times New Roman"/>
          <w:sz w:val="20"/>
          <w:szCs w:val="20"/>
        </w:rPr>
        <w:t xml:space="preserve"> al </w:t>
      </w:r>
      <w:r w:rsidR="00270552">
        <w:rPr>
          <w:rFonts w:ascii="Barlow" w:hAnsi="Barlow" w:cs="Times New Roman"/>
          <w:sz w:val="20"/>
          <w:szCs w:val="20"/>
        </w:rPr>
        <w:t>31</w:t>
      </w:r>
      <w:r w:rsidR="00EE36D6" w:rsidRPr="00FF0069">
        <w:rPr>
          <w:rFonts w:ascii="Barlow" w:hAnsi="Barlow" w:cs="Times New Roman"/>
          <w:sz w:val="20"/>
          <w:szCs w:val="20"/>
        </w:rPr>
        <w:t xml:space="preserve"> de </w:t>
      </w:r>
      <w:r w:rsidR="00270552">
        <w:rPr>
          <w:rFonts w:ascii="Barlow" w:hAnsi="Barlow" w:cs="Times New Roman"/>
          <w:sz w:val="20"/>
          <w:szCs w:val="20"/>
        </w:rPr>
        <w:t>Marzo</w:t>
      </w:r>
      <w:r w:rsidR="00576E84">
        <w:rPr>
          <w:rFonts w:ascii="Barlow" w:hAnsi="Barlow" w:cs="Times New Roman"/>
          <w:sz w:val="20"/>
          <w:szCs w:val="20"/>
        </w:rPr>
        <w:t xml:space="preserve"> de 2022</w:t>
      </w:r>
      <w:r w:rsidR="005B0CBC" w:rsidRPr="00FF0069">
        <w:rPr>
          <w:rFonts w:ascii="Barlow" w:hAnsi="Barlow" w:cs="Times New Roman"/>
          <w:sz w:val="20"/>
          <w:szCs w:val="20"/>
        </w:rPr>
        <w:t>.</w:t>
      </w:r>
    </w:p>
    <w:p w:rsidR="005140D0" w:rsidRPr="00FF0069" w:rsidRDefault="006C5DC7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Valuación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 xml:space="preserve">Las Operaciones Contables que se presentan fueron </w:t>
      </w:r>
      <w:r w:rsidR="006C5DC7" w:rsidRPr="00FF0069">
        <w:rPr>
          <w:rFonts w:ascii="Barlow" w:hAnsi="Barlow" w:cs="Times New Roman"/>
          <w:sz w:val="20"/>
          <w:szCs w:val="20"/>
        </w:rPr>
        <w:t>registradas</w:t>
      </w:r>
      <w:r w:rsidRPr="00FF0069">
        <w:rPr>
          <w:rFonts w:ascii="Barlow" w:hAnsi="Barlow" w:cs="Times New Roman"/>
          <w:sz w:val="20"/>
          <w:szCs w:val="20"/>
        </w:rPr>
        <w:t xml:space="preserve"> a su valor histórico de adquisición sin incluir efectos de re-evaluación por inflación, </w:t>
      </w:r>
      <w:r w:rsidR="006C5DC7" w:rsidRPr="00FF0069">
        <w:rPr>
          <w:rFonts w:ascii="Barlow" w:hAnsi="Barlow" w:cs="Times New Roman"/>
          <w:sz w:val="20"/>
          <w:szCs w:val="20"/>
        </w:rPr>
        <w:t>así</w:t>
      </w:r>
      <w:r w:rsidRPr="00FF0069">
        <w:rPr>
          <w:rFonts w:ascii="Barlow" w:hAnsi="Barlow" w:cs="Times New Roman"/>
          <w:sz w:val="20"/>
          <w:szCs w:val="20"/>
        </w:rPr>
        <w:t xml:space="preserve"> como </w:t>
      </w:r>
      <w:r w:rsidR="006C5DC7" w:rsidRPr="00FF0069">
        <w:rPr>
          <w:rFonts w:ascii="Barlow" w:hAnsi="Barlow" w:cs="Times New Roman"/>
          <w:sz w:val="20"/>
          <w:szCs w:val="20"/>
        </w:rPr>
        <w:t>también</w:t>
      </w:r>
      <w:r w:rsidRPr="00FF0069">
        <w:rPr>
          <w:rFonts w:ascii="Barlow" w:hAnsi="Barlow" w:cs="Times New Roman"/>
          <w:sz w:val="20"/>
          <w:szCs w:val="20"/>
        </w:rPr>
        <w:t>, todas las operaciones se</w:t>
      </w:r>
      <w:r w:rsidR="0067011A">
        <w:rPr>
          <w:rFonts w:ascii="Barlow" w:hAnsi="Barlow" w:cs="Times New Roman"/>
          <w:sz w:val="20"/>
          <w:szCs w:val="20"/>
        </w:rPr>
        <w:t xml:space="preserve"> </w:t>
      </w:r>
      <w:r w:rsidR="00A041EF">
        <w:rPr>
          <w:rFonts w:ascii="Barlow" w:hAnsi="Barlow" w:cs="Times New Roman"/>
          <w:sz w:val="20"/>
          <w:szCs w:val="20"/>
        </w:rPr>
        <w:t>registraron en moneda nacional.</w:t>
      </w:r>
    </w:p>
    <w:p w:rsidR="00C64CC6" w:rsidRDefault="00C64CC6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Dualidad Económica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Todos los ingresos que se tiene en este período se deben principalmente a los recursos transferidos por la Entidad Servicios de Salud de Yucatán contenidas en el Presupuesto de Egresos con el objeto de sufragar gastos </w:t>
      </w:r>
      <w:r w:rsidR="006C5DC7" w:rsidRPr="00FF0069">
        <w:rPr>
          <w:rFonts w:ascii="Barlow" w:hAnsi="Barlow" w:cs="Times New Roman"/>
          <w:sz w:val="20"/>
          <w:szCs w:val="20"/>
        </w:rPr>
        <w:t>inherentes</w:t>
      </w:r>
      <w:r w:rsidRPr="00FF0069">
        <w:rPr>
          <w:rFonts w:ascii="Barlow" w:hAnsi="Barlow" w:cs="Times New Roman"/>
          <w:sz w:val="20"/>
          <w:szCs w:val="20"/>
        </w:rPr>
        <w:t xml:space="preserve"> a sus atribuciones y a las cuotas que se cobran por los servicios que proporciona el Hospital en la localidad, no se tuvo alguna aportación por parte del ejecutivo, ni crédito alguno con alguna </w:t>
      </w:r>
      <w:r w:rsidR="0094717A" w:rsidRPr="00FF0069">
        <w:rPr>
          <w:rFonts w:ascii="Barlow" w:hAnsi="Barlow" w:cs="Times New Roman"/>
          <w:sz w:val="20"/>
          <w:szCs w:val="20"/>
        </w:rPr>
        <w:t>institución</w:t>
      </w:r>
      <w:r w:rsidRPr="00FF0069">
        <w:rPr>
          <w:rFonts w:ascii="Barlow" w:hAnsi="Barlow" w:cs="Times New Roman"/>
          <w:sz w:val="20"/>
          <w:szCs w:val="20"/>
        </w:rPr>
        <w:t xml:space="preserve"> financiera, por los que la estructura financ</w:t>
      </w:r>
      <w:r w:rsidR="0067011A">
        <w:rPr>
          <w:rFonts w:ascii="Barlow" w:hAnsi="Barlow" w:cs="Times New Roman"/>
          <w:sz w:val="20"/>
          <w:szCs w:val="20"/>
        </w:rPr>
        <w:t>iera se mantiene igual.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Consistencia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</w:t>
      </w:r>
      <w:r w:rsidR="006C5DC7" w:rsidRPr="00FF0069">
        <w:rPr>
          <w:rFonts w:ascii="Barlow" w:hAnsi="Barlow" w:cs="Times New Roman"/>
          <w:sz w:val="20"/>
          <w:szCs w:val="20"/>
        </w:rPr>
        <w:t>método</w:t>
      </w:r>
      <w:r w:rsidRPr="00FF0069">
        <w:rPr>
          <w:rFonts w:ascii="Barlow" w:hAnsi="Barlow" w:cs="Times New Roman"/>
          <w:sz w:val="20"/>
          <w:szCs w:val="20"/>
        </w:rPr>
        <w:t xml:space="preserve"> de registro de las operaciones del Hospital se </w:t>
      </w:r>
      <w:r w:rsidR="0094717A" w:rsidRPr="00FF0069">
        <w:rPr>
          <w:rFonts w:ascii="Barlow" w:hAnsi="Barlow" w:cs="Times New Roman"/>
          <w:sz w:val="20"/>
          <w:szCs w:val="20"/>
        </w:rPr>
        <w:t>realizó</w:t>
      </w:r>
      <w:r w:rsidRPr="00FF0069">
        <w:rPr>
          <w:rFonts w:ascii="Barlow" w:hAnsi="Barlow" w:cs="Times New Roman"/>
          <w:sz w:val="20"/>
          <w:szCs w:val="20"/>
        </w:rPr>
        <w:t xml:space="preserve"> de acuerdo a la Normatividad Vigente y se aplicaran de la misma forma en todas las operaciones similares en los ejercicios subsecuentes, aunque </w:t>
      </w:r>
      <w:r w:rsidR="0094717A" w:rsidRPr="00FF0069">
        <w:rPr>
          <w:rFonts w:ascii="Barlow" w:hAnsi="Barlow" w:cs="Times New Roman"/>
          <w:sz w:val="20"/>
          <w:szCs w:val="20"/>
        </w:rPr>
        <w:t>podrán</w:t>
      </w:r>
      <w:r w:rsidRPr="00FF0069">
        <w:rPr>
          <w:rFonts w:ascii="Barlow" w:hAnsi="Barlow" w:cs="Times New Roman"/>
          <w:sz w:val="20"/>
          <w:szCs w:val="20"/>
        </w:rPr>
        <w:t xml:space="preserve"> variar dependiendo de </w:t>
      </w:r>
      <w:r w:rsidR="006C5DC7" w:rsidRPr="00FF0069">
        <w:rPr>
          <w:rFonts w:ascii="Barlow" w:hAnsi="Barlow" w:cs="Times New Roman"/>
          <w:sz w:val="20"/>
          <w:szCs w:val="20"/>
        </w:rPr>
        <w:t>algún</w:t>
      </w:r>
      <w:r w:rsidRPr="00FF0069">
        <w:rPr>
          <w:rFonts w:ascii="Barlow" w:hAnsi="Barlow" w:cs="Times New Roman"/>
          <w:sz w:val="20"/>
          <w:szCs w:val="20"/>
        </w:rPr>
        <w:t xml:space="preserve"> cambio que se </w:t>
      </w:r>
      <w:r w:rsidR="006C5DC7" w:rsidRPr="00FF0069">
        <w:rPr>
          <w:rFonts w:ascii="Barlow" w:hAnsi="Barlow" w:cs="Times New Roman"/>
          <w:sz w:val="20"/>
          <w:szCs w:val="20"/>
        </w:rPr>
        <w:t>dé</w:t>
      </w:r>
      <w:r w:rsidRPr="00FF0069">
        <w:rPr>
          <w:rFonts w:ascii="Barlow" w:hAnsi="Barlow" w:cs="Times New Roman"/>
          <w:sz w:val="20"/>
          <w:szCs w:val="20"/>
        </w:rPr>
        <w:t xml:space="preserve"> ya sea por modifica</w:t>
      </w:r>
      <w:r w:rsidR="0067011A">
        <w:rPr>
          <w:rFonts w:ascii="Barlow" w:hAnsi="Barlow" w:cs="Times New Roman"/>
          <w:sz w:val="20"/>
          <w:szCs w:val="20"/>
        </w:rPr>
        <w:t>ciones a la Ley o de las Normas.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6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67011A">
      <w:pPr>
        <w:ind w:firstLine="360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POLITICAS DE CONTABILIDAD SIGNIFICATIVAS</w:t>
      </w:r>
    </w:p>
    <w:p w:rsidR="006C5DC7" w:rsidRPr="0067011A" w:rsidRDefault="0067011A" w:rsidP="0067011A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67011A">
        <w:rPr>
          <w:rFonts w:ascii="Barlow" w:hAnsi="Barlow" w:cs="Times New Roman"/>
          <w:sz w:val="20"/>
          <w:szCs w:val="20"/>
        </w:rPr>
        <w:t>a)</w:t>
      </w:r>
      <w:r>
        <w:rPr>
          <w:rFonts w:ascii="Barlow" w:hAnsi="Barlow" w:cs="Times New Roman"/>
          <w:sz w:val="20"/>
          <w:szCs w:val="20"/>
        </w:rPr>
        <w:t xml:space="preserve"> </w:t>
      </w:r>
      <w:r w:rsidR="005140D0" w:rsidRPr="0067011A">
        <w:rPr>
          <w:rFonts w:ascii="Barlow" w:hAnsi="Barlow" w:cs="Times New Roman"/>
          <w:sz w:val="20"/>
          <w:szCs w:val="20"/>
        </w:rPr>
        <w:t>Registro de los Ingresos</w:t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6C5DC7" w:rsidRPr="0067011A">
        <w:rPr>
          <w:rFonts w:ascii="Barlow" w:hAnsi="Barlow" w:cs="Times New Roman"/>
          <w:sz w:val="20"/>
          <w:szCs w:val="20"/>
        </w:rPr>
        <w:tab/>
      </w:r>
      <w:r w:rsidR="005140D0" w:rsidRPr="0067011A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Los Ingresos provienen de las transferencias recibidas de la Dependencia Servicios de Salud de </w:t>
      </w:r>
      <w:r w:rsidR="006C5DC7" w:rsidRPr="00FF0069">
        <w:rPr>
          <w:rFonts w:ascii="Barlow" w:hAnsi="Barlow" w:cs="Times New Roman"/>
          <w:sz w:val="20"/>
          <w:szCs w:val="20"/>
        </w:rPr>
        <w:t>Yucatán</w:t>
      </w:r>
      <w:r w:rsidRPr="00FF0069">
        <w:rPr>
          <w:rFonts w:ascii="Barlow" w:hAnsi="Barlow" w:cs="Times New Roman"/>
          <w:sz w:val="20"/>
          <w:szCs w:val="20"/>
        </w:rPr>
        <w:t xml:space="preserve"> por ser un Organismo Público Descentralizado, así como de los </w:t>
      </w:r>
      <w:r w:rsidR="006C5DC7" w:rsidRPr="00FF0069">
        <w:rPr>
          <w:rFonts w:ascii="Barlow" w:hAnsi="Barlow" w:cs="Times New Roman"/>
          <w:sz w:val="20"/>
          <w:szCs w:val="20"/>
        </w:rPr>
        <w:t>servicios</w:t>
      </w:r>
      <w:r w:rsidRPr="00FF0069">
        <w:rPr>
          <w:rFonts w:ascii="Barlow" w:hAnsi="Barlow" w:cs="Times New Roman"/>
          <w:sz w:val="20"/>
          <w:szCs w:val="20"/>
        </w:rPr>
        <w:t xml:space="preserve"> que el Hospital presta en la Localidad.</w:t>
      </w:r>
    </w:p>
    <w:p w:rsidR="006C5DC7" w:rsidRPr="00FF0069" w:rsidRDefault="005140D0" w:rsidP="0067011A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b) Registro de los Egresos.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Los egresos se registran en el momento que </w:t>
      </w:r>
      <w:r w:rsidR="006C5DC7" w:rsidRPr="00FF0069">
        <w:rPr>
          <w:rFonts w:ascii="Barlow" w:hAnsi="Barlow" w:cs="Times New Roman"/>
          <w:sz w:val="20"/>
          <w:szCs w:val="20"/>
        </w:rPr>
        <w:t>efectúa</w:t>
      </w:r>
      <w:r w:rsidRPr="00FF0069">
        <w:rPr>
          <w:rFonts w:ascii="Barlow" w:hAnsi="Barlow" w:cs="Times New Roman"/>
          <w:sz w:val="20"/>
          <w:szCs w:val="20"/>
        </w:rPr>
        <w:t xml:space="preserve"> el gasto y se le anexa los documentos que amparan la adquisición de los bienes o la prestación del servicio.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>Las adquisiciones de materiales y suministros son consideradas directamente como egresos y su utilización es generalmente inmediata.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8F3F7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c) Control de Inversiones en Bienes Duraderos.</w:t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C5DC7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Existen controles físicos de los bienes duraderos así como sus resguardos respectivos los cuales elabora y custodia el mismo Hospital.</w:t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8F3F7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d) Registro Contable</w:t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  <w:r w:rsidR="0067011A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En el registro contable intervienen </w:t>
      </w:r>
      <w:r w:rsidR="006C5DC7" w:rsidRPr="00FF0069">
        <w:rPr>
          <w:rFonts w:ascii="Barlow" w:hAnsi="Barlow" w:cs="Times New Roman"/>
          <w:sz w:val="20"/>
          <w:szCs w:val="20"/>
        </w:rPr>
        <w:t>los siguientes departamentos</w:t>
      </w:r>
      <w:r w:rsidRPr="00FF0069">
        <w:rPr>
          <w:rFonts w:ascii="Barlow" w:hAnsi="Barlow" w:cs="Times New Roman"/>
          <w:sz w:val="20"/>
          <w:szCs w:val="20"/>
        </w:rPr>
        <w:t>:</w:t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="006C5DC7"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La Jefatura de Administración, es responsable del registro contable de todas las operaciones del  Hospital así como de la custodia de la documentación soporte de dichas operaciones, emitir los Estados Financieros y enviarlos a las diferentes interesados para su revisión e integración a la cuenta pública.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7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POSICION EN MONEDA EXTRANJERA Y PROTECCION POR RIESGO CAMBIARIO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no tiene operaciones en moneda extranjera por lo que no necesita de </w:t>
      </w:r>
      <w:r w:rsidR="006C5DC7" w:rsidRPr="00FF0069">
        <w:rPr>
          <w:rFonts w:ascii="Barlow" w:hAnsi="Barlow" w:cs="Times New Roman"/>
          <w:sz w:val="20"/>
          <w:szCs w:val="20"/>
        </w:rPr>
        <w:t>algún</w:t>
      </w:r>
      <w:r w:rsidRPr="00FF0069">
        <w:rPr>
          <w:rFonts w:ascii="Barlow" w:hAnsi="Barlow" w:cs="Times New Roman"/>
          <w:sz w:val="20"/>
          <w:szCs w:val="20"/>
        </w:rPr>
        <w:t xml:space="preserve"> </w:t>
      </w:r>
      <w:r w:rsidR="006C5DC7" w:rsidRPr="00FF0069">
        <w:rPr>
          <w:rFonts w:ascii="Barlow" w:hAnsi="Barlow" w:cs="Times New Roman"/>
          <w:sz w:val="20"/>
          <w:szCs w:val="20"/>
        </w:rPr>
        <w:t>método</w:t>
      </w:r>
      <w:r w:rsidRPr="00FF0069">
        <w:rPr>
          <w:rFonts w:ascii="Barlow" w:hAnsi="Barlow" w:cs="Times New Roman"/>
          <w:sz w:val="20"/>
          <w:szCs w:val="20"/>
        </w:rPr>
        <w:t xml:space="preserve"> de </w:t>
      </w:r>
      <w:r w:rsidR="006C5DC7" w:rsidRPr="00FF0069">
        <w:rPr>
          <w:rFonts w:ascii="Barlow" w:hAnsi="Barlow" w:cs="Times New Roman"/>
          <w:sz w:val="20"/>
          <w:szCs w:val="20"/>
        </w:rPr>
        <w:t>protección</w:t>
      </w:r>
      <w:r w:rsidRPr="00FF0069">
        <w:rPr>
          <w:rFonts w:ascii="Barlow" w:hAnsi="Barlow" w:cs="Times New Roman"/>
          <w:sz w:val="20"/>
          <w:szCs w:val="20"/>
        </w:rPr>
        <w:t xml:space="preserve"> de riesgo por variaciones en el tipo de cambio.</w:t>
      </w:r>
    </w:p>
    <w:p w:rsidR="005140D0" w:rsidRPr="00FF0069" w:rsidRDefault="00A041EF" w:rsidP="003363B5">
      <w:pPr>
        <w:jc w:val="both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br/>
      </w:r>
      <w:r w:rsidR="005140D0" w:rsidRPr="00FF0069">
        <w:rPr>
          <w:rFonts w:ascii="Barlow" w:hAnsi="Barlow" w:cs="Times New Roman"/>
          <w:sz w:val="20"/>
          <w:szCs w:val="20"/>
        </w:rPr>
        <w:t>NOTA 8</w:t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  <w:r w:rsidR="005140D0"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REPORTE ANALITICO DEL ACTIVO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Los Activos Fijos se presentan valuados a su precio de adquisición, Las depreciaciones se registran en base a los porcentajes q</w:t>
      </w:r>
      <w:r w:rsidR="00FC6029">
        <w:rPr>
          <w:rFonts w:ascii="Barlow" w:hAnsi="Barlow" w:cs="Times New Roman"/>
          <w:sz w:val="20"/>
          <w:szCs w:val="20"/>
        </w:rPr>
        <w:t>ue se mencionan en la Nota No. 8</w:t>
      </w:r>
      <w:r w:rsidRPr="00FF0069">
        <w:rPr>
          <w:rFonts w:ascii="Barlow" w:hAnsi="Barlow" w:cs="Times New Roman"/>
          <w:sz w:val="20"/>
          <w:szCs w:val="20"/>
        </w:rPr>
        <w:t xml:space="preserve"> del Estado de </w:t>
      </w:r>
      <w:r w:rsidR="006632B4" w:rsidRPr="00FF0069">
        <w:rPr>
          <w:rFonts w:ascii="Barlow" w:hAnsi="Barlow" w:cs="Times New Roman"/>
          <w:sz w:val="20"/>
          <w:szCs w:val="20"/>
        </w:rPr>
        <w:t>Situación Financiera</w:t>
      </w:r>
      <w:r w:rsidR="00405867">
        <w:rPr>
          <w:rFonts w:ascii="Barlow" w:hAnsi="Barlow" w:cs="Times New Roman"/>
          <w:sz w:val="20"/>
          <w:szCs w:val="20"/>
        </w:rPr>
        <w:t>.</w:t>
      </w: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A041EF" w:rsidP="003363B5">
      <w:pPr>
        <w:jc w:val="both"/>
        <w:rPr>
          <w:rFonts w:ascii="Barlow" w:hAnsi="Barlow" w:cs="Times New Roman"/>
          <w:sz w:val="20"/>
          <w:szCs w:val="20"/>
        </w:rPr>
      </w:pPr>
      <w:r>
        <w:rPr>
          <w:rFonts w:ascii="Barlow" w:hAnsi="Barlow" w:cs="Times New Roman"/>
          <w:sz w:val="20"/>
          <w:szCs w:val="20"/>
        </w:rPr>
        <w:lastRenderedPageBreak/>
        <w:t>NOTA 9</w:t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  <w:r>
        <w:rPr>
          <w:rFonts w:ascii="Barlow" w:hAnsi="Barlow" w:cs="Times New Roman"/>
          <w:sz w:val="20"/>
          <w:szCs w:val="20"/>
        </w:rPr>
        <w:tab/>
      </w:r>
    </w:p>
    <w:p w:rsidR="00DA0F4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FIDEICOMISOS, MANDATOS Y ANALOGOS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no realiza operaciones con </w:t>
      </w:r>
      <w:r w:rsidR="006C5DC7" w:rsidRPr="00FF0069">
        <w:rPr>
          <w:rFonts w:ascii="Barlow" w:hAnsi="Barlow" w:cs="Times New Roman"/>
          <w:sz w:val="20"/>
          <w:szCs w:val="20"/>
        </w:rPr>
        <w:t>ningún</w:t>
      </w:r>
      <w:r w:rsidRPr="00FF0069">
        <w:rPr>
          <w:rFonts w:ascii="Barlow" w:hAnsi="Barlow" w:cs="Times New Roman"/>
          <w:sz w:val="20"/>
          <w:szCs w:val="20"/>
        </w:rPr>
        <w:t xml:space="preserve"> Fideicomiso, motivo por </w:t>
      </w:r>
      <w:r w:rsidR="006C5DC7" w:rsidRPr="00FF0069">
        <w:rPr>
          <w:rFonts w:ascii="Barlow" w:hAnsi="Barlow" w:cs="Times New Roman"/>
          <w:sz w:val="20"/>
          <w:szCs w:val="20"/>
        </w:rPr>
        <w:t>el</w:t>
      </w:r>
      <w:r w:rsidRPr="00FF0069">
        <w:rPr>
          <w:rFonts w:ascii="Barlow" w:hAnsi="Barlow" w:cs="Times New Roman"/>
          <w:sz w:val="20"/>
          <w:szCs w:val="20"/>
        </w:rPr>
        <w:t xml:space="preserve"> cual no se informa </w:t>
      </w:r>
      <w:r w:rsidR="006C5DC7" w:rsidRPr="00FF0069">
        <w:rPr>
          <w:rFonts w:ascii="Barlow" w:hAnsi="Barlow" w:cs="Times New Roman"/>
          <w:sz w:val="20"/>
          <w:szCs w:val="20"/>
        </w:rPr>
        <w:t>situación</w:t>
      </w:r>
      <w:r w:rsidR="0067011A">
        <w:rPr>
          <w:rFonts w:ascii="Barlow" w:hAnsi="Barlow" w:cs="Times New Roman"/>
          <w:sz w:val="20"/>
          <w:szCs w:val="20"/>
        </w:rPr>
        <w:t xml:space="preserve"> alguna en esta nota.</w:t>
      </w:r>
    </w:p>
    <w:p w:rsidR="00A041EF" w:rsidRDefault="00A041E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10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REPORTE DE RECAUDACION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no recauda </w:t>
      </w:r>
      <w:r w:rsidR="006C5DC7" w:rsidRPr="00FF0069">
        <w:rPr>
          <w:rFonts w:ascii="Barlow" w:hAnsi="Barlow" w:cs="Times New Roman"/>
          <w:sz w:val="20"/>
          <w:szCs w:val="20"/>
        </w:rPr>
        <w:t>ningún</w:t>
      </w:r>
      <w:r w:rsidRPr="00FF0069">
        <w:rPr>
          <w:rFonts w:ascii="Barlow" w:hAnsi="Barlow" w:cs="Times New Roman"/>
          <w:sz w:val="20"/>
          <w:szCs w:val="20"/>
        </w:rPr>
        <w:t xml:space="preserve"> tipo de contribución, motivo por </w:t>
      </w:r>
      <w:r w:rsidR="006C5DC7" w:rsidRPr="00FF0069">
        <w:rPr>
          <w:rFonts w:ascii="Barlow" w:hAnsi="Barlow" w:cs="Times New Roman"/>
          <w:sz w:val="20"/>
          <w:szCs w:val="20"/>
        </w:rPr>
        <w:t>el</w:t>
      </w:r>
      <w:r w:rsidRPr="00FF0069">
        <w:rPr>
          <w:rFonts w:ascii="Barlow" w:hAnsi="Barlow" w:cs="Times New Roman"/>
          <w:sz w:val="20"/>
          <w:szCs w:val="20"/>
        </w:rPr>
        <w:t xml:space="preserve"> cual no se informa </w:t>
      </w:r>
      <w:r w:rsidR="006C5DC7" w:rsidRPr="00FF0069">
        <w:rPr>
          <w:rFonts w:ascii="Barlow" w:hAnsi="Barlow" w:cs="Times New Roman"/>
          <w:sz w:val="20"/>
          <w:szCs w:val="20"/>
        </w:rPr>
        <w:t>situación</w:t>
      </w:r>
      <w:r w:rsidRPr="00FF0069">
        <w:rPr>
          <w:rFonts w:ascii="Barlow" w:hAnsi="Barlow" w:cs="Times New Roman"/>
          <w:sz w:val="20"/>
          <w:szCs w:val="20"/>
        </w:rPr>
        <w:t xml:space="preserve"> alguna en esta nota.</w:t>
      </w:r>
    </w:p>
    <w:p w:rsidR="0067011A" w:rsidRDefault="0067011A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11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DEUDA PUBLICA Y REPORTE ANALITICO DE LA DEUDA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El Hospital no tiene contratado algún tipo de deuda pública por lo que no se r</w:t>
      </w:r>
      <w:r w:rsidR="0067011A">
        <w:rPr>
          <w:rFonts w:ascii="Barlow" w:hAnsi="Barlow" w:cs="Times New Roman"/>
          <w:sz w:val="20"/>
          <w:szCs w:val="20"/>
        </w:rPr>
        <w:t>e</w:t>
      </w:r>
      <w:r w:rsidR="00A041EF">
        <w:rPr>
          <w:rFonts w:ascii="Barlow" w:hAnsi="Barlow" w:cs="Times New Roman"/>
          <w:sz w:val="20"/>
          <w:szCs w:val="20"/>
        </w:rPr>
        <w:t>porta información en esta nota.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12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CALIFICACIONES OTORGADAS</w:t>
      </w:r>
    </w:p>
    <w:p w:rsidR="0067011A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El Hospital </w:t>
      </w:r>
      <w:r w:rsidR="006C5DC7" w:rsidRPr="00FF0069">
        <w:rPr>
          <w:rFonts w:ascii="Barlow" w:hAnsi="Barlow" w:cs="Times New Roman"/>
          <w:sz w:val="20"/>
          <w:szCs w:val="20"/>
        </w:rPr>
        <w:t>no ha</w:t>
      </w:r>
      <w:r w:rsidRPr="00FF0069">
        <w:rPr>
          <w:rFonts w:ascii="Barlow" w:hAnsi="Barlow" w:cs="Times New Roman"/>
          <w:sz w:val="20"/>
          <w:szCs w:val="20"/>
        </w:rPr>
        <w:t xml:space="preserve"> sido sujeto de alguna evaluación que le otorgue calificación crediticia por lo que no se r</w:t>
      </w:r>
      <w:r w:rsidR="0067011A">
        <w:rPr>
          <w:rFonts w:ascii="Barlow" w:hAnsi="Barlow" w:cs="Times New Roman"/>
          <w:sz w:val="20"/>
          <w:szCs w:val="20"/>
        </w:rPr>
        <w:t>e</w:t>
      </w:r>
      <w:r w:rsidR="00A041EF">
        <w:rPr>
          <w:rFonts w:ascii="Barlow" w:hAnsi="Barlow" w:cs="Times New Roman"/>
          <w:sz w:val="20"/>
          <w:szCs w:val="20"/>
        </w:rPr>
        <w:t>porta información en esta nota.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13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5140D0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PROCESOS DE MEJORA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A041EF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Las </w:t>
      </w:r>
      <w:r w:rsidR="006C5DC7" w:rsidRPr="00FF0069">
        <w:rPr>
          <w:rFonts w:ascii="Barlow" w:hAnsi="Barlow" w:cs="Times New Roman"/>
          <w:sz w:val="20"/>
          <w:szCs w:val="20"/>
        </w:rPr>
        <w:t>políticas</w:t>
      </w:r>
      <w:r w:rsidRPr="00FF0069">
        <w:rPr>
          <w:rFonts w:ascii="Barlow" w:hAnsi="Barlow" w:cs="Times New Roman"/>
          <w:sz w:val="20"/>
          <w:szCs w:val="20"/>
        </w:rPr>
        <w:t xml:space="preserve"> de control que maneja el Hospital son las que establece la Secretaría de la Contraloría y en</w:t>
      </w:r>
      <w:r w:rsidR="0067011A">
        <w:rPr>
          <w:rFonts w:ascii="Barlow" w:hAnsi="Barlow" w:cs="Times New Roman"/>
          <w:sz w:val="20"/>
          <w:szCs w:val="20"/>
        </w:rPr>
        <w:t xml:space="preserve"> </w:t>
      </w:r>
      <w:r w:rsidR="00A041EF">
        <w:rPr>
          <w:rFonts w:ascii="Barlow" w:hAnsi="Barlow" w:cs="Times New Roman"/>
          <w:sz w:val="20"/>
          <w:szCs w:val="20"/>
        </w:rPr>
        <w:t>base a la Normatividad vigente.</w:t>
      </w:r>
    </w:p>
    <w:p w:rsidR="0042067F" w:rsidRDefault="0042067F" w:rsidP="003363B5">
      <w:pPr>
        <w:jc w:val="both"/>
        <w:rPr>
          <w:rFonts w:ascii="Barlow" w:hAnsi="Barlow" w:cs="Times New Roman"/>
          <w:sz w:val="20"/>
          <w:szCs w:val="20"/>
        </w:rPr>
      </w:pP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lastRenderedPageBreak/>
        <w:t>NOTA 14, 15 y 16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INFORMACION POR SEGMENTOS, EVENTOS POSTERIORES AL CIERRE Y PARTES RELACIONADAS</w:t>
      </w:r>
    </w:p>
    <w:p w:rsidR="00C64CC6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La información que presenta el Hospital no contiene ningún evento posterior que afecte económicamente al mismo, tampoco realiza operaciones con partes relacionadas y debido al volumen de operaciones que tiene, no se ve en la necesidad de presentar la informaci</w:t>
      </w:r>
      <w:r w:rsidR="00C64CC6">
        <w:rPr>
          <w:rFonts w:ascii="Barlow" w:hAnsi="Barlow" w:cs="Times New Roman"/>
          <w:sz w:val="20"/>
          <w:szCs w:val="20"/>
        </w:rPr>
        <w:t>ón de manera segmentada.</w:t>
      </w:r>
    </w:p>
    <w:p w:rsidR="005140D0" w:rsidRPr="00FF0069" w:rsidRDefault="005140D0" w:rsidP="003363B5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NOTA 17</w:t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8B0D8B" w:rsidRPr="00FF0069" w:rsidRDefault="005140D0" w:rsidP="003363B5">
      <w:pPr>
        <w:ind w:firstLine="708"/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RESPONSABILIDAD SOBRE LA PRESENTACION RAZONABLE DE LOS ESTADOS FINANCIEROS</w:t>
      </w:r>
    </w:p>
    <w:p w:rsidR="00405867" w:rsidRDefault="005140D0" w:rsidP="009603BA">
      <w:pPr>
        <w:jc w:val="both"/>
        <w:rPr>
          <w:rFonts w:ascii="Barlow" w:hAnsi="Barlow" w:cs="Times New Roman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 xml:space="preserve">Los Estados Financieros y sus notas </w:t>
      </w:r>
      <w:r w:rsidR="00DA0F4B" w:rsidRPr="00FF0069">
        <w:rPr>
          <w:rFonts w:ascii="Barlow" w:hAnsi="Barlow" w:cs="Times New Roman"/>
          <w:sz w:val="20"/>
          <w:szCs w:val="20"/>
        </w:rPr>
        <w:t>están</w:t>
      </w:r>
      <w:r w:rsidR="003A4FF9" w:rsidRPr="00FF0069">
        <w:rPr>
          <w:rFonts w:ascii="Barlow" w:hAnsi="Barlow" w:cs="Times New Roman"/>
          <w:sz w:val="20"/>
          <w:szCs w:val="20"/>
        </w:rPr>
        <w:t xml:space="preserve"> debidamente firmados por el Jefe </w:t>
      </w:r>
      <w:r w:rsidRPr="00FF0069">
        <w:rPr>
          <w:rFonts w:ascii="Barlow" w:hAnsi="Barlow" w:cs="Times New Roman"/>
          <w:sz w:val="20"/>
          <w:szCs w:val="20"/>
        </w:rPr>
        <w:t xml:space="preserve">Administración del Hospital que es quien los revisa y </w:t>
      </w:r>
      <w:r w:rsidR="00DA0F4B" w:rsidRPr="00FF0069">
        <w:rPr>
          <w:rFonts w:ascii="Barlow" w:hAnsi="Barlow" w:cs="Times New Roman"/>
          <w:sz w:val="20"/>
          <w:szCs w:val="20"/>
        </w:rPr>
        <w:t>son autorizados</w:t>
      </w:r>
      <w:r w:rsidRPr="00FF0069">
        <w:rPr>
          <w:rFonts w:ascii="Barlow" w:hAnsi="Barlow" w:cs="Times New Roman"/>
          <w:sz w:val="20"/>
          <w:szCs w:val="20"/>
        </w:rPr>
        <w:t xml:space="preserve"> p</w:t>
      </w:r>
      <w:r w:rsidR="00C64CC6">
        <w:rPr>
          <w:rFonts w:ascii="Barlow" w:hAnsi="Barlow" w:cs="Times New Roman"/>
          <w:sz w:val="20"/>
          <w:szCs w:val="20"/>
        </w:rPr>
        <w:t>or el Director General.</w:t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C64CC6">
        <w:rPr>
          <w:rFonts w:ascii="Barlow" w:hAnsi="Barlow" w:cs="Times New Roman"/>
          <w:sz w:val="20"/>
          <w:szCs w:val="20"/>
        </w:rPr>
        <w:tab/>
      </w:r>
      <w:r w:rsidR="00DA0F4B" w:rsidRPr="00FF0069">
        <w:rPr>
          <w:rFonts w:ascii="Barlow" w:hAnsi="Barlow" w:cs="Times New Roman"/>
          <w:sz w:val="20"/>
          <w:szCs w:val="20"/>
        </w:rPr>
        <w:tab/>
      </w:r>
      <w:r w:rsidR="00DA0F4B" w:rsidRPr="00FF0069">
        <w:rPr>
          <w:rFonts w:ascii="Barlow" w:hAnsi="Barlow" w:cs="Times New Roman"/>
          <w:sz w:val="20"/>
          <w:szCs w:val="20"/>
        </w:rPr>
        <w:tab/>
      </w:r>
      <w:r w:rsidR="00DA0F4B" w:rsidRPr="00FF0069">
        <w:rPr>
          <w:rFonts w:ascii="Barlow" w:hAnsi="Barlow" w:cs="Times New Roman"/>
          <w:sz w:val="20"/>
          <w:szCs w:val="20"/>
        </w:rPr>
        <w:tab/>
      </w:r>
      <w:r w:rsidR="00DA0F4B"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  <w:r w:rsidRPr="00FF0069">
        <w:rPr>
          <w:rFonts w:ascii="Barlow" w:hAnsi="Barlow" w:cs="Times New Roman"/>
          <w:sz w:val="20"/>
          <w:szCs w:val="20"/>
        </w:rPr>
        <w:tab/>
      </w:r>
    </w:p>
    <w:p w:rsidR="00394202" w:rsidRPr="00FF0069" w:rsidRDefault="005140D0" w:rsidP="009603BA">
      <w:pPr>
        <w:jc w:val="both"/>
        <w:rPr>
          <w:rFonts w:ascii="Barlow" w:hAnsi="Barlow"/>
          <w:sz w:val="20"/>
          <w:szCs w:val="20"/>
        </w:rPr>
      </w:pPr>
      <w:r w:rsidRPr="00FF0069">
        <w:rPr>
          <w:rFonts w:ascii="Barlow" w:hAnsi="Barlow" w:cs="Times New Roman"/>
          <w:sz w:val="20"/>
          <w:szCs w:val="20"/>
        </w:rPr>
        <w:t>BAJO PROTESTA DE DECIR VERDAD DECLARAMOS QUE LOS ESTADOS FINANCIEROS Y SUS NOTAS, SON RAZONABLEMENTE CORRECTOS Y</w:t>
      </w:r>
      <w:r w:rsidR="006632B4" w:rsidRPr="00FF0069">
        <w:rPr>
          <w:rFonts w:ascii="Barlow" w:hAnsi="Barlow" w:cs="Times New Roman"/>
          <w:sz w:val="20"/>
          <w:szCs w:val="20"/>
        </w:rPr>
        <w:t xml:space="preserve"> SON RESPONSABILIDAD DEL EMISOR</w:t>
      </w:r>
      <w:r w:rsidRPr="00FF0069">
        <w:rPr>
          <w:rFonts w:ascii="Barlow" w:hAnsi="Barlow"/>
          <w:sz w:val="20"/>
          <w:szCs w:val="20"/>
        </w:rPr>
        <w:tab/>
      </w:r>
      <w:r w:rsidRPr="00FF0069">
        <w:rPr>
          <w:rFonts w:ascii="Barlow" w:hAnsi="Barlow"/>
          <w:sz w:val="20"/>
          <w:szCs w:val="20"/>
        </w:rPr>
        <w:tab/>
      </w:r>
      <w:bookmarkStart w:id="1" w:name="_GoBack"/>
      <w:bookmarkEnd w:id="1"/>
    </w:p>
    <w:sectPr w:rsidR="00394202" w:rsidRPr="00FF0069" w:rsidSect="00FF0069">
      <w:headerReference w:type="default" r:id="rId8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C3" w:rsidRDefault="002D16C3" w:rsidP="00E80675">
      <w:pPr>
        <w:spacing w:after="0" w:line="240" w:lineRule="auto"/>
      </w:pPr>
      <w:r>
        <w:separator/>
      </w:r>
    </w:p>
  </w:endnote>
  <w:endnote w:type="continuationSeparator" w:id="0">
    <w:p w:rsidR="002D16C3" w:rsidRDefault="002D16C3" w:rsidP="00E8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C3" w:rsidRDefault="002D16C3" w:rsidP="00E80675">
      <w:pPr>
        <w:spacing w:after="0" w:line="240" w:lineRule="auto"/>
      </w:pPr>
      <w:r>
        <w:separator/>
      </w:r>
    </w:p>
  </w:footnote>
  <w:footnote w:type="continuationSeparator" w:id="0">
    <w:p w:rsidR="002D16C3" w:rsidRDefault="002D16C3" w:rsidP="00E8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F1" w:rsidRDefault="002B2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DEE"/>
    <w:multiLevelType w:val="hybridMultilevel"/>
    <w:tmpl w:val="D2F81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3F6D"/>
    <w:multiLevelType w:val="multilevel"/>
    <w:tmpl w:val="1624D8B8"/>
    <w:lvl w:ilvl="0">
      <w:start w:val="1"/>
      <w:numFmt w:val="decimal"/>
      <w:lvlText w:val="%1"/>
      <w:lvlJc w:val="left"/>
      <w:pPr>
        <w:ind w:left="2130" w:hanging="213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271" w:hanging="213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412" w:hanging="213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553" w:hanging="2130"/>
      </w:pPr>
      <w:rPr>
        <w:rFonts w:hint="default"/>
      </w:rPr>
    </w:lvl>
    <w:lvl w:ilvl="4">
      <w:numFmt w:val="decimal"/>
      <w:lvlText w:val="%1-%2-%3-%4-%5"/>
      <w:lvlJc w:val="left"/>
      <w:pPr>
        <w:ind w:left="2694" w:hanging="2130"/>
      </w:pPr>
      <w:rPr>
        <w:rFonts w:hint="default"/>
      </w:rPr>
    </w:lvl>
    <w:lvl w:ilvl="5">
      <w:start w:val="1"/>
      <w:numFmt w:val="decimalZero"/>
      <w:lvlText w:val="%1-%2-%3-%4-%5-%6"/>
      <w:lvlJc w:val="left"/>
      <w:pPr>
        <w:ind w:left="2835" w:hanging="2130"/>
      </w:pPr>
      <w:rPr>
        <w:rFonts w:hint="default"/>
      </w:rPr>
    </w:lvl>
    <w:lvl w:ilvl="6">
      <w:start w:val="1"/>
      <w:numFmt w:val="decimal"/>
      <w:lvlText w:val="%1-%2-%3-%4-%5-%6.%7"/>
      <w:lvlJc w:val="left"/>
      <w:pPr>
        <w:ind w:left="2976" w:hanging="2130"/>
      </w:pPr>
      <w:rPr>
        <w:rFonts w:hint="default"/>
      </w:rPr>
    </w:lvl>
    <w:lvl w:ilvl="7">
      <w:start w:val="1"/>
      <w:numFmt w:val="decimal"/>
      <w:lvlText w:val="%1-%2-%3-%4-%5-%6.%7.%8"/>
      <w:lvlJc w:val="left"/>
      <w:pPr>
        <w:ind w:left="3117" w:hanging="2130"/>
      </w:pPr>
      <w:rPr>
        <w:rFonts w:hint="default"/>
      </w:rPr>
    </w:lvl>
    <w:lvl w:ilvl="8">
      <w:start w:val="1"/>
      <w:numFmt w:val="decimal"/>
      <w:lvlText w:val="%1-%2-%3-%4-%5-%6.%7.%8.%9"/>
      <w:lvlJc w:val="left"/>
      <w:pPr>
        <w:ind w:left="3258" w:hanging="2130"/>
      </w:pPr>
      <w:rPr>
        <w:rFonts w:hint="default"/>
      </w:rPr>
    </w:lvl>
  </w:abstractNum>
  <w:abstractNum w:abstractNumId="2" w15:restartNumberingAfterBreak="0">
    <w:nsid w:val="274E15EF"/>
    <w:multiLevelType w:val="hybridMultilevel"/>
    <w:tmpl w:val="DBF018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3E34"/>
    <w:multiLevelType w:val="hybridMultilevel"/>
    <w:tmpl w:val="9E9432AA"/>
    <w:lvl w:ilvl="0" w:tplc="8F24D8DA">
      <w:start w:val="1"/>
      <w:numFmt w:val="decimal"/>
      <w:lvlText w:val="%1."/>
      <w:lvlJc w:val="left"/>
      <w:pPr>
        <w:ind w:left="648" w:hanging="360"/>
      </w:pPr>
    </w:lvl>
    <w:lvl w:ilvl="1" w:tplc="080A0019">
      <w:start w:val="1"/>
      <w:numFmt w:val="lowerLetter"/>
      <w:lvlText w:val="%2."/>
      <w:lvlJc w:val="left"/>
      <w:pPr>
        <w:ind w:left="1368" w:hanging="360"/>
      </w:pPr>
    </w:lvl>
    <w:lvl w:ilvl="2" w:tplc="080A001B">
      <w:start w:val="1"/>
      <w:numFmt w:val="lowerRoman"/>
      <w:lvlText w:val="%3."/>
      <w:lvlJc w:val="right"/>
      <w:pPr>
        <w:ind w:left="2088" w:hanging="180"/>
      </w:pPr>
    </w:lvl>
    <w:lvl w:ilvl="3" w:tplc="080A000F">
      <w:start w:val="1"/>
      <w:numFmt w:val="decimal"/>
      <w:lvlText w:val="%4."/>
      <w:lvlJc w:val="left"/>
      <w:pPr>
        <w:ind w:left="2808" w:hanging="360"/>
      </w:pPr>
    </w:lvl>
    <w:lvl w:ilvl="4" w:tplc="080A0019">
      <w:start w:val="1"/>
      <w:numFmt w:val="lowerLetter"/>
      <w:lvlText w:val="%5."/>
      <w:lvlJc w:val="left"/>
      <w:pPr>
        <w:ind w:left="3528" w:hanging="360"/>
      </w:pPr>
    </w:lvl>
    <w:lvl w:ilvl="5" w:tplc="080A001B">
      <w:start w:val="1"/>
      <w:numFmt w:val="lowerRoman"/>
      <w:lvlText w:val="%6."/>
      <w:lvlJc w:val="right"/>
      <w:pPr>
        <w:ind w:left="4248" w:hanging="180"/>
      </w:pPr>
    </w:lvl>
    <w:lvl w:ilvl="6" w:tplc="080A000F">
      <w:start w:val="1"/>
      <w:numFmt w:val="decimal"/>
      <w:lvlText w:val="%7."/>
      <w:lvlJc w:val="left"/>
      <w:pPr>
        <w:ind w:left="4968" w:hanging="360"/>
      </w:pPr>
    </w:lvl>
    <w:lvl w:ilvl="7" w:tplc="080A0019">
      <w:start w:val="1"/>
      <w:numFmt w:val="lowerLetter"/>
      <w:lvlText w:val="%8."/>
      <w:lvlJc w:val="left"/>
      <w:pPr>
        <w:ind w:left="5688" w:hanging="360"/>
      </w:pPr>
    </w:lvl>
    <w:lvl w:ilvl="8" w:tplc="080A001B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B7C38A7"/>
    <w:multiLevelType w:val="hybridMultilevel"/>
    <w:tmpl w:val="604E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52047"/>
    <w:multiLevelType w:val="hybridMultilevel"/>
    <w:tmpl w:val="1E2E17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D0"/>
    <w:rsid w:val="00005748"/>
    <w:rsid w:val="0002720C"/>
    <w:rsid w:val="00033BE4"/>
    <w:rsid w:val="00036ECC"/>
    <w:rsid w:val="0004680C"/>
    <w:rsid w:val="00050703"/>
    <w:rsid w:val="00065448"/>
    <w:rsid w:val="00067595"/>
    <w:rsid w:val="00073B3C"/>
    <w:rsid w:val="000774DB"/>
    <w:rsid w:val="00077B66"/>
    <w:rsid w:val="00080A30"/>
    <w:rsid w:val="00094119"/>
    <w:rsid w:val="000964BD"/>
    <w:rsid w:val="000A1519"/>
    <w:rsid w:val="000A3E25"/>
    <w:rsid w:val="000B3BBA"/>
    <w:rsid w:val="000B6490"/>
    <w:rsid w:val="000D7814"/>
    <w:rsid w:val="000E1B83"/>
    <w:rsid w:val="000F4D5C"/>
    <w:rsid w:val="001074E3"/>
    <w:rsid w:val="00112D73"/>
    <w:rsid w:val="00113542"/>
    <w:rsid w:val="00120D9B"/>
    <w:rsid w:val="00123C2D"/>
    <w:rsid w:val="001323CC"/>
    <w:rsid w:val="00135343"/>
    <w:rsid w:val="00140A86"/>
    <w:rsid w:val="00145042"/>
    <w:rsid w:val="00146F6B"/>
    <w:rsid w:val="00160651"/>
    <w:rsid w:val="00163C7A"/>
    <w:rsid w:val="0017173C"/>
    <w:rsid w:val="001740B5"/>
    <w:rsid w:val="00176424"/>
    <w:rsid w:val="00183EA1"/>
    <w:rsid w:val="00185334"/>
    <w:rsid w:val="001A3326"/>
    <w:rsid w:val="001A3BE1"/>
    <w:rsid w:val="001B51B4"/>
    <w:rsid w:val="001C710B"/>
    <w:rsid w:val="001D163C"/>
    <w:rsid w:val="001D556C"/>
    <w:rsid w:val="001E7780"/>
    <w:rsid w:val="001F7C44"/>
    <w:rsid w:val="00211BEC"/>
    <w:rsid w:val="00225667"/>
    <w:rsid w:val="002264BF"/>
    <w:rsid w:val="002272C7"/>
    <w:rsid w:val="002316AA"/>
    <w:rsid w:val="002326DC"/>
    <w:rsid w:val="00242502"/>
    <w:rsid w:val="00245DD5"/>
    <w:rsid w:val="002672E3"/>
    <w:rsid w:val="00270552"/>
    <w:rsid w:val="00280938"/>
    <w:rsid w:val="00285917"/>
    <w:rsid w:val="002A0DAE"/>
    <w:rsid w:val="002A5FBC"/>
    <w:rsid w:val="002B24F1"/>
    <w:rsid w:val="002C07E7"/>
    <w:rsid w:val="002C1DC9"/>
    <w:rsid w:val="002C203B"/>
    <w:rsid w:val="002C732F"/>
    <w:rsid w:val="002D16C3"/>
    <w:rsid w:val="002E26D3"/>
    <w:rsid w:val="002E2E75"/>
    <w:rsid w:val="002E310F"/>
    <w:rsid w:val="002E493F"/>
    <w:rsid w:val="002E4D5F"/>
    <w:rsid w:val="003058D3"/>
    <w:rsid w:val="00307396"/>
    <w:rsid w:val="00331417"/>
    <w:rsid w:val="00333901"/>
    <w:rsid w:val="003363B5"/>
    <w:rsid w:val="00337439"/>
    <w:rsid w:val="00361011"/>
    <w:rsid w:val="003652CB"/>
    <w:rsid w:val="0036586D"/>
    <w:rsid w:val="0036632D"/>
    <w:rsid w:val="00366E32"/>
    <w:rsid w:val="003804B4"/>
    <w:rsid w:val="00380B1C"/>
    <w:rsid w:val="00387759"/>
    <w:rsid w:val="00394202"/>
    <w:rsid w:val="00394514"/>
    <w:rsid w:val="003A1C83"/>
    <w:rsid w:val="003A2486"/>
    <w:rsid w:val="003A4FF9"/>
    <w:rsid w:val="003A62F7"/>
    <w:rsid w:val="003B15A5"/>
    <w:rsid w:val="003D32D7"/>
    <w:rsid w:val="003D6F20"/>
    <w:rsid w:val="00400907"/>
    <w:rsid w:val="00402747"/>
    <w:rsid w:val="00402DC8"/>
    <w:rsid w:val="004057C9"/>
    <w:rsid w:val="00405867"/>
    <w:rsid w:val="00407BBB"/>
    <w:rsid w:val="004129CB"/>
    <w:rsid w:val="00414743"/>
    <w:rsid w:val="0042067F"/>
    <w:rsid w:val="004210FB"/>
    <w:rsid w:val="00432D54"/>
    <w:rsid w:val="00434CE1"/>
    <w:rsid w:val="00441FFD"/>
    <w:rsid w:val="00445EC2"/>
    <w:rsid w:val="00445F38"/>
    <w:rsid w:val="00463529"/>
    <w:rsid w:val="00466A3C"/>
    <w:rsid w:val="00470DA6"/>
    <w:rsid w:val="00473011"/>
    <w:rsid w:val="00473526"/>
    <w:rsid w:val="00474363"/>
    <w:rsid w:val="00474A09"/>
    <w:rsid w:val="00476188"/>
    <w:rsid w:val="004813E6"/>
    <w:rsid w:val="004A088D"/>
    <w:rsid w:val="004B45EA"/>
    <w:rsid w:val="004C07F8"/>
    <w:rsid w:val="004C52CC"/>
    <w:rsid w:val="004D4085"/>
    <w:rsid w:val="004D6B22"/>
    <w:rsid w:val="004F150D"/>
    <w:rsid w:val="004F411C"/>
    <w:rsid w:val="00504583"/>
    <w:rsid w:val="005058C9"/>
    <w:rsid w:val="005140D0"/>
    <w:rsid w:val="00521A4C"/>
    <w:rsid w:val="00541BE6"/>
    <w:rsid w:val="0055175A"/>
    <w:rsid w:val="00566287"/>
    <w:rsid w:val="00571237"/>
    <w:rsid w:val="00575958"/>
    <w:rsid w:val="00576E84"/>
    <w:rsid w:val="0058188D"/>
    <w:rsid w:val="00584443"/>
    <w:rsid w:val="005855C7"/>
    <w:rsid w:val="00587762"/>
    <w:rsid w:val="005A3BA4"/>
    <w:rsid w:val="005A6E5D"/>
    <w:rsid w:val="005A790A"/>
    <w:rsid w:val="005B0CBC"/>
    <w:rsid w:val="005C1B18"/>
    <w:rsid w:val="005D0CA1"/>
    <w:rsid w:val="005D5457"/>
    <w:rsid w:val="005F7F64"/>
    <w:rsid w:val="00603C65"/>
    <w:rsid w:val="00623931"/>
    <w:rsid w:val="00623D85"/>
    <w:rsid w:val="00626440"/>
    <w:rsid w:val="00630253"/>
    <w:rsid w:val="006410BA"/>
    <w:rsid w:val="006448CE"/>
    <w:rsid w:val="0064518B"/>
    <w:rsid w:val="00646FAB"/>
    <w:rsid w:val="0065000F"/>
    <w:rsid w:val="0065478C"/>
    <w:rsid w:val="006632B4"/>
    <w:rsid w:val="00667DE7"/>
    <w:rsid w:val="0067011A"/>
    <w:rsid w:val="00681D5C"/>
    <w:rsid w:val="0068432B"/>
    <w:rsid w:val="00687D7E"/>
    <w:rsid w:val="00690403"/>
    <w:rsid w:val="00696989"/>
    <w:rsid w:val="006A305B"/>
    <w:rsid w:val="006B12D9"/>
    <w:rsid w:val="006B4604"/>
    <w:rsid w:val="006C5DC7"/>
    <w:rsid w:val="006D70D5"/>
    <w:rsid w:val="006E6568"/>
    <w:rsid w:val="006F1FEA"/>
    <w:rsid w:val="0071598E"/>
    <w:rsid w:val="00717A83"/>
    <w:rsid w:val="00727EE5"/>
    <w:rsid w:val="007356AB"/>
    <w:rsid w:val="00737EF2"/>
    <w:rsid w:val="00741A8C"/>
    <w:rsid w:val="0074312E"/>
    <w:rsid w:val="007805E2"/>
    <w:rsid w:val="00781BC3"/>
    <w:rsid w:val="007A757C"/>
    <w:rsid w:val="007B055F"/>
    <w:rsid w:val="007B2A2C"/>
    <w:rsid w:val="007C4683"/>
    <w:rsid w:val="007D0282"/>
    <w:rsid w:val="007D7430"/>
    <w:rsid w:val="007E1C09"/>
    <w:rsid w:val="007E2151"/>
    <w:rsid w:val="007E2F7E"/>
    <w:rsid w:val="007E37AE"/>
    <w:rsid w:val="007E7A7A"/>
    <w:rsid w:val="00800531"/>
    <w:rsid w:val="008224B9"/>
    <w:rsid w:val="00823C0F"/>
    <w:rsid w:val="00827F81"/>
    <w:rsid w:val="008346D8"/>
    <w:rsid w:val="00844A19"/>
    <w:rsid w:val="00855DCE"/>
    <w:rsid w:val="00857EB9"/>
    <w:rsid w:val="00861CB4"/>
    <w:rsid w:val="0086420C"/>
    <w:rsid w:val="008730DC"/>
    <w:rsid w:val="00875C2B"/>
    <w:rsid w:val="008832E6"/>
    <w:rsid w:val="0088432F"/>
    <w:rsid w:val="0088659C"/>
    <w:rsid w:val="008866E7"/>
    <w:rsid w:val="00894E45"/>
    <w:rsid w:val="008A517B"/>
    <w:rsid w:val="008B0D8B"/>
    <w:rsid w:val="008B2178"/>
    <w:rsid w:val="008B2ECB"/>
    <w:rsid w:val="008C6BD6"/>
    <w:rsid w:val="008D1EF7"/>
    <w:rsid w:val="008D2684"/>
    <w:rsid w:val="008D3C1D"/>
    <w:rsid w:val="008E74A8"/>
    <w:rsid w:val="008F3F75"/>
    <w:rsid w:val="008F4E13"/>
    <w:rsid w:val="009001E1"/>
    <w:rsid w:val="0090389D"/>
    <w:rsid w:val="009113F5"/>
    <w:rsid w:val="00917AE9"/>
    <w:rsid w:val="009219ED"/>
    <w:rsid w:val="00922E2B"/>
    <w:rsid w:val="00923FD2"/>
    <w:rsid w:val="009243B6"/>
    <w:rsid w:val="00926A55"/>
    <w:rsid w:val="00935859"/>
    <w:rsid w:val="0094717A"/>
    <w:rsid w:val="009505CC"/>
    <w:rsid w:val="00954BF3"/>
    <w:rsid w:val="009603BA"/>
    <w:rsid w:val="009619F5"/>
    <w:rsid w:val="00965212"/>
    <w:rsid w:val="009725C4"/>
    <w:rsid w:val="00987A95"/>
    <w:rsid w:val="00991FEB"/>
    <w:rsid w:val="009E185B"/>
    <w:rsid w:val="009F272F"/>
    <w:rsid w:val="009F3C74"/>
    <w:rsid w:val="009F5761"/>
    <w:rsid w:val="00A038A8"/>
    <w:rsid w:val="00A03BB8"/>
    <w:rsid w:val="00A041EF"/>
    <w:rsid w:val="00A0677F"/>
    <w:rsid w:val="00A1193D"/>
    <w:rsid w:val="00A15993"/>
    <w:rsid w:val="00A30BB3"/>
    <w:rsid w:val="00A4234D"/>
    <w:rsid w:val="00A54576"/>
    <w:rsid w:val="00A64CCF"/>
    <w:rsid w:val="00A805FB"/>
    <w:rsid w:val="00A97B23"/>
    <w:rsid w:val="00AA093B"/>
    <w:rsid w:val="00AA22E1"/>
    <w:rsid w:val="00AA3556"/>
    <w:rsid w:val="00AA382C"/>
    <w:rsid w:val="00AC04BD"/>
    <w:rsid w:val="00AF40F1"/>
    <w:rsid w:val="00B00D86"/>
    <w:rsid w:val="00B00DAF"/>
    <w:rsid w:val="00B17853"/>
    <w:rsid w:val="00B2155E"/>
    <w:rsid w:val="00B42092"/>
    <w:rsid w:val="00B46FC5"/>
    <w:rsid w:val="00B51460"/>
    <w:rsid w:val="00B554E1"/>
    <w:rsid w:val="00B665C7"/>
    <w:rsid w:val="00B66E5A"/>
    <w:rsid w:val="00B90A40"/>
    <w:rsid w:val="00B92805"/>
    <w:rsid w:val="00B92A6C"/>
    <w:rsid w:val="00B97F44"/>
    <w:rsid w:val="00BB06EF"/>
    <w:rsid w:val="00BB2523"/>
    <w:rsid w:val="00BB2CBB"/>
    <w:rsid w:val="00BD096F"/>
    <w:rsid w:val="00BD2871"/>
    <w:rsid w:val="00BD6336"/>
    <w:rsid w:val="00BE5E8A"/>
    <w:rsid w:val="00BE6EB6"/>
    <w:rsid w:val="00BF08CF"/>
    <w:rsid w:val="00C04BB0"/>
    <w:rsid w:val="00C072C7"/>
    <w:rsid w:val="00C10068"/>
    <w:rsid w:val="00C12583"/>
    <w:rsid w:val="00C27147"/>
    <w:rsid w:val="00C43815"/>
    <w:rsid w:val="00C4583B"/>
    <w:rsid w:val="00C56213"/>
    <w:rsid w:val="00C567B8"/>
    <w:rsid w:val="00C64CC6"/>
    <w:rsid w:val="00C71D6C"/>
    <w:rsid w:val="00C8242A"/>
    <w:rsid w:val="00C871EB"/>
    <w:rsid w:val="00C87F7D"/>
    <w:rsid w:val="00CB5920"/>
    <w:rsid w:val="00CB7DAD"/>
    <w:rsid w:val="00CD2B33"/>
    <w:rsid w:val="00CE6E66"/>
    <w:rsid w:val="00CF358E"/>
    <w:rsid w:val="00D02C1C"/>
    <w:rsid w:val="00D14E91"/>
    <w:rsid w:val="00D17644"/>
    <w:rsid w:val="00D23CE1"/>
    <w:rsid w:val="00D26BDE"/>
    <w:rsid w:val="00D345F9"/>
    <w:rsid w:val="00D55DBE"/>
    <w:rsid w:val="00D80341"/>
    <w:rsid w:val="00DA0F4B"/>
    <w:rsid w:val="00DA2FBE"/>
    <w:rsid w:val="00DC7D67"/>
    <w:rsid w:val="00DD3CE0"/>
    <w:rsid w:val="00DD3D81"/>
    <w:rsid w:val="00DD3E9A"/>
    <w:rsid w:val="00DD3F5E"/>
    <w:rsid w:val="00DD55B2"/>
    <w:rsid w:val="00DD68A8"/>
    <w:rsid w:val="00DE607D"/>
    <w:rsid w:val="00DE6E27"/>
    <w:rsid w:val="00DF1CFD"/>
    <w:rsid w:val="00DF5AE3"/>
    <w:rsid w:val="00E05672"/>
    <w:rsid w:val="00E2091D"/>
    <w:rsid w:val="00E21A9E"/>
    <w:rsid w:val="00E348F8"/>
    <w:rsid w:val="00E42E27"/>
    <w:rsid w:val="00E503B2"/>
    <w:rsid w:val="00E5427D"/>
    <w:rsid w:val="00E543C0"/>
    <w:rsid w:val="00E658C7"/>
    <w:rsid w:val="00E80675"/>
    <w:rsid w:val="00E85C9E"/>
    <w:rsid w:val="00E90442"/>
    <w:rsid w:val="00EA33A9"/>
    <w:rsid w:val="00ED5857"/>
    <w:rsid w:val="00EE36D6"/>
    <w:rsid w:val="00EE43AF"/>
    <w:rsid w:val="00EF5194"/>
    <w:rsid w:val="00F004E5"/>
    <w:rsid w:val="00F02734"/>
    <w:rsid w:val="00F06DC9"/>
    <w:rsid w:val="00F20617"/>
    <w:rsid w:val="00F23758"/>
    <w:rsid w:val="00F3081B"/>
    <w:rsid w:val="00F3090F"/>
    <w:rsid w:val="00F4332F"/>
    <w:rsid w:val="00F564B5"/>
    <w:rsid w:val="00F61A55"/>
    <w:rsid w:val="00F6391A"/>
    <w:rsid w:val="00F65F0F"/>
    <w:rsid w:val="00F7272E"/>
    <w:rsid w:val="00F8275B"/>
    <w:rsid w:val="00F83954"/>
    <w:rsid w:val="00F97FFC"/>
    <w:rsid w:val="00FB10C0"/>
    <w:rsid w:val="00FC1478"/>
    <w:rsid w:val="00FC6029"/>
    <w:rsid w:val="00FD54F4"/>
    <w:rsid w:val="00FE06F3"/>
    <w:rsid w:val="00FE0D1A"/>
    <w:rsid w:val="00FE3D2C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06FCF"/>
  <w15:docId w15:val="{4DAA70A0-7390-4516-89B5-4CB4969C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DC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link w:val="Texto"/>
    <w:locked/>
    <w:rsid w:val="00B17853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B17853"/>
    <w:pPr>
      <w:spacing w:after="101" w:line="216" w:lineRule="exact"/>
      <w:ind w:firstLine="288"/>
      <w:jc w:val="both"/>
    </w:pPr>
    <w:rPr>
      <w:rFonts w:ascii="Arial" w:hAnsi="Arial" w:cs="Arial"/>
      <w:sz w:val="18"/>
      <w:lang w:val="es-ES" w:eastAsia="es-ES"/>
    </w:rPr>
  </w:style>
  <w:style w:type="character" w:customStyle="1" w:styleId="ROMANOSCar">
    <w:name w:val="ROMANOS Car"/>
    <w:link w:val="ROMANOS"/>
    <w:locked/>
    <w:rsid w:val="00B17853"/>
    <w:rPr>
      <w:rFonts w:ascii="Arial" w:hAnsi="Arial" w:cs="Arial"/>
      <w:sz w:val="18"/>
      <w:szCs w:val="18"/>
      <w:lang w:val="es-ES" w:eastAsia="es-ES"/>
    </w:rPr>
  </w:style>
  <w:style w:type="paragraph" w:customStyle="1" w:styleId="ROMANOS">
    <w:name w:val="ROMANOS"/>
    <w:basedOn w:val="Normal"/>
    <w:link w:val="ROMANOSCar"/>
    <w:rsid w:val="00B17853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ES" w:eastAsia="es-ES"/>
    </w:rPr>
  </w:style>
  <w:style w:type="table" w:styleId="Cuadrculadetablaclara">
    <w:name w:val="Grid Table Light"/>
    <w:basedOn w:val="Tablanormal"/>
    <w:uiPriority w:val="40"/>
    <w:rsid w:val="005662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662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80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675"/>
  </w:style>
  <w:style w:type="paragraph" w:styleId="Piedepgina">
    <w:name w:val="footer"/>
    <w:basedOn w:val="Normal"/>
    <w:link w:val="PiedepginaCar"/>
    <w:uiPriority w:val="99"/>
    <w:unhideWhenUsed/>
    <w:rsid w:val="00E80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675"/>
  </w:style>
  <w:style w:type="table" w:styleId="Tabladecuadrcula1clara">
    <w:name w:val="Grid Table 1 Light"/>
    <w:basedOn w:val="Tablanormal"/>
    <w:uiPriority w:val="46"/>
    <w:rsid w:val="003314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AE6C-D1C2-4D51-874A-76B5142D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3220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palma</dc:creator>
  <cp:keywords/>
  <dc:description/>
  <cp:lastModifiedBy>Eduar Raul Chi Santana</cp:lastModifiedBy>
  <cp:revision>2</cp:revision>
  <dcterms:created xsi:type="dcterms:W3CDTF">2022-04-26T16:34:00Z</dcterms:created>
  <dcterms:modified xsi:type="dcterms:W3CDTF">2022-04-26T16:34:00Z</dcterms:modified>
</cp:coreProperties>
</file>