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7A" w:rsidRPr="00CF35DB" w:rsidRDefault="0038487A" w:rsidP="0038487A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Indicadores de Resultados</w:t>
      </w:r>
    </w:p>
    <w:p w:rsidR="0038487A" w:rsidRPr="00CF35DB" w:rsidRDefault="0038487A" w:rsidP="0038487A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>
        <w:rPr>
          <w:rFonts w:ascii="Barlow" w:eastAsia="Calibri" w:hAnsi="Barlow" w:cs="Arial"/>
          <w:b/>
          <w:sz w:val="20"/>
          <w:szCs w:val="20"/>
        </w:rPr>
        <w:t>Al 31 de marzo de 2022</w:t>
      </w:r>
    </w:p>
    <w:p w:rsidR="0038487A" w:rsidRPr="00CF35DB" w:rsidRDefault="0038487A" w:rsidP="0038487A">
      <w:pPr>
        <w:spacing w:after="0" w:line="240" w:lineRule="auto"/>
        <w:jc w:val="center"/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(Cifras en Pesos)</w:t>
      </w:r>
    </w:p>
    <w:p w:rsidR="0038487A" w:rsidRDefault="0038487A" w:rsidP="0038487A">
      <w:pPr>
        <w:rPr>
          <w:rFonts w:ascii="Barlow" w:eastAsia="Calibri" w:hAnsi="Barlow" w:cs="Arial"/>
          <w:b/>
          <w:sz w:val="20"/>
          <w:szCs w:val="20"/>
        </w:rPr>
      </w:pPr>
      <w:r w:rsidRPr="00CF35DB">
        <w:rPr>
          <w:rFonts w:ascii="Barlow" w:eastAsia="Calibri" w:hAnsi="Barlow" w:cs="Arial"/>
          <w:b/>
          <w:sz w:val="20"/>
          <w:szCs w:val="20"/>
        </w:rPr>
        <w:t>Ente público: Escuela Superior de Artes de Yucatán</w:t>
      </w:r>
    </w:p>
    <w:p w:rsidR="00820093" w:rsidRDefault="00820093" w:rsidP="00FE024E">
      <w:pPr>
        <w:tabs>
          <w:tab w:val="left" w:pos="10845"/>
        </w:tabs>
        <w:rPr>
          <w:rFonts w:ascii="Calibri" w:eastAsia="Calibri" w:hAnsi="Calibri" w:cs="Arial"/>
          <w:b/>
          <w:sz w:val="20"/>
          <w:szCs w:val="20"/>
        </w:rPr>
      </w:pPr>
    </w:p>
    <w:tbl>
      <w:tblPr>
        <w:tblStyle w:val="Cuadrculadetablaclara"/>
        <w:tblW w:w="5301" w:type="pct"/>
        <w:tblLayout w:type="fixed"/>
        <w:tblLook w:val="04A0" w:firstRow="1" w:lastRow="0" w:firstColumn="1" w:lastColumn="0" w:noHBand="0" w:noVBand="1"/>
      </w:tblPr>
      <w:tblGrid>
        <w:gridCol w:w="5"/>
        <w:gridCol w:w="2685"/>
        <w:gridCol w:w="405"/>
        <w:gridCol w:w="1745"/>
        <w:gridCol w:w="868"/>
        <w:gridCol w:w="341"/>
        <w:gridCol w:w="270"/>
        <w:gridCol w:w="492"/>
        <w:gridCol w:w="408"/>
        <w:gridCol w:w="610"/>
        <w:gridCol w:w="161"/>
        <w:gridCol w:w="472"/>
        <w:gridCol w:w="639"/>
        <w:gridCol w:w="636"/>
        <w:gridCol w:w="141"/>
        <w:gridCol w:w="414"/>
        <w:gridCol w:w="492"/>
        <w:gridCol w:w="14"/>
        <w:gridCol w:w="213"/>
        <w:gridCol w:w="693"/>
        <w:gridCol w:w="138"/>
        <w:gridCol w:w="14"/>
        <w:gridCol w:w="541"/>
        <w:gridCol w:w="175"/>
        <w:gridCol w:w="14"/>
        <w:gridCol w:w="1795"/>
      </w:tblGrid>
      <w:tr w:rsidR="00A12676" w:rsidRPr="005F3921" w:rsidTr="0038487A">
        <w:trPr>
          <w:gridBefore w:val="1"/>
          <w:gridAfter w:val="1"/>
          <w:wAfter w:w="1764" w:type="dxa"/>
          <w:trHeight w:val="385"/>
        </w:trPr>
        <w:tc>
          <w:tcPr>
            <w:tcW w:w="934" w:type="pct"/>
            <w:noWrap/>
            <w:hideMark/>
          </w:tcPr>
          <w:p w:rsidR="00A12676" w:rsidRPr="005F3921" w:rsidRDefault="00A12676" w:rsidP="00D74F0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4119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9"/>
            </w:tblGrid>
            <w:tr w:rsidR="00A12676" w:rsidRPr="005F3921" w:rsidTr="0038487A">
              <w:trPr>
                <w:trHeight w:val="385"/>
                <w:tblCellSpacing w:w="0" w:type="dxa"/>
                <w:jc w:val="center"/>
              </w:trPr>
              <w:tc>
                <w:tcPr>
                  <w:tcW w:w="4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2676" w:rsidRPr="005F3921" w:rsidRDefault="00A12676" w:rsidP="00D74F02">
                  <w:pPr>
                    <w:spacing w:after="0" w:line="240" w:lineRule="auto"/>
                    <w:rPr>
                      <w:rFonts w:ascii="Barlow" w:eastAsia="Times New Roman" w:hAnsi="Barlow" w:cs="Calibri"/>
                      <w:b/>
                      <w:bCs/>
                      <w:color w:val="000000"/>
                      <w:sz w:val="28"/>
                      <w:szCs w:val="28"/>
                      <w:lang w:eastAsia="es-MX"/>
                    </w:rPr>
                  </w:pPr>
                </w:p>
              </w:tc>
            </w:tr>
          </w:tbl>
          <w:p w:rsidR="00A12676" w:rsidRPr="005F3921" w:rsidRDefault="00A12676" w:rsidP="00D74F02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820" w:type="pct"/>
            <w:gridSpan w:val="16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  <w:t>Escuela Superior de Artes de Yucatán</w:t>
            </w:r>
          </w:p>
        </w:tc>
        <w:tc>
          <w:tcPr>
            <w:tcW w:w="368" w:type="pct"/>
            <w:gridSpan w:val="4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54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1"/>
          <w:wAfter w:w="1764" w:type="dxa"/>
          <w:trHeight w:val="385"/>
        </w:trPr>
        <w:tc>
          <w:tcPr>
            <w:tcW w:w="934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820" w:type="pct"/>
            <w:gridSpan w:val="16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  <w:t>Indicadores de resultados 202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  <w:t>2</w:t>
            </w:r>
          </w:p>
        </w:tc>
        <w:tc>
          <w:tcPr>
            <w:tcW w:w="368" w:type="pct"/>
            <w:gridSpan w:val="4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54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2"/>
          <w:wAfter w:w="1778" w:type="dxa"/>
          <w:trHeight w:val="308"/>
        </w:trPr>
        <w:tc>
          <w:tcPr>
            <w:tcW w:w="934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748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421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94" w:type="pct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313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68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386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70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315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368" w:type="pct"/>
            <w:gridSpan w:val="4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54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934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 Presupuestario: 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463  Educación para la Profesionalización Artística</w:t>
            </w:r>
          </w:p>
        </w:tc>
        <w:tc>
          <w:tcPr>
            <w:tcW w:w="748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1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7" w:type="pct"/>
            <w:gridSpan w:val="17"/>
            <w:noWrap/>
            <w:hideMark/>
          </w:tcPr>
          <w:p w:rsidR="00A12676" w:rsidRPr="00553290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Población objetivo:   </w:t>
            </w:r>
            <w:r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Los estudiantes de disciplinas artísticas de la Escuela Superior de Artes de Yucatán (ESAY) tienen acceso a la profesionalización artística</w:t>
            </w:r>
          </w:p>
          <w:p w:rsidR="00A12676" w:rsidRDefault="00A12676" w:rsidP="00D74F02">
            <w:pPr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Eje PED</w:t>
            </w:r>
            <w:r w:rsidRPr="00553290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 xml:space="preserve">  03 Yucatán cultural con </w:t>
            </w:r>
            <w:r w:rsidR="0038487A"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identidad para</w:t>
            </w:r>
            <w:r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 xml:space="preserve"> el desarrollo</w:t>
            </w:r>
          </w:p>
          <w:p w:rsidR="00A12676" w:rsidRPr="00553290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Tema PED: </w:t>
            </w: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03.04 Educación artística y cultural</w:t>
            </w:r>
          </w:p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Objetivo PED:</w:t>
            </w: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553290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03.04.02 Aumentar la formación de Profesionales de las Artes</w:t>
            </w: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681" w:type="pct"/>
            <w:gridSpan w:val="3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Información correspondiente al:</w:t>
            </w:r>
            <w:r w:rsidRPr="005F3921">
              <w:rPr>
                <w:rFonts w:ascii="Barlow" w:eastAsia="Times New Roman" w:hAnsi="Barlow" w:cs="Calibri"/>
                <w:color w:val="000000"/>
                <w:sz w:val="32"/>
                <w:szCs w:val="32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del 1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al 31 de marzo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del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2022</w:t>
            </w:r>
          </w:p>
        </w:tc>
        <w:tc>
          <w:tcPr>
            <w:tcW w:w="421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966" w:type="pct"/>
            <w:gridSpan w:val="14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1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5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4" w:type="pct"/>
            <w:gridSpan w:val="2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0" w:type="pct"/>
            <w:gridSpan w:val="2"/>
            <w:noWrap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TRIM</w:t>
            </w: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222" w:type="pct"/>
            <w:noWrap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TRIM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II</w:t>
            </w:r>
          </w:p>
        </w:tc>
        <w:tc>
          <w:tcPr>
            <w:tcW w:w="221" w:type="pct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 SEM</w:t>
            </w:r>
          </w:p>
        </w:tc>
        <w:tc>
          <w:tcPr>
            <w:tcW w:w="193" w:type="pct"/>
            <w:gridSpan w:val="2"/>
            <w:noWrap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TRIM</w:t>
            </w: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III</w:t>
            </w:r>
          </w:p>
        </w:tc>
        <w:tc>
          <w:tcPr>
            <w:tcW w:w="250" w:type="pct"/>
            <w:gridSpan w:val="3"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TRIM</w:t>
            </w: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IV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II SEM</w:t>
            </w: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b/>
                <w:bCs/>
                <w:color w:val="000000"/>
                <w:sz w:val="16"/>
                <w:szCs w:val="16"/>
                <w:lang w:eastAsia="es-MX"/>
              </w:rPr>
              <w:t>VALOR ANUAL</w:t>
            </w:r>
          </w:p>
        </w:tc>
      </w:tr>
      <w:tr w:rsidR="0038487A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Resumen Narrativo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Línea Base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Meta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Resultado</w:t>
            </w: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183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87F6E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Fin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Se contribuye a aumentar la formación de profesionales de las artes mediante el acceso de los estudiantes a programas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académicos de educación superior en artes.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 xml:space="preserve">21351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Tasa de matrícula en artes por cada 100 mil habitantes.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100.08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                        Estudiantes por cada 100 mil habitantes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123.10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391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87F6E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Propósito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Los estudiantes de disciplinas artísticas de la Escuela Superior de Artes de Yucatán (ESAY) tienen acceso a la profesionalización artística.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21354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estudiantes titulados de la Escuela Superior de Artes de Yucatán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(ESAY)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2.27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               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11.11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434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87F6E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1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Programas académicos impartidos.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21355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actividades de formación académica curricular y extracurricular.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2.22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                      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2.90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788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287F6E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C1A1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</w:r>
            <w:r w:rsidRPr="00287F6E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Capacitación, actualización y desarrollo académico a docentes de la Escuela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Superior de Artes de Yucatán (ESAY).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21360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profesores capacitados.</w:t>
            </w:r>
          </w:p>
        </w:tc>
        <w:tc>
          <w:tcPr>
            <w:tcW w:w="421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86.79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Hora por estudiante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87.39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014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C1A2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Elaboración del plan anual de trabajo de las actividades académicas, artísticas y culturales para la formación de los estudiantes en las disciplinas artísticas.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21367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avance de las actividades del programa de formación de profesionales del arte.</w:t>
            </w:r>
          </w:p>
        </w:tc>
        <w:tc>
          <w:tcPr>
            <w:tcW w:w="421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96.36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7.27</w:t>
            </w:r>
          </w:p>
        </w:tc>
        <w:tc>
          <w:tcPr>
            <w:tcW w:w="354" w:type="pct"/>
            <w:gridSpan w:val="2"/>
            <w:hideMark/>
          </w:tcPr>
          <w:p w:rsidR="00A12676" w:rsidRPr="00541202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541202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100%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81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C1A3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Realización y difusión de eventos académicos artísticos y culturales.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21369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asistentes por evento.</w:t>
            </w:r>
          </w:p>
        </w:tc>
        <w:tc>
          <w:tcPr>
            <w:tcW w:w="421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52.85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Asistentes por evento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62.69</w:t>
            </w:r>
          </w:p>
        </w:tc>
        <w:tc>
          <w:tcPr>
            <w:tcW w:w="354" w:type="pct"/>
            <w:gridSpan w:val="2"/>
            <w:hideMark/>
          </w:tcPr>
          <w:p w:rsidR="00A12676" w:rsidRPr="00F85C33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F85C33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20" w:type="pct"/>
            <w:gridSpan w:val="2"/>
            <w:hideMark/>
          </w:tcPr>
          <w:p w:rsidR="00A12676" w:rsidRPr="00F85C33" w:rsidRDefault="00A12676" w:rsidP="00D74F02">
            <w:pPr>
              <w:jc w:val="center"/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</w:pPr>
            <w:r w:rsidRPr="00F85C33">
              <w:rPr>
                <w:rFonts w:ascii="Barlow" w:eastAsia="Times New Roman" w:hAnsi="Barlow" w:cs="Calibri"/>
                <w:sz w:val="18"/>
                <w:szCs w:val="18"/>
                <w:lang w:eastAsia="es-MX"/>
              </w:rPr>
              <w:t>36.2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765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Cursos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de Educación Continua para las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artes proporcionados.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21374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ben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eficiarios de los servicios de E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ontinua satisfechos.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96.94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97.50</w:t>
            </w:r>
          </w:p>
        </w:tc>
        <w:tc>
          <w:tcPr>
            <w:tcW w:w="354" w:type="pct"/>
            <w:gridSpan w:val="2"/>
            <w:hideMark/>
          </w:tcPr>
          <w:p w:rsidR="00A12676" w:rsidRPr="00C400EB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C400EB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488"/>
        </w:trPr>
        <w:tc>
          <w:tcPr>
            <w:tcW w:w="1075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C2A1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Seguimiento a la demanda de la oferta de 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ontinua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 xml:space="preserve">21377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Porcentaje de la oferta de actividades de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ontinua que presentó demanda suficiente.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90.00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90.91</w:t>
            </w:r>
          </w:p>
        </w:tc>
        <w:tc>
          <w:tcPr>
            <w:tcW w:w="354" w:type="pct"/>
            <w:gridSpan w:val="2"/>
            <w:hideMark/>
          </w:tcPr>
          <w:p w:rsidR="00A12676" w:rsidRPr="00C400EB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C400EB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38487A" w:rsidRPr="005F3921" w:rsidTr="0038487A">
        <w:trPr>
          <w:gridBefore w:val="1"/>
          <w:gridAfter w:val="3"/>
          <w:wAfter w:w="1954" w:type="dxa"/>
          <w:trHeight w:val="986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C2A2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 xml:space="preserve">Seguimiento a las actividades de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ontinua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21383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inscritos a las actividades de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E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ducación 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ontinua.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10.89 Personas por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10.</w:t>
            </w: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90</w:t>
            </w:r>
          </w:p>
        </w:tc>
        <w:tc>
          <w:tcPr>
            <w:tcW w:w="354" w:type="pct"/>
            <w:gridSpan w:val="2"/>
            <w:hideMark/>
          </w:tcPr>
          <w:p w:rsidR="00A12676" w:rsidRPr="00C400EB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C400EB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883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Subsidios y ayudas a estudiantes otorgados.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21390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con subsidios y ayudas.</w:t>
            </w:r>
          </w:p>
        </w:tc>
        <w:tc>
          <w:tcPr>
            <w:tcW w:w="421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30.53</w:t>
            </w:r>
          </w:p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35.79</w:t>
            </w:r>
          </w:p>
        </w:tc>
        <w:tc>
          <w:tcPr>
            <w:tcW w:w="354" w:type="pct"/>
            <w:gridSpan w:val="2"/>
            <w:hideMark/>
          </w:tcPr>
          <w:p w:rsidR="00A12676" w:rsidRPr="00C400EB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C400EB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15.6%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985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C3A1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Recepción de solicitudes para subsidios y ayudas.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21395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subsidios y ayudas.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lastRenderedPageBreak/>
              <w:t>18.68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19.44</w:t>
            </w:r>
          </w:p>
        </w:tc>
        <w:tc>
          <w:tcPr>
            <w:tcW w:w="354" w:type="pct"/>
            <w:gridSpan w:val="2"/>
            <w:hideMark/>
          </w:tcPr>
          <w:p w:rsidR="00A12676" w:rsidRPr="00C400EB" w:rsidRDefault="00A12676" w:rsidP="00D74F02">
            <w:pPr>
              <w:jc w:val="center"/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</w:pPr>
            <w:r w:rsidRPr="00C400EB">
              <w:rPr>
                <w:rFonts w:ascii="Barlow" w:eastAsia="Times New Roman" w:hAnsi="Barlow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13.46%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263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C3A2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Aprobación de subsidios y ayudas.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21400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solicitudes de subsidios y ayudas aprobadas.</w:t>
            </w:r>
          </w:p>
        </w:tc>
        <w:tc>
          <w:tcPr>
            <w:tcW w:w="421" w:type="pct"/>
            <w:gridSpan w:val="2"/>
            <w:hideMark/>
          </w:tcPr>
          <w:p w:rsidR="00A12676" w:rsidRPr="007A204F" w:rsidRDefault="00A12676" w:rsidP="00D74F02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ascii="Barlow" w:hAnsi="Barlow" w:cs="Calibr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63</w:t>
            </w:r>
            <w:r w:rsidRPr="007A204F"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265" w:type="pct"/>
            <w:gridSpan w:val="2"/>
            <w:hideMark/>
          </w:tcPr>
          <w:p w:rsidR="00A12676" w:rsidRPr="001B4E0C" w:rsidRDefault="00A12676" w:rsidP="00D74F02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1.64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78%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402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Componente 4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Asesoría y tutoría proporcionada.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Porcentaje de estudiantes matriculados que participan en el Programa Académico de Asesorías y Tutorías.</w:t>
            </w:r>
          </w:p>
        </w:tc>
        <w:tc>
          <w:tcPr>
            <w:tcW w:w="421" w:type="pct"/>
            <w:gridSpan w:val="2"/>
            <w:hideMark/>
          </w:tcPr>
          <w:p w:rsidR="00A12676" w:rsidRDefault="00A12676" w:rsidP="00D74F02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 xml:space="preserve">5.90 </w:t>
            </w:r>
          </w:p>
          <w:p w:rsidR="00A12676" w:rsidRPr="007A204F" w:rsidRDefault="00A12676" w:rsidP="00D74F02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 w:rsidRPr="007A204F"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265" w:type="pct"/>
            <w:gridSpan w:val="2"/>
            <w:hideMark/>
          </w:tcPr>
          <w:p w:rsidR="00A12676" w:rsidRPr="001B4E0C" w:rsidRDefault="00A12676" w:rsidP="00D74F02">
            <w:pPr>
              <w:jc w:val="center"/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Calibri" w:hAnsi="Barlow" w:cs="Calibri"/>
                <w:color w:val="000000"/>
                <w:sz w:val="20"/>
                <w:szCs w:val="20"/>
                <w:lang w:eastAsia="es-MX"/>
              </w:rPr>
              <w:t>5.91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1023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C4A1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Impartición de tutorías a estudiantes de la Escuela Superior de Artes de Yucatán (ESAY).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21409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tutoría por estudiante.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1.63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Horas por estudiante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1.64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910"/>
        </w:trPr>
        <w:tc>
          <w:tcPr>
            <w:tcW w:w="107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C453CC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Actividad: C4A2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Impartición de asesorías académicas y artísticas.</w:t>
            </w:r>
          </w:p>
        </w:tc>
        <w:tc>
          <w:tcPr>
            <w:tcW w:w="606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53290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21413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Promedio de horas de asesoría por estudiante.</w:t>
            </w:r>
          </w:p>
        </w:tc>
        <w:tc>
          <w:tcPr>
            <w:tcW w:w="421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5.93</w:t>
            </w: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Horas por estudiante</w:t>
            </w:r>
          </w:p>
        </w:tc>
        <w:tc>
          <w:tcPr>
            <w:tcW w:w="265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5.91</w:t>
            </w:r>
          </w:p>
        </w:tc>
        <w:tc>
          <w:tcPr>
            <w:tcW w:w="354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20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-998</w:t>
            </w:r>
          </w:p>
        </w:tc>
        <w:tc>
          <w:tcPr>
            <w:tcW w:w="222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1" w:type="pct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3" w:type="pct"/>
            <w:gridSpan w:val="2"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5F3921" w:rsidRDefault="00A12676" w:rsidP="00D74F02">
            <w:pPr>
              <w:ind w:firstLineChars="100" w:firstLine="18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Capítulo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ind w:firstLineChars="100" w:firstLine="18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Monto del programa</w:t>
            </w:r>
          </w:p>
        </w:tc>
        <w:tc>
          <w:tcPr>
            <w:tcW w:w="686" w:type="pct"/>
            <w:gridSpan w:val="4"/>
            <w:noWrap/>
            <w:hideMark/>
          </w:tcPr>
          <w:p w:rsidR="00A12676" w:rsidRPr="005F3921" w:rsidRDefault="00A12676" w:rsidP="00D74F02">
            <w:pPr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Estructura Funcional Programática</w:t>
            </w:r>
          </w:p>
        </w:tc>
        <w:tc>
          <w:tcPr>
            <w:tcW w:w="354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20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22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21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193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50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5F3921" w:rsidRDefault="00A12676" w:rsidP="00D74F02">
            <w:pPr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jc w:val="right"/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2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Finalida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d</w:t>
            </w: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84" w:type="pct"/>
            <w:gridSpan w:val="3"/>
            <w:noWrap/>
            <w:hideMark/>
          </w:tcPr>
          <w:p w:rsidR="00A12676" w:rsidRPr="005F3921" w:rsidRDefault="00A12676" w:rsidP="00D74F02">
            <w:pPr>
              <w:ind w:left="231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0" w:type="pct"/>
            <w:gridSpan w:val="11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02   Desarrollo Social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5F3921" w:rsidRDefault="00A12676" w:rsidP="00D74F02">
            <w:pPr>
              <w:ind w:firstLineChars="100" w:firstLine="180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Total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02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Eje:</w:t>
            </w:r>
          </w:p>
        </w:tc>
        <w:tc>
          <w:tcPr>
            <w:tcW w:w="384" w:type="pct"/>
            <w:gridSpan w:val="3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0" w:type="pct"/>
            <w:gridSpan w:val="11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  <w: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02.03.   Yucatán cultural con i</w:t>
            </w: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dentidad para el desarrollo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FD3175" w:rsidRDefault="00A12676" w:rsidP="00D74F02">
            <w:pPr>
              <w:rPr>
                <w:rFonts w:ascii="Barlow" w:eastAsia="Times New Roman" w:hAnsi="Barlow" w:cs="Calibri"/>
                <w:b/>
                <w:color w:val="000000"/>
                <w:sz w:val="18"/>
                <w:szCs w:val="18"/>
                <w:lang w:eastAsia="es-MX"/>
              </w:rPr>
            </w:pPr>
            <w:r w:rsidRPr="00FD3175">
              <w:rPr>
                <w:rFonts w:ascii="Barlow" w:eastAsia="Times New Roman" w:hAnsi="Barlow" w:cs="Calibri"/>
                <w:b/>
                <w:color w:val="000000"/>
                <w:sz w:val="18"/>
                <w:szCs w:val="18"/>
                <w:lang w:eastAsia="es-MX"/>
              </w:rPr>
              <w:t>-998 No Aplica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02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Función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84" w:type="pct"/>
            <w:gridSpan w:val="3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0" w:type="pct"/>
            <w:gridSpan w:val="11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02.03.04   Recreación, Cultura y Otras Manifestaciones Sociales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FD3175" w:rsidRDefault="00A12676" w:rsidP="00D74F02">
            <w:pPr>
              <w:rPr>
                <w:rFonts w:ascii="Barlow" w:eastAsia="Times New Roman" w:hAnsi="Barlow" w:cs="Calibri"/>
                <w:b/>
                <w:color w:val="000000"/>
                <w:sz w:val="18"/>
                <w:szCs w:val="18"/>
                <w:lang w:eastAsia="es-MX"/>
              </w:rPr>
            </w:pPr>
            <w:r w:rsidRPr="00FD3175">
              <w:rPr>
                <w:rFonts w:ascii="Barlow" w:eastAsia="Times New Roman" w:hAnsi="Barlow" w:cs="Calibri"/>
                <w:b/>
                <w:color w:val="000000"/>
                <w:sz w:val="18"/>
                <w:szCs w:val="18"/>
                <w:lang w:eastAsia="es-MX"/>
              </w:rPr>
              <w:t>-999 No Disponible</w:t>
            </w: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02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Subfunción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84" w:type="pct"/>
            <w:gridSpan w:val="3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0" w:type="pct"/>
            <w:gridSpan w:val="11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02.03.04.02 Cultura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RPr="005F3921" w:rsidTr="0038487A">
        <w:trPr>
          <w:gridBefore w:val="1"/>
          <w:gridAfter w:val="3"/>
          <w:wAfter w:w="1954" w:type="dxa"/>
          <w:trHeight w:val="308"/>
        </w:trPr>
        <w:tc>
          <w:tcPr>
            <w:tcW w:w="1075" w:type="pct"/>
            <w:gridSpan w:val="2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06" w:type="pct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6" w:type="pct"/>
            <w:gridSpan w:val="4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F3921"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Programa Presupuestario</w:t>
            </w:r>
            <w:r>
              <w:rPr>
                <w:rFonts w:ascii="Barlow" w:eastAsia="Times New Roman" w:hAnsi="Barlow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460" w:type="pct"/>
            <w:gridSpan w:val="11"/>
            <w:noWrap/>
            <w:hideMark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  <w:r w:rsidRPr="005F3921">
              <w:rPr>
                <w:rFonts w:ascii="Barlow" w:eastAsia="Times New Roman" w:hAnsi="Barlow" w:cs="Calibri"/>
                <w:color w:val="000000"/>
                <w:sz w:val="18"/>
                <w:szCs w:val="18"/>
                <w:lang w:eastAsia="es-MX"/>
              </w:rPr>
              <w:t>02.03.04.02.463  Educación para la Profesionalización Artística</w:t>
            </w:r>
          </w:p>
        </w:tc>
        <w:tc>
          <w:tcPr>
            <w:tcW w:w="241" w:type="pct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  <w:tc>
          <w:tcPr>
            <w:tcW w:w="241" w:type="pct"/>
            <w:gridSpan w:val="3"/>
          </w:tcPr>
          <w:p w:rsidR="00A12676" w:rsidRPr="005F3921" w:rsidRDefault="00A12676" w:rsidP="00D74F02">
            <w:pPr>
              <w:rPr>
                <w:rFonts w:ascii="Barlow" w:eastAsia="Times New Roman" w:hAnsi="Barlow" w:cs="Calibri"/>
                <w:color w:val="000000"/>
                <w:lang w:eastAsia="es-MX"/>
              </w:rPr>
            </w:pPr>
          </w:p>
        </w:tc>
      </w:tr>
      <w:tr w:rsidR="00A12676" w:rsidTr="0038487A">
        <w:trPr>
          <w:trHeight w:val="122"/>
        </w:trPr>
        <w:tc>
          <w:tcPr>
            <w:tcW w:w="5000" w:type="pct"/>
            <w:gridSpan w:val="26"/>
          </w:tcPr>
          <w:p w:rsidR="00A12676" w:rsidRDefault="00A12676" w:rsidP="00D74F02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102D79" w:rsidRDefault="00102D79" w:rsidP="00102D79">
      <w:pPr>
        <w:jc w:val="both"/>
        <w:rPr>
          <w:rFonts w:ascii="Arial" w:eastAsia="Calibri" w:hAnsi="Arial" w:cs="Arial"/>
          <w:b/>
        </w:rPr>
      </w:pPr>
    </w:p>
    <w:p w:rsidR="00102D79" w:rsidRDefault="00102D79" w:rsidP="00102D79">
      <w:pPr>
        <w:jc w:val="both"/>
        <w:rPr>
          <w:rFonts w:ascii="Arial" w:eastAsia="Calibri" w:hAnsi="Arial" w:cs="Arial"/>
          <w:b/>
        </w:rPr>
      </w:pPr>
    </w:p>
    <w:p w:rsidR="00102D79" w:rsidRDefault="00102D79" w:rsidP="00102D79">
      <w:pPr>
        <w:jc w:val="both"/>
        <w:rPr>
          <w:rFonts w:ascii="Arial" w:eastAsia="Calibri" w:hAnsi="Arial" w:cs="Arial"/>
          <w:b/>
        </w:rPr>
      </w:pPr>
    </w:p>
    <w:p w:rsidR="00102D79" w:rsidRDefault="00102D79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</w:p>
    <w:p w:rsidR="0038487A" w:rsidRDefault="0038487A" w:rsidP="00102D79">
      <w:pPr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:rsidR="00A12676" w:rsidRPr="00D90F4D" w:rsidRDefault="00A12676" w:rsidP="00A12676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465-</w:t>
      </w:r>
      <w:r w:rsidRPr="00D90F4D">
        <w:rPr>
          <w:rFonts w:ascii="Arial" w:eastAsia="Calibri" w:hAnsi="Arial" w:cs="Arial"/>
          <w:b/>
        </w:rPr>
        <w:t xml:space="preserve"> </w:t>
      </w:r>
      <w:r w:rsidRPr="008C6B91">
        <w:rPr>
          <w:rFonts w:ascii="Arial" w:eastAsia="Calibri" w:hAnsi="Arial" w:cs="Arial"/>
          <w:b/>
        </w:rPr>
        <w:t>Gestión Eficiente de las Instituciones del Sector Cultural</w:t>
      </w:r>
    </w:p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# 19949         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8C6B91">
              <w:rPr>
                <w:rFonts w:ascii="Barlow" w:eastAsia="Calibri" w:hAnsi="Barlow" w:cs="Arial"/>
              </w:rPr>
              <w:t>Se contribuye a aumentar el consumo cultural y la participación de la población en espacios y eventos culturales mediante el uso racional y con rentabilidad social de los recursos públicos</w:t>
            </w:r>
          </w:p>
        </w:tc>
        <w:tc>
          <w:tcPr>
            <w:tcW w:w="1984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8C6B91">
              <w:rPr>
                <w:rFonts w:ascii="Barlow" w:hAnsi="Barlow" w:cs="Arial"/>
              </w:rPr>
              <w:t>Promedio de participantes en actividades artísticas y culturales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 w:rsidRPr="008C6B91">
              <w:rPr>
                <w:rFonts w:ascii="Barlow" w:hAnsi="Barlow" w:cs="Arial"/>
              </w:rPr>
              <w:t>Anual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 w:rsidRPr="00EB40A9">
              <w:rPr>
                <w:rFonts w:ascii="Barlow" w:hAnsi="Barlow" w:cs="Arial"/>
                <w:bCs/>
              </w:rPr>
              <w:t>A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325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    # 19950         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rPr>
          <w:trHeight w:val="1217"/>
        </w:trPr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09782C">
              <w:rPr>
                <w:rFonts w:ascii="Barlow" w:eastAsia="Calibri" w:hAnsi="Barlow" w:cs="Arial"/>
              </w:rPr>
              <w:t>Las dependencias y entidades del sector cultura cuentan con una administración pública eficiente para su funcionamiento</w:t>
            </w:r>
          </w:p>
        </w:tc>
        <w:tc>
          <w:tcPr>
            <w:tcW w:w="1984" w:type="dxa"/>
            <w:vAlign w:val="center"/>
          </w:tcPr>
          <w:p w:rsidR="00A12676" w:rsidRPr="003309D4" w:rsidRDefault="00A12676" w:rsidP="00D74F02">
            <w:pPr>
              <w:jc w:val="center"/>
              <w:rPr>
                <w:rFonts w:ascii="Barlow" w:hAnsi="Barlow" w:cs="Arial"/>
              </w:rPr>
            </w:pPr>
            <w:r w:rsidRPr="003309D4">
              <w:rPr>
                <w:rFonts w:ascii="Barlow" w:hAnsi="Barlow" w:cs="Arial"/>
              </w:rPr>
              <w:t>Porcentaje del presupuesto ejercido del Poder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3309D4">
              <w:rPr>
                <w:rFonts w:ascii="Barlow" w:hAnsi="Barlow" w:cs="Arial"/>
              </w:rPr>
              <w:t>Ejecutivo en el eje 3 del PED 2018-202</w:t>
            </w:r>
            <w:r>
              <w:rPr>
                <w:rFonts w:ascii="Barlow" w:hAnsi="Barlow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 w:rsidRPr="008C6B91">
              <w:rPr>
                <w:rFonts w:ascii="Barlow" w:hAnsi="Barlow" w:cs="Arial"/>
              </w:rPr>
              <w:t>Anual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B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spacing w:line="360" w:lineRule="auto"/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1.80</w:t>
            </w:r>
          </w:p>
        </w:tc>
        <w:tc>
          <w:tcPr>
            <w:tcW w:w="1418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</w:t>
            </w:r>
          </w:p>
          <w:p w:rsidR="00A12676" w:rsidRPr="00EB40A9" w:rsidRDefault="00A12676" w:rsidP="00D74F02">
            <w:pPr>
              <w:rPr>
                <w:rFonts w:ascii="Barlow" w:hAnsi="Barlow" w:cs="Arial"/>
                <w:bCs/>
              </w:rPr>
            </w:pP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# 19972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3309D4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3309D4">
              <w:rPr>
                <w:rFonts w:ascii="Barlow" w:eastAsia="Calibri" w:hAnsi="Barlow" w:cs="Arial"/>
              </w:rPr>
              <w:t>Recursos para gasto corriente del eje 3</w:t>
            </w:r>
          </w:p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3309D4">
              <w:rPr>
                <w:rFonts w:ascii="Barlow" w:eastAsia="Calibri" w:hAnsi="Barlow" w:cs="Arial"/>
              </w:rPr>
              <w:t>Administrados.</w:t>
            </w:r>
          </w:p>
        </w:tc>
        <w:tc>
          <w:tcPr>
            <w:tcW w:w="1984" w:type="dxa"/>
            <w:vAlign w:val="center"/>
          </w:tcPr>
          <w:p w:rsidR="00A12676" w:rsidRPr="003309D4" w:rsidRDefault="00A12676" w:rsidP="00D74F02">
            <w:pPr>
              <w:jc w:val="center"/>
              <w:rPr>
                <w:rFonts w:ascii="Barlow" w:hAnsi="Barlow" w:cs="Arial"/>
              </w:rPr>
            </w:pPr>
            <w:r w:rsidRPr="003309D4">
              <w:rPr>
                <w:rFonts w:ascii="Barlow" w:hAnsi="Barlow" w:cs="Arial"/>
              </w:rPr>
              <w:t>Porcentaje del presupuesto ejercido en el eje 3 del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3309D4">
              <w:rPr>
                <w:rFonts w:ascii="Barlow" w:hAnsi="Barlow" w:cs="Arial"/>
              </w:rPr>
              <w:lastRenderedPageBreak/>
              <w:t>PED 2018-2024 destinado al gasto corriente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C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99.88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80.58%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# 20006 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09782C">
              <w:rPr>
                <w:rFonts w:ascii="Barlow" w:eastAsia="Calibri" w:hAnsi="Barlow" w:cs="Arial"/>
              </w:rPr>
              <w:t>Administración de recursos humanos</w:t>
            </w:r>
          </w:p>
        </w:tc>
        <w:tc>
          <w:tcPr>
            <w:tcW w:w="1984" w:type="dxa"/>
            <w:vAlign w:val="center"/>
          </w:tcPr>
          <w:p w:rsidR="00A12676" w:rsidRPr="00692A5A" w:rsidRDefault="00A12676" w:rsidP="00D74F02">
            <w:pPr>
              <w:jc w:val="center"/>
              <w:rPr>
                <w:rFonts w:ascii="Barlow" w:hAnsi="Barlow" w:cs="Arial"/>
              </w:rPr>
            </w:pPr>
            <w:r w:rsidRPr="00692A5A">
              <w:rPr>
                <w:rFonts w:ascii="Barlow" w:hAnsi="Barlow" w:cs="Arial"/>
              </w:rPr>
              <w:t>Porcentaje del presupuesto ejercido en gasto Trimestral</w:t>
            </w:r>
          </w:p>
          <w:p w:rsidR="00A12676" w:rsidRPr="00692A5A" w:rsidRDefault="00A12676" w:rsidP="00D74F02">
            <w:pPr>
              <w:jc w:val="center"/>
              <w:rPr>
                <w:rFonts w:ascii="Barlow" w:hAnsi="Barlow" w:cs="Arial"/>
              </w:rPr>
            </w:pPr>
            <w:r w:rsidRPr="00692A5A">
              <w:rPr>
                <w:rFonts w:ascii="Barlow" w:hAnsi="Barlow" w:cs="Arial"/>
              </w:rPr>
              <w:t>corriente del eje 3 Yucatán cultural con identidad</w:t>
            </w:r>
          </w:p>
          <w:p w:rsidR="00A12676" w:rsidRPr="00692A5A" w:rsidRDefault="00A12676" w:rsidP="00D74F02">
            <w:pPr>
              <w:jc w:val="center"/>
              <w:rPr>
                <w:rFonts w:ascii="Barlow" w:hAnsi="Barlow" w:cs="Arial"/>
              </w:rPr>
            </w:pPr>
            <w:r w:rsidRPr="00692A5A">
              <w:rPr>
                <w:rFonts w:ascii="Barlow" w:hAnsi="Barlow" w:cs="Arial"/>
              </w:rPr>
              <w:t>para el desarrollo destinado a servicios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692A5A">
              <w:rPr>
                <w:rFonts w:ascii="Barlow" w:hAnsi="Barlow" w:cs="Arial"/>
              </w:rPr>
              <w:t>personales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D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41.35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20.62%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# 20010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09782C">
              <w:rPr>
                <w:rFonts w:ascii="Barlow" w:eastAsia="Calibri" w:hAnsi="Barlow" w:cs="Arial"/>
              </w:rPr>
              <w:t>Prestación de servicios generales</w:t>
            </w:r>
          </w:p>
        </w:tc>
        <w:tc>
          <w:tcPr>
            <w:tcW w:w="1984" w:type="dxa"/>
            <w:vAlign w:val="center"/>
          </w:tcPr>
          <w:p w:rsidR="00A12676" w:rsidRPr="00DD094B" w:rsidRDefault="00A12676" w:rsidP="00D74F02">
            <w:pPr>
              <w:jc w:val="center"/>
              <w:rPr>
                <w:rFonts w:ascii="Barlow" w:hAnsi="Barlow" w:cs="Arial"/>
              </w:rPr>
            </w:pPr>
            <w:r w:rsidRPr="00DD094B">
              <w:rPr>
                <w:rFonts w:ascii="Barlow" w:hAnsi="Barlow" w:cs="Arial"/>
              </w:rPr>
              <w:t>Porcentaje de presupuesto ejercido en gasto corriente del eje 3 Yucatán cultural con identidad</w:t>
            </w:r>
          </w:p>
          <w:p w:rsidR="00A12676" w:rsidRPr="00DD094B" w:rsidRDefault="00A12676" w:rsidP="00D74F02">
            <w:pPr>
              <w:jc w:val="center"/>
              <w:rPr>
                <w:rFonts w:ascii="Barlow" w:hAnsi="Barlow" w:cs="Arial"/>
              </w:rPr>
            </w:pPr>
            <w:r w:rsidRPr="00DD094B">
              <w:rPr>
                <w:rFonts w:ascii="Barlow" w:hAnsi="Barlow" w:cs="Arial"/>
              </w:rPr>
              <w:t>para el desarrollo destinado a cubrir los gastos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DD094B">
              <w:rPr>
                <w:rFonts w:ascii="Barlow" w:hAnsi="Barlow" w:cs="Arial"/>
              </w:rPr>
              <w:lastRenderedPageBreak/>
              <w:t>en servicios generales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E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42.67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47.56%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r                     # 20009        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09782C">
              <w:rPr>
                <w:rFonts w:ascii="Barlow" w:eastAsia="Calibri" w:hAnsi="Barlow" w:cs="Arial"/>
              </w:rPr>
              <w:t>Adquisición de materiales y suministros</w:t>
            </w:r>
          </w:p>
        </w:tc>
        <w:tc>
          <w:tcPr>
            <w:tcW w:w="1984" w:type="dxa"/>
            <w:vAlign w:val="center"/>
          </w:tcPr>
          <w:p w:rsidR="00A12676" w:rsidRPr="00B448BD" w:rsidRDefault="00A12676" w:rsidP="00D74F02">
            <w:pPr>
              <w:jc w:val="center"/>
              <w:rPr>
                <w:rFonts w:ascii="Barlow" w:hAnsi="Barlow" w:cs="Arial"/>
              </w:rPr>
            </w:pPr>
            <w:r w:rsidRPr="00B448BD">
              <w:rPr>
                <w:rFonts w:ascii="Barlow" w:hAnsi="Barlow" w:cs="Arial"/>
              </w:rPr>
              <w:t xml:space="preserve">Porcentaje del presupuesto ejercido en gasto </w:t>
            </w:r>
          </w:p>
          <w:p w:rsidR="00A12676" w:rsidRPr="00B448BD" w:rsidRDefault="00A12676" w:rsidP="00D74F02">
            <w:pPr>
              <w:jc w:val="center"/>
              <w:rPr>
                <w:rFonts w:ascii="Barlow" w:hAnsi="Barlow" w:cs="Arial"/>
              </w:rPr>
            </w:pPr>
            <w:r w:rsidRPr="00B448BD">
              <w:rPr>
                <w:rFonts w:ascii="Barlow" w:hAnsi="Barlow" w:cs="Arial"/>
              </w:rPr>
              <w:t>corriente del eje 3 Yucatán cultural con identidad</w:t>
            </w:r>
          </w:p>
          <w:p w:rsidR="00A12676" w:rsidRPr="00B448BD" w:rsidRDefault="00A12676" w:rsidP="00D74F02">
            <w:pPr>
              <w:jc w:val="center"/>
              <w:rPr>
                <w:rFonts w:ascii="Barlow" w:hAnsi="Barlow" w:cs="Arial"/>
              </w:rPr>
            </w:pPr>
            <w:r w:rsidRPr="00B448BD">
              <w:rPr>
                <w:rFonts w:ascii="Barlow" w:hAnsi="Barlow" w:cs="Arial"/>
              </w:rPr>
              <w:t>para el desarrollo destinado a cubrir los gastos en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B448BD">
              <w:rPr>
                <w:rFonts w:ascii="Barlow" w:hAnsi="Barlow" w:cs="Arial"/>
              </w:rPr>
              <w:t>materiales y suministro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F</w:t>
            </w:r>
          </w:p>
        </w:tc>
        <w:tc>
          <w:tcPr>
            <w:tcW w:w="992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5.03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49.31%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850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# 20013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850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09782C">
              <w:rPr>
                <w:rFonts w:ascii="Barlow" w:eastAsia="Calibri" w:hAnsi="Barlow" w:cs="Arial"/>
              </w:rPr>
              <w:t>Gestión de transferencias, asignaciones, subsidios y otras ayudas.</w:t>
            </w:r>
          </w:p>
        </w:tc>
        <w:tc>
          <w:tcPr>
            <w:tcW w:w="1984" w:type="dxa"/>
            <w:vAlign w:val="center"/>
          </w:tcPr>
          <w:p w:rsidR="00A12676" w:rsidRPr="00A0646E" w:rsidRDefault="00A12676" w:rsidP="00D74F02">
            <w:pPr>
              <w:jc w:val="center"/>
              <w:rPr>
                <w:rFonts w:ascii="Barlow" w:hAnsi="Barlow" w:cs="Arial"/>
              </w:rPr>
            </w:pPr>
            <w:r w:rsidRPr="00A0646E">
              <w:rPr>
                <w:rFonts w:ascii="Barlow" w:hAnsi="Barlow" w:cs="Arial"/>
              </w:rPr>
              <w:t>Porcentaje de presupuesto ejercido en gasto</w:t>
            </w:r>
          </w:p>
          <w:p w:rsidR="00A12676" w:rsidRPr="00A0646E" w:rsidRDefault="00A12676" w:rsidP="00D74F02">
            <w:pPr>
              <w:jc w:val="center"/>
              <w:rPr>
                <w:rFonts w:ascii="Barlow" w:hAnsi="Barlow" w:cs="Arial"/>
              </w:rPr>
            </w:pPr>
            <w:r w:rsidRPr="00A0646E">
              <w:rPr>
                <w:rFonts w:ascii="Barlow" w:hAnsi="Barlow" w:cs="Arial"/>
              </w:rPr>
              <w:t>corriente del eje 3 Yucatán cultural con identidad</w:t>
            </w:r>
          </w:p>
          <w:p w:rsidR="00A12676" w:rsidRPr="00A0646E" w:rsidRDefault="00A12676" w:rsidP="00D74F02">
            <w:pPr>
              <w:jc w:val="center"/>
              <w:rPr>
                <w:rFonts w:ascii="Barlow" w:hAnsi="Barlow" w:cs="Arial"/>
              </w:rPr>
            </w:pPr>
            <w:r w:rsidRPr="00A0646E">
              <w:rPr>
                <w:rFonts w:ascii="Barlow" w:hAnsi="Barlow" w:cs="Arial"/>
              </w:rPr>
              <w:t>para el desarrollo destinado asignaciones,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A0646E">
              <w:rPr>
                <w:rFonts w:ascii="Barlow" w:hAnsi="Barlow" w:cs="Arial"/>
              </w:rPr>
              <w:lastRenderedPageBreak/>
              <w:t>subsidios y otras ayudas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G</w:t>
            </w:r>
          </w:p>
        </w:tc>
        <w:tc>
          <w:tcPr>
            <w:tcW w:w="850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10.94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# 19973     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2409A1" w:rsidRDefault="00A12676" w:rsidP="00D74F02">
            <w:pPr>
              <w:jc w:val="center"/>
              <w:rPr>
                <w:rFonts w:ascii="Barlow" w:hAnsi="Barlow" w:cs="Arial"/>
              </w:rPr>
            </w:pPr>
            <w:r w:rsidRPr="002409A1">
              <w:rPr>
                <w:rFonts w:ascii="Barlow" w:hAnsi="Barlow" w:cs="Arial"/>
              </w:rPr>
              <w:t>Recursos para gasto de capital del eje</w:t>
            </w:r>
          </w:p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2409A1">
              <w:rPr>
                <w:rFonts w:ascii="Barlow" w:hAnsi="Barlow" w:cs="Arial"/>
              </w:rPr>
              <w:t>3 administrados</w:t>
            </w:r>
          </w:p>
        </w:tc>
        <w:tc>
          <w:tcPr>
            <w:tcW w:w="1984" w:type="dxa"/>
            <w:vAlign w:val="center"/>
          </w:tcPr>
          <w:p w:rsidR="00A12676" w:rsidRPr="002409A1" w:rsidRDefault="00A12676" w:rsidP="00D74F02">
            <w:pPr>
              <w:jc w:val="center"/>
              <w:rPr>
                <w:rFonts w:ascii="Barlow" w:hAnsi="Barlow" w:cs="Arial"/>
              </w:rPr>
            </w:pPr>
            <w:r w:rsidRPr="002409A1">
              <w:rPr>
                <w:rFonts w:ascii="Barlow" w:hAnsi="Barlow" w:cs="Arial"/>
              </w:rPr>
              <w:t>Porcentaje del presupuesto ejercido en el eje 3 del</w:t>
            </w:r>
          </w:p>
          <w:p w:rsidR="00A12676" w:rsidRPr="002409A1" w:rsidRDefault="00A12676" w:rsidP="00D74F02">
            <w:pPr>
              <w:jc w:val="center"/>
              <w:rPr>
                <w:rFonts w:ascii="Barlow" w:hAnsi="Barlow" w:cs="Arial"/>
              </w:rPr>
            </w:pPr>
            <w:r w:rsidRPr="002409A1">
              <w:rPr>
                <w:rFonts w:ascii="Barlow" w:hAnsi="Barlow" w:cs="Arial"/>
              </w:rPr>
              <w:t>PED 2018-2024 destinado al gasto en bienes</w:t>
            </w:r>
          </w:p>
          <w:p w:rsidR="00A12676" w:rsidRPr="002409A1" w:rsidRDefault="00A12676" w:rsidP="00D74F02">
            <w:pPr>
              <w:jc w:val="center"/>
              <w:rPr>
                <w:rFonts w:ascii="Barlow" w:hAnsi="Barlow" w:cs="Arial"/>
              </w:rPr>
            </w:pPr>
            <w:r w:rsidRPr="002409A1">
              <w:rPr>
                <w:rFonts w:ascii="Barlow" w:hAnsi="Barlow" w:cs="Arial"/>
              </w:rPr>
              <w:t>muebles, inmuebles e intangibles e inversión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2409A1">
              <w:rPr>
                <w:rFonts w:ascii="Barlow" w:hAnsi="Barlow" w:cs="Arial"/>
              </w:rPr>
              <w:t>pública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H</w:t>
            </w:r>
          </w:p>
        </w:tc>
        <w:tc>
          <w:tcPr>
            <w:tcW w:w="992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0.12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# 20015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556A46">
              <w:rPr>
                <w:rFonts w:ascii="Barlow" w:eastAsia="Calibri" w:hAnsi="Barlow" w:cs="Arial"/>
              </w:rPr>
              <w:t>Adquisición de bienes muebles, inmuebles e intangibles</w:t>
            </w:r>
          </w:p>
        </w:tc>
        <w:tc>
          <w:tcPr>
            <w:tcW w:w="1984" w:type="dxa"/>
            <w:vAlign w:val="center"/>
          </w:tcPr>
          <w:p w:rsidR="00A12676" w:rsidRPr="002C5FF3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 xml:space="preserve">Porcentaje de presupuesto ejercido en gasto de </w:t>
            </w:r>
          </w:p>
          <w:p w:rsidR="00A12676" w:rsidRPr="002C5FF3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>capital del eje 3 Yucatán cultural con identidad</w:t>
            </w:r>
          </w:p>
          <w:p w:rsidR="00A12676" w:rsidRPr="002C5FF3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lastRenderedPageBreak/>
              <w:t>para el desarrollo destinado a bienes muebles,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>inmuebles e intangibles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I</w:t>
            </w:r>
          </w:p>
        </w:tc>
        <w:tc>
          <w:tcPr>
            <w:tcW w:w="992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100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10.54%</w:t>
            </w:r>
          </w:p>
        </w:tc>
      </w:tr>
    </w:tbl>
    <w:p w:rsidR="00A12676" w:rsidRDefault="00A12676" w:rsidP="00A12676">
      <w:pPr>
        <w:rPr>
          <w:rFonts w:eastAsia="Calibri"/>
          <w:szCs w:val="18"/>
        </w:rPr>
      </w:pPr>
    </w:p>
    <w:tbl>
      <w:tblPr>
        <w:tblStyle w:val="Tablaconcuadrcula"/>
        <w:tblW w:w="9748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276"/>
        <w:gridCol w:w="709"/>
        <w:gridCol w:w="992"/>
        <w:gridCol w:w="1418"/>
      </w:tblGrid>
      <w:tr w:rsidR="00A12676" w:rsidRPr="00EB40A9" w:rsidTr="00D74F02">
        <w:trPr>
          <w:trHeight w:val="534"/>
        </w:trPr>
        <w:tc>
          <w:tcPr>
            <w:tcW w:w="336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Objetivo</w:t>
            </w:r>
          </w:p>
        </w:tc>
        <w:tc>
          <w:tcPr>
            <w:tcW w:w="1984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Indicador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# 20017        </w:t>
            </w:r>
          </w:p>
        </w:tc>
        <w:tc>
          <w:tcPr>
            <w:tcW w:w="1276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>
              <w:rPr>
                <w:rFonts w:ascii="Barlow" w:eastAsia="Calibri" w:hAnsi="Barlow" w:cs="Arial"/>
                <w:b/>
                <w:color w:val="000000" w:themeColor="text1"/>
              </w:rPr>
              <w:t>Frecuencia</w:t>
            </w:r>
          </w:p>
        </w:tc>
        <w:tc>
          <w:tcPr>
            <w:tcW w:w="709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</w:t>
            </w:r>
          </w:p>
        </w:tc>
        <w:tc>
          <w:tcPr>
            <w:tcW w:w="992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Meta 202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  <w:b/>
                <w:color w:val="000000" w:themeColor="text1"/>
              </w:rPr>
            </w:pP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>Alcanzado</w:t>
            </w:r>
            <w:r>
              <w:rPr>
                <w:rFonts w:ascii="Barlow" w:eastAsia="Calibri" w:hAnsi="Barlow" w:cs="Arial"/>
                <w:b/>
                <w:color w:val="000000" w:themeColor="text1"/>
              </w:rPr>
              <w:t xml:space="preserve">                               </w:t>
            </w:r>
            <w:r w:rsidRPr="00EB40A9">
              <w:rPr>
                <w:rFonts w:ascii="Barlow" w:eastAsia="Calibri" w:hAnsi="Barlow" w:cs="Arial"/>
                <w:b/>
                <w:color w:val="000000" w:themeColor="text1"/>
              </w:rPr>
              <w:t xml:space="preserve"> a la fecha</w:t>
            </w:r>
          </w:p>
        </w:tc>
      </w:tr>
      <w:tr w:rsidR="00A12676" w:rsidRPr="00EB40A9" w:rsidTr="00D74F02">
        <w:tc>
          <w:tcPr>
            <w:tcW w:w="336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eastAsia="Calibri" w:hAnsi="Barlow" w:cs="Arial"/>
              </w:rPr>
            </w:pPr>
            <w:r w:rsidRPr="009C0F78">
              <w:rPr>
                <w:rFonts w:ascii="Barlow" w:eastAsia="Calibri" w:hAnsi="Barlow" w:cs="Arial"/>
              </w:rPr>
              <w:t>Inversión en obra pública</w:t>
            </w:r>
          </w:p>
        </w:tc>
        <w:tc>
          <w:tcPr>
            <w:tcW w:w="1984" w:type="dxa"/>
            <w:vAlign w:val="center"/>
          </w:tcPr>
          <w:p w:rsidR="00A12676" w:rsidRPr="002C5FF3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 xml:space="preserve">Porcentaje de presupuesto ejercido en gasto de </w:t>
            </w:r>
          </w:p>
          <w:p w:rsidR="00A12676" w:rsidRPr="002C5FF3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>capital del eje 3 Yucatán cultural con identidad</w:t>
            </w: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</w:rPr>
            </w:pPr>
            <w:r w:rsidRPr="002C5FF3">
              <w:rPr>
                <w:rFonts w:ascii="Barlow" w:hAnsi="Barlow" w:cs="Arial"/>
              </w:rPr>
              <w:t>para el desarrollo destinado a inversión pública</w:t>
            </w:r>
          </w:p>
        </w:tc>
        <w:tc>
          <w:tcPr>
            <w:tcW w:w="1276" w:type="dxa"/>
            <w:vAlign w:val="center"/>
          </w:tcPr>
          <w:p w:rsidR="00A12676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</w:p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</w:rPr>
              <w:t>Trimestral</w:t>
            </w:r>
          </w:p>
        </w:tc>
        <w:tc>
          <w:tcPr>
            <w:tcW w:w="709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J</w:t>
            </w:r>
          </w:p>
        </w:tc>
        <w:tc>
          <w:tcPr>
            <w:tcW w:w="992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00</w:t>
            </w:r>
          </w:p>
        </w:tc>
        <w:tc>
          <w:tcPr>
            <w:tcW w:w="1418" w:type="dxa"/>
            <w:vAlign w:val="center"/>
          </w:tcPr>
          <w:p w:rsidR="00A12676" w:rsidRPr="00EB40A9" w:rsidRDefault="00A12676" w:rsidP="00D74F02">
            <w:pPr>
              <w:jc w:val="center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0</w:t>
            </w:r>
          </w:p>
        </w:tc>
      </w:tr>
    </w:tbl>
    <w:p w:rsidR="0038487A" w:rsidRPr="00C81303" w:rsidRDefault="0038487A" w:rsidP="0038487A">
      <w:pPr>
        <w:rPr>
          <w:rFonts w:ascii="Barlow" w:eastAsia="Calibri" w:hAnsi="Barlow" w:cs="Arial"/>
          <w:sz w:val="20"/>
          <w:szCs w:val="20"/>
        </w:rPr>
      </w:pPr>
      <w:r w:rsidRPr="00C81303">
        <w:rPr>
          <w:rFonts w:ascii="Barlow" w:eastAsia="Calibri" w:hAnsi="Barlow" w:cs="Arial"/>
          <w:sz w:val="20"/>
          <w:szCs w:val="20"/>
        </w:rPr>
        <w:t>Bajo protesta de decir verdad declaramos que los Estados Financieros y sus notas son razonablemente correctos y</w:t>
      </w:r>
      <w:r>
        <w:rPr>
          <w:rFonts w:ascii="Barlow" w:eastAsia="Calibri" w:hAnsi="Barlow" w:cs="Arial"/>
          <w:sz w:val="20"/>
          <w:szCs w:val="20"/>
        </w:rPr>
        <w:t xml:space="preserve"> son</w:t>
      </w:r>
      <w:r w:rsidRPr="00C81303">
        <w:rPr>
          <w:rFonts w:ascii="Barlow" w:eastAsia="Calibri" w:hAnsi="Barlow" w:cs="Arial"/>
          <w:sz w:val="20"/>
          <w:szCs w:val="20"/>
        </w:rPr>
        <w:t xml:space="preserve"> responsabilidad del emisor.</w:t>
      </w:r>
    </w:p>
    <w:p w:rsidR="009E1009" w:rsidRPr="0075078F" w:rsidRDefault="009E1009" w:rsidP="0038487A">
      <w:pPr>
        <w:rPr>
          <w:rFonts w:ascii="Barlow" w:eastAsia="Calibri" w:hAnsi="Barlow" w:cs="Arial"/>
          <w:sz w:val="20"/>
          <w:szCs w:val="20"/>
        </w:rPr>
      </w:pPr>
    </w:p>
    <w:sectPr w:rsidR="009E1009" w:rsidRPr="0075078F" w:rsidSect="0038487A">
      <w:pgSz w:w="15842" w:h="12242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DB" w:rsidRDefault="006A39DB" w:rsidP="009E1009">
      <w:pPr>
        <w:spacing w:after="0" w:line="240" w:lineRule="auto"/>
      </w:pPr>
      <w:r>
        <w:separator/>
      </w:r>
    </w:p>
  </w:endnote>
  <w:endnote w:type="continuationSeparator" w:id="0">
    <w:p w:rsidR="006A39DB" w:rsidRDefault="006A39DB" w:rsidP="009E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DB" w:rsidRDefault="006A39DB" w:rsidP="009E1009">
      <w:pPr>
        <w:spacing w:after="0" w:line="240" w:lineRule="auto"/>
      </w:pPr>
      <w:r>
        <w:separator/>
      </w:r>
    </w:p>
  </w:footnote>
  <w:footnote w:type="continuationSeparator" w:id="0">
    <w:p w:rsidR="006A39DB" w:rsidRDefault="006A39DB" w:rsidP="009E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3727E"/>
    <w:rsid w:val="000427A5"/>
    <w:rsid w:val="000C6AD7"/>
    <w:rsid w:val="000D456E"/>
    <w:rsid w:val="000E10AB"/>
    <w:rsid w:val="00100497"/>
    <w:rsid w:val="00102D79"/>
    <w:rsid w:val="001074BD"/>
    <w:rsid w:val="00123EC5"/>
    <w:rsid w:val="00140A60"/>
    <w:rsid w:val="00170891"/>
    <w:rsid w:val="002208A2"/>
    <w:rsid w:val="00261877"/>
    <w:rsid w:val="00270B10"/>
    <w:rsid w:val="00284033"/>
    <w:rsid w:val="0028443F"/>
    <w:rsid w:val="00287251"/>
    <w:rsid w:val="00287F6E"/>
    <w:rsid w:val="002A3F74"/>
    <w:rsid w:val="002C2335"/>
    <w:rsid w:val="002D1AB1"/>
    <w:rsid w:val="002D3425"/>
    <w:rsid w:val="002E6983"/>
    <w:rsid w:val="00362840"/>
    <w:rsid w:val="00376A64"/>
    <w:rsid w:val="0038487A"/>
    <w:rsid w:val="003A4F6E"/>
    <w:rsid w:val="003D45D7"/>
    <w:rsid w:val="004114B9"/>
    <w:rsid w:val="00426B61"/>
    <w:rsid w:val="00431FA3"/>
    <w:rsid w:val="0046551D"/>
    <w:rsid w:val="00497302"/>
    <w:rsid w:val="00497933"/>
    <w:rsid w:val="0055167E"/>
    <w:rsid w:val="00553290"/>
    <w:rsid w:val="005B7BE7"/>
    <w:rsid w:val="005F3921"/>
    <w:rsid w:val="00663A42"/>
    <w:rsid w:val="00692525"/>
    <w:rsid w:val="006A39DB"/>
    <w:rsid w:val="006D1CAF"/>
    <w:rsid w:val="006D43BC"/>
    <w:rsid w:val="006E3FDE"/>
    <w:rsid w:val="006F51E5"/>
    <w:rsid w:val="006F5A7F"/>
    <w:rsid w:val="00703EDE"/>
    <w:rsid w:val="007127CB"/>
    <w:rsid w:val="0074387F"/>
    <w:rsid w:val="007545EB"/>
    <w:rsid w:val="00755873"/>
    <w:rsid w:val="00780748"/>
    <w:rsid w:val="007B5F78"/>
    <w:rsid w:val="007C7636"/>
    <w:rsid w:val="007F72C3"/>
    <w:rsid w:val="00812FEF"/>
    <w:rsid w:val="00820093"/>
    <w:rsid w:val="00852845"/>
    <w:rsid w:val="008843E9"/>
    <w:rsid w:val="008D658C"/>
    <w:rsid w:val="008E1111"/>
    <w:rsid w:val="008E6FAF"/>
    <w:rsid w:val="00900FA9"/>
    <w:rsid w:val="009037CA"/>
    <w:rsid w:val="00914189"/>
    <w:rsid w:val="00972909"/>
    <w:rsid w:val="009B6131"/>
    <w:rsid w:val="009C6183"/>
    <w:rsid w:val="009D0712"/>
    <w:rsid w:val="009E1009"/>
    <w:rsid w:val="009E296A"/>
    <w:rsid w:val="00A079CC"/>
    <w:rsid w:val="00A12676"/>
    <w:rsid w:val="00A309B2"/>
    <w:rsid w:val="00AF425A"/>
    <w:rsid w:val="00AF6980"/>
    <w:rsid w:val="00B06670"/>
    <w:rsid w:val="00B623F9"/>
    <w:rsid w:val="00B8181E"/>
    <w:rsid w:val="00C33E93"/>
    <w:rsid w:val="00C453CC"/>
    <w:rsid w:val="00C516CA"/>
    <w:rsid w:val="00C84AFC"/>
    <w:rsid w:val="00C92C72"/>
    <w:rsid w:val="00CE0001"/>
    <w:rsid w:val="00D55997"/>
    <w:rsid w:val="00D6168B"/>
    <w:rsid w:val="00D73D79"/>
    <w:rsid w:val="00DC3A9C"/>
    <w:rsid w:val="00DC6069"/>
    <w:rsid w:val="00DC6D91"/>
    <w:rsid w:val="00E36E9E"/>
    <w:rsid w:val="00E60D30"/>
    <w:rsid w:val="00E6267D"/>
    <w:rsid w:val="00EA533F"/>
    <w:rsid w:val="00ED3D4F"/>
    <w:rsid w:val="00F13DE7"/>
    <w:rsid w:val="00F80D5D"/>
    <w:rsid w:val="00F82AE1"/>
    <w:rsid w:val="00FC6643"/>
    <w:rsid w:val="00FD3175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F600"/>
  <w15:docId w15:val="{92334FE0-801E-4729-BA4C-45CDE680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E1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1009"/>
  </w:style>
  <w:style w:type="paragraph" w:styleId="Piedepgina">
    <w:name w:val="footer"/>
    <w:basedOn w:val="Normal"/>
    <w:link w:val="PiedepginaCar"/>
    <w:uiPriority w:val="99"/>
    <w:semiHidden/>
    <w:unhideWhenUsed/>
    <w:rsid w:val="009E1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1009"/>
  </w:style>
  <w:style w:type="table" w:styleId="Tablaconcuadrcula">
    <w:name w:val="Table Grid"/>
    <w:basedOn w:val="Tablanormal"/>
    <w:uiPriority w:val="59"/>
    <w:rsid w:val="009E1009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848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2</cp:revision>
  <cp:lastPrinted>2021-02-11T18:07:00Z</cp:lastPrinted>
  <dcterms:created xsi:type="dcterms:W3CDTF">2022-04-25T19:13:00Z</dcterms:created>
  <dcterms:modified xsi:type="dcterms:W3CDTF">2022-04-25T19:13:00Z</dcterms:modified>
</cp:coreProperties>
</file>