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CE7" w:rsidRDefault="00D40CE7" w:rsidP="00D40CE7">
      <w:pPr>
        <w:autoSpaceDE w:val="0"/>
        <w:autoSpaceDN w:val="0"/>
        <w:adjustRightInd w:val="0"/>
        <w:spacing w:line="360" w:lineRule="auto"/>
        <w:jc w:val="center"/>
        <w:rPr>
          <w:rFonts w:ascii="Barlow" w:hAnsi="Barlow"/>
          <w:b/>
          <w:sz w:val="20"/>
          <w:szCs w:val="20"/>
        </w:rPr>
      </w:pPr>
      <w:r>
        <w:rPr>
          <w:rFonts w:ascii="Barlow" w:hAnsi="Barlow"/>
          <w:b/>
          <w:sz w:val="20"/>
          <w:szCs w:val="20"/>
        </w:rPr>
        <w:t>Notas a los Estados Financier</w:t>
      </w:r>
      <w:bookmarkStart w:id="0" w:name="_GoBack"/>
      <w:bookmarkEnd w:id="0"/>
      <w:r>
        <w:rPr>
          <w:rFonts w:ascii="Barlow" w:hAnsi="Barlow"/>
          <w:b/>
          <w:sz w:val="20"/>
          <w:szCs w:val="20"/>
        </w:rPr>
        <w:t xml:space="preserve">os </w:t>
      </w:r>
    </w:p>
    <w:p w:rsidR="00D40CE7" w:rsidRDefault="00D40CE7" w:rsidP="00D40CE7">
      <w:pPr>
        <w:autoSpaceDE w:val="0"/>
        <w:autoSpaceDN w:val="0"/>
        <w:adjustRightInd w:val="0"/>
        <w:spacing w:line="360" w:lineRule="auto"/>
        <w:jc w:val="center"/>
        <w:rPr>
          <w:rFonts w:ascii="Barlow" w:hAnsi="Barlow"/>
          <w:b/>
          <w:sz w:val="20"/>
          <w:szCs w:val="20"/>
        </w:rPr>
      </w:pPr>
      <w:r>
        <w:rPr>
          <w:rFonts w:ascii="Barlow" w:hAnsi="Barlow"/>
          <w:b/>
          <w:sz w:val="20"/>
          <w:szCs w:val="20"/>
        </w:rPr>
        <w:t>Al 31 de enero de 2022</w:t>
      </w:r>
    </w:p>
    <w:p w:rsidR="00D40CE7" w:rsidRDefault="00D40CE7" w:rsidP="00D40CE7">
      <w:pPr>
        <w:autoSpaceDE w:val="0"/>
        <w:autoSpaceDN w:val="0"/>
        <w:adjustRightInd w:val="0"/>
        <w:spacing w:line="360" w:lineRule="auto"/>
        <w:jc w:val="center"/>
        <w:rPr>
          <w:rFonts w:ascii="Barlow" w:hAnsi="Barlow"/>
          <w:b/>
          <w:sz w:val="20"/>
          <w:szCs w:val="20"/>
        </w:rPr>
      </w:pPr>
      <w:r>
        <w:rPr>
          <w:rFonts w:ascii="Barlow" w:hAnsi="Barlow"/>
          <w:b/>
          <w:sz w:val="20"/>
          <w:szCs w:val="20"/>
        </w:rPr>
        <w:t>(Cifras en Pesos)</w:t>
      </w:r>
    </w:p>
    <w:p w:rsidR="00D40CE7" w:rsidRDefault="00D40CE7" w:rsidP="00D40CE7">
      <w:pPr>
        <w:autoSpaceDE w:val="0"/>
        <w:autoSpaceDN w:val="0"/>
        <w:adjustRightInd w:val="0"/>
        <w:spacing w:line="360" w:lineRule="auto"/>
        <w:rPr>
          <w:rFonts w:ascii="Barlow" w:hAnsi="Barlow"/>
          <w:b/>
          <w:sz w:val="20"/>
          <w:szCs w:val="20"/>
        </w:rPr>
      </w:pPr>
    </w:p>
    <w:p w:rsidR="00D40CE7" w:rsidRDefault="00D40CE7" w:rsidP="00D40CE7">
      <w:pPr>
        <w:autoSpaceDE w:val="0"/>
        <w:autoSpaceDN w:val="0"/>
        <w:adjustRightInd w:val="0"/>
        <w:spacing w:line="360" w:lineRule="auto"/>
        <w:rPr>
          <w:rFonts w:ascii="Barlow" w:hAnsi="Barlow"/>
          <w:b/>
          <w:sz w:val="20"/>
          <w:szCs w:val="20"/>
        </w:rPr>
      </w:pPr>
      <w:r>
        <w:rPr>
          <w:rFonts w:ascii="Barlow" w:hAnsi="Barlow"/>
          <w:b/>
          <w:sz w:val="20"/>
          <w:szCs w:val="20"/>
        </w:rPr>
        <w:t>Ente Público:  FIDEICOMISO FONDO DE ANTENCIÓN A VÍCTIMAS DEL DELITO</w:t>
      </w:r>
    </w:p>
    <w:p w:rsidR="00D40CE7" w:rsidRPr="00D40CE7" w:rsidRDefault="00D40CE7" w:rsidP="00D40CE7">
      <w:pPr>
        <w:autoSpaceDE w:val="0"/>
        <w:autoSpaceDN w:val="0"/>
        <w:adjustRightInd w:val="0"/>
        <w:spacing w:line="360" w:lineRule="auto"/>
        <w:rPr>
          <w:rFonts w:ascii="Barlow" w:hAnsi="Barlow"/>
          <w:b/>
          <w:sz w:val="20"/>
          <w:szCs w:val="20"/>
        </w:rPr>
      </w:pPr>
    </w:p>
    <w:p w:rsidR="008273DF" w:rsidRPr="00D40CE7" w:rsidRDefault="00C4137E"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 xml:space="preserve">Con el </w:t>
      </w:r>
      <w:r w:rsidR="00291770" w:rsidRPr="00D40CE7">
        <w:rPr>
          <w:rFonts w:ascii="Barlow" w:hAnsi="Barlow" w:cs="Arial"/>
          <w:b/>
          <w:sz w:val="20"/>
          <w:szCs w:val="20"/>
        </w:rPr>
        <w:t>propósito</w:t>
      </w:r>
      <w:r w:rsidRPr="00D40CE7">
        <w:rPr>
          <w:rFonts w:ascii="Barlow" w:hAnsi="Barlow" w:cs="Arial"/>
          <w:b/>
          <w:sz w:val="20"/>
          <w:szCs w:val="20"/>
        </w:rPr>
        <w:t xml:space="preserve"> de dar cumplimiento a los </w:t>
      </w:r>
      <w:r w:rsidR="00291770" w:rsidRPr="00D40CE7">
        <w:rPr>
          <w:rFonts w:ascii="Barlow" w:hAnsi="Barlow" w:cs="Arial"/>
          <w:b/>
          <w:sz w:val="20"/>
          <w:szCs w:val="20"/>
        </w:rPr>
        <w:t>artículos</w:t>
      </w:r>
      <w:r w:rsidR="005A2D1D" w:rsidRPr="00D40CE7">
        <w:rPr>
          <w:rFonts w:ascii="Barlow" w:hAnsi="Barlow" w:cs="Arial"/>
          <w:b/>
          <w:sz w:val="20"/>
          <w:szCs w:val="20"/>
        </w:rPr>
        <w:t xml:space="preserve"> 46</w:t>
      </w:r>
      <w:r w:rsidR="00956BB5" w:rsidRPr="00D40CE7">
        <w:rPr>
          <w:rFonts w:ascii="Barlow" w:hAnsi="Barlow" w:cs="Arial"/>
          <w:b/>
          <w:sz w:val="20"/>
          <w:szCs w:val="20"/>
        </w:rPr>
        <w:t xml:space="preserve"> y</w:t>
      </w:r>
      <w:r w:rsidR="005A2D1D" w:rsidRPr="00D40CE7">
        <w:rPr>
          <w:rFonts w:ascii="Barlow" w:hAnsi="Barlow" w:cs="Arial"/>
          <w:b/>
          <w:sz w:val="20"/>
          <w:szCs w:val="20"/>
        </w:rPr>
        <w:t xml:space="preserve"> 49 de la Ley General de Contabilidad Gubernamental, </w:t>
      </w:r>
      <w:r w:rsidRPr="00D40CE7">
        <w:rPr>
          <w:rFonts w:ascii="Barlow" w:hAnsi="Barlow" w:cs="Arial"/>
          <w:b/>
          <w:sz w:val="20"/>
          <w:szCs w:val="20"/>
        </w:rPr>
        <w:t xml:space="preserve">el </w:t>
      </w:r>
      <w:r w:rsidR="007B50DC" w:rsidRPr="00D40CE7">
        <w:rPr>
          <w:rFonts w:ascii="Barlow" w:hAnsi="Barlow" w:cs="Arial"/>
          <w:b/>
          <w:sz w:val="20"/>
          <w:szCs w:val="20"/>
        </w:rPr>
        <w:t>Fideicomiso</w:t>
      </w:r>
      <w:r w:rsidRPr="00D40CE7">
        <w:rPr>
          <w:rFonts w:ascii="Barlow" w:hAnsi="Barlow" w:cs="Arial"/>
          <w:b/>
          <w:sz w:val="20"/>
          <w:szCs w:val="20"/>
        </w:rPr>
        <w:t xml:space="preserve"> del Estado de Yucatán, ha preparado los Estados Financieros incluyendo las operacion</w:t>
      </w:r>
      <w:r w:rsidR="00A025E5" w:rsidRPr="00D40CE7">
        <w:rPr>
          <w:rFonts w:ascii="Barlow" w:hAnsi="Barlow" w:cs="Arial"/>
          <w:b/>
          <w:sz w:val="20"/>
          <w:szCs w:val="20"/>
        </w:rPr>
        <w:t xml:space="preserve">es efectuadas al </w:t>
      </w:r>
      <w:r w:rsidR="00310074" w:rsidRPr="00D40CE7">
        <w:rPr>
          <w:rFonts w:ascii="Barlow" w:hAnsi="Barlow" w:cs="Arial"/>
          <w:b/>
          <w:sz w:val="20"/>
          <w:szCs w:val="20"/>
        </w:rPr>
        <w:t>3</w:t>
      </w:r>
      <w:r w:rsidR="00C97900" w:rsidRPr="00D40CE7">
        <w:rPr>
          <w:rFonts w:ascii="Barlow" w:hAnsi="Barlow" w:cs="Arial"/>
          <w:b/>
          <w:sz w:val="20"/>
          <w:szCs w:val="20"/>
        </w:rPr>
        <w:t>1</w:t>
      </w:r>
      <w:r w:rsidR="00A025E5" w:rsidRPr="00D40CE7">
        <w:rPr>
          <w:rFonts w:ascii="Barlow" w:hAnsi="Barlow" w:cs="Arial"/>
          <w:b/>
          <w:sz w:val="20"/>
          <w:szCs w:val="20"/>
        </w:rPr>
        <w:t xml:space="preserve"> de </w:t>
      </w:r>
      <w:r w:rsidR="00D40CE7" w:rsidRPr="00D40CE7">
        <w:rPr>
          <w:rFonts w:ascii="Barlow" w:hAnsi="Barlow" w:cs="Arial"/>
          <w:b/>
          <w:sz w:val="20"/>
          <w:szCs w:val="20"/>
        </w:rPr>
        <w:t>enero</w:t>
      </w:r>
      <w:r w:rsidR="00AE6870" w:rsidRPr="00D40CE7">
        <w:rPr>
          <w:rFonts w:ascii="Barlow" w:hAnsi="Barlow" w:cs="Arial"/>
          <w:b/>
          <w:sz w:val="20"/>
          <w:szCs w:val="20"/>
        </w:rPr>
        <w:t xml:space="preserve"> de 2022</w:t>
      </w:r>
      <w:r w:rsidRPr="00D40CE7">
        <w:rPr>
          <w:rFonts w:ascii="Barlow" w:hAnsi="Barlow" w:cs="Arial"/>
          <w:b/>
          <w:sz w:val="20"/>
          <w:szCs w:val="20"/>
        </w:rPr>
        <w:t>.</w:t>
      </w:r>
    </w:p>
    <w:p w:rsidR="009F3293" w:rsidRPr="00D40CE7" w:rsidRDefault="009F3293" w:rsidP="00C4137E">
      <w:pPr>
        <w:autoSpaceDE w:val="0"/>
        <w:autoSpaceDN w:val="0"/>
        <w:adjustRightInd w:val="0"/>
        <w:spacing w:line="360" w:lineRule="auto"/>
        <w:jc w:val="both"/>
        <w:rPr>
          <w:rFonts w:ascii="Barlow" w:hAnsi="Barlow" w:cs="Arial"/>
          <w:b/>
          <w:sz w:val="20"/>
          <w:szCs w:val="20"/>
        </w:rPr>
      </w:pPr>
    </w:p>
    <w:p w:rsidR="008273DF" w:rsidRPr="00D40CE7" w:rsidRDefault="008273DF" w:rsidP="00C4137E">
      <w:pPr>
        <w:pStyle w:val="Prrafodelista"/>
        <w:numPr>
          <w:ilvl w:val="0"/>
          <w:numId w:val="42"/>
        </w:num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NOTAS DE DESGLOCE</w:t>
      </w:r>
    </w:p>
    <w:p w:rsidR="00E232CB" w:rsidRPr="00D40CE7" w:rsidRDefault="00E232CB" w:rsidP="001C5430">
      <w:pPr>
        <w:autoSpaceDE w:val="0"/>
        <w:autoSpaceDN w:val="0"/>
        <w:adjustRightInd w:val="0"/>
        <w:spacing w:line="360" w:lineRule="auto"/>
        <w:ind w:left="360"/>
        <w:jc w:val="both"/>
        <w:rPr>
          <w:rFonts w:ascii="Barlow" w:hAnsi="Barlow" w:cs="Arial"/>
          <w:b/>
          <w:sz w:val="20"/>
          <w:szCs w:val="20"/>
        </w:rPr>
      </w:pPr>
    </w:p>
    <w:p w:rsidR="008273DF" w:rsidRPr="00D40CE7" w:rsidRDefault="0045528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I</w:t>
      </w:r>
      <w:r w:rsidR="008273DF" w:rsidRPr="00D40CE7">
        <w:rPr>
          <w:rFonts w:ascii="Barlow" w:hAnsi="Barlow" w:cs="Arial"/>
          <w:b/>
          <w:sz w:val="20"/>
          <w:szCs w:val="20"/>
        </w:rPr>
        <w:t>) NOTAS AL ESTADO DE SITUACIÓN FINANCIERA.</w:t>
      </w:r>
    </w:p>
    <w:p w:rsidR="008273DF" w:rsidRPr="00D40CE7" w:rsidRDefault="008273DF"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Activo</w:t>
      </w:r>
    </w:p>
    <w:p w:rsidR="008273DF" w:rsidRPr="00D40CE7" w:rsidRDefault="008273DF"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Efectivo y Equivalentes</w:t>
      </w:r>
    </w:p>
    <w:p w:rsidR="00A025E5" w:rsidRPr="00D40CE7" w:rsidRDefault="008273DF"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1.- La cuenta de bancos y la de inversiones temporales que integra el </w:t>
      </w:r>
      <w:r w:rsidR="000B5E21" w:rsidRPr="00D40CE7">
        <w:rPr>
          <w:rFonts w:ascii="Barlow" w:hAnsi="Barlow" w:cs="Arial"/>
          <w:sz w:val="20"/>
          <w:szCs w:val="20"/>
        </w:rPr>
        <w:t>100</w:t>
      </w:r>
      <w:r w:rsidR="00D40CE7" w:rsidRPr="00D40CE7">
        <w:rPr>
          <w:rFonts w:ascii="Barlow" w:hAnsi="Barlow" w:cs="Arial"/>
          <w:sz w:val="20"/>
          <w:szCs w:val="20"/>
        </w:rPr>
        <w:t>% de</w:t>
      </w:r>
      <w:r w:rsidRPr="00D40CE7">
        <w:rPr>
          <w:rFonts w:ascii="Barlow" w:hAnsi="Barlow" w:cs="Arial"/>
          <w:sz w:val="20"/>
          <w:szCs w:val="20"/>
        </w:rPr>
        <w:t xml:space="preserve"> la cuenta de efectivo y equivalentes se encuentra integrada por tipo de cuenta bancaria de la siguiente manera:</w:t>
      </w:r>
    </w:p>
    <w:p w:rsidR="00AB20FB" w:rsidRDefault="00AB20FB" w:rsidP="00C4137E">
      <w:pPr>
        <w:autoSpaceDE w:val="0"/>
        <w:autoSpaceDN w:val="0"/>
        <w:adjustRightInd w:val="0"/>
        <w:spacing w:line="360" w:lineRule="auto"/>
        <w:jc w:val="both"/>
        <w:rPr>
          <w:rFonts w:ascii="Barlow" w:hAnsi="Barlow" w:cs="Arial"/>
          <w:sz w:val="20"/>
          <w:szCs w:val="20"/>
        </w:rPr>
      </w:pPr>
    </w:p>
    <w:p w:rsidR="00D40CE7" w:rsidRDefault="00D40CE7" w:rsidP="00C4137E">
      <w:pPr>
        <w:autoSpaceDE w:val="0"/>
        <w:autoSpaceDN w:val="0"/>
        <w:adjustRightInd w:val="0"/>
        <w:spacing w:line="360" w:lineRule="auto"/>
        <w:jc w:val="both"/>
        <w:rPr>
          <w:rFonts w:ascii="Barlow" w:hAnsi="Barlow" w:cs="Arial"/>
          <w:sz w:val="20"/>
          <w:szCs w:val="20"/>
        </w:rPr>
      </w:pPr>
    </w:p>
    <w:p w:rsidR="00D40CE7" w:rsidRDefault="00D40CE7" w:rsidP="00C4137E">
      <w:pPr>
        <w:autoSpaceDE w:val="0"/>
        <w:autoSpaceDN w:val="0"/>
        <w:adjustRightInd w:val="0"/>
        <w:spacing w:line="360" w:lineRule="auto"/>
        <w:jc w:val="both"/>
        <w:rPr>
          <w:rFonts w:ascii="Barlow" w:hAnsi="Barlow" w:cs="Arial"/>
          <w:sz w:val="20"/>
          <w:szCs w:val="20"/>
        </w:rPr>
      </w:pPr>
    </w:p>
    <w:p w:rsidR="00D40CE7" w:rsidRPr="00D40CE7" w:rsidRDefault="00D40CE7" w:rsidP="00C4137E">
      <w:pPr>
        <w:autoSpaceDE w:val="0"/>
        <w:autoSpaceDN w:val="0"/>
        <w:adjustRightInd w:val="0"/>
        <w:spacing w:line="360" w:lineRule="auto"/>
        <w:jc w:val="both"/>
        <w:rPr>
          <w:rFonts w:ascii="Barlow" w:hAnsi="Barlow" w:cs="Arial"/>
          <w:sz w:val="20"/>
          <w:szCs w:val="20"/>
        </w:rPr>
      </w:pPr>
    </w:p>
    <w:p w:rsidR="00AB20FB" w:rsidRPr="00D40CE7" w:rsidRDefault="00AB20FB" w:rsidP="00C4137E">
      <w:pPr>
        <w:autoSpaceDE w:val="0"/>
        <w:autoSpaceDN w:val="0"/>
        <w:adjustRightInd w:val="0"/>
        <w:spacing w:line="360" w:lineRule="auto"/>
        <w:jc w:val="both"/>
        <w:rPr>
          <w:rFonts w:ascii="Barlow" w:hAnsi="Barlow" w:cs="Arial"/>
          <w:sz w:val="20"/>
          <w:szCs w:val="20"/>
        </w:rPr>
      </w:pPr>
    </w:p>
    <w:tbl>
      <w:tblPr>
        <w:tblW w:w="5833" w:type="dxa"/>
        <w:jc w:val="center"/>
        <w:tblLook w:val="04A0" w:firstRow="1" w:lastRow="0" w:firstColumn="1" w:lastColumn="0" w:noHBand="0" w:noVBand="1"/>
      </w:tblPr>
      <w:tblGrid>
        <w:gridCol w:w="1824"/>
        <w:gridCol w:w="1088"/>
        <w:gridCol w:w="2921"/>
      </w:tblGrid>
      <w:tr w:rsidR="00A025E5" w:rsidRPr="00D40CE7" w:rsidTr="008273DF">
        <w:trPr>
          <w:trHeight w:val="420"/>
          <w:jc w:val="center"/>
        </w:trPr>
        <w:tc>
          <w:tcPr>
            <w:tcW w:w="0" w:type="auto"/>
            <w:shd w:val="clear" w:color="auto" w:fill="auto"/>
          </w:tcPr>
          <w:p w:rsidR="008273DF" w:rsidRPr="00D40CE7" w:rsidRDefault="008273DF" w:rsidP="00C4137E">
            <w:pPr>
              <w:autoSpaceDE w:val="0"/>
              <w:autoSpaceDN w:val="0"/>
              <w:adjustRightInd w:val="0"/>
              <w:spacing w:line="360" w:lineRule="auto"/>
              <w:jc w:val="both"/>
              <w:rPr>
                <w:rFonts w:ascii="Barlow" w:hAnsi="Barlow" w:cs="Arial"/>
                <w:b/>
                <w:sz w:val="20"/>
                <w:szCs w:val="20"/>
              </w:rPr>
            </w:pPr>
            <w:bookmarkStart w:id="1" w:name="m1"/>
            <w:bookmarkEnd w:id="1"/>
            <w:r w:rsidRPr="00D40CE7">
              <w:rPr>
                <w:rFonts w:ascii="Barlow" w:hAnsi="Barlow" w:cs="Arial"/>
                <w:b/>
                <w:sz w:val="20"/>
                <w:szCs w:val="20"/>
              </w:rPr>
              <w:lastRenderedPageBreak/>
              <w:t>Tipo de Banco</w:t>
            </w:r>
            <w:r w:rsidR="00A025E5" w:rsidRPr="00D40CE7">
              <w:rPr>
                <w:rFonts w:ascii="Barlow" w:hAnsi="Barlow" w:cs="Arial"/>
                <w:b/>
                <w:sz w:val="20"/>
                <w:szCs w:val="20"/>
              </w:rPr>
              <w:t xml:space="preserve">                    </w:t>
            </w:r>
          </w:p>
        </w:tc>
        <w:tc>
          <w:tcPr>
            <w:tcW w:w="0" w:type="auto"/>
            <w:shd w:val="clear" w:color="auto" w:fill="auto"/>
          </w:tcPr>
          <w:p w:rsidR="008273DF" w:rsidRPr="00D40CE7" w:rsidRDefault="008273DF" w:rsidP="002E6169">
            <w:pPr>
              <w:autoSpaceDE w:val="0"/>
              <w:autoSpaceDN w:val="0"/>
              <w:adjustRightInd w:val="0"/>
              <w:spacing w:line="360" w:lineRule="auto"/>
              <w:jc w:val="right"/>
              <w:rPr>
                <w:rFonts w:ascii="Barlow" w:hAnsi="Barlow" w:cs="Arial"/>
                <w:b/>
                <w:sz w:val="20"/>
                <w:szCs w:val="20"/>
              </w:rPr>
            </w:pPr>
            <w:r w:rsidRPr="00D40CE7">
              <w:rPr>
                <w:rFonts w:ascii="Barlow" w:hAnsi="Barlow" w:cs="Arial"/>
                <w:b/>
                <w:sz w:val="20"/>
                <w:szCs w:val="20"/>
              </w:rPr>
              <w:t>Bancos</w:t>
            </w:r>
          </w:p>
        </w:tc>
        <w:tc>
          <w:tcPr>
            <w:tcW w:w="0" w:type="auto"/>
            <w:shd w:val="clear" w:color="auto" w:fill="auto"/>
          </w:tcPr>
          <w:p w:rsidR="008273DF" w:rsidRPr="00D40CE7" w:rsidRDefault="008273DF" w:rsidP="002E6169">
            <w:pPr>
              <w:autoSpaceDE w:val="0"/>
              <w:autoSpaceDN w:val="0"/>
              <w:adjustRightInd w:val="0"/>
              <w:spacing w:line="360" w:lineRule="auto"/>
              <w:jc w:val="right"/>
              <w:rPr>
                <w:rFonts w:ascii="Barlow" w:hAnsi="Barlow" w:cs="Arial"/>
                <w:b/>
                <w:sz w:val="20"/>
                <w:szCs w:val="20"/>
              </w:rPr>
            </w:pPr>
            <w:r w:rsidRPr="00D40CE7">
              <w:rPr>
                <w:rFonts w:ascii="Barlow" w:hAnsi="Barlow" w:cs="Arial"/>
                <w:b/>
                <w:sz w:val="20"/>
                <w:szCs w:val="20"/>
              </w:rPr>
              <w:t>Inversiones Temporales</w:t>
            </w:r>
          </w:p>
        </w:tc>
      </w:tr>
      <w:tr w:rsidR="00A025E5" w:rsidRPr="00D40CE7" w:rsidTr="008273DF">
        <w:trPr>
          <w:trHeight w:val="437"/>
          <w:jc w:val="center"/>
        </w:trPr>
        <w:tc>
          <w:tcPr>
            <w:tcW w:w="0" w:type="auto"/>
            <w:shd w:val="clear" w:color="auto" w:fill="auto"/>
          </w:tcPr>
          <w:p w:rsidR="008273DF" w:rsidRPr="00D40CE7" w:rsidRDefault="008273DF"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TOTAL</w:t>
            </w:r>
          </w:p>
        </w:tc>
        <w:tc>
          <w:tcPr>
            <w:tcW w:w="0" w:type="auto"/>
            <w:tcBorders>
              <w:top w:val="single" w:sz="4" w:space="0" w:color="auto"/>
              <w:bottom w:val="single" w:sz="4" w:space="0" w:color="auto"/>
            </w:tcBorders>
            <w:shd w:val="clear" w:color="auto" w:fill="auto"/>
          </w:tcPr>
          <w:p w:rsidR="008273DF" w:rsidRPr="00D40CE7" w:rsidRDefault="000B5E21" w:rsidP="00A025E5">
            <w:pPr>
              <w:autoSpaceDE w:val="0"/>
              <w:autoSpaceDN w:val="0"/>
              <w:adjustRightInd w:val="0"/>
              <w:spacing w:line="360" w:lineRule="auto"/>
              <w:jc w:val="right"/>
              <w:rPr>
                <w:rFonts w:ascii="Barlow" w:hAnsi="Barlow" w:cs="Arial"/>
                <w:b/>
                <w:sz w:val="20"/>
                <w:szCs w:val="20"/>
              </w:rPr>
            </w:pPr>
            <w:r w:rsidRPr="00D40CE7">
              <w:rPr>
                <w:rFonts w:ascii="Barlow" w:hAnsi="Barlow" w:cs="Arial"/>
                <w:b/>
                <w:sz w:val="20"/>
                <w:szCs w:val="20"/>
              </w:rPr>
              <w:t>0.00</w:t>
            </w:r>
          </w:p>
        </w:tc>
        <w:tc>
          <w:tcPr>
            <w:tcW w:w="0" w:type="auto"/>
            <w:tcBorders>
              <w:top w:val="single" w:sz="4" w:space="0" w:color="auto"/>
              <w:bottom w:val="single" w:sz="4" w:space="0" w:color="auto"/>
            </w:tcBorders>
            <w:shd w:val="clear" w:color="auto" w:fill="auto"/>
          </w:tcPr>
          <w:p w:rsidR="008273DF" w:rsidRPr="00D40CE7" w:rsidRDefault="00AE6870" w:rsidP="006230F3">
            <w:pPr>
              <w:autoSpaceDE w:val="0"/>
              <w:autoSpaceDN w:val="0"/>
              <w:adjustRightInd w:val="0"/>
              <w:spacing w:line="360" w:lineRule="auto"/>
              <w:jc w:val="right"/>
              <w:rPr>
                <w:rFonts w:ascii="Barlow" w:hAnsi="Barlow" w:cs="Arial"/>
                <w:b/>
                <w:sz w:val="20"/>
                <w:szCs w:val="20"/>
              </w:rPr>
            </w:pPr>
            <w:r w:rsidRPr="00D40CE7">
              <w:rPr>
                <w:rFonts w:ascii="Barlow" w:hAnsi="Barlow" w:cs="Arial"/>
                <w:b/>
                <w:sz w:val="20"/>
                <w:szCs w:val="20"/>
              </w:rPr>
              <w:t>0</w:t>
            </w:r>
            <w:r w:rsidR="006230F3" w:rsidRPr="00D40CE7">
              <w:rPr>
                <w:rFonts w:ascii="Barlow" w:hAnsi="Barlow" w:cs="Arial"/>
                <w:b/>
                <w:sz w:val="20"/>
                <w:szCs w:val="20"/>
              </w:rPr>
              <w:t>.</w:t>
            </w:r>
            <w:r w:rsidRPr="00D40CE7">
              <w:rPr>
                <w:rFonts w:ascii="Barlow" w:hAnsi="Barlow" w:cs="Arial"/>
                <w:b/>
                <w:sz w:val="20"/>
                <w:szCs w:val="20"/>
              </w:rPr>
              <w:t>00</w:t>
            </w:r>
          </w:p>
        </w:tc>
      </w:tr>
    </w:tbl>
    <w:p w:rsidR="00D40CE7" w:rsidRDefault="00D40CE7" w:rsidP="00C4137E">
      <w:pPr>
        <w:autoSpaceDE w:val="0"/>
        <w:autoSpaceDN w:val="0"/>
        <w:adjustRightInd w:val="0"/>
        <w:spacing w:line="360" w:lineRule="auto"/>
        <w:jc w:val="both"/>
        <w:rPr>
          <w:rFonts w:ascii="Barlow" w:hAnsi="Barlow" w:cs="Arial"/>
          <w:sz w:val="20"/>
          <w:szCs w:val="20"/>
        </w:rPr>
      </w:pPr>
    </w:p>
    <w:p w:rsidR="008273DF" w:rsidRPr="00D40CE7" w:rsidRDefault="00490849"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Esta información resulta de las operaciones sobre los recursos disponibles en cuentas bancarias, del ente público y que están asociadas a los recursos financieros que el </w:t>
      </w:r>
      <w:r w:rsidR="007B50DC" w:rsidRPr="00D40CE7">
        <w:rPr>
          <w:rFonts w:ascii="Barlow" w:hAnsi="Barlow" w:cs="Arial"/>
          <w:sz w:val="20"/>
          <w:szCs w:val="20"/>
        </w:rPr>
        <w:t>Fideicomiso</w:t>
      </w:r>
      <w:r w:rsidRPr="00D40CE7">
        <w:rPr>
          <w:rFonts w:ascii="Barlow" w:hAnsi="Barlow" w:cs="Arial"/>
          <w:sz w:val="20"/>
          <w:szCs w:val="20"/>
        </w:rPr>
        <w:t>, concentra, custodia y administra principalmente en la Secretaría de Administración y Finanzas y en menor medida, aquellos que están en poder de las Unidades Ejecutoras del Gasto del Sector Central.</w:t>
      </w:r>
    </w:p>
    <w:p w:rsidR="00490849" w:rsidRPr="00D40CE7" w:rsidRDefault="00490849" w:rsidP="00C4137E">
      <w:pPr>
        <w:autoSpaceDE w:val="0"/>
        <w:autoSpaceDN w:val="0"/>
        <w:adjustRightInd w:val="0"/>
        <w:spacing w:line="360" w:lineRule="auto"/>
        <w:jc w:val="both"/>
        <w:rPr>
          <w:rFonts w:ascii="Barlow" w:hAnsi="Barlow" w:cs="Arial"/>
          <w:sz w:val="20"/>
          <w:szCs w:val="20"/>
        </w:rPr>
      </w:pPr>
    </w:p>
    <w:p w:rsidR="008273DF" w:rsidRPr="00D40CE7" w:rsidRDefault="008273DF"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Derechos a Recibir Efectivo y Equivalentes y Bienes y Servicios a Recibir</w:t>
      </w:r>
    </w:p>
    <w:p w:rsidR="008273DF" w:rsidRPr="00D40CE7" w:rsidRDefault="008273DF"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2. </w:t>
      </w:r>
      <w:r w:rsidR="000B5E21" w:rsidRPr="00D40CE7">
        <w:rPr>
          <w:rFonts w:ascii="Barlow" w:hAnsi="Barlow" w:cs="Arial"/>
          <w:sz w:val="20"/>
          <w:szCs w:val="20"/>
        </w:rPr>
        <w:t>Ninguno</w:t>
      </w:r>
    </w:p>
    <w:p w:rsidR="008273DF" w:rsidRPr="00D40CE7" w:rsidRDefault="008273DF" w:rsidP="00C4137E">
      <w:pPr>
        <w:autoSpaceDE w:val="0"/>
        <w:autoSpaceDN w:val="0"/>
        <w:adjustRightInd w:val="0"/>
        <w:spacing w:line="360" w:lineRule="auto"/>
        <w:jc w:val="both"/>
        <w:rPr>
          <w:rFonts w:ascii="Barlow" w:hAnsi="Barlow" w:cs="Arial"/>
          <w:sz w:val="20"/>
          <w:szCs w:val="20"/>
        </w:rPr>
      </w:pPr>
    </w:p>
    <w:p w:rsidR="008273DF" w:rsidRPr="00D40CE7" w:rsidRDefault="000C4DE4"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3</w:t>
      </w:r>
      <w:r w:rsidR="008273DF" w:rsidRPr="00D40CE7">
        <w:rPr>
          <w:rFonts w:ascii="Barlow" w:hAnsi="Barlow" w:cs="Arial"/>
          <w:sz w:val="20"/>
          <w:szCs w:val="20"/>
        </w:rPr>
        <w:t>.- La cuenta derechos a recibir efectivo o equivalentes, presenta cuentas por cobrar las cuales, se encuentran integradas de la siguiente manera:</w:t>
      </w:r>
    </w:p>
    <w:tbl>
      <w:tblPr>
        <w:tblW w:w="0" w:type="auto"/>
        <w:jc w:val="center"/>
        <w:tblLook w:val="04A0" w:firstRow="1" w:lastRow="0" w:firstColumn="1" w:lastColumn="0" w:noHBand="0" w:noVBand="1"/>
      </w:tblPr>
      <w:tblGrid>
        <w:gridCol w:w="4793"/>
        <w:gridCol w:w="950"/>
      </w:tblGrid>
      <w:tr w:rsidR="00F439F8" w:rsidRPr="00D40CE7" w:rsidTr="00455288">
        <w:trPr>
          <w:jc w:val="center"/>
        </w:trPr>
        <w:tc>
          <w:tcPr>
            <w:tcW w:w="0" w:type="auto"/>
            <w:shd w:val="clear" w:color="auto" w:fill="auto"/>
          </w:tcPr>
          <w:p w:rsidR="00F439F8" w:rsidRPr="00D40CE7" w:rsidRDefault="00F439F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DERECHOS A RECIBIR EFECTIVO Y EQUIVALENTES</w:t>
            </w:r>
          </w:p>
        </w:tc>
        <w:tc>
          <w:tcPr>
            <w:tcW w:w="0" w:type="auto"/>
            <w:shd w:val="clear" w:color="auto" w:fill="auto"/>
          </w:tcPr>
          <w:p w:rsidR="00F439F8" w:rsidRPr="00D40CE7" w:rsidRDefault="000B5E21"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Ninguno</w:t>
            </w:r>
          </w:p>
        </w:tc>
      </w:tr>
      <w:tr w:rsidR="008273DF" w:rsidRPr="00D40CE7" w:rsidTr="002E6169">
        <w:trPr>
          <w:trHeight w:val="95"/>
          <w:jc w:val="center"/>
        </w:trPr>
        <w:tc>
          <w:tcPr>
            <w:tcW w:w="0" w:type="auto"/>
            <w:shd w:val="clear" w:color="auto" w:fill="auto"/>
          </w:tcPr>
          <w:p w:rsidR="008273DF" w:rsidRPr="00D40CE7" w:rsidRDefault="008273DF" w:rsidP="00C4137E">
            <w:pPr>
              <w:autoSpaceDE w:val="0"/>
              <w:autoSpaceDN w:val="0"/>
              <w:adjustRightInd w:val="0"/>
              <w:spacing w:line="360" w:lineRule="auto"/>
              <w:jc w:val="both"/>
              <w:rPr>
                <w:rFonts w:ascii="Barlow" w:hAnsi="Barlow" w:cs="Arial"/>
                <w:b/>
                <w:sz w:val="20"/>
                <w:szCs w:val="20"/>
              </w:rPr>
            </w:pPr>
            <w:bookmarkStart w:id="2" w:name="m2"/>
            <w:bookmarkEnd w:id="2"/>
            <w:r w:rsidRPr="00D40CE7">
              <w:rPr>
                <w:rFonts w:ascii="Barlow" w:hAnsi="Barlow" w:cs="Arial"/>
                <w:b/>
                <w:sz w:val="20"/>
                <w:szCs w:val="20"/>
              </w:rPr>
              <w:t>CUENTAS POR COBRAR A CORTO PLAZO</w:t>
            </w:r>
          </w:p>
        </w:tc>
        <w:tc>
          <w:tcPr>
            <w:tcW w:w="0" w:type="auto"/>
            <w:shd w:val="clear" w:color="auto" w:fill="auto"/>
          </w:tcPr>
          <w:p w:rsidR="008273DF" w:rsidRPr="00D40CE7" w:rsidRDefault="000B5E21"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Ninguno</w:t>
            </w:r>
          </w:p>
        </w:tc>
      </w:tr>
      <w:tr w:rsidR="008273DF" w:rsidRPr="00D40CE7" w:rsidTr="008273DF">
        <w:trPr>
          <w:jc w:val="center"/>
        </w:trPr>
        <w:tc>
          <w:tcPr>
            <w:tcW w:w="0" w:type="auto"/>
            <w:shd w:val="clear" w:color="auto" w:fill="auto"/>
          </w:tcPr>
          <w:p w:rsidR="008273DF" w:rsidRPr="00D40CE7" w:rsidRDefault="008273DF"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DEUDORES DIVERSOS POR COBRAR A CORTO PLAZO</w:t>
            </w:r>
          </w:p>
        </w:tc>
        <w:tc>
          <w:tcPr>
            <w:tcW w:w="0" w:type="auto"/>
            <w:shd w:val="clear" w:color="auto" w:fill="auto"/>
          </w:tcPr>
          <w:p w:rsidR="008273DF" w:rsidRPr="00D40CE7" w:rsidRDefault="000B5E21" w:rsidP="000B5E21">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Ninguno</w:t>
            </w:r>
          </w:p>
        </w:tc>
      </w:tr>
      <w:tr w:rsidR="008273DF" w:rsidRPr="00D40CE7" w:rsidTr="008273DF">
        <w:trPr>
          <w:jc w:val="center"/>
        </w:trPr>
        <w:tc>
          <w:tcPr>
            <w:tcW w:w="0" w:type="auto"/>
            <w:shd w:val="clear" w:color="auto" w:fill="auto"/>
          </w:tcPr>
          <w:p w:rsidR="008273DF" w:rsidRPr="00D40CE7" w:rsidRDefault="008273DF"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PRÉSTAMOS OTORGADOS A CORTO PLAZO</w:t>
            </w:r>
          </w:p>
        </w:tc>
        <w:tc>
          <w:tcPr>
            <w:tcW w:w="0" w:type="auto"/>
            <w:shd w:val="clear" w:color="auto" w:fill="auto"/>
          </w:tcPr>
          <w:p w:rsidR="008273DF" w:rsidRPr="00D40CE7" w:rsidRDefault="000B5E21" w:rsidP="000B5E21">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Ninguno</w:t>
            </w:r>
          </w:p>
        </w:tc>
      </w:tr>
      <w:tr w:rsidR="00F439F8" w:rsidRPr="00D40CE7" w:rsidTr="00F439F8">
        <w:trPr>
          <w:jc w:val="center"/>
        </w:trPr>
        <w:tc>
          <w:tcPr>
            <w:tcW w:w="0" w:type="auto"/>
            <w:shd w:val="clear" w:color="auto" w:fill="auto"/>
          </w:tcPr>
          <w:p w:rsidR="00F439F8" w:rsidRPr="00D40CE7" w:rsidRDefault="00F439F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DERECHOS A RECIBIR BIENES Y SERVICIOS</w:t>
            </w:r>
          </w:p>
        </w:tc>
        <w:tc>
          <w:tcPr>
            <w:tcW w:w="0" w:type="auto"/>
            <w:shd w:val="clear" w:color="auto" w:fill="auto"/>
          </w:tcPr>
          <w:p w:rsidR="00F439F8" w:rsidRPr="00D40CE7" w:rsidRDefault="000B5E21" w:rsidP="000B5E21">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Ninguno</w:t>
            </w:r>
          </w:p>
        </w:tc>
      </w:tr>
    </w:tbl>
    <w:p w:rsidR="00DB6BFE" w:rsidRPr="00D40CE7" w:rsidRDefault="00DB6BFE" w:rsidP="00C4137E">
      <w:pPr>
        <w:autoSpaceDE w:val="0"/>
        <w:autoSpaceDN w:val="0"/>
        <w:adjustRightInd w:val="0"/>
        <w:spacing w:line="360" w:lineRule="auto"/>
        <w:jc w:val="both"/>
        <w:rPr>
          <w:rFonts w:ascii="Barlow" w:hAnsi="Barlow" w:cs="Arial"/>
          <w:b/>
          <w:sz w:val="20"/>
          <w:szCs w:val="20"/>
        </w:rPr>
      </w:pPr>
    </w:p>
    <w:p w:rsidR="008A0458" w:rsidRPr="00D40CE7" w:rsidRDefault="008A045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Bienes Disponibles para su Transformación o Consumo (Inventarios)</w:t>
      </w:r>
    </w:p>
    <w:p w:rsidR="008A0458" w:rsidRPr="00D40CE7" w:rsidRDefault="008A0458"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4.- El </w:t>
      </w:r>
      <w:r w:rsidR="000B5E21" w:rsidRPr="00D40CE7">
        <w:rPr>
          <w:rFonts w:ascii="Barlow" w:hAnsi="Barlow" w:cs="Arial"/>
          <w:sz w:val="20"/>
          <w:szCs w:val="20"/>
        </w:rPr>
        <w:t>Fideicomiso</w:t>
      </w:r>
      <w:r w:rsidRPr="00D40CE7">
        <w:rPr>
          <w:rFonts w:ascii="Barlow" w:hAnsi="Barlow" w:cs="Arial"/>
          <w:sz w:val="20"/>
          <w:szCs w:val="20"/>
        </w:rPr>
        <w:t xml:space="preserve"> no realiza ningún proceso de transformación y/o elaboración de bienes.</w:t>
      </w:r>
    </w:p>
    <w:p w:rsidR="008A0458" w:rsidRPr="00D40CE7" w:rsidRDefault="008A0458"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5.- El </w:t>
      </w:r>
      <w:r w:rsidR="000B5E21" w:rsidRPr="00D40CE7">
        <w:rPr>
          <w:rFonts w:ascii="Barlow" w:hAnsi="Barlow" w:cs="Arial"/>
          <w:sz w:val="20"/>
          <w:szCs w:val="20"/>
        </w:rPr>
        <w:t>Fideicomiso</w:t>
      </w:r>
      <w:r w:rsidRPr="00D40CE7">
        <w:rPr>
          <w:rFonts w:ascii="Barlow" w:hAnsi="Barlow" w:cs="Arial"/>
          <w:sz w:val="20"/>
          <w:szCs w:val="20"/>
        </w:rPr>
        <w:t xml:space="preserve"> no </w:t>
      </w:r>
      <w:r w:rsidR="003E7911" w:rsidRPr="00D40CE7">
        <w:rPr>
          <w:rFonts w:ascii="Barlow" w:hAnsi="Barlow" w:cs="Arial"/>
          <w:sz w:val="20"/>
          <w:szCs w:val="20"/>
        </w:rPr>
        <w:t xml:space="preserve">maneja </w:t>
      </w:r>
      <w:r w:rsidR="00D40CE7" w:rsidRPr="00D40CE7">
        <w:rPr>
          <w:rFonts w:ascii="Barlow" w:hAnsi="Barlow" w:cs="Arial"/>
          <w:sz w:val="20"/>
          <w:szCs w:val="20"/>
        </w:rPr>
        <w:t>registros, ni</w:t>
      </w:r>
      <w:r w:rsidR="003E7911" w:rsidRPr="00D40CE7">
        <w:rPr>
          <w:rFonts w:ascii="Barlow" w:hAnsi="Barlow" w:cs="Arial"/>
          <w:sz w:val="20"/>
          <w:szCs w:val="20"/>
        </w:rPr>
        <w:t xml:space="preserve"> bienes en la </w:t>
      </w:r>
      <w:r w:rsidR="00D40CE7" w:rsidRPr="00D40CE7">
        <w:rPr>
          <w:rFonts w:ascii="Barlow" w:hAnsi="Barlow" w:cs="Arial"/>
          <w:sz w:val="20"/>
          <w:szCs w:val="20"/>
        </w:rPr>
        <w:t>cuenta de</w:t>
      </w:r>
      <w:r w:rsidR="003E7911" w:rsidRPr="00D40CE7">
        <w:rPr>
          <w:rFonts w:ascii="Barlow" w:hAnsi="Barlow" w:cs="Arial"/>
          <w:sz w:val="20"/>
          <w:szCs w:val="20"/>
        </w:rPr>
        <w:t xml:space="preserve"> </w:t>
      </w:r>
      <w:r w:rsidRPr="00D40CE7">
        <w:rPr>
          <w:rFonts w:ascii="Barlow" w:hAnsi="Barlow" w:cs="Arial"/>
          <w:sz w:val="20"/>
          <w:szCs w:val="20"/>
        </w:rPr>
        <w:t>almacén</w:t>
      </w:r>
      <w:r w:rsidR="003E7911" w:rsidRPr="00D40CE7">
        <w:rPr>
          <w:rFonts w:ascii="Barlow" w:hAnsi="Barlow" w:cs="Arial"/>
          <w:sz w:val="20"/>
          <w:szCs w:val="20"/>
        </w:rPr>
        <w:t>.</w:t>
      </w:r>
    </w:p>
    <w:p w:rsidR="00D40CE7" w:rsidRDefault="00D40CE7" w:rsidP="00C4137E">
      <w:pPr>
        <w:autoSpaceDE w:val="0"/>
        <w:autoSpaceDN w:val="0"/>
        <w:adjustRightInd w:val="0"/>
        <w:spacing w:line="360" w:lineRule="auto"/>
        <w:jc w:val="both"/>
        <w:rPr>
          <w:rFonts w:ascii="Barlow" w:hAnsi="Barlow" w:cs="Arial"/>
          <w:b/>
          <w:sz w:val="20"/>
          <w:szCs w:val="20"/>
        </w:rPr>
      </w:pPr>
    </w:p>
    <w:p w:rsidR="0070798A" w:rsidRPr="00D40CE7" w:rsidRDefault="0070798A"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lastRenderedPageBreak/>
        <w:t>Inversiones Financieras</w:t>
      </w:r>
    </w:p>
    <w:p w:rsidR="002F14F7" w:rsidRPr="00D40CE7" w:rsidRDefault="008A0458"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6.-</w:t>
      </w:r>
      <w:r w:rsidR="002F14F7" w:rsidRPr="00D40CE7">
        <w:rPr>
          <w:rFonts w:ascii="Barlow" w:hAnsi="Barlow" w:cs="Arial"/>
          <w:sz w:val="20"/>
          <w:szCs w:val="20"/>
        </w:rPr>
        <w:t xml:space="preserve"> El saldo del rubro de Inversiones Financieras, se integra como sigue:</w:t>
      </w:r>
      <w:r w:rsidR="007B50DC" w:rsidRPr="00D40CE7">
        <w:rPr>
          <w:rFonts w:ascii="Barlow" w:hAnsi="Barlow" w:cs="Arial"/>
          <w:sz w:val="20"/>
          <w:szCs w:val="20"/>
        </w:rPr>
        <w:t xml:space="preserve"> (Ninguno)</w:t>
      </w:r>
    </w:p>
    <w:p w:rsidR="002F14F7" w:rsidRPr="00D40CE7" w:rsidRDefault="002F14F7" w:rsidP="00C4137E">
      <w:pPr>
        <w:autoSpaceDE w:val="0"/>
        <w:autoSpaceDN w:val="0"/>
        <w:adjustRightInd w:val="0"/>
        <w:spacing w:line="360" w:lineRule="auto"/>
        <w:jc w:val="both"/>
        <w:rPr>
          <w:rFonts w:ascii="Barlow" w:hAnsi="Barlow" w:cs="Arial"/>
          <w:sz w:val="20"/>
          <w:szCs w:val="20"/>
        </w:rPr>
      </w:pPr>
      <w:bookmarkStart w:id="3" w:name="m4"/>
      <w:bookmarkEnd w:id="3"/>
      <w:r w:rsidRPr="00D40CE7">
        <w:rPr>
          <w:rFonts w:ascii="Barlow" w:hAnsi="Barlow" w:cs="Arial"/>
          <w:sz w:val="20"/>
          <w:szCs w:val="20"/>
        </w:rPr>
        <w:t>7.- El saldo del rubro de Participaciones y aportaciones de capital:</w:t>
      </w:r>
      <w:r w:rsidR="007B50DC" w:rsidRPr="00D40CE7">
        <w:rPr>
          <w:rFonts w:ascii="Barlow" w:hAnsi="Barlow" w:cs="Arial"/>
          <w:sz w:val="20"/>
          <w:szCs w:val="20"/>
        </w:rPr>
        <w:t xml:space="preserve"> (Ninguno)</w:t>
      </w:r>
    </w:p>
    <w:p w:rsidR="00AF6C62" w:rsidRPr="00D40CE7" w:rsidRDefault="00AF6C62"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Bienes Muebles, Inmuebles e Intangibles</w:t>
      </w:r>
    </w:p>
    <w:p w:rsidR="002F14F7" w:rsidRPr="00D40CE7" w:rsidRDefault="002F14F7"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8-</w:t>
      </w:r>
      <w:r w:rsidR="00FA104C" w:rsidRPr="00D40CE7">
        <w:rPr>
          <w:rFonts w:ascii="Barlow" w:hAnsi="Barlow" w:cs="Arial"/>
          <w:sz w:val="20"/>
          <w:szCs w:val="20"/>
        </w:rPr>
        <w:t xml:space="preserve"> El saldo del rubro Bienes muebles e inmuebles que figura en el Estado de situación financiera, se integra como sigue:</w:t>
      </w:r>
      <w:r w:rsidR="007B50DC" w:rsidRPr="00D40CE7">
        <w:rPr>
          <w:rFonts w:ascii="Barlow" w:hAnsi="Barlow" w:cs="Arial"/>
          <w:sz w:val="20"/>
          <w:szCs w:val="20"/>
        </w:rPr>
        <w:t xml:space="preserve"> (Ninguno)</w:t>
      </w:r>
    </w:p>
    <w:p w:rsidR="007C5B18" w:rsidRPr="00D40CE7" w:rsidRDefault="00314C97" w:rsidP="000A302E">
      <w:pPr>
        <w:rPr>
          <w:rFonts w:ascii="Barlow" w:hAnsi="Barlow" w:cs="Arial"/>
          <w:sz w:val="20"/>
          <w:szCs w:val="20"/>
        </w:rPr>
      </w:pPr>
      <w:r w:rsidRPr="00D40CE7">
        <w:rPr>
          <w:rFonts w:ascii="Barlow" w:hAnsi="Barlow" w:cs="Arial"/>
          <w:sz w:val="20"/>
          <w:szCs w:val="20"/>
        </w:rPr>
        <w:t xml:space="preserve">Respecto a </w:t>
      </w:r>
      <w:r w:rsidR="007C5B18" w:rsidRPr="00D40CE7">
        <w:rPr>
          <w:rFonts w:ascii="Barlow" w:hAnsi="Barlow" w:cs="Arial"/>
          <w:sz w:val="20"/>
          <w:szCs w:val="20"/>
        </w:rPr>
        <w:t xml:space="preserve">la depreciación </w:t>
      </w:r>
      <w:r w:rsidRPr="00D40CE7">
        <w:rPr>
          <w:rFonts w:ascii="Barlow" w:hAnsi="Barlow" w:cs="Arial"/>
          <w:sz w:val="20"/>
          <w:szCs w:val="20"/>
        </w:rPr>
        <w:t>se indica lo siguiente</w:t>
      </w:r>
      <w:r w:rsidR="007C5B18" w:rsidRPr="00D40CE7">
        <w:rPr>
          <w:rFonts w:ascii="Barlow" w:hAnsi="Barlow" w:cs="Arial"/>
          <w:sz w:val="20"/>
          <w:szCs w:val="20"/>
        </w:rPr>
        <w:t>:</w:t>
      </w:r>
      <w:r w:rsidR="007B50DC" w:rsidRPr="00D40CE7">
        <w:rPr>
          <w:rFonts w:ascii="Barlow" w:hAnsi="Barlow" w:cs="Arial"/>
          <w:sz w:val="20"/>
          <w:szCs w:val="20"/>
        </w:rPr>
        <w:t xml:space="preserve"> (ninguna)</w:t>
      </w:r>
    </w:p>
    <w:p w:rsidR="00AF6C62" w:rsidRPr="00D40CE7" w:rsidRDefault="00AF6C62" w:rsidP="00C4137E">
      <w:pPr>
        <w:autoSpaceDE w:val="0"/>
        <w:autoSpaceDN w:val="0"/>
        <w:adjustRightInd w:val="0"/>
        <w:spacing w:line="360" w:lineRule="auto"/>
        <w:jc w:val="both"/>
        <w:rPr>
          <w:rFonts w:ascii="Barlow" w:hAnsi="Barlow" w:cs="Arial"/>
          <w:sz w:val="20"/>
          <w:szCs w:val="20"/>
        </w:rPr>
      </w:pPr>
    </w:p>
    <w:p w:rsidR="00FA104C" w:rsidRPr="00D40CE7" w:rsidRDefault="00FA104C"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9.- El saldo en Bienes Intangibles</w:t>
      </w:r>
      <w:r w:rsidR="00216493" w:rsidRPr="00D40CE7">
        <w:rPr>
          <w:rFonts w:ascii="Barlow" w:hAnsi="Barlow" w:cs="Arial"/>
          <w:sz w:val="20"/>
          <w:szCs w:val="20"/>
        </w:rPr>
        <w:t xml:space="preserve"> y diferidos</w:t>
      </w:r>
      <w:r w:rsidRPr="00D40CE7">
        <w:rPr>
          <w:rFonts w:ascii="Barlow" w:hAnsi="Barlow" w:cs="Arial"/>
          <w:sz w:val="20"/>
          <w:szCs w:val="20"/>
        </w:rPr>
        <w:t xml:space="preserve"> se integra </w:t>
      </w:r>
      <w:r w:rsidR="006E1089" w:rsidRPr="00D40CE7">
        <w:rPr>
          <w:rFonts w:ascii="Barlow" w:hAnsi="Barlow" w:cs="Arial"/>
          <w:sz w:val="20"/>
          <w:szCs w:val="20"/>
        </w:rPr>
        <w:t>como</w:t>
      </w:r>
      <w:r w:rsidRPr="00D40CE7">
        <w:rPr>
          <w:rFonts w:ascii="Barlow" w:hAnsi="Barlow" w:cs="Arial"/>
          <w:sz w:val="20"/>
          <w:szCs w:val="20"/>
        </w:rPr>
        <w:t xml:space="preserve"> sigue:</w:t>
      </w:r>
      <w:r w:rsidR="007B50DC" w:rsidRPr="00D40CE7">
        <w:rPr>
          <w:rFonts w:ascii="Barlow" w:hAnsi="Barlow" w:cs="Arial"/>
          <w:sz w:val="20"/>
          <w:szCs w:val="20"/>
        </w:rPr>
        <w:t xml:space="preserve"> (ninguno)</w:t>
      </w:r>
    </w:p>
    <w:p w:rsidR="00705583" w:rsidRPr="00D40CE7" w:rsidRDefault="00705583" w:rsidP="00C4137E">
      <w:pPr>
        <w:autoSpaceDE w:val="0"/>
        <w:autoSpaceDN w:val="0"/>
        <w:adjustRightInd w:val="0"/>
        <w:spacing w:line="360" w:lineRule="auto"/>
        <w:jc w:val="both"/>
        <w:rPr>
          <w:rFonts w:ascii="Barlow" w:hAnsi="Barlow" w:cs="Arial"/>
          <w:sz w:val="20"/>
          <w:szCs w:val="20"/>
        </w:rPr>
      </w:pPr>
      <w:bookmarkStart w:id="4" w:name="m3"/>
      <w:bookmarkEnd w:id="4"/>
      <w:r w:rsidRPr="00D40CE7">
        <w:rPr>
          <w:rFonts w:ascii="Barlow" w:hAnsi="Barlow" w:cs="Arial"/>
          <w:sz w:val="20"/>
          <w:szCs w:val="20"/>
        </w:rPr>
        <w:t xml:space="preserve">10.- El </w:t>
      </w:r>
      <w:r w:rsidR="007B50DC" w:rsidRPr="00D40CE7">
        <w:rPr>
          <w:rFonts w:ascii="Barlow" w:hAnsi="Barlow" w:cs="Arial"/>
          <w:sz w:val="20"/>
          <w:szCs w:val="20"/>
        </w:rPr>
        <w:t>Fideicomiso</w:t>
      </w:r>
      <w:r w:rsidRPr="00D40CE7">
        <w:rPr>
          <w:rFonts w:ascii="Barlow" w:hAnsi="Barlow" w:cs="Arial"/>
          <w:sz w:val="20"/>
          <w:szCs w:val="20"/>
        </w:rPr>
        <w:t xml:space="preserve"> no realiz</w:t>
      </w:r>
      <w:r w:rsidR="00E1795E" w:rsidRPr="00D40CE7">
        <w:rPr>
          <w:rFonts w:ascii="Barlow" w:hAnsi="Barlow" w:cs="Arial"/>
          <w:sz w:val="20"/>
          <w:szCs w:val="20"/>
        </w:rPr>
        <w:t xml:space="preserve">ó al </w:t>
      </w:r>
      <w:r w:rsidR="00C97900" w:rsidRPr="00D40CE7">
        <w:rPr>
          <w:rFonts w:ascii="Barlow" w:hAnsi="Barlow" w:cs="Arial"/>
          <w:sz w:val="20"/>
          <w:szCs w:val="20"/>
        </w:rPr>
        <w:t>3</w:t>
      </w:r>
      <w:r w:rsidR="00041724" w:rsidRPr="00D40CE7">
        <w:rPr>
          <w:rFonts w:ascii="Barlow" w:hAnsi="Barlow" w:cs="Arial"/>
          <w:sz w:val="20"/>
          <w:szCs w:val="20"/>
        </w:rPr>
        <w:t>0</w:t>
      </w:r>
      <w:r w:rsidR="00C97900" w:rsidRPr="00D40CE7">
        <w:rPr>
          <w:rFonts w:ascii="Barlow" w:hAnsi="Barlow" w:cs="Arial"/>
          <w:sz w:val="20"/>
          <w:szCs w:val="20"/>
        </w:rPr>
        <w:t xml:space="preserve"> de </w:t>
      </w:r>
      <w:r w:rsidR="00D40CE7" w:rsidRPr="00D40CE7">
        <w:rPr>
          <w:rFonts w:ascii="Barlow" w:hAnsi="Barlow" w:cs="Arial"/>
          <w:sz w:val="20"/>
          <w:szCs w:val="20"/>
        </w:rPr>
        <w:t>enero</w:t>
      </w:r>
      <w:r w:rsidR="002170E4" w:rsidRPr="00D40CE7">
        <w:rPr>
          <w:rFonts w:ascii="Barlow" w:hAnsi="Barlow" w:cs="Arial"/>
          <w:sz w:val="20"/>
          <w:szCs w:val="20"/>
        </w:rPr>
        <w:t xml:space="preserve"> </w:t>
      </w:r>
      <w:r w:rsidR="00E1795E" w:rsidRPr="00D40CE7">
        <w:rPr>
          <w:rFonts w:ascii="Barlow" w:hAnsi="Barlow" w:cs="Arial"/>
          <w:sz w:val="20"/>
          <w:szCs w:val="20"/>
        </w:rPr>
        <w:t xml:space="preserve">de </w:t>
      </w:r>
      <w:r w:rsidR="00D40CE7" w:rsidRPr="00D40CE7">
        <w:rPr>
          <w:rFonts w:ascii="Barlow" w:hAnsi="Barlow" w:cs="Arial"/>
          <w:sz w:val="20"/>
          <w:szCs w:val="20"/>
        </w:rPr>
        <w:t>2022, la</w:t>
      </w:r>
      <w:r w:rsidRPr="00D40CE7">
        <w:rPr>
          <w:rFonts w:ascii="Barlow" w:hAnsi="Barlow" w:cs="Arial"/>
          <w:sz w:val="20"/>
          <w:szCs w:val="20"/>
        </w:rPr>
        <w:t xml:space="preserve"> determinación de estimaciones de cuentas incobrables, inversiones deterioro de activos </w:t>
      </w:r>
      <w:r w:rsidR="006E1089" w:rsidRPr="00D40CE7">
        <w:rPr>
          <w:rFonts w:ascii="Barlow" w:hAnsi="Barlow" w:cs="Arial"/>
          <w:sz w:val="20"/>
          <w:szCs w:val="20"/>
        </w:rPr>
        <w:t>biológicos</w:t>
      </w:r>
      <w:r w:rsidR="007B50DC" w:rsidRPr="00D40CE7">
        <w:rPr>
          <w:rFonts w:ascii="Barlow" w:hAnsi="Barlow" w:cs="Arial"/>
          <w:sz w:val="20"/>
          <w:szCs w:val="20"/>
        </w:rPr>
        <w:t>, debido a que no cuenta con ninguno de esos conceptos.</w:t>
      </w:r>
    </w:p>
    <w:p w:rsidR="00705583" w:rsidRPr="00D40CE7" w:rsidRDefault="00705583" w:rsidP="00C4137E">
      <w:pPr>
        <w:autoSpaceDE w:val="0"/>
        <w:autoSpaceDN w:val="0"/>
        <w:adjustRightInd w:val="0"/>
        <w:spacing w:line="360" w:lineRule="auto"/>
        <w:jc w:val="both"/>
        <w:rPr>
          <w:rFonts w:ascii="Barlow" w:hAnsi="Barlow" w:cs="Arial"/>
          <w:b/>
          <w:sz w:val="20"/>
          <w:szCs w:val="20"/>
        </w:rPr>
      </w:pPr>
    </w:p>
    <w:p w:rsidR="00705583" w:rsidRPr="00D40CE7" w:rsidRDefault="00705583"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Otros Activos</w:t>
      </w:r>
    </w:p>
    <w:p w:rsidR="00455288" w:rsidRPr="00D40CE7" w:rsidRDefault="00705583" w:rsidP="00915960">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11.- El </w:t>
      </w:r>
      <w:r w:rsidR="007B50DC" w:rsidRPr="00D40CE7">
        <w:rPr>
          <w:rFonts w:ascii="Barlow" w:hAnsi="Barlow" w:cs="Arial"/>
          <w:sz w:val="20"/>
          <w:szCs w:val="20"/>
        </w:rPr>
        <w:t>Fideicomiso</w:t>
      </w:r>
      <w:r w:rsidRPr="00D40CE7">
        <w:rPr>
          <w:rFonts w:ascii="Barlow" w:hAnsi="Barlow" w:cs="Arial"/>
          <w:sz w:val="20"/>
          <w:szCs w:val="20"/>
        </w:rPr>
        <w:t xml:space="preserve"> </w:t>
      </w:r>
      <w:r w:rsidR="00812DD4" w:rsidRPr="00D40CE7">
        <w:rPr>
          <w:rFonts w:ascii="Barlow" w:hAnsi="Barlow" w:cs="Arial"/>
          <w:sz w:val="20"/>
          <w:szCs w:val="20"/>
        </w:rPr>
        <w:t>no cuenta con registro de otros activos</w:t>
      </w:r>
    </w:p>
    <w:p w:rsidR="00812DD4" w:rsidRPr="00D40CE7" w:rsidRDefault="00812DD4" w:rsidP="00915960">
      <w:pPr>
        <w:autoSpaceDE w:val="0"/>
        <w:autoSpaceDN w:val="0"/>
        <w:adjustRightInd w:val="0"/>
        <w:spacing w:line="360" w:lineRule="auto"/>
        <w:jc w:val="both"/>
        <w:rPr>
          <w:rFonts w:ascii="Barlow" w:hAnsi="Barlow" w:cs="Arial"/>
          <w:b/>
          <w:sz w:val="20"/>
          <w:szCs w:val="20"/>
        </w:rPr>
      </w:pPr>
    </w:p>
    <w:p w:rsidR="00455288" w:rsidRPr="00D40CE7" w:rsidRDefault="0045528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Pasivos</w:t>
      </w:r>
    </w:p>
    <w:p w:rsidR="00EF15F0" w:rsidRPr="00D40CE7" w:rsidRDefault="007C7A00" w:rsidP="00EF15F0">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1. </w:t>
      </w:r>
      <w:r w:rsidR="00EF15F0" w:rsidRPr="00D40CE7">
        <w:rPr>
          <w:rFonts w:ascii="Barlow" w:hAnsi="Barlow" w:cs="Arial"/>
          <w:sz w:val="20"/>
          <w:szCs w:val="20"/>
        </w:rPr>
        <w:t>El Pasivo Circulante, representa aquellas obligaciones en las que la exigibilidad de pago es menor a un año y lo constituyen las fuentes</w:t>
      </w:r>
      <w:r w:rsidRPr="00D40CE7">
        <w:rPr>
          <w:rFonts w:ascii="Barlow" w:hAnsi="Barlow" w:cs="Arial"/>
          <w:sz w:val="20"/>
          <w:szCs w:val="20"/>
        </w:rPr>
        <w:t xml:space="preserve"> principales de financiamiento (Ninguna)</w:t>
      </w:r>
    </w:p>
    <w:p w:rsidR="00EF15F0" w:rsidRPr="00D40CE7" w:rsidRDefault="00EF15F0" w:rsidP="00EF15F0">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En cuanto al rubro de Pasivo no Circulante, este se constituye por las obligaciones del </w:t>
      </w:r>
      <w:r w:rsidR="007B50DC" w:rsidRPr="00D40CE7">
        <w:rPr>
          <w:rFonts w:ascii="Barlow" w:hAnsi="Barlow" w:cs="Arial"/>
          <w:sz w:val="20"/>
          <w:szCs w:val="20"/>
        </w:rPr>
        <w:t>Fideicomiso</w:t>
      </w:r>
      <w:r w:rsidRPr="00D40CE7">
        <w:rPr>
          <w:rFonts w:ascii="Barlow" w:hAnsi="Barlow" w:cs="Arial"/>
          <w:sz w:val="20"/>
          <w:szCs w:val="20"/>
        </w:rPr>
        <w:t xml:space="preserve">, cuyo vencimiento será posterior a doce meses, </w:t>
      </w:r>
      <w:r w:rsidR="000D06E7" w:rsidRPr="00D40CE7">
        <w:rPr>
          <w:rFonts w:ascii="Barlow" w:hAnsi="Barlow" w:cs="Arial"/>
          <w:sz w:val="20"/>
          <w:szCs w:val="20"/>
        </w:rPr>
        <w:t>(Ninguna).</w:t>
      </w:r>
    </w:p>
    <w:p w:rsidR="000D06E7" w:rsidRPr="00D40CE7" w:rsidRDefault="000D06E7" w:rsidP="00EF15F0">
      <w:pPr>
        <w:autoSpaceDE w:val="0"/>
        <w:autoSpaceDN w:val="0"/>
        <w:adjustRightInd w:val="0"/>
        <w:spacing w:line="360" w:lineRule="auto"/>
        <w:jc w:val="both"/>
        <w:rPr>
          <w:rFonts w:ascii="Barlow" w:hAnsi="Barlow" w:cs="Arial"/>
          <w:sz w:val="20"/>
          <w:szCs w:val="20"/>
        </w:rPr>
      </w:pPr>
    </w:p>
    <w:p w:rsidR="004740D5" w:rsidRPr="00D40CE7" w:rsidRDefault="00455288"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2</w:t>
      </w:r>
      <w:r w:rsidR="008273DF" w:rsidRPr="00D40CE7">
        <w:rPr>
          <w:rFonts w:ascii="Barlow" w:hAnsi="Barlow" w:cs="Arial"/>
          <w:sz w:val="20"/>
          <w:szCs w:val="20"/>
        </w:rPr>
        <w:t>.- En la cuenta de Fondos y Bienes de Terceros en Garantía y/o administración a corto plazo</w:t>
      </w:r>
      <w:r w:rsidR="000D06E7" w:rsidRPr="00D40CE7">
        <w:rPr>
          <w:rFonts w:ascii="Barlow" w:hAnsi="Barlow" w:cs="Arial"/>
          <w:sz w:val="20"/>
          <w:szCs w:val="20"/>
        </w:rPr>
        <w:t xml:space="preserve"> y largo plazo</w:t>
      </w:r>
      <w:r w:rsidR="008273DF" w:rsidRPr="00D40CE7">
        <w:rPr>
          <w:rFonts w:ascii="Barlow" w:hAnsi="Barlow" w:cs="Arial"/>
          <w:sz w:val="20"/>
          <w:szCs w:val="20"/>
        </w:rPr>
        <w:t>, se integra por las cauciones de terceros depositadas por las que se emiten recibos oficiales, estas son recuperadas por los terceros en el momento en que la acción judicial iniciada en su contra haya sido resuelta en su favor y medie solicitud por parte del beneficiario, generándose la cuenta por pagar respectiva.</w:t>
      </w:r>
      <w:r w:rsidR="009F3293" w:rsidRPr="00D40CE7">
        <w:rPr>
          <w:rFonts w:ascii="Barlow" w:hAnsi="Barlow" w:cs="Arial"/>
          <w:sz w:val="20"/>
          <w:szCs w:val="20"/>
        </w:rPr>
        <w:t xml:space="preserve"> </w:t>
      </w:r>
      <w:r w:rsidR="000D06E7" w:rsidRPr="00D40CE7">
        <w:rPr>
          <w:rFonts w:ascii="Barlow" w:hAnsi="Barlow" w:cs="Arial"/>
          <w:sz w:val="20"/>
          <w:szCs w:val="20"/>
        </w:rPr>
        <w:t>(Ninguno)</w:t>
      </w:r>
    </w:p>
    <w:p w:rsidR="009F3293" w:rsidRPr="00D40CE7" w:rsidRDefault="009F3293" w:rsidP="00C4137E">
      <w:pPr>
        <w:autoSpaceDE w:val="0"/>
        <w:autoSpaceDN w:val="0"/>
        <w:adjustRightInd w:val="0"/>
        <w:spacing w:line="360" w:lineRule="auto"/>
        <w:jc w:val="both"/>
        <w:rPr>
          <w:rFonts w:ascii="Barlow" w:hAnsi="Barlow" w:cs="Arial"/>
          <w:sz w:val="20"/>
          <w:szCs w:val="20"/>
        </w:rPr>
      </w:pPr>
    </w:p>
    <w:p w:rsidR="008273DF" w:rsidRPr="00D40CE7" w:rsidRDefault="00455288" w:rsidP="00C4137E">
      <w:pPr>
        <w:autoSpaceDE w:val="0"/>
        <w:autoSpaceDN w:val="0"/>
        <w:adjustRightInd w:val="0"/>
        <w:spacing w:line="360" w:lineRule="auto"/>
        <w:jc w:val="both"/>
        <w:rPr>
          <w:rFonts w:ascii="Barlow" w:hAnsi="Barlow" w:cs="Arial"/>
          <w:sz w:val="20"/>
          <w:szCs w:val="20"/>
        </w:rPr>
      </w:pPr>
      <w:bookmarkStart w:id="5" w:name="m8"/>
      <w:bookmarkEnd w:id="5"/>
      <w:r w:rsidRPr="00D40CE7">
        <w:rPr>
          <w:rFonts w:ascii="Barlow" w:hAnsi="Barlow" w:cs="Arial"/>
          <w:sz w:val="20"/>
          <w:szCs w:val="20"/>
        </w:rPr>
        <w:t xml:space="preserve">3.- El </w:t>
      </w:r>
      <w:r w:rsidR="007B50DC" w:rsidRPr="00D40CE7">
        <w:rPr>
          <w:rFonts w:ascii="Barlow" w:hAnsi="Barlow" w:cs="Arial"/>
          <w:sz w:val="20"/>
          <w:szCs w:val="20"/>
        </w:rPr>
        <w:t>Fideicomiso</w:t>
      </w:r>
      <w:r w:rsidRPr="00D40CE7">
        <w:rPr>
          <w:rFonts w:ascii="Barlow" w:hAnsi="Barlow" w:cs="Arial"/>
          <w:sz w:val="20"/>
          <w:szCs w:val="20"/>
        </w:rPr>
        <w:t xml:space="preserve"> no tiene registro de pasivos diferidos de corto o largo plazo.</w:t>
      </w:r>
    </w:p>
    <w:p w:rsidR="002732BB" w:rsidRPr="00D40CE7" w:rsidRDefault="002732BB" w:rsidP="00C4137E">
      <w:pPr>
        <w:autoSpaceDE w:val="0"/>
        <w:autoSpaceDN w:val="0"/>
        <w:adjustRightInd w:val="0"/>
        <w:spacing w:line="360" w:lineRule="auto"/>
        <w:jc w:val="both"/>
        <w:rPr>
          <w:rFonts w:ascii="Barlow" w:hAnsi="Barlow" w:cs="Arial"/>
          <w:b/>
          <w:sz w:val="20"/>
          <w:szCs w:val="20"/>
        </w:rPr>
      </w:pPr>
    </w:p>
    <w:p w:rsidR="00455288" w:rsidRPr="00D40CE7" w:rsidRDefault="0045528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II) NOTAS AL ESTADO DE ACTIVIDADES</w:t>
      </w:r>
    </w:p>
    <w:p w:rsidR="0036136E" w:rsidRPr="00D40CE7" w:rsidRDefault="0036136E" w:rsidP="00C4137E">
      <w:pPr>
        <w:autoSpaceDE w:val="0"/>
        <w:autoSpaceDN w:val="0"/>
        <w:adjustRightInd w:val="0"/>
        <w:spacing w:line="360" w:lineRule="auto"/>
        <w:jc w:val="both"/>
        <w:rPr>
          <w:rFonts w:ascii="Barlow" w:hAnsi="Barlow" w:cs="Arial"/>
          <w:b/>
          <w:sz w:val="20"/>
          <w:szCs w:val="20"/>
        </w:rPr>
      </w:pPr>
    </w:p>
    <w:p w:rsidR="00F67ABD" w:rsidRPr="00D40CE7" w:rsidRDefault="00F67ABD"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Ingresos de Gestión</w:t>
      </w:r>
    </w:p>
    <w:p w:rsidR="0048331C" w:rsidRPr="00D40CE7" w:rsidRDefault="0048331C" w:rsidP="00C4137E">
      <w:pPr>
        <w:autoSpaceDE w:val="0"/>
        <w:autoSpaceDN w:val="0"/>
        <w:adjustRightInd w:val="0"/>
        <w:spacing w:line="360" w:lineRule="auto"/>
        <w:jc w:val="both"/>
        <w:rPr>
          <w:rFonts w:ascii="Barlow" w:hAnsi="Barlow" w:cs="Arial"/>
          <w:b/>
          <w:sz w:val="20"/>
          <w:szCs w:val="20"/>
        </w:rPr>
      </w:pPr>
    </w:p>
    <w:p w:rsidR="0048331C" w:rsidRPr="00D40CE7" w:rsidRDefault="0048331C" w:rsidP="00C4137E">
      <w:p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Representa el monto de los ingresos recaudados durante el ejercicio fiscal y que se previeron en la Ley de Ingresos del Estado de Yucatán</w:t>
      </w:r>
      <w:r w:rsidR="00D7398D" w:rsidRPr="00D40CE7">
        <w:rPr>
          <w:rFonts w:ascii="Barlow" w:hAnsi="Barlow" w:cs="Arial"/>
          <w:sz w:val="20"/>
          <w:szCs w:val="20"/>
        </w:rPr>
        <w:t xml:space="preserve">, </w:t>
      </w:r>
      <w:r w:rsidRPr="00D40CE7">
        <w:rPr>
          <w:rFonts w:ascii="Barlow" w:hAnsi="Barlow" w:cs="Arial"/>
          <w:sz w:val="20"/>
          <w:szCs w:val="20"/>
        </w:rPr>
        <w:t>como se muestra a continuación:</w:t>
      </w:r>
    </w:p>
    <w:p w:rsidR="0048331C" w:rsidRPr="00D40CE7" w:rsidRDefault="0048331C" w:rsidP="00C4137E">
      <w:pPr>
        <w:autoSpaceDE w:val="0"/>
        <w:autoSpaceDN w:val="0"/>
        <w:adjustRightInd w:val="0"/>
        <w:spacing w:line="360" w:lineRule="auto"/>
        <w:jc w:val="both"/>
        <w:rPr>
          <w:rFonts w:ascii="Barlow" w:hAnsi="Barlow" w:cs="Arial"/>
          <w:b/>
          <w:sz w:val="20"/>
          <w:szCs w:val="20"/>
          <w:highlight w:val="yellow"/>
        </w:rPr>
      </w:pPr>
    </w:p>
    <w:p w:rsidR="00455288" w:rsidRPr="00D40CE7" w:rsidRDefault="00455288"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1.- Las cuentas que integran los ingresos de la gestión, presentan los siguientes saldos:</w:t>
      </w:r>
    </w:p>
    <w:p w:rsidR="00455288" w:rsidRPr="00D40CE7" w:rsidRDefault="00455288" w:rsidP="00C4137E">
      <w:pPr>
        <w:autoSpaceDE w:val="0"/>
        <w:autoSpaceDN w:val="0"/>
        <w:adjustRightInd w:val="0"/>
        <w:spacing w:line="360" w:lineRule="auto"/>
        <w:ind w:left="360"/>
        <w:jc w:val="both"/>
        <w:rPr>
          <w:rFonts w:ascii="Barlow" w:hAnsi="Barlow" w:cs="Arial"/>
          <w:bCs/>
          <w:sz w:val="20"/>
          <w:szCs w:val="20"/>
        </w:rPr>
      </w:pPr>
    </w:p>
    <w:tbl>
      <w:tblPr>
        <w:tblW w:w="0" w:type="auto"/>
        <w:jc w:val="center"/>
        <w:tblLook w:val="04A0" w:firstRow="1" w:lastRow="0" w:firstColumn="1" w:lastColumn="0" w:noHBand="0" w:noVBand="1"/>
      </w:tblPr>
      <w:tblGrid>
        <w:gridCol w:w="4389"/>
        <w:gridCol w:w="995"/>
      </w:tblGrid>
      <w:tr w:rsidR="00455288" w:rsidRPr="00D40CE7" w:rsidTr="00455288">
        <w:trPr>
          <w:jc w:val="center"/>
        </w:trPr>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
                <w:bCs/>
                <w:sz w:val="20"/>
                <w:szCs w:val="20"/>
              </w:rPr>
            </w:pPr>
            <w:bookmarkStart w:id="6" w:name="m12"/>
            <w:bookmarkEnd w:id="6"/>
            <w:r w:rsidRPr="00D40CE7">
              <w:rPr>
                <w:rFonts w:ascii="Barlow" w:hAnsi="Barlow" w:cs="Arial"/>
                <w:b/>
                <w:bCs/>
                <w:sz w:val="20"/>
                <w:szCs w:val="20"/>
              </w:rPr>
              <w:t>INGRESOS Y OTROS BENEFICIOS</w:t>
            </w:r>
          </w:p>
        </w:tc>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
                <w:bCs/>
                <w:sz w:val="20"/>
                <w:szCs w:val="20"/>
              </w:rPr>
            </w:pPr>
          </w:p>
        </w:tc>
      </w:tr>
      <w:tr w:rsidR="00455288" w:rsidRPr="00D40CE7" w:rsidTr="00455288">
        <w:trPr>
          <w:jc w:val="center"/>
        </w:trPr>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
                <w:bCs/>
                <w:sz w:val="20"/>
                <w:szCs w:val="20"/>
              </w:rPr>
            </w:pPr>
            <w:r w:rsidRPr="00D40CE7">
              <w:rPr>
                <w:rFonts w:ascii="Barlow" w:hAnsi="Barlow" w:cs="Arial"/>
                <w:b/>
                <w:bCs/>
                <w:sz w:val="20"/>
                <w:szCs w:val="20"/>
              </w:rPr>
              <w:t>INGRESOS DE GESTIÓN</w:t>
            </w:r>
          </w:p>
        </w:tc>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
                <w:bCs/>
                <w:sz w:val="20"/>
                <w:szCs w:val="20"/>
              </w:rPr>
            </w:pPr>
          </w:p>
        </w:tc>
      </w:tr>
      <w:tr w:rsidR="00455288" w:rsidRPr="00D40CE7" w:rsidTr="00455288">
        <w:trPr>
          <w:jc w:val="center"/>
        </w:trPr>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IMPUESTOS</w:t>
            </w:r>
          </w:p>
        </w:tc>
        <w:tc>
          <w:tcPr>
            <w:tcW w:w="0" w:type="auto"/>
            <w:shd w:val="clear" w:color="auto" w:fill="auto"/>
          </w:tcPr>
          <w:p w:rsidR="00455288" w:rsidRPr="00D40CE7" w:rsidRDefault="005137ED" w:rsidP="002E6169">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0</w:t>
            </w:r>
          </w:p>
        </w:tc>
      </w:tr>
      <w:tr w:rsidR="002178E6" w:rsidRPr="00D40CE7" w:rsidTr="00455288">
        <w:trPr>
          <w:jc w:val="center"/>
        </w:trPr>
        <w:tc>
          <w:tcPr>
            <w:tcW w:w="0" w:type="auto"/>
            <w:shd w:val="clear" w:color="auto" w:fill="auto"/>
          </w:tcPr>
          <w:p w:rsidR="002178E6" w:rsidRPr="00D40CE7" w:rsidRDefault="002178E6"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 xml:space="preserve">CUOTAS Y APORTACIONES DE SEG. SOCIAL                       </w:t>
            </w:r>
          </w:p>
        </w:tc>
        <w:tc>
          <w:tcPr>
            <w:tcW w:w="0" w:type="auto"/>
            <w:shd w:val="clear" w:color="auto" w:fill="auto"/>
          </w:tcPr>
          <w:p w:rsidR="002178E6" w:rsidRPr="00D40CE7" w:rsidRDefault="002178E6" w:rsidP="002E6169">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0</w:t>
            </w:r>
          </w:p>
        </w:tc>
      </w:tr>
      <w:tr w:rsidR="002178E6" w:rsidRPr="00D40CE7" w:rsidTr="00455288">
        <w:trPr>
          <w:jc w:val="center"/>
        </w:trPr>
        <w:tc>
          <w:tcPr>
            <w:tcW w:w="0" w:type="auto"/>
            <w:shd w:val="clear" w:color="auto" w:fill="auto"/>
          </w:tcPr>
          <w:p w:rsidR="002178E6" w:rsidRPr="00D40CE7" w:rsidRDefault="002178E6"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 xml:space="preserve">CONTRIBUCIONES DE MEJORAS                                                        </w:t>
            </w:r>
          </w:p>
        </w:tc>
        <w:tc>
          <w:tcPr>
            <w:tcW w:w="0" w:type="auto"/>
            <w:shd w:val="clear" w:color="auto" w:fill="auto"/>
          </w:tcPr>
          <w:p w:rsidR="002178E6" w:rsidRPr="00D40CE7" w:rsidRDefault="002178E6" w:rsidP="002E6169">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0</w:t>
            </w:r>
          </w:p>
        </w:tc>
      </w:tr>
      <w:tr w:rsidR="00455288" w:rsidRPr="00D40CE7" w:rsidTr="00455288">
        <w:trPr>
          <w:jc w:val="center"/>
        </w:trPr>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DERECHOS</w:t>
            </w:r>
          </w:p>
        </w:tc>
        <w:tc>
          <w:tcPr>
            <w:tcW w:w="0" w:type="auto"/>
            <w:shd w:val="clear" w:color="auto" w:fill="auto"/>
          </w:tcPr>
          <w:p w:rsidR="00455288" w:rsidRPr="00D40CE7" w:rsidRDefault="005137ED" w:rsidP="002E6169">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0</w:t>
            </w:r>
          </w:p>
        </w:tc>
      </w:tr>
      <w:tr w:rsidR="00455288" w:rsidRPr="00D40CE7" w:rsidTr="00455288">
        <w:trPr>
          <w:jc w:val="center"/>
        </w:trPr>
        <w:tc>
          <w:tcPr>
            <w:tcW w:w="0" w:type="auto"/>
            <w:shd w:val="clear" w:color="auto" w:fill="auto"/>
          </w:tcPr>
          <w:p w:rsidR="00455288" w:rsidRPr="00D40CE7" w:rsidRDefault="00893DBC"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PRODUCTOS</w:t>
            </w:r>
          </w:p>
        </w:tc>
        <w:tc>
          <w:tcPr>
            <w:tcW w:w="0" w:type="auto"/>
            <w:shd w:val="clear" w:color="auto" w:fill="auto"/>
          </w:tcPr>
          <w:p w:rsidR="00455288" w:rsidRPr="00D40CE7" w:rsidRDefault="00AE6870" w:rsidP="002E6169">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16,084</w:t>
            </w:r>
            <w:r w:rsidR="00D11D77" w:rsidRPr="00D40CE7">
              <w:rPr>
                <w:rFonts w:ascii="Barlow" w:hAnsi="Barlow" w:cs="Arial"/>
                <w:bCs/>
                <w:sz w:val="20"/>
                <w:szCs w:val="20"/>
              </w:rPr>
              <w:t>.</w:t>
            </w:r>
            <w:r w:rsidRPr="00D40CE7">
              <w:rPr>
                <w:rFonts w:ascii="Barlow" w:hAnsi="Barlow" w:cs="Arial"/>
                <w:bCs/>
                <w:sz w:val="20"/>
                <w:szCs w:val="20"/>
              </w:rPr>
              <w:t>31</w:t>
            </w:r>
          </w:p>
        </w:tc>
      </w:tr>
      <w:tr w:rsidR="00455288" w:rsidRPr="00D40CE7" w:rsidTr="00455288">
        <w:trPr>
          <w:jc w:val="center"/>
        </w:trPr>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AP</w:t>
            </w:r>
            <w:r w:rsidR="00893DBC" w:rsidRPr="00D40CE7">
              <w:rPr>
                <w:rFonts w:ascii="Barlow" w:hAnsi="Barlow" w:cs="Arial"/>
                <w:bCs/>
                <w:sz w:val="20"/>
                <w:szCs w:val="20"/>
              </w:rPr>
              <w:t>ROVECHAMIENTOS</w:t>
            </w:r>
          </w:p>
        </w:tc>
        <w:tc>
          <w:tcPr>
            <w:tcW w:w="0" w:type="auto"/>
            <w:shd w:val="clear" w:color="auto" w:fill="auto"/>
          </w:tcPr>
          <w:p w:rsidR="00455288" w:rsidRPr="00D40CE7" w:rsidRDefault="005137ED" w:rsidP="002E6169">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0</w:t>
            </w:r>
          </w:p>
        </w:tc>
      </w:tr>
      <w:tr w:rsidR="002178E6" w:rsidRPr="00D40CE7" w:rsidTr="00455288">
        <w:trPr>
          <w:jc w:val="center"/>
        </w:trPr>
        <w:tc>
          <w:tcPr>
            <w:tcW w:w="0" w:type="auto"/>
            <w:shd w:val="clear" w:color="auto" w:fill="auto"/>
          </w:tcPr>
          <w:p w:rsidR="002178E6" w:rsidRPr="00D40CE7" w:rsidRDefault="002178E6"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INGRESOS POR VTA. DE BIENES Y PREST. SERV.</w:t>
            </w:r>
          </w:p>
        </w:tc>
        <w:tc>
          <w:tcPr>
            <w:tcW w:w="0" w:type="auto"/>
            <w:shd w:val="clear" w:color="auto" w:fill="auto"/>
          </w:tcPr>
          <w:p w:rsidR="002178E6" w:rsidRPr="00D40CE7" w:rsidRDefault="002178E6" w:rsidP="002E6169">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0</w:t>
            </w:r>
          </w:p>
        </w:tc>
      </w:tr>
    </w:tbl>
    <w:p w:rsidR="00F67ABD" w:rsidRPr="00D40CE7" w:rsidRDefault="00F67ABD" w:rsidP="00C4137E">
      <w:pPr>
        <w:autoSpaceDE w:val="0"/>
        <w:autoSpaceDN w:val="0"/>
        <w:adjustRightInd w:val="0"/>
        <w:spacing w:line="360" w:lineRule="auto"/>
        <w:jc w:val="both"/>
        <w:rPr>
          <w:rFonts w:ascii="Barlow" w:hAnsi="Barlow" w:cs="Arial"/>
          <w:bCs/>
          <w:sz w:val="20"/>
          <w:szCs w:val="20"/>
          <w:highlight w:val="yellow"/>
        </w:rPr>
      </w:pPr>
    </w:p>
    <w:tbl>
      <w:tblPr>
        <w:tblW w:w="0" w:type="auto"/>
        <w:jc w:val="center"/>
        <w:tblLook w:val="04A0" w:firstRow="1" w:lastRow="0" w:firstColumn="1" w:lastColumn="0" w:noHBand="0" w:noVBand="1"/>
      </w:tblPr>
      <w:tblGrid>
        <w:gridCol w:w="13350"/>
        <w:gridCol w:w="222"/>
      </w:tblGrid>
      <w:tr w:rsidR="000C1019" w:rsidRPr="00D40CE7" w:rsidTr="00455288">
        <w:trPr>
          <w:jc w:val="center"/>
        </w:trPr>
        <w:tc>
          <w:tcPr>
            <w:tcW w:w="0" w:type="auto"/>
            <w:shd w:val="clear" w:color="auto" w:fill="auto"/>
          </w:tcPr>
          <w:p w:rsidR="00404879" w:rsidRPr="00D40CE7" w:rsidRDefault="00F67ABD" w:rsidP="00404879">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 xml:space="preserve">2.- Las cuentas que integran los ingresos por participaciones, aportaciones, </w:t>
            </w:r>
            <w:r w:rsidR="00893DBC" w:rsidRPr="00D40CE7">
              <w:rPr>
                <w:rFonts w:ascii="Barlow" w:hAnsi="Barlow" w:cs="Arial"/>
                <w:bCs/>
                <w:sz w:val="20"/>
                <w:szCs w:val="20"/>
              </w:rPr>
              <w:t>convenios, incentivos derivados de la colaboración fiscal, f</w:t>
            </w:r>
            <w:r w:rsidR="00BB50EC" w:rsidRPr="00D40CE7">
              <w:rPr>
                <w:rFonts w:ascii="Barlow" w:hAnsi="Barlow" w:cs="Arial"/>
                <w:bCs/>
                <w:sz w:val="20"/>
                <w:szCs w:val="20"/>
              </w:rPr>
              <w:t xml:space="preserve">ondos distintos de aportaciones, </w:t>
            </w:r>
            <w:r w:rsidRPr="00D40CE7">
              <w:rPr>
                <w:rFonts w:ascii="Barlow" w:hAnsi="Barlow" w:cs="Arial"/>
                <w:bCs/>
                <w:sz w:val="20"/>
                <w:szCs w:val="20"/>
              </w:rPr>
              <w:t>transferencias, asignaciones, subsidios y otras ayudas presentan los siguientes saldos:</w:t>
            </w:r>
          </w:p>
          <w:p w:rsidR="00455288" w:rsidRPr="00D40CE7" w:rsidRDefault="00455288" w:rsidP="00404879">
            <w:pPr>
              <w:autoSpaceDE w:val="0"/>
              <w:autoSpaceDN w:val="0"/>
              <w:adjustRightInd w:val="0"/>
              <w:spacing w:line="360" w:lineRule="auto"/>
              <w:jc w:val="both"/>
              <w:rPr>
                <w:rFonts w:ascii="Barlow" w:hAnsi="Barlow" w:cs="Arial"/>
                <w:b/>
                <w:bCs/>
                <w:color w:val="FF0000"/>
                <w:sz w:val="20"/>
                <w:szCs w:val="20"/>
              </w:rPr>
            </w:pPr>
            <w:r w:rsidRPr="00D40CE7">
              <w:rPr>
                <w:rFonts w:ascii="Barlow" w:hAnsi="Barlow" w:cs="Arial"/>
                <w:b/>
                <w:bCs/>
                <w:sz w:val="20"/>
                <w:szCs w:val="20"/>
              </w:rPr>
              <w:t xml:space="preserve">PARTICIPACIONES, APORTACIONES, </w:t>
            </w:r>
            <w:r w:rsidR="00893DBC" w:rsidRPr="00D40CE7">
              <w:rPr>
                <w:rFonts w:ascii="Barlow" w:hAnsi="Barlow" w:cs="Arial"/>
                <w:b/>
                <w:bCs/>
                <w:sz w:val="20"/>
                <w:szCs w:val="20"/>
              </w:rPr>
              <w:t xml:space="preserve">CONVENIOS, INCENTIVOS DERIVADOS DE LA COLABORACIÓN FISCAL, FONDOS DISTINTOS DE APORTACIONES, </w:t>
            </w:r>
            <w:r w:rsidRPr="00D40CE7">
              <w:rPr>
                <w:rFonts w:ascii="Barlow" w:hAnsi="Barlow" w:cs="Arial"/>
                <w:b/>
                <w:bCs/>
                <w:sz w:val="20"/>
                <w:szCs w:val="20"/>
              </w:rPr>
              <w:t>TRANSFERENCIAS, ASIGNA</w:t>
            </w:r>
            <w:r w:rsidR="00893DBC" w:rsidRPr="00D40CE7">
              <w:rPr>
                <w:rFonts w:ascii="Barlow" w:hAnsi="Barlow" w:cs="Arial"/>
                <w:b/>
                <w:bCs/>
                <w:sz w:val="20"/>
                <w:szCs w:val="20"/>
              </w:rPr>
              <w:t>CIONES.</w:t>
            </w:r>
            <w:r w:rsidR="005137ED" w:rsidRPr="00D40CE7">
              <w:rPr>
                <w:rFonts w:ascii="Barlow" w:hAnsi="Barlow" w:cs="Arial"/>
                <w:b/>
                <w:bCs/>
                <w:sz w:val="20"/>
                <w:szCs w:val="20"/>
              </w:rPr>
              <w:t xml:space="preserve"> (NINGUNO)</w:t>
            </w:r>
          </w:p>
        </w:tc>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
                <w:bCs/>
                <w:color w:val="FF0000"/>
                <w:sz w:val="20"/>
                <w:szCs w:val="20"/>
              </w:rPr>
            </w:pPr>
          </w:p>
        </w:tc>
      </w:tr>
    </w:tbl>
    <w:p w:rsidR="00112D72" w:rsidRPr="00D40CE7" w:rsidRDefault="00112D72" w:rsidP="00C4137E">
      <w:pPr>
        <w:autoSpaceDE w:val="0"/>
        <w:autoSpaceDN w:val="0"/>
        <w:adjustRightInd w:val="0"/>
        <w:spacing w:line="360" w:lineRule="auto"/>
        <w:jc w:val="both"/>
        <w:rPr>
          <w:rFonts w:ascii="Barlow" w:hAnsi="Barlow" w:cs="Arial"/>
          <w:b/>
          <w:color w:val="FF0000"/>
          <w:sz w:val="20"/>
          <w:szCs w:val="20"/>
        </w:rPr>
      </w:pPr>
    </w:p>
    <w:p w:rsidR="00F67ABD" w:rsidRPr="00D40CE7" w:rsidRDefault="00F67ABD"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Ot</w:t>
      </w:r>
      <w:r w:rsidR="00702B7B" w:rsidRPr="00D40CE7">
        <w:rPr>
          <w:rFonts w:ascii="Barlow" w:hAnsi="Barlow" w:cs="Arial"/>
          <w:b/>
          <w:sz w:val="20"/>
          <w:szCs w:val="20"/>
        </w:rPr>
        <w:t xml:space="preserve">ros Ingresos y Beneficios </w:t>
      </w:r>
    </w:p>
    <w:p w:rsidR="00112D72" w:rsidRPr="00D40CE7" w:rsidRDefault="00112D72" w:rsidP="00C4137E">
      <w:pPr>
        <w:autoSpaceDE w:val="0"/>
        <w:autoSpaceDN w:val="0"/>
        <w:adjustRightInd w:val="0"/>
        <w:spacing w:line="360" w:lineRule="auto"/>
        <w:jc w:val="both"/>
        <w:rPr>
          <w:rFonts w:ascii="Barlow" w:hAnsi="Barlow" w:cs="Arial"/>
          <w:sz w:val="20"/>
          <w:szCs w:val="20"/>
          <w:highlight w:val="yellow"/>
        </w:rPr>
      </w:pPr>
    </w:p>
    <w:p w:rsidR="00F67ABD" w:rsidRPr="00D40CE7" w:rsidRDefault="00F67ABD"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 xml:space="preserve">3.- Las cuentas que integran los otros </w:t>
      </w:r>
      <w:r w:rsidR="006E1089" w:rsidRPr="00D40CE7">
        <w:rPr>
          <w:rFonts w:ascii="Barlow" w:hAnsi="Barlow" w:cs="Arial"/>
          <w:bCs/>
          <w:sz w:val="20"/>
          <w:szCs w:val="20"/>
        </w:rPr>
        <w:t>ingresos</w:t>
      </w:r>
      <w:r w:rsidRPr="00D40CE7">
        <w:rPr>
          <w:rFonts w:ascii="Barlow" w:hAnsi="Barlow" w:cs="Arial"/>
          <w:bCs/>
          <w:sz w:val="20"/>
          <w:szCs w:val="20"/>
        </w:rPr>
        <w:t xml:space="preserve"> y beneficios presentan los siguientes saldos:</w:t>
      </w:r>
    </w:p>
    <w:p w:rsidR="0034445C" w:rsidRPr="00D40CE7" w:rsidRDefault="0034445C" w:rsidP="00C4137E">
      <w:pPr>
        <w:autoSpaceDE w:val="0"/>
        <w:autoSpaceDN w:val="0"/>
        <w:adjustRightInd w:val="0"/>
        <w:spacing w:line="360" w:lineRule="auto"/>
        <w:jc w:val="both"/>
        <w:rPr>
          <w:rFonts w:ascii="Barlow" w:hAnsi="Barlow" w:cs="Arial"/>
          <w:bCs/>
          <w:sz w:val="20"/>
          <w:szCs w:val="20"/>
        </w:rPr>
      </w:pPr>
    </w:p>
    <w:tbl>
      <w:tblPr>
        <w:tblW w:w="0" w:type="auto"/>
        <w:jc w:val="center"/>
        <w:tblLook w:val="04A0" w:firstRow="1" w:lastRow="0" w:firstColumn="1" w:lastColumn="0" w:noHBand="0" w:noVBand="1"/>
      </w:tblPr>
      <w:tblGrid>
        <w:gridCol w:w="4041"/>
        <w:gridCol w:w="222"/>
      </w:tblGrid>
      <w:tr w:rsidR="00455288" w:rsidRPr="00D40CE7" w:rsidTr="00455288">
        <w:trPr>
          <w:jc w:val="center"/>
        </w:trPr>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
                <w:bCs/>
                <w:sz w:val="20"/>
                <w:szCs w:val="20"/>
              </w:rPr>
            </w:pPr>
            <w:r w:rsidRPr="00D40CE7">
              <w:rPr>
                <w:rFonts w:ascii="Barlow" w:hAnsi="Barlow" w:cs="Arial"/>
                <w:b/>
                <w:bCs/>
                <w:sz w:val="20"/>
                <w:szCs w:val="20"/>
              </w:rPr>
              <w:t>OTROS INGRESOS Y BENEFICIOS</w:t>
            </w:r>
            <w:r w:rsidR="005137ED" w:rsidRPr="00D40CE7">
              <w:rPr>
                <w:rFonts w:ascii="Barlow" w:hAnsi="Barlow" w:cs="Arial"/>
                <w:b/>
                <w:bCs/>
                <w:sz w:val="20"/>
                <w:szCs w:val="20"/>
              </w:rPr>
              <w:t xml:space="preserve"> (NINGUNO)</w:t>
            </w:r>
          </w:p>
        </w:tc>
        <w:tc>
          <w:tcPr>
            <w:tcW w:w="0" w:type="auto"/>
            <w:shd w:val="clear" w:color="auto" w:fill="auto"/>
          </w:tcPr>
          <w:p w:rsidR="00455288" w:rsidRPr="00D40CE7" w:rsidRDefault="00455288" w:rsidP="00C4137E">
            <w:pPr>
              <w:autoSpaceDE w:val="0"/>
              <w:autoSpaceDN w:val="0"/>
              <w:adjustRightInd w:val="0"/>
              <w:spacing w:line="360" w:lineRule="auto"/>
              <w:jc w:val="both"/>
              <w:rPr>
                <w:rFonts w:ascii="Barlow" w:hAnsi="Barlow" w:cs="Arial"/>
                <w:b/>
                <w:bCs/>
                <w:sz w:val="20"/>
                <w:szCs w:val="20"/>
              </w:rPr>
            </w:pPr>
          </w:p>
        </w:tc>
      </w:tr>
    </w:tbl>
    <w:p w:rsidR="00F13098" w:rsidRPr="00D40CE7" w:rsidRDefault="00F13098" w:rsidP="00C4137E">
      <w:pPr>
        <w:tabs>
          <w:tab w:val="left" w:pos="1706"/>
        </w:tabs>
        <w:autoSpaceDE w:val="0"/>
        <w:autoSpaceDN w:val="0"/>
        <w:adjustRightInd w:val="0"/>
        <w:spacing w:line="360" w:lineRule="auto"/>
        <w:jc w:val="both"/>
        <w:rPr>
          <w:rFonts w:ascii="Barlow" w:hAnsi="Barlow" w:cs="Arial"/>
          <w:sz w:val="20"/>
          <w:szCs w:val="20"/>
        </w:rPr>
      </w:pPr>
    </w:p>
    <w:p w:rsidR="0034445C" w:rsidRPr="00D40CE7" w:rsidRDefault="0034445C"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Gastos y Otras Pérdidas</w:t>
      </w:r>
    </w:p>
    <w:p w:rsidR="00F2495B" w:rsidRPr="00D40CE7" w:rsidRDefault="00F2495B" w:rsidP="00C4137E">
      <w:pPr>
        <w:autoSpaceDE w:val="0"/>
        <w:autoSpaceDN w:val="0"/>
        <w:adjustRightInd w:val="0"/>
        <w:spacing w:line="360" w:lineRule="auto"/>
        <w:jc w:val="both"/>
        <w:rPr>
          <w:rFonts w:ascii="Barlow" w:hAnsi="Barlow" w:cs="Arial"/>
          <w:sz w:val="20"/>
          <w:szCs w:val="20"/>
        </w:rPr>
      </w:pPr>
    </w:p>
    <w:p w:rsidR="00051C2B" w:rsidRPr="00D40CE7" w:rsidRDefault="0034445C"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 xml:space="preserve">1.- </w:t>
      </w:r>
      <w:r w:rsidR="00051C2B" w:rsidRPr="00D40CE7">
        <w:rPr>
          <w:rFonts w:ascii="Barlow" w:hAnsi="Barlow" w:cs="Arial"/>
          <w:bCs/>
          <w:sz w:val="20"/>
          <w:szCs w:val="20"/>
        </w:rPr>
        <w:t xml:space="preserve">Los gastos superiores al 10% del total de gasto se integran </w:t>
      </w:r>
      <w:r w:rsidR="006E1089" w:rsidRPr="00D40CE7">
        <w:rPr>
          <w:rFonts w:ascii="Barlow" w:hAnsi="Barlow" w:cs="Arial"/>
          <w:bCs/>
          <w:sz w:val="20"/>
          <w:szCs w:val="20"/>
        </w:rPr>
        <w:t>a continuación</w:t>
      </w:r>
      <w:r w:rsidR="00051C2B" w:rsidRPr="00D40CE7">
        <w:rPr>
          <w:rFonts w:ascii="Barlow" w:hAnsi="Barlow" w:cs="Arial"/>
          <w:bCs/>
          <w:sz w:val="20"/>
          <w:szCs w:val="20"/>
        </w:rPr>
        <w:t>:</w:t>
      </w:r>
      <w:r w:rsidR="009A073C" w:rsidRPr="00D40CE7">
        <w:rPr>
          <w:rFonts w:ascii="Barlow" w:hAnsi="Barlow" w:cs="Arial"/>
          <w:bCs/>
          <w:sz w:val="20"/>
          <w:szCs w:val="20"/>
        </w:rPr>
        <w:t xml:space="preserve"> (ninguno)</w:t>
      </w:r>
    </w:p>
    <w:p w:rsidR="00AB20FB" w:rsidRPr="00D40CE7" w:rsidRDefault="00AB20FB" w:rsidP="00D40CE7">
      <w:pPr>
        <w:autoSpaceDE w:val="0"/>
        <w:autoSpaceDN w:val="0"/>
        <w:adjustRightInd w:val="0"/>
        <w:spacing w:line="360" w:lineRule="auto"/>
        <w:jc w:val="both"/>
        <w:rPr>
          <w:rFonts w:ascii="Barlow" w:hAnsi="Barlow" w:cs="Arial"/>
          <w:bCs/>
          <w:sz w:val="20"/>
          <w:szCs w:val="20"/>
        </w:rPr>
      </w:pPr>
    </w:p>
    <w:p w:rsidR="00AB20FB" w:rsidRPr="00D40CE7" w:rsidRDefault="00051C2B" w:rsidP="00AB20FB">
      <w:pPr>
        <w:autoSpaceDE w:val="0"/>
        <w:autoSpaceDN w:val="0"/>
        <w:adjustRightInd w:val="0"/>
        <w:spacing w:line="360" w:lineRule="auto"/>
        <w:jc w:val="both"/>
        <w:rPr>
          <w:rFonts w:ascii="Barlow" w:hAnsi="Barlow" w:cs="Arial"/>
          <w:sz w:val="20"/>
          <w:szCs w:val="20"/>
        </w:rPr>
      </w:pPr>
      <w:r w:rsidRPr="00D40CE7">
        <w:rPr>
          <w:rFonts w:ascii="Barlow" w:hAnsi="Barlow" w:cs="Arial"/>
          <w:b/>
          <w:sz w:val="20"/>
          <w:szCs w:val="20"/>
        </w:rPr>
        <w:t>III) NOTAS AL ESTADO DE VARIACIONES EN LA HACIENDA PÚBLICA.</w:t>
      </w:r>
    </w:p>
    <w:p w:rsidR="008273DF" w:rsidRDefault="008273DF" w:rsidP="00C4137E">
      <w:pPr>
        <w:autoSpaceDE w:val="0"/>
        <w:autoSpaceDN w:val="0"/>
        <w:adjustRightInd w:val="0"/>
        <w:spacing w:line="360" w:lineRule="auto"/>
        <w:ind w:left="360"/>
        <w:jc w:val="both"/>
        <w:rPr>
          <w:rFonts w:ascii="Barlow" w:hAnsi="Barlow" w:cs="Arial"/>
          <w:sz w:val="20"/>
          <w:szCs w:val="20"/>
        </w:rPr>
      </w:pPr>
      <w:r w:rsidRPr="00D40CE7">
        <w:rPr>
          <w:rFonts w:ascii="Barlow" w:hAnsi="Barlow" w:cs="Arial"/>
          <w:sz w:val="20"/>
          <w:szCs w:val="20"/>
        </w:rPr>
        <w:t xml:space="preserve">1.- En la cuenta de patrimonio </w:t>
      </w:r>
      <w:r w:rsidR="00672CB0" w:rsidRPr="00D40CE7">
        <w:rPr>
          <w:rFonts w:ascii="Barlow" w:hAnsi="Barlow" w:cs="Arial"/>
          <w:sz w:val="20"/>
          <w:szCs w:val="20"/>
        </w:rPr>
        <w:t>contribuido</w:t>
      </w:r>
      <w:r w:rsidRPr="00D40CE7">
        <w:rPr>
          <w:rFonts w:ascii="Barlow" w:hAnsi="Barlow" w:cs="Arial"/>
          <w:sz w:val="20"/>
          <w:szCs w:val="20"/>
        </w:rPr>
        <w:t xml:space="preserve"> </w:t>
      </w:r>
      <w:r w:rsidR="00672CB0" w:rsidRPr="00D40CE7">
        <w:rPr>
          <w:rFonts w:ascii="Barlow" w:hAnsi="Barlow" w:cs="Arial"/>
          <w:sz w:val="20"/>
          <w:szCs w:val="20"/>
        </w:rPr>
        <w:t>presenta las siguientes variaciones:</w:t>
      </w:r>
    </w:p>
    <w:p w:rsidR="00D40CE7" w:rsidRDefault="00D40CE7" w:rsidP="00C4137E">
      <w:pPr>
        <w:autoSpaceDE w:val="0"/>
        <w:autoSpaceDN w:val="0"/>
        <w:adjustRightInd w:val="0"/>
        <w:spacing w:line="360" w:lineRule="auto"/>
        <w:ind w:left="360"/>
        <w:jc w:val="both"/>
        <w:rPr>
          <w:rFonts w:ascii="Barlow" w:hAnsi="Barlow" w:cs="Arial"/>
          <w:sz w:val="20"/>
          <w:szCs w:val="20"/>
        </w:rPr>
      </w:pPr>
    </w:p>
    <w:p w:rsidR="00D40CE7" w:rsidRPr="00D40CE7" w:rsidRDefault="00D40CE7" w:rsidP="00C4137E">
      <w:pPr>
        <w:autoSpaceDE w:val="0"/>
        <w:autoSpaceDN w:val="0"/>
        <w:adjustRightInd w:val="0"/>
        <w:spacing w:line="360" w:lineRule="auto"/>
        <w:ind w:left="360"/>
        <w:jc w:val="both"/>
        <w:rPr>
          <w:rFonts w:ascii="Barlow" w:hAnsi="Barlow" w:cs="Arial"/>
          <w:sz w:val="20"/>
          <w:szCs w:val="20"/>
        </w:rPr>
      </w:pPr>
    </w:p>
    <w:p w:rsidR="00672CB0" w:rsidRPr="00D40CE7" w:rsidRDefault="00672CB0" w:rsidP="00C4137E">
      <w:pPr>
        <w:autoSpaceDE w:val="0"/>
        <w:autoSpaceDN w:val="0"/>
        <w:adjustRightInd w:val="0"/>
        <w:spacing w:line="360" w:lineRule="auto"/>
        <w:ind w:left="360"/>
        <w:jc w:val="both"/>
        <w:rPr>
          <w:rFonts w:ascii="Barlow" w:hAnsi="Barlow" w:cs="Arial"/>
          <w:sz w:val="20"/>
          <w:szCs w:val="20"/>
          <w:highlight w:val="yellow"/>
        </w:rPr>
      </w:pPr>
    </w:p>
    <w:tbl>
      <w:tblPr>
        <w:tblW w:w="10715" w:type="dxa"/>
        <w:jc w:val="center"/>
        <w:tblCellMar>
          <w:left w:w="70" w:type="dxa"/>
          <w:right w:w="70" w:type="dxa"/>
        </w:tblCellMar>
        <w:tblLook w:val="04A0" w:firstRow="1" w:lastRow="0" w:firstColumn="1" w:lastColumn="0" w:noHBand="0" w:noVBand="1"/>
      </w:tblPr>
      <w:tblGrid>
        <w:gridCol w:w="5719"/>
        <w:gridCol w:w="1698"/>
        <w:gridCol w:w="1600"/>
        <w:gridCol w:w="1698"/>
      </w:tblGrid>
      <w:tr w:rsidR="00672CB0" w:rsidRPr="00D40CE7" w:rsidTr="00AA76DF">
        <w:trPr>
          <w:trHeight w:val="255"/>
          <w:jc w:val="center"/>
        </w:trPr>
        <w:tc>
          <w:tcPr>
            <w:tcW w:w="5719"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color w:val="000000"/>
                <w:sz w:val="20"/>
                <w:szCs w:val="20"/>
                <w:lang w:eastAsia="es-MX"/>
              </w:rPr>
            </w:pPr>
          </w:p>
        </w:tc>
        <w:tc>
          <w:tcPr>
            <w:tcW w:w="1698"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SALDO INICIAL</w:t>
            </w:r>
          </w:p>
        </w:tc>
        <w:tc>
          <w:tcPr>
            <w:tcW w:w="1600"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VARIACIONES</w:t>
            </w:r>
          </w:p>
        </w:tc>
        <w:tc>
          <w:tcPr>
            <w:tcW w:w="1698"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SALDO FINAL</w:t>
            </w:r>
          </w:p>
        </w:tc>
      </w:tr>
      <w:tr w:rsidR="00672CB0" w:rsidRPr="00D40CE7" w:rsidTr="00AA76DF">
        <w:trPr>
          <w:trHeight w:val="255"/>
          <w:jc w:val="center"/>
        </w:trPr>
        <w:tc>
          <w:tcPr>
            <w:tcW w:w="5719"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HACIENDA PUBLICA/PATRIMONIO CONTRIBUIDO</w:t>
            </w:r>
          </w:p>
        </w:tc>
        <w:tc>
          <w:tcPr>
            <w:tcW w:w="1698"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color w:val="000000"/>
                <w:sz w:val="20"/>
                <w:szCs w:val="20"/>
                <w:lang w:eastAsia="es-MX"/>
              </w:rPr>
            </w:pPr>
          </w:p>
        </w:tc>
        <w:tc>
          <w:tcPr>
            <w:tcW w:w="1600"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color w:val="000000"/>
                <w:sz w:val="20"/>
                <w:szCs w:val="20"/>
                <w:lang w:eastAsia="es-MX"/>
              </w:rPr>
            </w:pPr>
          </w:p>
        </w:tc>
        <w:tc>
          <w:tcPr>
            <w:tcW w:w="1698"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color w:val="000000"/>
                <w:sz w:val="20"/>
                <w:szCs w:val="20"/>
                <w:lang w:eastAsia="es-MX"/>
              </w:rPr>
            </w:pPr>
          </w:p>
        </w:tc>
      </w:tr>
      <w:tr w:rsidR="00672CB0" w:rsidRPr="00D40CE7" w:rsidTr="00AA76DF">
        <w:trPr>
          <w:trHeight w:val="255"/>
          <w:jc w:val="center"/>
        </w:trPr>
        <w:tc>
          <w:tcPr>
            <w:tcW w:w="5719" w:type="dxa"/>
            <w:tcBorders>
              <w:top w:val="nil"/>
              <w:left w:val="nil"/>
              <w:bottom w:val="nil"/>
              <w:right w:val="nil"/>
            </w:tcBorders>
            <w:shd w:val="clear" w:color="auto" w:fill="auto"/>
            <w:noWrap/>
            <w:hideMark/>
          </w:tcPr>
          <w:p w:rsidR="00672CB0" w:rsidRPr="00D40CE7" w:rsidRDefault="00672CB0"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APORTACIONES</w:t>
            </w:r>
          </w:p>
        </w:tc>
        <w:tc>
          <w:tcPr>
            <w:tcW w:w="1698" w:type="dxa"/>
            <w:tcBorders>
              <w:top w:val="nil"/>
              <w:left w:val="nil"/>
              <w:bottom w:val="nil"/>
              <w:right w:val="nil"/>
            </w:tcBorders>
            <w:shd w:val="clear" w:color="auto" w:fill="auto"/>
            <w:noWrap/>
            <w:hideMark/>
          </w:tcPr>
          <w:p w:rsidR="00672CB0" w:rsidRPr="00D40CE7" w:rsidRDefault="005137ED" w:rsidP="009A073C">
            <w:pPr>
              <w:jc w:val="right"/>
              <w:rPr>
                <w:rFonts w:ascii="Barlow" w:hAnsi="Barlow" w:cs="Arial"/>
                <w:color w:val="000000"/>
                <w:sz w:val="20"/>
                <w:szCs w:val="20"/>
                <w:lang w:eastAsia="es-MX"/>
              </w:rPr>
            </w:pPr>
            <w:r w:rsidRPr="00D40CE7">
              <w:rPr>
                <w:rFonts w:ascii="Barlow" w:hAnsi="Barlow" w:cs="Arial"/>
                <w:color w:val="000000"/>
                <w:sz w:val="20"/>
                <w:szCs w:val="20"/>
                <w:lang w:eastAsia="es-MX"/>
              </w:rPr>
              <w:t>-</w:t>
            </w:r>
            <w:r w:rsidR="009A073C" w:rsidRPr="00D40CE7">
              <w:rPr>
                <w:rFonts w:ascii="Barlow" w:hAnsi="Barlow" w:cs="Arial"/>
                <w:color w:val="000000"/>
                <w:sz w:val="20"/>
                <w:szCs w:val="20"/>
                <w:lang w:eastAsia="es-MX"/>
              </w:rPr>
              <w:t>369,134.59</w:t>
            </w:r>
          </w:p>
        </w:tc>
        <w:tc>
          <w:tcPr>
            <w:tcW w:w="1600" w:type="dxa"/>
            <w:tcBorders>
              <w:top w:val="nil"/>
              <w:left w:val="nil"/>
              <w:bottom w:val="nil"/>
              <w:right w:val="nil"/>
            </w:tcBorders>
            <w:shd w:val="clear" w:color="auto" w:fill="auto"/>
            <w:noWrap/>
            <w:hideMark/>
          </w:tcPr>
          <w:p w:rsidR="00672CB0" w:rsidRPr="00D40CE7" w:rsidRDefault="00672CB0" w:rsidP="005137ED">
            <w:pPr>
              <w:jc w:val="right"/>
              <w:rPr>
                <w:rFonts w:ascii="Barlow" w:hAnsi="Barlow" w:cs="Arial"/>
                <w:color w:val="000000"/>
                <w:sz w:val="20"/>
                <w:szCs w:val="20"/>
                <w:lang w:eastAsia="es-MX"/>
              </w:rPr>
            </w:pPr>
          </w:p>
          <w:p w:rsidR="005137ED" w:rsidRPr="00D40CE7" w:rsidRDefault="005137ED" w:rsidP="005137ED">
            <w:pPr>
              <w:jc w:val="right"/>
              <w:rPr>
                <w:rFonts w:ascii="Barlow" w:hAnsi="Barlow" w:cs="Arial"/>
                <w:color w:val="000000"/>
                <w:sz w:val="20"/>
                <w:szCs w:val="20"/>
                <w:lang w:eastAsia="es-MX"/>
              </w:rPr>
            </w:pPr>
          </w:p>
        </w:tc>
        <w:tc>
          <w:tcPr>
            <w:tcW w:w="1698" w:type="dxa"/>
            <w:tcBorders>
              <w:top w:val="nil"/>
              <w:left w:val="nil"/>
              <w:bottom w:val="nil"/>
              <w:right w:val="nil"/>
            </w:tcBorders>
            <w:shd w:val="clear" w:color="auto" w:fill="auto"/>
            <w:noWrap/>
            <w:hideMark/>
          </w:tcPr>
          <w:p w:rsidR="00672CB0" w:rsidRPr="00D40CE7" w:rsidRDefault="00041724" w:rsidP="00041724">
            <w:pPr>
              <w:jc w:val="right"/>
              <w:rPr>
                <w:rFonts w:ascii="Barlow" w:hAnsi="Barlow" w:cs="Arial"/>
                <w:color w:val="000000"/>
                <w:sz w:val="20"/>
                <w:szCs w:val="20"/>
                <w:lang w:eastAsia="es-MX"/>
              </w:rPr>
            </w:pPr>
            <w:r w:rsidRPr="00D40CE7">
              <w:rPr>
                <w:rFonts w:ascii="Barlow" w:hAnsi="Barlow" w:cs="Arial"/>
                <w:color w:val="000000"/>
                <w:sz w:val="20"/>
                <w:szCs w:val="20"/>
                <w:lang w:eastAsia="es-MX"/>
              </w:rPr>
              <w:t>-369,134.59</w:t>
            </w:r>
          </w:p>
        </w:tc>
      </w:tr>
    </w:tbl>
    <w:p w:rsidR="00F5643D" w:rsidRPr="00D40CE7" w:rsidRDefault="00F5643D" w:rsidP="00C4137E">
      <w:pPr>
        <w:autoSpaceDE w:val="0"/>
        <w:autoSpaceDN w:val="0"/>
        <w:adjustRightInd w:val="0"/>
        <w:spacing w:line="360" w:lineRule="auto"/>
        <w:ind w:left="360"/>
        <w:jc w:val="both"/>
        <w:rPr>
          <w:rFonts w:ascii="Barlow" w:hAnsi="Barlow" w:cs="Arial"/>
          <w:sz w:val="20"/>
          <w:szCs w:val="20"/>
          <w:highlight w:val="yellow"/>
        </w:rPr>
      </w:pPr>
    </w:p>
    <w:p w:rsidR="00672CB0" w:rsidRPr="00D40CE7" w:rsidRDefault="00672CB0" w:rsidP="00C4137E">
      <w:pPr>
        <w:autoSpaceDE w:val="0"/>
        <w:autoSpaceDN w:val="0"/>
        <w:adjustRightInd w:val="0"/>
        <w:spacing w:line="360" w:lineRule="auto"/>
        <w:ind w:left="360"/>
        <w:jc w:val="both"/>
        <w:rPr>
          <w:rFonts w:ascii="Barlow" w:hAnsi="Barlow" w:cs="Arial"/>
          <w:sz w:val="20"/>
          <w:szCs w:val="20"/>
        </w:rPr>
      </w:pPr>
      <w:bookmarkStart w:id="7" w:name="m11"/>
      <w:bookmarkEnd w:id="7"/>
      <w:r w:rsidRPr="00D40CE7">
        <w:rPr>
          <w:rFonts w:ascii="Barlow" w:hAnsi="Barlow" w:cs="Arial"/>
          <w:sz w:val="20"/>
          <w:szCs w:val="20"/>
        </w:rPr>
        <w:t xml:space="preserve">2.- En la cuenta de patrimonio generado se acumula </w:t>
      </w:r>
      <w:r w:rsidR="00112D72" w:rsidRPr="00D40CE7">
        <w:rPr>
          <w:rFonts w:ascii="Barlow" w:hAnsi="Barlow" w:cs="Arial"/>
          <w:sz w:val="20"/>
          <w:szCs w:val="20"/>
        </w:rPr>
        <w:t>e</w:t>
      </w:r>
      <w:r w:rsidRPr="00D40CE7">
        <w:rPr>
          <w:rFonts w:ascii="Barlow" w:hAnsi="Barlow" w:cs="Arial"/>
          <w:sz w:val="20"/>
          <w:szCs w:val="20"/>
        </w:rPr>
        <w:t>l resultado de ejercicios anteriores y se integran de la siguiente forma:</w:t>
      </w:r>
    </w:p>
    <w:p w:rsidR="008273DF" w:rsidRPr="00D40CE7" w:rsidRDefault="008273DF" w:rsidP="00C4137E">
      <w:pPr>
        <w:autoSpaceDE w:val="0"/>
        <w:autoSpaceDN w:val="0"/>
        <w:adjustRightInd w:val="0"/>
        <w:spacing w:line="360" w:lineRule="auto"/>
        <w:ind w:left="360"/>
        <w:jc w:val="both"/>
        <w:rPr>
          <w:rFonts w:ascii="Barlow" w:hAnsi="Barlow" w:cs="Arial"/>
          <w:sz w:val="20"/>
          <w:szCs w:val="20"/>
        </w:rPr>
      </w:pPr>
    </w:p>
    <w:tbl>
      <w:tblPr>
        <w:tblW w:w="12456" w:type="dxa"/>
        <w:jc w:val="center"/>
        <w:tblCellMar>
          <w:left w:w="70" w:type="dxa"/>
          <w:right w:w="70" w:type="dxa"/>
        </w:tblCellMar>
        <w:tblLook w:val="04A0" w:firstRow="1" w:lastRow="0" w:firstColumn="1" w:lastColumn="0" w:noHBand="0" w:noVBand="1"/>
      </w:tblPr>
      <w:tblGrid>
        <w:gridCol w:w="7063"/>
        <w:gridCol w:w="1833"/>
        <w:gridCol w:w="1727"/>
        <w:gridCol w:w="1833"/>
      </w:tblGrid>
      <w:tr w:rsidR="002C1A37" w:rsidRPr="00D40CE7" w:rsidTr="002C1A37">
        <w:trPr>
          <w:trHeight w:val="278"/>
          <w:jc w:val="center"/>
        </w:trPr>
        <w:tc>
          <w:tcPr>
            <w:tcW w:w="7063" w:type="dxa"/>
            <w:tcBorders>
              <w:top w:val="nil"/>
              <w:left w:val="nil"/>
              <w:bottom w:val="nil"/>
              <w:right w:val="nil"/>
            </w:tcBorders>
            <w:shd w:val="clear" w:color="auto" w:fill="auto"/>
            <w:noWrap/>
            <w:hideMark/>
          </w:tcPr>
          <w:p w:rsidR="002C1A37" w:rsidRPr="00D40CE7" w:rsidRDefault="002C1A37" w:rsidP="00C4137E">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vAlign w:val="center"/>
            <w:hideMark/>
          </w:tcPr>
          <w:p w:rsidR="002C1A37" w:rsidRPr="00D40CE7" w:rsidRDefault="002C1A37"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SALDO INICIAL</w:t>
            </w:r>
          </w:p>
        </w:tc>
        <w:tc>
          <w:tcPr>
            <w:tcW w:w="1727" w:type="dxa"/>
            <w:tcBorders>
              <w:top w:val="nil"/>
              <w:left w:val="nil"/>
              <w:bottom w:val="nil"/>
              <w:right w:val="nil"/>
            </w:tcBorders>
            <w:shd w:val="clear" w:color="auto" w:fill="auto"/>
            <w:noWrap/>
            <w:vAlign w:val="center"/>
            <w:hideMark/>
          </w:tcPr>
          <w:p w:rsidR="002C1A37" w:rsidRPr="00D40CE7" w:rsidRDefault="002C1A37"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VARIACIONES</w:t>
            </w:r>
          </w:p>
        </w:tc>
        <w:tc>
          <w:tcPr>
            <w:tcW w:w="1833" w:type="dxa"/>
            <w:tcBorders>
              <w:top w:val="nil"/>
              <w:left w:val="nil"/>
              <w:bottom w:val="nil"/>
              <w:right w:val="nil"/>
            </w:tcBorders>
            <w:shd w:val="clear" w:color="auto" w:fill="auto"/>
            <w:noWrap/>
            <w:vAlign w:val="center"/>
            <w:hideMark/>
          </w:tcPr>
          <w:p w:rsidR="002C1A37" w:rsidRPr="00D40CE7" w:rsidRDefault="002C1A37"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SALDO FINAL</w:t>
            </w:r>
          </w:p>
        </w:tc>
      </w:tr>
      <w:tr w:rsidR="002C1A37" w:rsidRPr="00D40CE7" w:rsidTr="002C1A37">
        <w:trPr>
          <w:trHeight w:val="278"/>
          <w:jc w:val="center"/>
        </w:trPr>
        <w:tc>
          <w:tcPr>
            <w:tcW w:w="7063" w:type="dxa"/>
            <w:tcBorders>
              <w:top w:val="nil"/>
              <w:left w:val="nil"/>
              <w:bottom w:val="nil"/>
              <w:right w:val="nil"/>
            </w:tcBorders>
            <w:shd w:val="clear" w:color="auto" w:fill="auto"/>
            <w:noWrap/>
            <w:hideMark/>
          </w:tcPr>
          <w:p w:rsidR="002C1A37" w:rsidRPr="00D40CE7" w:rsidRDefault="002C1A37" w:rsidP="00C4137E">
            <w:pPr>
              <w:jc w:val="both"/>
              <w:rPr>
                <w:rFonts w:ascii="Barlow" w:hAnsi="Barlow" w:cs="Arial"/>
                <w:b/>
                <w:color w:val="000000"/>
                <w:sz w:val="20"/>
                <w:szCs w:val="20"/>
                <w:lang w:eastAsia="es-MX"/>
              </w:rPr>
            </w:pPr>
            <w:r w:rsidRPr="00D40CE7">
              <w:rPr>
                <w:rFonts w:ascii="Barlow" w:hAnsi="Barlow" w:cs="Arial"/>
                <w:b/>
                <w:color w:val="000000"/>
                <w:sz w:val="20"/>
                <w:szCs w:val="20"/>
                <w:lang w:eastAsia="es-MX"/>
              </w:rPr>
              <w:t>HACIENDA PUBLICA /PATRIMONIO GENERADO</w:t>
            </w:r>
          </w:p>
        </w:tc>
        <w:tc>
          <w:tcPr>
            <w:tcW w:w="1833" w:type="dxa"/>
            <w:tcBorders>
              <w:top w:val="nil"/>
              <w:left w:val="nil"/>
              <w:bottom w:val="nil"/>
              <w:right w:val="nil"/>
            </w:tcBorders>
            <w:shd w:val="clear" w:color="auto" w:fill="auto"/>
            <w:noWrap/>
            <w:hideMark/>
          </w:tcPr>
          <w:p w:rsidR="002C1A37" w:rsidRPr="00D40CE7" w:rsidRDefault="002C1A37" w:rsidP="00C4137E">
            <w:pPr>
              <w:jc w:val="both"/>
              <w:rPr>
                <w:rFonts w:ascii="Barlow" w:hAnsi="Barlow" w:cs="Arial"/>
                <w:color w:val="000000"/>
                <w:sz w:val="20"/>
                <w:szCs w:val="20"/>
                <w:lang w:eastAsia="es-MX"/>
              </w:rPr>
            </w:pPr>
          </w:p>
        </w:tc>
        <w:tc>
          <w:tcPr>
            <w:tcW w:w="1727" w:type="dxa"/>
            <w:tcBorders>
              <w:top w:val="nil"/>
              <w:left w:val="nil"/>
              <w:bottom w:val="nil"/>
              <w:right w:val="nil"/>
            </w:tcBorders>
            <w:shd w:val="clear" w:color="auto" w:fill="auto"/>
            <w:noWrap/>
            <w:hideMark/>
          </w:tcPr>
          <w:p w:rsidR="002C1A37" w:rsidRPr="00D40CE7" w:rsidRDefault="002C1A37" w:rsidP="00C4137E">
            <w:pPr>
              <w:jc w:val="both"/>
              <w:rPr>
                <w:rFonts w:ascii="Barlow" w:hAnsi="Barlow" w:cs="Arial"/>
                <w:color w:val="000000"/>
                <w:sz w:val="20"/>
                <w:szCs w:val="20"/>
                <w:lang w:eastAsia="es-MX"/>
              </w:rPr>
            </w:pPr>
          </w:p>
        </w:tc>
        <w:tc>
          <w:tcPr>
            <w:tcW w:w="1833" w:type="dxa"/>
            <w:tcBorders>
              <w:top w:val="nil"/>
              <w:left w:val="nil"/>
              <w:bottom w:val="nil"/>
              <w:right w:val="nil"/>
            </w:tcBorders>
            <w:shd w:val="clear" w:color="auto" w:fill="auto"/>
            <w:noWrap/>
            <w:hideMark/>
          </w:tcPr>
          <w:p w:rsidR="002C1A37" w:rsidRPr="00D40CE7" w:rsidRDefault="002C1A37" w:rsidP="00C4137E">
            <w:pPr>
              <w:jc w:val="both"/>
              <w:rPr>
                <w:rFonts w:ascii="Barlow" w:hAnsi="Barlow" w:cs="Arial"/>
                <w:color w:val="000000"/>
                <w:sz w:val="20"/>
                <w:szCs w:val="20"/>
                <w:lang w:eastAsia="es-MX"/>
              </w:rPr>
            </w:pPr>
          </w:p>
        </w:tc>
      </w:tr>
      <w:tr w:rsidR="00AA76DF" w:rsidRPr="00D40CE7" w:rsidTr="00AA76DF">
        <w:trPr>
          <w:trHeight w:val="278"/>
          <w:jc w:val="center"/>
        </w:trPr>
        <w:tc>
          <w:tcPr>
            <w:tcW w:w="7063" w:type="dxa"/>
            <w:tcBorders>
              <w:top w:val="nil"/>
              <w:left w:val="nil"/>
              <w:bottom w:val="nil"/>
              <w:right w:val="nil"/>
            </w:tcBorders>
            <w:shd w:val="clear" w:color="auto" w:fill="auto"/>
            <w:noWrap/>
            <w:hideMark/>
          </w:tcPr>
          <w:p w:rsidR="00AA76DF" w:rsidRPr="00D40CE7" w:rsidRDefault="00AA76DF" w:rsidP="00C4137E">
            <w:pPr>
              <w:jc w:val="both"/>
              <w:rPr>
                <w:rFonts w:ascii="Barlow" w:hAnsi="Barlow" w:cs="Arial"/>
                <w:b/>
                <w:color w:val="000000"/>
                <w:sz w:val="20"/>
                <w:szCs w:val="20"/>
                <w:lang w:eastAsia="es-MX"/>
              </w:rPr>
            </w:pPr>
            <w:r w:rsidRPr="00D40CE7">
              <w:rPr>
                <w:rFonts w:ascii="Barlow" w:hAnsi="Barlow" w:cs="Arial"/>
                <w:b/>
                <w:color w:val="000000"/>
                <w:sz w:val="20"/>
                <w:szCs w:val="20"/>
                <w:lang w:eastAsia="es-MX"/>
              </w:rPr>
              <w:t>RESULTADOS DE EJERCICIOS ANTERIORES</w:t>
            </w:r>
          </w:p>
        </w:tc>
        <w:tc>
          <w:tcPr>
            <w:tcW w:w="1833" w:type="dxa"/>
            <w:tcBorders>
              <w:top w:val="nil"/>
              <w:left w:val="nil"/>
              <w:bottom w:val="nil"/>
              <w:right w:val="nil"/>
            </w:tcBorders>
            <w:shd w:val="clear" w:color="auto" w:fill="auto"/>
            <w:noWrap/>
            <w:hideMark/>
          </w:tcPr>
          <w:p w:rsidR="00AA76DF" w:rsidRPr="00D40CE7" w:rsidRDefault="00AE6870" w:rsidP="005137ED">
            <w:pPr>
              <w:jc w:val="right"/>
              <w:rPr>
                <w:rFonts w:ascii="Barlow" w:hAnsi="Barlow" w:cs="Arial"/>
                <w:color w:val="000000"/>
                <w:sz w:val="20"/>
                <w:szCs w:val="20"/>
                <w:lang w:eastAsia="es-MX"/>
              </w:rPr>
            </w:pPr>
            <w:r w:rsidRPr="00D40CE7">
              <w:rPr>
                <w:rFonts w:ascii="Barlow" w:hAnsi="Barlow" w:cs="Arial"/>
                <w:color w:val="000000"/>
                <w:sz w:val="20"/>
                <w:szCs w:val="20"/>
                <w:lang w:eastAsia="es-MX"/>
              </w:rPr>
              <w:t>7,257,602.21</w:t>
            </w:r>
          </w:p>
        </w:tc>
        <w:tc>
          <w:tcPr>
            <w:tcW w:w="1727" w:type="dxa"/>
            <w:tcBorders>
              <w:top w:val="nil"/>
              <w:left w:val="nil"/>
              <w:bottom w:val="nil"/>
              <w:right w:val="nil"/>
            </w:tcBorders>
            <w:shd w:val="clear" w:color="auto" w:fill="auto"/>
            <w:noWrap/>
            <w:hideMark/>
          </w:tcPr>
          <w:p w:rsidR="00AA76DF" w:rsidRPr="00D40CE7" w:rsidRDefault="00041724" w:rsidP="00A3271E">
            <w:pPr>
              <w:jc w:val="right"/>
              <w:rPr>
                <w:rFonts w:ascii="Barlow" w:hAnsi="Barlow" w:cs="Arial"/>
                <w:color w:val="000000"/>
                <w:sz w:val="20"/>
                <w:szCs w:val="20"/>
                <w:lang w:eastAsia="es-MX"/>
              </w:rPr>
            </w:pPr>
            <w:r w:rsidRPr="00D40CE7">
              <w:rPr>
                <w:rFonts w:ascii="Barlow" w:hAnsi="Barlow" w:cs="Arial"/>
                <w:color w:val="000000"/>
                <w:sz w:val="20"/>
                <w:szCs w:val="20"/>
                <w:lang w:eastAsia="es-MX"/>
              </w:rPr>
              <w:t>196,354.14</w:t>
            </w:r>
          </w:p>
        </w:tc>
        <w:tc>
          <w:tcPr>
            <w:tcW w:w="1833" w:type="dxa"/>
            <w:tcBorders>
              <w:top w:val="nil"/>
              <w:left w:val="nil"/>
              <w:bottom w:val="nil"/>
              <w:right w:val="nil"/>
            </w:tcBorders>
            <w:shd w:val="clear" w:color="auto" w:fill="auto"/>
            <w:noWrap/>
          </w:tcPr>
          <w:p w:rsidR="00AA76DF" w:rsidRPr="00D40CE7" w:rsidRDefault="00041724" w:rsidP="0084260F">
            <w:pPr>
              <w:jc w:val="right"/>
              <w:rPr>
                <w:rFonts w:ascii="Barlow" w:hAnsi="Barlow" w:cs="Arial"/>
                <w:color w:val="000000"/>
                <w:sz w:val="20"/>
                <w:szCs w:val="20"/>
                <w:lang w:eastAsia="es-MX"/>
              </w:rPr>
            </w:pPr>
            <w:r w:rsidRPr="00D40CE7">
              <w:rPr>
                <w:rFonts w:ascii="Barlow" w:hAnsi="Barlow" w:cs="Arial"/>
                <w:color w:val="000000"/>
                <w:sz w:val="20"/>
                <w:szCs w:val="20"/>
                <w:lang w:eastAsia="es-MX"/>
              </w:rPr>
              <w:t>7,453,956.35</w:t>
            </w:r>
          </w:p>
        </w:tc>
      </w:tr>
    </w:tbl>
    <w:p w:rsidR="00374219" w:rsidRPr="00D40CE7" w:rsidRDefault="00374219" w:rsidP="00C4137E">
      <w:pPr>
        <w:autoSpaceDE w:val="0"/>
        <w:autoSpaceDN w:val="0"/>
        <w:adjustRightInd w:val="0"/>
        <w:spacing w:line="360" w:lineRule="auto"/>
        <w:ind w:left="360"/>
        <w:jc w:val="both"/>
        <w:rPr>
          <w:rFonts w:ascii="Barlow" w:hAnsi="Barlow" w:cs="Arial"/>
          <w:sz w:val="20"/>
          <w:szCs w:val="20"/>
        </w:rPr>
      </w:pPr>
    </w:p>
    <w:p w:rsidR="00C850B8" w:rsidRPr="00D40CE7" w:rsidRDefault="00C850B8" w:rsidP="00C4137E">
      <w:pPr>
        <w:autoSpaceDE w:val="0"/>
        <w:autoSpaceDN w:val="0"/>
        <w:adjustRightInd w:val="0"/>
        <w:spacing w:line="360" w:lineRule="auto"/>
        <w:jc w:val="both"/>
        <w:rPr>
          <w:rFonts w:ascii="Barlow" w:hAnsi="Barlow" w:cs="Arial"/>
          <w:sz w:val="20"/>
          <w:szCs w:val="20"/>
        </w:rPr>
      </w:pPr>
      <w:r w:rsidRPr="00D40CE7">
        <w:rPr>
          <w:rFonts w:ascii="Barlow" w:hAnsi="Barlow" w:cs="Arial"/>
          <w:b/>
          <w:sz w:val="20"/>
          <w:szCs w:val="20"/>
        </w:rPr>
        <w:t>IV) NOTAS AL ESTADO DE FLUJO DE EFECTIVO.</w:t>
      </w:r>
    </w:p>
    <w:tbl>
      <w:tblPr>
        <w:tblW w:w="0" w:type="auto"/>
        <w:jc w:val="center"/>
        <w:tblLook w:val="04A0" w:firstRow="1" w:lastRow="0" w:firstColumn="1" w:lastColumn="0" w:noHBand="0" w:noVBand="1"/>
      </w:tblPr>
      <w:tblGrid>
        <w:gridCol w:w="13128"/>
        <w:gridCol w:w="222"/>
        <w:gridCol w:w="222"/>
      </w:tblGrid>
      <w:tr w:rsidR="00BA568D" w:rsidRPr="00D40CE7" w:rsidTr="00910150">
        <w:trPr>
          <w:jc w:val="center"/>
        </w:trPr>
        <w:tc>
          <w:tcPr>
            <w:tcW w:w="0" w:type="auto"/>
            <w:shd w:val="clear" w:color="auto" w:fill="auto"/>
          </w:tcPr>
          <w:p w:rsidR="00BA568D" w:rsidRPr="00D40CE7" w:rsidRDefault="008273DF" w:rsidP="00910150">
            <w:pPr>
              <w:autoSpaceDE w:val="0"/>
              <w:autoSpaceDN w:val="0"/>
              <w:adjustRightInd w:val="0"/>
              <w:spacing w:line="360" w:lineRule="auto"/>
              <w:rPr>
                <w:rFonts w:ascii="Barlow" w:hAnsi="Barlow" w:cs="Calibri"/>
                <w:b/>
                <w:bCs/>
                <w:sz w:val="20"/>
                <w:szCs w:val="20"/>
              </w:rPr>
            </w:pPr>
            <w:r w:rsidRPr="00D40CE7">
              <w:rPr>
                <w:rFonts w:ascii="Barlow" w:hAnsi="Barlow" w:cs="Arial"/>
                <w:bCs/>
                <w:sz w:val="20"/>
                <w:szCs w:val="20"/>
              </w:rPr>
              <w:t>1.- El análisis de los saldos inicial y final que figuran en la última parte del estado de flujo de efectivo en la cuenta de efectivo y equivalentes es como sigue:</w:t>
            </w:r>
          </w:p>
        </w:tc>
        <w:tc>
          <w:tcPr>
            <w:tcW w:w="0" w:type="auto"/>
            <w:shd w:val="clear" w:color="auto" w:fill="auto"/>
          </w:tcPr>
          <w:p w:rsidR="00BA568D" w:rsidRPr="00D40CE7" w:rsidRDefault="00BA568D" w:rsidP="00910150">
            <w:pPr>
              <w:autoSpaceDE w:val="0"/>
              <w:autoSpaceDN w:val="0"/>
              <w:adjustRightInd w:val="0"/>
              <w:spacing w:line="360" w:lineRule="auto"/>
              <w:jc w:val="right"/>
              <w:rPr>
                <w:rFonts w:ascii="Barlow" w:hAnsi="Barlow" w:cs="Calibri"/>
                <w:b/>
                <w:bCs/>
                <w:sz w:val="20"/>
                <w:szCs w:val="20"/>
              </w:rPr>
            </w:pPr>
          </w:p>
        </w:tc>
        <w:tc>
          <w:tcPr>
            <w:tcW w:w="0" w:type="auto"/>
            <w:shd w:val="clear" w:color="auto" w:fill="auto"/>
          </w:tcPr>
          <w:p w:rsidR="00BA568D" w:rsidRPr="00D40CE7" w:rsidRDefault="00BA568D" w:rsidP="00910150">
            <w:pPr>
              <w:autoSpaceDE w:val="0"/>
              <w:autoSpaceDN w:val="0"/>
              <w:adjustRightInd w:val="0"/>
              <w:spacing w:line="360" w:lineRule="auto"/>
              <w:jc w:val="right"/>
              <w:rPr>
                <w:rFonts w:ascii="Barlow" w:hAnsi="Barlow" w:cs="Calibri"/>
                <w:b/>
                <w:bCs/>
                <w:sz w:val="20"/>
                <w:szCs w:val="20"/>
              </w:rPr>
            </w:pPr>
          </w:p>
        </w:tc>
      </w:tr>
    </w:tbl>
    <w:tbl>
      <w:tblPr>
        <w:tblStyle w:val="Tablaconcuadrcula"/>
        <w:tblpPr w:leftFromText="141" w:rightFromText="141" w:vertAnchor="text" w:horzAnchor="margin" w:tblpXSpec="center" w:tblpY="166"/>
        <w:tblW w:w="0" w:type="auto"/>
        <w:tblLook w:val="04A0" w:firstRow="1" w:lastRow="0" w:firstColumn="1" w:lastColumn="0" w:noHBand="0" w:noVBand="1"/>
      </w:tblPr>
      <w:tblGrid>
        <w:gridCol w:w="2869"/>
        <w:gridCol w:w="1917"/>
        <w:gridCol w:w="1985"/>
      </w:tblGrid>
      <w:tr w:rsidR="00F47311" w:rsidRPr="00D40CE7" w:rsidTr="00E70E3A">
        <w:tc>
          <w:tcPr>
            <w:tcW w:w="2869" w:type="dxa"/>
          </w:tcPr>
          <w:p w:rsidR="00F47311" w:rsidRPr="00D40CE7" w:rsidRDefault="0037467B" w:rsidP="00F47311">
            <w:pPr>
              <w:autoSpaceDE w:val="0"/>
              <w:autoSpaceDN w:val="0"/>
              <w:adjustRightInd w:val="0"/>
              <w:spacing w:line="360" w:lineRule="auto"/>
              <w:jc w:val="center"/>
              <w:rPr>
                <w:rFonts w:ascii="Barlow" w:hAnsi="Barlow" w:cs="Arial"/>
                <w:b/>
                <w:bCs/>
                <w:sz w:val="20"/>
                <w:szCs w:val="20"/>
              </w:rPr>
            </w:pPr>
            <w:r w:rsidRPr="00D40CE7">
              <w:rPr>
                <w:rFonts w:ascii="Barlow" w:hAnsi="Barlow" w:cs="Arial"/>
                <w:b/>
                <w:bCs/>
                <w:sz w:val="20"/>
                <w:szCs w:val="20"/>
              </w:rPr>
              <w:t>C</w:t>
            </w:r>
            <w:r w:rsidR="00F47311" w:rsidRPr="00D40CE7">
              <w:rPr>
                <w:rFonts w:ascii="Barlow" w:hAnsi="Barlow" w:cs="Arial"/>
                <w:b/>
                <w:bCs/>
                <w:sz w:val="20"/>
                <w:szCs w:val="20"/>
              </w:rPr>
              <w:t>ONCEPTO</w:t>
            </w:r>
          </w:p>
        </w:tc>
        <w:tc>
          <w:tcPr>
            <w:tcW w:w="1917" w:type="dxa"/>
          </w:tcPr>
          <w:p w:rsidR="00F47311" w:rsidRPr="00D40CE7" w:rsidRDefault="009C6B98" w:rsidP="00F47311">
            <w:pPr>
              <w:autoSpaceDE w:val="0"/>
              <w:autoSpaceDN w:val="0"/>
              <w:adjustRightInd w:val="0"/>
              <w:spacing w:line="360" w:lineRule="auto"/>
              <w:jc w:val="center"/>
              <w:rPr>
                <w:rFonts w:ascii="Barlow" w:hAnsi="Barlow" w:cs="Arial"/>
                <w:b/>
                <w:bCs/>
                <w:sz w:val="20"/>
                <w:szCs w:val="20"/>
              </w:rPr>
            </w:pPr>
            <w:r w:rsidRPr="00D40CE7">
              <w:rPr>
                <w:rFonts w:ascii="Barlow" w:hAnsi="Barlow" w:cs="Arial"/>
                <w:b/>
                <w:bCs/>
                <w:sz w:val="20"/>
                <w:szCs w:val="20"/>
              </w:rPr>
              <w:t>2022</w:t>
            </w:r>
          </w:p>
        </w:tc>
        <w:tc>
          <w:tcPr>
            <w:tcW w:w="1985" w:type="dxa"/>
          </w:tcPr>
          <w:p w:rsidR="00F47311" w:rsidRPr="00D40CE7" w:rsidRDefault="009C6B98" w:rsidP="00F47311">
            <w:pPr>
              <w:autoSpaceDE w:val="0"/>
              <w:autoSpaceDN w:val="0"/>
              <w:adjustRightInd w:val="0"/>
              <w:spacing w:line="360" w:lineRule="auto"/>
              <w:jc w:val="center"/>
              <w:rPr>
                <w:rFonts w:ascii="Barlow" w:hAnsi="Barlow" w:cs="Arial"/>
                <w:b/>
                <w:bCs/>
                <w:sz w:val="20"/>
                <w:szCs w:val="20"/>
              </w:rPr>
            </w:pPr>
            <w:r w:rsidRPr="00D40CE7">
              <w:rPr>
                <w:rFonts w:ascii="Barlow" w:hAnsi="Barlow" w:cs="Arial"/>
                <w:b/>
                <w:bCs/>
                <w:sz w:val="20"/>
                <w:szCs w:val="20"/>
              </w:rPr>
              <w:t>2021</w:t>
            </w:r>
          </w:p>
        </w:tc>
      </w:tr>
      <w:tr w:rsidR="00F47311" w:rsidRPr="00D40CE7" w:rsidTr="00E70E3A">
        <w:tc>
          <w:tcPr>
            <w:tcW w:w="2869" w:type="dxa"/>
          </w:tcPr>
          <w:p w:rsidR="00F47311" w:rsidRPr="00D40CE7" w:rsidRDefault="00F47311" w:rsidP="00F47311">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Efectivo</w:t>
            </w:r>
          </w:p>
        </w:tc>
        <w:tc>
          <w:tcPr>
            <w:tcW w:w="1917" w:type="dxa"/>
          </w:tcPr>
          <w:p w:rsidR="00F47311" w:rsidRPr="00D40CE7" w:rsidRDefault="00F47311" w:rsidP="00F47311">
            <w:pPr>
              <w:autoSpaceDE w:val="0"/>
              <w:autoSpaceDN w:val="0"/>
              <w:adjustRightInd w:val="0"/>
              <w:spacing w:line="360" w:lineRule="auto"/>
              <w:jc w:val="both"/>
              <w:rPr>
                <w:rFonts w:ascii="Barlow" w:hAnsi="Barlow" w:cs="Arial"/>
                <w:bCs/>
                <w:sz w:val="20"/>
                <w:szCs w:val="20"/>
              </w:rPr>
            </w:pPr>
          </w:p>
        </w:tc>
        <w:tc>
          <w:tcPr>
            <w:tcW w:w="1985" w:type="dxa"/>
          </w:tcPr>
          <w:p w:rsidR="00F47311" w:rsidRPr="00D40CE7" w:rsidRDefault="00F47311" w:rsidP="00F47311">
            <w:pPr>
              <w:autoSpaceDE w:val="0"/>
              <w:autoSpaceDN w:val="0"/>
              <w:adjustRightInd w:val="0"/>
              <w:spacing w:line="360" w:lineRule="auto"/>
              <w:jc w:val="both"/>
              <w:rPr>
                <w:rFonts w:ascii="Barlow" w:hAnsi="Barlow" w:cs="Arial"/>
                <w:bCs/>
                <w:sz w:val="20"/>
                <w:szCs w:val="20"/>
              </w:rPr>
            </w:pPr>
          </w:p>
        </w:tc>
      </w:tr>
      <w:tr w:rsidR="00C662B2" w:rsidRPr="00D40CE7" w:rsidTr="00E70E3A">
        <w:tc>
          <w:tcPr>
            <w:tcW w:w="2869"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Bancos/Tesorería</w:t>
            </w:r>
          </w:p>
        </w:tc>
        <w:tc>
          <w:tcPr>
            <w:tcW w:w="1917" w:type="dxa"/>
          </w:tcPr>
          <w:p w:rsidR="00C662B2" w:rsidRPr="00D40CE7" w:rsidRDefault="009C6B98" w:rsidP="00C662B2">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    0</w:t>
            </w:r>
            <w:r w:rsidR="00C662B2" w:rsidRPr="00D40CE7">
              <w:rPr>
                <w:rFonts w:ascii="Barlow" w:hAnsi="Barlow" w:cs="Arial"/>
                <w:bCs/>
                <w:sz w:val="20"/>
                <w:szCs w:val="20"/>
              </w:rPr>
              <w:t xml:space="preserve">.00 </w:t>
            </w:r>
          </w:p>
        </w:tc>
        <w:tc>
          <w:tcPr>
            <w:tcW w:w="1985" w:type="dxa"/>
          </w:tcPr>
          <w:p w:rsidR="00C662B2" w:rsidRPr="00D40CE7" w:rsidRDefault="00C662B2" w:rsidP="00C662B2">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 xml:space="preserve">$    20,000.00 </w:t>
            </w:r>
          </w:p>
        </w:tc>
      </w:tr>
      <w:tr w:rsidR="00C662B2" w:rsidRPr="00D40CE7" w:rsidTr="00E70E3A">
        <w:tc>
          <w:tcPr>
            <w:tcW w:w="2869"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Bancos/Dependencia y Otros</w:t>
            </w:r>
          </w:p>
        </w:tc>
        <w:tc>
          <w:tcPr>
            <w:tcW w:w="1917"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p>
        </w:tc>
        <w:tc>
          <w:tcPr>
            <w:tcW w:w="1985"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p>
        </w:tc>
      </w:tr>
      <w:tr w:rsidR="00C662B2" w:rsidRPr="00D40CE7" w:rsidTr="00E70E3A">
        <w:tc>
          <w:tcPr>
            <w:tcW w:w="2869"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Inv. Temporales (hasta 3 meses)</w:t>
            </w:r>
          </w:p>
        </w:tc>
        <w:tc>
          <w:tcPr>
            <w:tcW w:w="1917" w:type="dxa"/>
          </w:tcPr>
          <w:p w:rsidR="00C662B2" w:rsidRPr="00D40CE7" w:rsidRDefault="009C6B98" w:rsidP="00C662B2">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$ 0</w:t>
            </w:r>
            <w:r w:rsidR="00C662B2" w:rsidRPr="00D40CE7">
              <w:rPr>
                <w:rFonts w:ascii="Barlow" w:hAnsi="Barlow" w:cs="Arial"/>
                <w:bCs/>
                <w:sz w:val="20"/>
                <w:szCs w:val="20"/>
              </w:rPr>
              <w:t>.</w:t>
            </w:r>
            <w:r w:rsidRPr="00D40CE7">
              <w:rPr>
                <w:rFonts w:ascii="Barlow" w:hAnsi="Barlow" w:cs="Arial"/>
                <w:bCs/>
                <w:sz w:val="20"/>
                <w:szCs w:val="20"/>
              </w:rPr>
              <w:t>00</w:t>
            </w:r>
          </w:p>
        </w:tc>
        <w:tc>
          <w:tcPr>
            <w:tcW w:w="1985" w:type="dxa"/>
          </w:tcPr>
          <w:p w:rsidR="00C662B2" w:rsidRPr="00D40CE7" w:rsidRDefault="009C6B98" w:rsidP="00C662B2">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$ 6,868,467.62</w:t>
            </w:r>
          </w:p>
        </w:tc>
      </w:tr>
      <w:tr w:rsidR="00C662B2" w:rsidRPr="00D40CE7" w:rsidTr="00E70E3A">
        <w:tc>
          <w:tcPr>
            <w:tcW w:w="2869"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 xml:space="preserve">Fondo con </w:t>
            </w:r>
            <w:proofErr w:type="spellStart"/>
            <w:r w:rsidRPr="00D40CE7">
              <w:rPr>
                <w:rFonts w:ascii="Barlow" w:hAnsi="Barlow" w:cs="Arial"/>
                <w:bCs/>
                <w:sz w:val="20"/>
                <w:szCs w:val="20"/>
              </w:rPr>
              <w:t>Afect</w:t>
            </w:r>
            <w:proofErr w:type="spellEnd"/>
            <w:r w:rsidRPr="00D40CE7">
              <w:rPr>
                <w:rFonts w:ascii="Barlow" w:hAnsi="Barlow" w:cs="Arial"/>
                <w:bCs/>
                <w:sz w:val="20"/>
                <w:szCs w:val="20"/>
              </w:rPr>
              <w:t>. Específica</w:t>
            </w:r>
          </w:p>
        </w:tc>
        <w:tc>
          <w:tcPr>
            <w:tcW w:w="1917"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p>
        </w:tc>
        <w:tc>
          <w:tcPr>
            <w:tcW w:w="1985"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p>
        </w:tc>
      </w:tr>
      <w:tr w:rsidR="00C662B2" w:rsidRPr="00D40CE7" w:rsidTr="00E70E3A">
        <w:tc>
          <w:tcPr>
            <w:tcW w:w="2869"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lastRenderedPageBreak/>
              <w:t>Depósitos de Fondos de Terceros en Garantía</w:t>
            </w:r>
          </w:p>
        </w:tc>
        <w:tc>
          <w:tcPr>
            <w:tcW w:w="1917"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p>
        </w:tc>
        <w:tc>
          <w:tcPr>
            <w:tcW w:w="1985"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p>
        </w:tc>
      </w:tr>
      <w:tr w:rsidR="00C662B2" w:rsidRPr="00D40CE7" w:rsidTr="00E70E3A">
        <w:tc>
          <w:tcPr>
            <w:tcW w:w="2869"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Otros Efectivos y Equivalentes</w:t>
            </w:r>
          </w:p>
        </w:tc>
        <w:tc>
          <w:tcPr>
            <w:tcW w:w="1917"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p>
        </w:tc>
        <w:tc>
          <w:tcPr>
            <w:tcW w:w="1985" w:type="dxa"/>
          </w:tcPr>
          <w:p w:rsidR="00C662B2" w:rsidRPr="00D40CE7" w:rsidRDefault="00C662B2" w:rsidP="00C662B2">
            <w:pPr>
              <w:autoSpaceDE w:val="0"/>
              <w:autoSpaceDN w:val="0"/>
              <w:adjustRightInd w:val="0"/>
              <w:spacing w:line="360" w:lineRule="auto"/>
              <w:jc w:val="both"/>
              <w:rPr>
                <w:rFonts w:ascii="Barlow" w:hAnsi="Barlow" w:cs="Arial"/>
                <w:bCs/>
                <w:sz w:val="20"/>
                <w:szCs w:val="20"/>
              </w:rPr>
            </w:pPr>
          </w:p>
        </w:tc>
      </w:tr>
      <w:tr w:rsidR="00C662B2" w:rsidRPr="00D40CE7" w:rsidTr="00E70E3A">
        <w:tc>
          <w:tcPr>
            <w:tcW w:w="2869" w:type="dxa"/>
          </w:tcPr>
          <w:p w:rsidR="00C662B2" w:rsidRPr="00D40CE7" w:rsidRDefault="00C662B2" w:rsidP="00C662B2">
            <w:pPr>
              <w:autoSpaceDE w:val="0"/>
              <w:autoSpaceDN w:val="0"/>
              <w:adjustRightInd w:val="0"/>
              <w:spacing w:line="360" w:lineRule="auto"/>
              <w:jc w:val="both"/>
              <w:rPr>
                <w:rFonts w:ascii="Barlow" w:hAnsi="Barlow" w:cs="Arial"/>
                <w:b/>
                <w:bCs/>
                <w:sz w:val="20"/>
                <w:szCs w:val="20"/>
              </w:rPr>
            </w:pPr>
            <w:r w:rsidRPr="00D40CE7">
              <w:rPr>
                <w:rFonts w:ascii="Barlow" w:hAnsi="Barlow" w:cs="Arial"/>
                <w:b/>
                <w:bCs/>
                <w:sz w:val="20"/>
                <w:szCs w:val="20"/>
              </w:rPr>
              <w:t>Total Efectivo y Equivalente</w:t>
            </w:r>
          </w:p>
        </w:tc>
        <w:tc>
          <w:tcPr>
            <w:tcW w:w="1917" w:type="dxa"/>
          </w:tcPr>
          <w:p w:rsidR="00C662B2" w:rsidRPr="00D40CE7" w:rsidRDefault="009C6B98" w:rsidP="00C662B2">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$ 0</w:t>
            </w:r>
            <w:r w:rsidR="00C662B2" w:rsidRPr="00D40CE7">
              <w:rPr>
                <w:rFonts w:ascii="Barlow" w:hAnsi="Barlow" w:cs="Arial"/>
                <w:bCs/>
                <w:sz w:val="20"/>
                <w:szCs w:val="20"/>
              </w:rPr>
              <w:t>.</w:t>
            </w:r>
            <w:r w:rsidRPr="00D40CE7">
              <w:rPr>
                <w:rFonts w:ascii="Barlow" w:hAnsi="Barlow" w:cs="Arial"/>
                <w:bCs/>
                <w:sz w:val="20"/>
                <w:szCs w:val="20"/>
              </w:rPr>
              <w:t>00</w:t>
            </w:r>
          </w:p>
        </w:tc>
        <w:tc>
          <w:tcPr>
            <w:tcW w:w="1985" w:type="dxa"/>
          </w:tcPr>
          <w:p w:rsidR="00C662B2" w:rsidRPr="00D40CE7" w:rsidRDefault="009C6B98" w:rsidP="00E70E3A">
            <w:pPr>
              <w:autoSpaceDE w:val="0"/>
              <w:autoSpaceDN w:val="0"/>
              <w:adjustRightInd w:val="0"/>
              <w:spacing w:line="360" w:lineRule="auto"/>
              <w:rPr>
                <w:rFonts w:ascii="Barlow" w:hAnsi="Barlow" w:cs="Arial"/>
                <w:bCs/>
                <w:sz w:val="20"/>
                <w:szCs w:val="20"/>
              </w:rPr>
            </w:pPr>
            <w:r w:rsidRPr="00D40CE7">
              <w:rPr>
                <w:rFonts w:ascii="Barlow" w:hAnsi="Barlow" w:cs="Arial"/>
                <w:bCs/>
                <w:sz w:val="20"/>
                <w:szCs w:val="20"/>
              </w:rPr>
              <w:t>$ 6,888,467.62</w:t>
            </w:r>
          </w:p>
        </w:tc>
      </w:tr>
    </w:tbl>
    <w:p w:rsidR="00F47311" w:rsidRPr="00D40CE7" w:rsidRDefault="00F47311" w:rsidP="00C4137E">
      <w:pPr>
        <w:autoSpaceDE w:val="0"/>
        <w:autoSpaceDN w:val="0"/>
        <w:adjustRightInd w:val="0"/>
        <w:spacing w:line="360" w:lineRule="auto"/>
        <w:ind w:left="708"/>
        <w:jc w:val="both"/>
        <w:rPr>
          <w:rFonts w:ascii="Barlow" w:hAnsi="Barlow" w:cs="Arial"/>
          <w:bCs/>
          <w:sz w:val="20"/>
          <w:szCs w:val="20"/>
          <w:highlight w:val="yellow"/>
        </w:rPr>
      </w:pPr>
    </w:p>
    <w:p w:rsidR="00F47311" w:rsidRPr="00D40CE7" w:rsidRDefault="00F47311" w:rsidP="00C4137E">
      <w:pPr>
        <w:autoSpaceDE w:val="0"/>
        <w:autoSpaceDN w:val="0"/>
        <w:adjustRightInd w:val="0"/>
        <w:spacing w:line="360" w:lineRule="auto"/>
        <w:ind w:left="708"/>
        <w:jc w:val="both"/>
        <w:rPr>
          <w:rFonts w:ascii="Barlow" w:hAnsi="Barlow" w:cs="Arial"/>
          <w:bCs/>
          <w:sz w:val="20"/>
          <w:szCs w:val="20"/>
          <w:highlight w:val="yellow"/>
        </w:rPr>
      </w:pPr>
    </w:p>
    <w:p w:rsidR="0037467B" w:rsidRPr="00D40CE7" w:rsidRDefault="0037467B" w:rsidP="00C4137E">
      <w:pPr>
        <w:autoSpaceDE w:val="0"/>
        <w:autoSpaceDN w:val="0"/>
        <w:adjustRightInd w:val="0"/>
        <w:spacing w:line="360" w:lineRule="auto"/>
        <w:ind w:left="708"/>
        <w:jc w:val="both"/>
        <w:rPr>
          <w:rFonts w:ascii="Barlow" w:hAnsi="Barlow" w:cs="Arial"/>
          <w:bCs/>
          <w:sz w:val="20"/>
          <w:szCs w:val="20"/>
        </w:rPr>
      </w:pPr>
    </w:p>
    <w:p w:rsidR="00D40CE7" w:rsidRDefault="00D40CE7" w:rsidP="00C4137E">
      <w:pPr>
        <w:autoSpaceDE w:val="0"/>
        <w:autoSpaceDN w:val="0"/>
        <w:adjustRightInd w:val="0"/>
        <w:spacing w:line="360" w:lineRule="auto"/>
        <w:ind w:left="708"/>
        <w:jc w:val="both"/>
        <w:rPr>
          <w:rFonts w:ascii="Barlow" w:hAnsi="Barlow" w:cs="Arial"/>
          <w:bCs/>
          <w:sz w:val="20"/>
          <w:szCs w:val="20"/>
        </w:rPr>
      </w:pPr>
      <w:bookmarkStart w:id="8" w:name="m14"/>
      <w:bookmarkEnd w:id="8"/>
    </w:p>
    <w:p w:rsidR="00D40CE7" w:rsidRDefault="00D40CE7" w:rsidP="00C4137E">
      <w:pPr>
        <w:autoSpaceDE w:val="0"/>
        <w:autoSpaceDN w:val="0"/>
        <w:adjustRightInd w:val="0"/>
        <w:spacing w:line="360" w:lineRule="auto"/>
        <w:ind w:left="708"/>
        <w:jc w:val="both"/>
        <w:rPr>
          <w:rFonts w:ascii="Barlow" w:hAnsi="Barlow" w:cs="Arial"/>
          <w:bCs/>
          <w:sz w:val="20"/>
          <w:szCs w:val="20"/>
        </w:rPr>
      </w:pPr>
    </w:p>
    <w:p w:rsidR="00D40CE7" w:rsidRDefault="00D40CE7" w:rsidP="00C4137E">
      <w:pPr>
        <w:autoSpaceDE w:val="0"/>
        <w:autoSpaceDN w:val="0"/>
        <w:adjustRightInd w:val="0"/>
        <w:spacing w:line="360" w:lineRule="auto"/>
        <w:ind w:left="708"/>
        <w:jc w:val="both"/>
        <w:rPr>
          <w:rFonts w:ascii="Barlow" w:hAnsi="Barlow" w:cs="Arial"/>
          <w:bCs/>
          <w:sz w:val="20"/>
          <w:szCs w:val="20"/>
        </w:rPr>
      </w:pPr>
    </w:p>
    <w:p w:rsidR="00B83254" w:rsidRPr="00D40CE7" w:rsidRDefault="0037467B" w:rsidP="00C4137E">
      <w:pPr>
        <w:autoSpaceDE w:val="0"/>
        <w:autoSpaceDN w:val="0"/>
        <w:adjustRightInd w:val="0"/>
        <w:spacing w:line="360" w:lineRule="auto"/>
        <w:ind w:left="708"/>
        <w:jc w:val="both"/>
        <w:rPr>
          <w:rFonts w:ascii="Barlow" w:hAnsi="Barlow" w:cs="Arial"/>
          <w:bCs/>
          <w:sz w:val="20"/>
          <w:szCs w:val="20"/>
        </w:rPr>
      </w:pPr>
      <w:r w:rsidRPr="00D40CE7">
        <w:rPr>
          <w:rFonts w:ascii="Barlow" w:hAnsi="Barlow" w:cs="Arial"/>
          <w:bCs/>
          <w:sz w:val="20"/>
          <w:szCs w:val="20"/>
        </w:rPr>
        <w:t>2</w:t>
      </w:r>
      <w:r w:rsidR="00B83254" w:rsidRPr="00D40CE7">
        <w:rPr>
          <w:rFonts w:ascii="Barlow" w:hAnsi="Barlow" w:cs="Arial"/>
          <w:bCs/>
          <w:sz w:val="20"/>
          <w:szCs w:val="20"/>
        </w:rPr>
        <w:t xml:space="preserve">.- Se presenta la </w:t>
      </w:r>
      <w:r w:rsidR="006E1089" w:rsidRPr="00D40CE7">
        <w:rPr>
          <w:rFonts w:ascii="Barlow" w:hAnsi="Barlow" w:cs="Arial"/>
          <w:bCs/>
          <w:sz w:val="20"/>
          <w:szCs w:val="20"/>
        </w:rPr>
        <w:t>conciliación</w:t>
      </w:r>
      <w:r w:rsidR="00B83254" w:rsidRPr="00D40CE7">
        <w:rPr>
          <w:rFonts w:ascii="Barlow" w:hAnsi="Barlow" w:cs="Arial"/>
          <w:bCs/>
          <w:sz w:val="20"/>
          <w:szCs w:val="20"/>
        </w:rPr>
        <w:t xml:space="preserve"> de flujos de efectivo ne</w:t>
      </w:r>
      <w:r w:rsidR="00D265A1" w:rsidRPr="00D40CE7">
        <w:rPr>
          <w:rFonts w:ascii="Barlow" w:hAnsi="Barlow" w:cs="Arial"/>
          <w:bCs/>
          <w:sz w:val="20"/>
          <w:szCs w:val="20"/>
        </w:rPr>
        <w:t>to</w:t>
      </w:r>
      <w:r w:rsidR="00B83254" w:rsidRPr="00D40CE7">
        <w:rPr>
          <w:rFonts w:ascii="Barlow" w:hAnsi="Barlow" w:cs="Arial"/>
          <w:bCs/>
          <w:sz w:val="20"/>
          <w:szCs w:val="20"/>
        </w:rPr>
        <w:t xml:space="preserve"> de las actividades de operación y la cuenta de ahorro/desahorro antes de rubros extraordinarios</w:t>
      </w:r>
      <w:r w:rsidR="00251A08" w:rsidRPr="00D40CE7">
        <w:rPr>
          <w:rFonts w:ascii="Barlow" w:hAnsi="Barlow" w:cs="Arial"/>
          <w:bCs/>
          <w:sz w:val="20"/>
          <w:szCs w:val="20"/>
        </w:rPr>
        <w:t>.</w:t>
      </w:r>
      <w:r w:rsidR="00D7090D" w:rsidRPr="00D40CE7">
        <w:rPr>
          <w:rFonts w:ascii="Barlow" w:hAnsi="Barlow" w:cs="Arial"/>
          <w:bCs/>
          <w:sz w:val="20"/>
          <w:szCs w:val="20"/>
        </w:rPr>
        <w:t xml:space="preserve"> (NINGUNO)</w:t>
      </w:r>
    </w:p>
    <w:tbl>
      <w:tblPr>
        <w:tblStyle w:val="Tablaconcuadrcula"/>
        <w:tblpPr w:leftFromText="141" w:rightFromText="141" w:vertAnchor="text" w:horzAnchor="margin" w:tblpXSpec="center" w:tblpY="166"/>
        <w:tblW w:w="0" w:type="auto"/>
        <w:tblLook w:val="04A0" w:firstRow="1" w:lastRow="0" w:firstColumn="1" w:lastColumn="0" w:noHBand="0" w:noVBand="1"/>
      </w:tblPr>
      <w:tblGrid>
        <w:gridCol w:w="4037"/>
        <w:gridCol w:w="2059"/>
        <w:gridCol w:w="1950"/>
      </w:tblGrid>
      <w:tr w:rsidR="0037467B" w:rsidRPr="00D40CE7" w:rsidTr="00B76F51">
        <w:tc>
          <w:tcPr>
            <w:tcW w:w="4037" w:type="dxa"/>
          </w:tcPr>
          <w:p w:rsidR="0037467B" w:rsidRPr="00D40CE7" w:rsidRDefault="0037467B" w:rsidP="0037467B">
            <w:pPr>
              <w:autoSpaceDE w:val="0"/>
              <w:autoSpaceDN w:val="0"/>
              <w:adjustRightInd w:val="0"/>
              <w:spacing w:line="360" w:lineRule="auto"/>
              <w:jc w:val="center"/>
              <w:rPr>
                <w:rFonts w:ascii="Barlow" w:hAnsi="Barlow" w:cs="Arial"/>
                <w:b/>
                <w:bCs/>
                <w:sz w:val="20"/>
                <w:szCs w:val="20"/>
              </w:rPr>
            </w:pPr>
            <w:r w:rsidRPr="00D40CE7">
              <w:rPr>
                <w:rFonts w:ascii="Barlow" w:hAnsi="Barlow" w:cs="Arial"/>
                <w:b/>
                <w:bCs/>
                <w:sz w:val="20"/>
                <w:szCs w:val="20"/>
              </w:rPr>
              <w:t>CONCEPTO</w:t>
            </w:r>
          </w:p>
        </w:tc>
        <w:tc>
          <w:tcPr>
            <w:tcW w:w="2059" w:type="dxa"/>
          </w:tcPr>
          <w:p w:rsidR="0037467B" w:rsidRPr="00D40CE7" w:rsidRDefault="009C6B98" w:rsidP="0037467B">
            <w:pPr>
              <w:autoSpaceDE w:val="0"/>
              <w:autoSpaceDN w:val="0"/>
              <w:adjustRightInd w:val="0"/>
              <w:spacing w:line="360" w:lineRule="auto"/>
              <w:jc w:val="center"/>
              <w:rPr>
                <w:rFonts w:ascii="Barlow" w:hAnsi="Barlow" w:cs="Arial"/>
                <w:b/>
                <w:bCs/>
                <w:sz w:val="20"/>
                <w:szCs w:val="20"/>
              </w:rPr>
            </w:pPr>
            <w:r w:rsidRPr="00D40CE7">
              <w:rPr>
                <w:rFonts w:ascii="Barlow" w:hAnsi="Barlow" w:cs="Arial"/>
                <w:b/>
                <w:bCs/>
                <w:sz w:val="20"/>
                <w:szCs w:val="20"/>
              </w:rPr>
              <w:t>2022</w:t>
            </w:r>
          </w:p>
        </w:tc>
        <w:tc>
          <w:tcPr>
            <w:tcW w:w="1950" w:type="dxa"/>
          </w:tcPr>
          <w:p w:rsidR="0037467B" w:rsidRPr="00D40CE7" w:rsidRDefault="009C6B98" w:rsidP="0037467B">
            <w:pPr>
              <w:autoSpaceDE w:val="0"/>
              <w:autoSpaceDN w:val="0"/>
              <w:adjustRightInd w:val="0"/>
              <w:spacing w:line="360" w:lineRule="auto"/>
              <w:jc w:val="center"/>
              <w:rPr>
                <w:rFonts w:ascii="Barlow" w:hAnsi="Barlow" w:cs="Arial"/>
                <w:b/>
                <w:bCs/>
                <w:sz w:val="20"/>
                <w:szCs w:val="20"/>
              </w:rPr>
            </w:pPr>
            <w:r w:rsidRPr="00D40CE7">
              <w:rPr>
                <w:rFonts w:ascii="Barlow" w:hAnsi="Barlow" w:cs="Arial"/>
                <w:b/>
                <w:bCs/>
                <w:sz w:val="20"/>
                <w:szCs w:val="20"/>
              </w:rPr>
              <w:t>2021</w:t>
            </w:r>
            <w:r w:rsidR="006A2783" w:rsidRPr="00D40CE7">
              <w:rPr>
                <w:rFonts w:ascii="Barlow" w:hAnsi="Barlow" w:cs="Arial"/>
                <w:b/>
                <w:bCs/>
                <w:sz w:val="20"/>
                <w:szCs w:val="20"/>
              </w:rPr>
              <w:t xml:space="preserve"> (DIC)</w:t>
            </w:r>
          </w:p>
        </w:tc>
      </w:tr>
      <w:tr w:rsidR="0037467B" w:rsidRPr="00D40CE7" w:rsidTr="00B76F51">
        <w:tc>
          <w:tcPr>
            <w:tcW w:w="4037" w:type="dxa"/>
          </w:tcPr>
          <w:p w:rsidR="0037467B" w:rsidRPr="00D40CE7" w:rsidRDefault="0037467B" w:rsidP="0037467B">
            <w:pPr>
              <w:autoSpaceDE w:val="0"/>
              <w:autoSpaceDN w:val="0"/>
              <w:adjustRightInd w:val="0"/>
              <w:spacing w:line="360" w:lineRule="auto"/>
              <w:jc w:val="both"/>
              <w:rPr>
                <w:rFonts w:ascii="Barlow" w:hAnsi="Barlow" w:cs="Arial"/>
                <w:b/>
                <w:bCs/>
                <w:sz w:val="20"/>
                <w:szCs w:val="20"/>
              </w:rPr>
            </w:pPr>
            <w:r w:rsidRPr="00D40CE7">
              <w:rPr>
                <w:rFonts w:ascii="Barlow" w:hAnsi="Barlow" w:cs="Arial"/>
                <w:b/>
                <w:bCs/>
                <w:sz w:val="20"/>
                <w:szCs w:val="20"/>
              </w:rPr>
              <w:t>Resultado del Ejercicio Ahorro/Desahorro</w:t>
            </w:r>
          </w:p>
        </w:tc>
        <w:tc>
          <w:tcPr>
            <w:tcW w:w="2059" w:type="dxa"/>
          </w:tcPr>
          <w:p w:rsidR="0037467B" w:rsidRPr="00D40CE7" w:rsidRDefault="009C6B98" w:rsidP="00041724">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w:t>
            </w:r>
            <w:r w:rsidR="00041724" w:rsidRPr="00D40CE7">
              <w:rPr>
                <w:rFonts w:ascii="Barlow" w:hAnsi="Barlow" w:cs="Arial"/>
                <w:bCs/>
                <w:sz w:val="20"/>
                <w:szCs w:val="20"/>
              </w:rPr>
              <w:t>7,084,821.76</w:t>
            </w:r>
          </w:p>
        </w:tc>
        <w:tc>
          <w:tcPr>
            <w:tcW w:w="1950" w:type="dxa"/>
          </w:tcPr>
          <w:p w:rsidR="0037467B" w:rsidRPr="00D40CE7" w:rsidRDefault="009C6B98" w:rsidP="00B76F51">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$ 36,968.57</w:t>
            </w:r>
          </w:p>
        </w:tc>
      </w:tr>
      <w:tr w:rsidR="0037467B" w:rsidRPr="00D40CE7" w:rsidTr="00B76F51">
        <w:tc>
          <w:tcPr>
            <w:tcW w:w="4037" w:type="dxa"/>
          </w:tcPr>
          <w:p w:rsidR="0037467B" w:rsidRPr="00D40CE7" w:rsidRDefault="00B76F51" w:rsidP="0037467B">
            <w:pPr>
              <w:autoSpaceDE w:val="0"/>
              <w:autoSpaceDN w:val="0"/>
              <w:adjustRightInd w:val="0"/>
              <w:spacing w:line="360" w:lineRule="auto"/>
              <w:jc w:val="both"/>
              <w:rPr>
                <w:rFonts w:ascii="Barlow" w:hAnsi="Barlow" w:cs="Arial"/>
                <w:b/>
                <w:bCs/>
                <w:sz w:val="20"/>
                <w:szCs w:val="20"/>
              </w:rPr>
            </w:pPr>
            <w:proofErr w:type="spellStart"/>
            <w:r w:rsidRPr="00D40CE7">
              <w:rPr>
                <w:rFonts w:ascii="Barlow" w:hAnsi="Barlow" w:cs="Arial"/>
                <w:b/>
                <w:bCs/>
                <w:sz w:val="20"/>
                <w:szCs w:val="20"/>
              </w:rPr>
              <w:t>Mov</w:t>
            </w:r>
            <w:proofErr w:type="spellEnd"/>
            <w:r w:rsidRPr="00D40CE7">
              <w:rPr>
                <w:rFonts w:ascii="Barlow" w:hAnsi="Barlow" w:cs="Arial"/>
                <w:b/>
                <w:bCs/>
                <w:sz w:val="20"/>
                <w:szCs w:val="20"/>
              </w:rPr>
              <w:t>. De partidas que no afectan al efectivo</w:t>
            </w:r>
          </w:p>
        </w:tc>
        <w:tc>
          <w:tcPr>
            <w:tcW w:w="2059" w:type="dxa"/>
          </w:tcPr>
          <w:p w:rsidR="0037467B" w:rsidRPr="00D40CE7" w:rsidRDefault="0037467B" w:rsidP="0037467B">
            <w:pPr>
              <w:autoSpaceDE w:val="0"/>
              <w:autoSpaceDN w:val="0"/>
              <w:adjustRightInd w:val="0"/>
              <w:spacing w:line="360" w:lineRule="auto"/>
              <w:jc w:val="right"/>
              <w:rPr>
                <w:rFonts w:ascii="Barlow" w:hAnsi="Barlow" w:cs="Arial"/>
                <w:bCs/>
                <w:sz w:val="20"/>
                <w:szCs w:val="20"/>
              </w:rPr>
            </w:pPr>
          </w:p>
        </w:tc>
        <w:tc>
          <w:tcPr>
            <w:tcW w:w="1950" w:type="dxa"/>
          </w:tcPr>
          <w:p w:rsidR="0037467B" w:rsidRPr="00D40CE7" w:rsidRDefault="0037467B" w:rsidP="0037467B">
            <w:pPr>
              <w:autoSpaceDE w:val="0"/>
              <w:autoSpaceDN w:val="0"/>
              <w:adjustRightInd w:val="0"/>
              <w:spacing w:line="360" w:lineRule="auto"/>
              <w:jc w:val="right"/>
              <w:rPr>
                <w:rFonts w:ascii="Barlow" w:hAnsi="Barlow" w:cs="Arial"/>
                <w:bCs/>
                <w:sz w:val="20"/>
                <w:szCs w:val="20"/>
              </w:rPr>
            </w:pPr>
          </w:p>
        </w:tc>
      </w:tr>
      <w:tr w:rsidR="0037467B" w:rsidRPr="00D40CE7" w:rsidTr="00B76F51">
        <w:tc>
          <w:tcPr>
            <w:tcW w:w="4037" w:type="dxa"/>
          </w:tcPr>
          <w:p w:rsidR="0037467B" w:rsidRPr="00D40CE7" w:rsidRDefault="00B76F51" w:rsidP="0037467B">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Depreciaciones</w:t>
            </w:r>
          </w:p>
        </w:tc>
        <w:tc>
          <w:tcPr>
            <w:tcW w:w="2059" w:type="dxa"/>
          </w:tcPr>
          <w:p w:rsidR="0037467B" w:rsidRPr="00D40CE7" w:rsidRDefault="0037467B" w:rsidP="0037467B">
            <w:pPr>
              <w:autoSpaceDE w:val="0"/>
              <w:autoSpaceDN w:val="0"/>
              <w:adjustRightInd w:val="0"/>
              <w:spacing w:line="360" w:lineRule="auto"/>
              <w:jc w:val="both"/>
              <w:rPr>
                <w:rFonts w:ascii="Barlow" w:hAnsi="Barlow" w:cs="Arial"/>
                <w:bCs/>
                <w:sz w:val="20"/>
                <w:szCs w:val="20"/>
              </w:rPr>
            </w:pPr>
          </w:p>
        </w:tc>
        <w:tc>
          <w:tcPr>
            <w:tcW w:w="1950" w:type="dxa"/>
          </w:tcPr>
          <w:p w:rsidR="0037467B" w:rsidRPr="00D40CE7" w:rsidRDefault="0037467B" w:rsidP="0037467B">
            <w:pPr>
              <w:autoSpaceDE w:val="0"/>
              <w:autoSpaceDN w:val="0"/>
              <w:adjustRightInd w:val="0"/>
              <w:spacing w:line="360" w:lineRule="auto"/>
              <w:jc w:val="both"/>
              <w:rPr>
                <w:rFonts w:ascii="Barlow" w:hAnsi="Barlow" w:cs="Arial"/>
                <w:bCs/>
                <w:sz w:val="20"/>
                <w:szCs w:val="20"/>
              </w:rPr>
            </w:pPr>
          </w:p>
        </w:tc>
      </w:tr>
      <w:tr w:rsidR="0037467B" w:rsidRPr="00D40CE7" w:rsidTr="00B76F51">
        <w:tc>
          <w:tcPr>
            <w:tcW w:w="4037" w:type="dxa"/>
          </w:tcPr>
          <w:p w:rsidR="0037467B" w:rsidRPr="00D40CE7" w:rsidRDefault="00B76F51" w:rsidP="0037467B">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Amortizaciones</w:t>
            </w:r>
          </w:p>
        </w:tc>
        <w:tc>
          <w:tcPr>
            <w:tcW w:w="2059" w:type="dxa"/>
          </w:tcPr>
          <w:p w:rsidR="0037467B" w:rsidRPr="00D40CE7" w:rsidRDefault="0037467B" w:rsidP="0037467B">
            <w:pPr>
              <w:autoSpaceDE w:val="0"/>
              <w:autoSpaceDN w:val="0"/>
              <w:adjustRightInd w:val="0"/>
              <w:spacing w:line="360" w:lineRule="auto"/>
              <w:jc w:val="right"/>
              <w:rPr>
                <w:rFonts w:ascii="Barlow" w:hAnsi="Barlow" w:cs="Arial"/>
                <w:bCs/>
                <w:sz w:val="20"/>
                <w:szCs w:val="20"/>
              </w:rPr>
            </w:pPr>
          </w:p>
        </w:tc>
        <w:tc>
          <w:tcPr>
            <w:tcW w:w="1950" w:type="dxa"/>
          </w:tcPr>
          <w:p w:rsidR="0037467B" w:rsidRPr="00D40CE7" w:rsidRDefault="0037467B" w:rsidP="0037467B">
            <w:pPr>
              <w:autoSpaceDE w:val="0"/>
              <w:autoSpaceDN w:val="0"/>
              <w:adjustRightInd w:val="0"/>
              <w:spacing w:line="360" w:lineRule="auto"/>
              <w:jc w:val="right"/>
              <w:rPr>
                <w:rFonts w:ascii="Barlow" w:hAnsi="Barlow" w:cs="Arial"/>
                <w:bCs/>
                <w:sz w:val="20"/>
                <w:szCs w:val="20"/>
              </w:rPr>
            </w:pPr>
          </w:p>
        </w:tc>
      </w:tr>
      <w:tr w:rsidR="0037467B" w:rsidRPr="00D40CE7" w:rsidTr="00B76F51">
        <w:tc>
          <w:tcPr>
            <w:tcW w:w="4037" w:type="dxa"/>
          </w:tcPr>
          <w:p w:rsidR="0037467B" w:rsidRPr="00D40CE7" w:rsidRDefault="00B76F51" w:rsidP="0037467B">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Incremento en provisiones</w:t>
            </w:r>
          </w:p>
        </w:tc>
        <w:tc>
          <w:tcPr>
            <w:tcW w:w="2059" w:type="dxa"/>
          </w:tcPr>
          <w:p w:rsidR="0037467B" w:rsidRPr="00D40CE7" w:rsidRDefault="0037467B" w:rsidP="0037467B">
            <w:pPr>
              <w:autoSpaceDE w:val="0"/>
              <w:autoSpaceDN w:val="0"/>
              <w:adjustRightInd w:val="0"/>
              <w:spacing w:line="360" w:lineRule="auto"/>
              <w:jc w:val="both"/>
              <w:rPr>
                <w:rFonts w:ascii="Barlow" w:hAnsi="Barlow" w:cs="Arial"/>
                <w:bCs/>
                <w:sz w:val="20"/>
                <w:szCs w:val="20"/>
              </w:rPr>
            </w:pPr>
          </w:p>
        </w:tc>
        <w:tc>
          <w:tcPr>
            <w:tcW w:w="1950" w:type="dxa"/>
          </w:tcPr>
          <w:p w:rsidR="0037467B" w:rsidRPr="00D40CE7" w:rsidRDefault="0037467B" w:rsidP="0037467B">
            <w:pPr>
              <w:autoSpaceDE w:val="0"/>
              <w:autoSpaceDN w:val="0"/>
              <w:adjustRightInd w:val="0"/>
              <w:spacing w:line="360" w:lineRule="auto"/>
              <w:jc w:val="both"/>
              <w:rPr>
                <w:rFonts w:ascii="Barlow" w:hAnsi="Barlow" w:cs="Arial"/>
                <w:bCs/>
                <w:sz w:val="20"/>
                <w:szCs w:val="20"/>
              </w:rPr>
            </w:pPr>
          </w:p>
        </w:tc>
      </w:tr>
      <w:tr w:rsidR="0037467B" w:rsidRPr="00D40CE7" w:rsidTr="00B76F51">
        <w:tc>
          <w:tcPr>
            <w:tcW w:w="4037" w:type="dxa"/>
          </w:tcPr>
          <w:p w:rsidR="0037467B" w:rsidRPr="00D40CE7" w:rsidRDefault="00B76F51" w:rsidP="0037467B">
            <w:pPr>
              <w:autoSpaceDE w:val="0"/>
              <w:autoSpaceDN w:val="0"/>
              <w:adjustRightInd w:val="0"/>
              <w:spacing w:line="360" w:lineRule="auto"/>
              <w:jc w:val="both"/>
              <w:rPr>
                <w:rFonts w:ascii="Barlow" w:hAnsi="Barlow" w:cs="Arial"/>
                <w:bCs/>
                <w:sz w:val="20"/>
                <w:szCs w:val="20"/>
              </w:rPr>
            </w:pPr>
            <w:proofErr w:type="spellStart"/>
            <w:r w:rsidRPr="00D40CE7">
              <w:rPr>
                <w:rFonts w:ascii="Barlow" w:hAnsi="Barlow" w:cs="Arial"/>
                <w:bCs/>
                <w:sz w:val="20"/>
                <w:szCs w:val="20"/>
              </w:rPr>
              <w:t>Increm</w:t>
            </w:r>
            <w:proofErr w:type="spellEnd"/>
            <w:r w:rsidRPr="00D40CE7">
              <w:rPr>
                <w:rFonts w:ascii="Barlow" w:hAnsi="Barlow" w:cs="Arial"/>
                <w:bCs/>
                <w:sz w:val="20"/>
                <w:szCs w:val="20"/>
              </w:rPr>
              <w:t xml:space="preserve">. en inv. </w:t>
            </w:r>
            <w:proofErr w:type="spellStart"/>
            <w:r w:rsidRPr="00D40CE7">
              <w:rPr>
                <w:rFonts w:ascii="Barlow" w:hAnsi="Barlow" w:cs="Arial"/>
                <w:bCs/>
                <w:sz w:val="20"/>
                <w:szCs w:val="20"/>
              </w:rPr>
              <w:t>prod</w:t>
            </w:r>
            <w:proofErr w:type="spellEnd"/>
            <w:r w:rsidRPr="00D40CE7">
              <w:rPr>
                <w:rFonts w:ascii="Barlow" w:hAnsi="Barlow" w:cs="Arial"/>
                <w:bCs/>
                <w:sz w:val="20"/>
                <w:szCs w:val="20"/>
              </w:rPr>
              <w:t>. por revaluación</w:t>
            </w:r>
          </w:p>
        </w:tc>
        <w:tc>
          <w:tcPr>
            <w:tcW w:w="2059" w:type="dxa"/>
          </w:tcPr>
          <w:p w:rsidR="0037467B" w:rsidRPr="00D40CE7" w:rsidRDefault="0037467B" w:rsidP="0037467B">
            <w:pPr>
              <w:autoSpaceDE w:val="0"/>
              <w:autoSpaceDN w:val="0"/>
              <w:adjustRightInd w:val="0"/>
              <w:spacing w:line="360" w:lineRule="auto"/>
              <w:jc w:val="both"/>
              <w:rPr>
                <w:rFonts w:ascii="Barlow" w:hAnsi="Barlow" w:cs="Arial"/>
                <w:bCs/>
                <w:sz w:val="20"/>
                <w:szCs w:val="20"/>
              </w:rPr>
            </w:pPr>
          </w:p>
        </w:tc>
        <w:tc>
          <w:tcPr>
            <w:tcW w:w="1950" w:type="dxa"/>
          </w:tcPr>
          <w:p w:rsidR="0037467B" w:rsidRPr="00D40CE7" w:rsidRDefault="0037467B" w:rsidP="0037467B">
            <w:pPr>
              <w:autoSpaceDE w:val="0"/>
              <w:autoSpaceDN w:val="0"/>
              <w:adjustRightInd w:val="0"/>
              <w:spacing w:line="360" w:lineRule="auto"/>
              <w:jc w:val="both"/>
              <w:rPr>
                <w:rFonts w:ascii="Barlow" w:hAnsi="Barlow" w:cs="Arial"/>
                <w:bCs/>
                <w:sz w:val="20"/>
                <w:szCs w:val="20"/>
              </w:rPr>
            </w:pPr>
          </w:p>
        </w:tc>
      </w:tr>
      <w:tr w:rsidR="0037467B" w:rsidRPr="00D40CE7" w:rsidTr="00B76F51">
        <w:tc>
          <w:tcPr>
            <w:tcW w:w="4037" w:type="dxa"/>
          </w:tcPr>
          <w:p w:rsidR="0037467B" w:rsidRPr="00D40CE7" w:rsidRDefault="00B76F51" w:rsidP="0037467B">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Ganancia/pérdida de bienes muebles, inmuebles e intangibles</w:t>
            </w:r>
          </w:p>
        </w:tc>
        <w:tc>
          <w:tcPr>
            <w:tcW w:w="2059" w:type="dxa"/>
          </w:tcPr>
          <w:p w:rsidR="0037467B" w:rsidRPr="00D40CE7" w:rsidRDefault="0037467B" w:rsidP="0037467B">
            <w:pPr>
              <w:autoSpaceDE w:val="0"/>
              <w:autoSpaceDN w:val="0"/>
              <w:adjustRightInd w:val="0"/>
              <w:spacing w:line="360" w:lineRule="auto"/>
              <w:jc w:val="both"/>
              <w:rPr>
                <w:rFonts w:ascii="Barlow" w:hAnsi="Barlow" w:cs="Arial"/>
                <w:bCs/>
                <w:sz w:val="20"/>
                <w:szCs w:val="20"/>
              </w:rPr>
            </w:pPr>
          </w:p>
        </w:tc>
        <w:tc>
          <w:tcPr>
            <w:tcW w:w="1950" w:type="dxa"/>
          </w:tcPr>
          <w:p w:rsidR="0037467B" w:rsidRPr="00D40CE7" w:rsidRDefault="0037467B" w:rsidP="0037467B">
            <w:pPr>
              <w:autoSpaceDE w:val="0"/>
              <w:autoSpaceDN w:val="0"/>
              <w:adjustRightInd w:val="0"/>
              <w:spacing w:line="360" w:lineRule="auto"/>
              <w:jc w:val="both"/>
              <w:rPr>
                <w:rFonts w:ascii="Barlow" w:hAnsi="Barlow" w:cs="Arial"/>
                <w:bCs/>
                <w:sz w:val="20"/>
                <w:szCs w:val="20"/>
              </w:rPr>
            </w:pPr>
          </w:p>
        </w:tc>
      </w:tr>
      <w:tr w:rsidR="00B76F51" w:rsidRPr="00D40CE7" w:rsidTr="00B76F51">
        <w:tc>
          <w:tcPr>
            <w:tcW w:w="4037" w:type="dxa"/>
          </w:tcPr>
          <w:p w:rsidR="00B76F51" w:rsidRPr="00D40CE7" w:rsidRDefault="00B76F51" w:rsidP="0037467B">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Incremento en cuentas por cobrar</w:t>
            </w:r>
          </w:p>
        </w:tc>
        <w:tc>
          <w:tcPr>
            <w:tcW w:w="2059" w:type="dxa"/>
          </w:tcPr>
          <w:p w:rsidR="00B76F51" w:rsidRPr="00D40CE7" w:rsidRDefault="00B76F51" w:rsidP="0037467B">
            <w:pPr>
              <w:autoSpaceDE w:val="0"/>
              <w:autoSpaceDN w:val="0"/>
              <w:adjustRightInd w:val="0"/>
              <w:spacing w:line="360" w:lineRule="auto"/>
              <w:jc w:val="both"/>
              <w:rPr>
                <w:rFonts w:ascii="Barlow" w:hAnsi="Barlow" w:cs="Arial"/>
                <w:bCs/>
                <w:sz w:val="20"/>
                <w:szCs w:val="20"/>
              </w:rPr>
            </w:pPr>
          </w:p>
        </w:tc>
        <w:tc>
          <w:tcPr>
            <w:tcW w:w="1950" w:type="dxa"/>
          </w:tcPr>
          <w:p w:rsidR="00B76F51" w:rsidRPr="00D40CE7" w:rsidRDefault="00B76F51" w:rsidP="0037467B">
            <w:pPr>
              <w:autoSpaceDE w:val="0"/>
              <w:autoSpaceDN w:val="0"/>
              <w:adjustRightInd w:val="0"/>
              <w:spacing w:line="360" w:lineRule="auto"/>
              <w:jc w:val="both"/>
              <w:rPr>
                <w:rFonts w:ascii="Barlow" w:hAnsi="Barlow" w:cs="Arial"/>
                <w:bCs/>
                <w:sz w:val="20"/>
                <w:szCs w:val="20"/>
              </w:rPr>
            </w:pPr>
          </w:p>
        </w:tc>
      </w:tr>
      <w:tr w:rsidR="00386FBA" w:rsidRPr="00D40CE7" w:rsidTr="00B76F51">
        <w:tc>
          <w:tcPr>
            <w:tcW w:w="4037" w:type="dxa"/>
          </w:tcPr>
          <w:p w:rsidR="00386FBA" w:rsidRPr="00D40CE7" w:rsidRDefault="00386FBA" w:rsidP="00386FBA">
            <w:pPr>
              <w:autoSpaceDE w:val="0"/>
              <w:autoSpaceDN w:val="0"/>
              <w:adjustRightInd w:val="0"/>
              <w:spacing w:line="360" w:lineRule="auto"/>
              <w:jc w:val="both"/>
              <w:rPr>
                <w:rFonts w:ascii="Barlow" w:hAnsi="Barlow" w:cs="Arial"/>
                <w:b/>
                <w:bCs/>
                <w:sz w:val="20"/>
                <w:szCs w:val="20"/>
              </w:rPr>
            </w:pPr>
            <w:r w:rsidRPr="00D40CE7">
              <w:rPr>
                <w:rFonts w:ascii="Barlow" w:hAnsi="Barlow" w:cs="Arial"/>
                <w:b/>
                <w:bCs/>
                <w:sz w:val="20"/>
                <w:szCs w:val="20"/>
              </w:rPr>
              <w:t>Flujos de Efectivo Netos de las Actividades de Operación</w:t>
            </w:r>
          </w:p>
        </w:tc>
        <w:tc>
          <w:tcPr>
            <w:tcW w:w="2059" w:type="dxa"/>
          </w:tcPr>
          <w:p w:rsidR="00386FBA" w:rsidRPr="00D40CE7" w:rsidRDefault="002110E0" w:rsidP="00041724">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w:t>
            </w:r>
            <w:r w:rsidR="00041724" w:rsidRPr="00D40CE7">
              <w:rPr>
                <w:rFonts w:ascii="Barlow" w:hAnsi="Barlow" w:cs="Arial"/>
                <w:bCs/>
                <w:sz w:val="20"/>
                <w:szCs w:val="20"/>
              </w:rPr>
              <w:t>7,084,821.76</w:t>
            </w:r>
          </w:p>
        </w:tc>
        <w:tc>
          <w:tcPr>
            <w:tcW w:w="1950" w:type="dxa"/>
          </w:tcPr>
          <w:p w:rsidR="00386FBA" w:rsidRPr="00D40CE7" w:rsidRDefault="002110E0" w:rsidP="00386FBA">
            <w:pPr>
              <w:autoSpaceDE w:val="0"/>
              <w:autoSpaceDN w:val="0"/>
              <w:adjustRightInd w:val="0"/>
              <w:spacing w:line="360" w:lineRule="auto"/>
              <w:jc w:val="right"/>
              <w:rPr>
                <w:rFonts w:ascii="Barlow" w:hAnsi="Barlow" w:cs="Arial"/>
                <w:bCs/>
                <w:sz w:val="20"/>
                <w:szCs w:val="20"/>
              </w:rPr>
            </w:pPr>
            <w:r w:rsidRPr="00D40CE7">
              <w:rPr>
                <w:rFonts w:ascii="Barlow" w:hAnsi="Barlow" w:cs="Arial"/>
                <w:bCs/>
                <w:sz w:val="20"/>
                <w:szCs w:val="20"/>
              </w:rPr>
              <w:t>$ 36,968.57</w:t>
            </w:r>
          </w:p>
        </w:tc>
      </w:tr>
    </w:tbl>
    <w:p w:rsidR="0037467B" w:rsidRPr="00D40CE7" w:rsidRDefault="0037467B" w:rsidP="00C4137E">
      <w:pPr>
        <w:autoSpaceDE w:val="0"/>
        <w:autoSpaceDN w:val="0"/>
        <w:adjustRightInd w:val="0"/>
        <w:spacing w:line="360" w:lineRule="auto"/>
        <w:ind w:left="708"/>
        <w:jc w:val="both"/>
        <w:rPr>
          <w:rFonts w:ascii="Barlow" w:hAnsi="Barlow" w:cs="Arial"/>
          <w:bCs/>
          <w:sz w:val="20"/>
          <w:szCs w:val="20"/>
        </w:rPr>
      </w:pPr>
    </w:p>
    <w:p w:rsidR="0037467B" w:rsidRPr="00D40CE7" w:rsidRDefault="0037467B" w:rsidP="00C4137E">
      <w:pPr>
        <w:autoSpaceDE w:val="0"/>
        <w:autoSpaceDN w:val="0"/>
        <w:adjustRightInd w:val="0"/>
        <w:spacing w:line="360" w:lineRule="auto"/>
        <w:ind w:left="708"/>
        <w:jc w:val="both"/>
        <w:rPr>
          <w:rFonts w:ascii="Barlow" w:hAnsi="Barlow" w:cs="Arial"/>
          <w:bCs/>
          <w:sz w:val="20"/>
          <w:szCs w:val="20"/>
        </w:rPr>
      </w:pPr>
    </w:p>
    <w:p w:rsidR="00EF7EFA" w:rsidRPr="00D40CE7" w:rsidRDefault="00EF7EFA" w:rsidP="00C4137E">
      <w:pPr>
        <w:autoSpaceDE w:val="0"/>
        <w:autoSpaceDN w:val="0"/>
        <w:adjustRightInd w:val="0"/>
        <w:spacing w:line="360" w:lineRule="auto"/>
        <w:ind w:left="708"/>
        <w:jc w:val="both"/>
        <w:rPr>
          <w:rFonts w:ascii="Barlow" w:hAnsi="Barlow" w:cs="Arial"/>
          <w:bCs/>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37467B" w:rsidRPr="00D40CE7" w:rsidRDefault="0037467B" w:rsidP="00C4137E">
      <w:pPr>
        <w:autoSpaceDE w:val="0"/>
        <w:autoSpaceDN w:val="0"/>
        <w:adjustRightInd w:val="0"/>
        <w:spacing w:line="360" w:lineRule="auto"/>
        <w:jc w:val="both"/>
        <w:rPr>
          <w:rFonts w:ascii="Barlow" w:hAnsi="Barlow" w:cs="Arial"/>
          <w:b/>
          <w:sz w:val="20"/>
          <w:szCs w:val="20"/>
        </w:rPr>
      </w:pPr>
    </w:p>
    <w:p w:rsidR="00251A08" w:rsidRPr="00D40CE7" w:rsidRDefault="00251A0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V) CONCILIACIÓN ENTRE LOS INGRESOS PRESUP</w:t>
      </w:r>
      <w:r w:rsidR="006720EF" w:rsidRPr="00D40CE7">
        <w:rPr>
          <w:rFonts w:ascii="Barlow" w:hAnsi="Barlow" w:cs="Arial"/>
          <w:b/>
          <w:sz w:val="20"/>
          <w:szCs w:val="20"/>
        </w:rPr>
        <w:t>U</w:t>
      </w:r>
      <w:r w:rsidRPr="00D40CE7">
        <w:rPr>
          <w:rFonts w:ascii="Barlow" w:hAnsi="Barlow" w:cs="Arial"/>
          <w:b/>
          <w:sz w:val="20"/>
          <w:szCs w:val="20"/>
        </w:rPr>
        <w:t>ESTARIOS Y CONTABLES, ASI COMO ENTRE LOS EGRESOS PRESUPUESTARIOS Y GASTOS CONTABLES.</w:t>
      </w:r>
    </w:p>
    <w:p w:rsidR="008273DF" w:rsidRPr="00D40CE7" w:rsidRDefault="008273DF" w:rsidP="00C4137E">
      <w:pPr>
        <w:autoSpaceDE w:val="0"/>
        <w:autoSpaceDN w:val="0"/>
        <w:adjustRightInd w:val="0"/>
        <w:spacing w:line="360" w:lineRule="auto"/>
        <w:ind w:left="708"/>
        <w:jc w:val="both"/>
        <w:rPr>
          <w:rFonts w:ascii="Barlow" w:hAnsi="Barlow" w:cs="Arial"/>
          <w:bCs/>
          <w:sz w:val="20"/>
          <w:szCs w:val="20"/>
        </w:rPr>
      </w:pPr>
      <w:r w:rsidRPr="00D40CE7">
        <w:rPr>
          <w:rFonts w:ascii="Barlow" w:hAnsi="Barlow" w:cs="Arial"/>
          <w:bCs/>
          <w:sz w:val="20"/>
          <w:szCs w:val="20"/>
        </w:rPr>
        <w:t>A. Conciliación de ingresos presupuestarios y contables de</w:t>
      </w:r>
      <w:r w:rsidR="007E7FA6" w:rsidRPr="00D40CE7">
        <w:rPr>
          <w:rFonts w:ascii="Barlow" w:hAnsi="Barlow" w:cs="Arial"/>
          <w:bCs/>
          <w:sz w:val="20"/>
          <w:szCs w:val="20"/>
        </w:rPr>
        <w:t xml:space="preserve">l 1 de enero al </w:t>
      </w:r>
      <w:r w:rsidR="00EF4B72" w:rsidRPr="00D40CE7">
        <w:rPr>
          <w:rFonts w:ascii="Barlow" w:hAnsi="Barlow" w:cs="Arial"/>
          <w:bCs/>
          <w:sz w:val="20"/>
          <w:szCs w:val="20"/>
        </w:rPr>
        <w:t>3</w:t>
      </w:r>
      <w:r w:rsidR="00C97900" w:rsidRPr="00D40CE7">
        <w:rPr>
          <w:rFonts w:ascii="Barlow" w:hAnsi="Barlow" w:cs="Arial"/>
          <w:bCs/>
          <w:sz w:val="20"/>
          <w:szCs w:val="20"/>
        </w:rPr>
        <w:t>1</w:t>
      </w:r>
      <w:r w:rsidR="007E7FA6" w:rsidRPr="00D40CE7">
        <w:rPr>
          <w:rFonts w:ascii="Barlow" w:hAnsi="Barlow" w:cs="Arial"/>
          <w:bCs/>
          <w:sz w:val="20"/>
          <w:szCs w:val="20"/>
        </w:rPr>
        <w:t xml:space="preserve"> de </w:t>
      </w:r>
      <w:r w:rsidR="00D40CE7" w:rsidRPr="00D40CE7">
        <w:rPr>
          <w:rFonts w:ascii="Barlow" w:hAnsi="Barlow" w:cs="Arial"/>
          <w:bCs/>
          <w:sz w:val="20"/>
          <w:szCs w:val="20"/>
        </w:rPr>
        <w:t>enero</w:t>
      </w:r>
      <w:r w:rsidR="007E7FA6" w:rsidRPr="00D40CE7">
        <w:rPr>
          <w:rFonts w:ascii="Barlow" w:hAnsi="Barlow" w:cs="Arial"/>
          <w:bCs/>
          <w:sz w:val="20"/>
          <w:szCs w:val="20"/>
        </w:rPr>
        <w:t xml:space="preserve"> de </w:t>
      </w:r>
      <w:r w:rsidR="002110E0" w:rsidRPr="00D40CE7">
        <w:rPr>
          <w:rFonts w:ascii="Barlow" w:hAnsi="Barlow" w:cs="Arial"/>
          <w:bCs/>
          <w:sz w:val="20"/>
          <w:szCs w:val="20"/>
        </w:rPr>
        <w:t>2022</w:t>
      </w:r>
      <w:r w:rsidRPr="00D40CE7">
        <w:rPr>
          <w:rFonts w:ascii="Barlow" w:hAnsi="Barlow" w:cs="Arial"/>
          <w:bCs/>
          <w:sz w:val="20"/>
          <w:szCs w:val="20"/>
        </w:rPr>
        <w:t>.</w:t>
      </w:r>
    </w:p>
    <w:p w:rsidR="00401FD4" w:rsidRPr="00D40CE7" w:rsidRDefault="00401FD4" w:rsidP="00C4137E">
      <w:pPr>
        <w:autoSpaceDE w:val="0"/>
        <w:autoSpaceDN w:val="0"/>
        <w:adjustRightInd w:val="0"/>
        <w:spacing w:line="360" w:lineRule="auto"/>
        <w:ind w:left="708"/>
        <w:jc w:val="both"/>
        <w:rPr>
          <w:rFonts w:ascii="Barlow" w:hAnsi="Barlow" w:cs="Arial"/>
          <w:bCs/>
          <w:sz w:val="20"/>
          <w:szCs w:val="20"/>
        </w:rPr>
      </w:pPr>
    </w:p>
    <w:tbl>
      <w:tblPr>
        <w:tblW w:w="8040" w:type="dxa"/>
        <w:jc w:val="center"/>
        <w:tblCellMar>
          <w:left w:w="70" w:type="dxa"/>
          <w:right w:w="70" w:type="dxa"/>
        </w:tblCellMar>
        <w:tblLook w:val="04A0" w:firstRow="1" w:lastRow="0" w:firstColumn="1" w:lastColumn="0" w:noHBand="0" w:noVBand="1"/>
      </w:tblPr>
      <w:tblGrid>
        <w:gridCol w:w="1200"/>
        <w:gridCol w:w="3580"/>
        <w:gridCol w:w="1540"/>
        <w:gridCol w:w="1720"/>
      </w:tblGrid>
      <w:tr w:rsidR="008273DF" w:rsidRPr="00D40CE7"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D40CE7" w:rsidRDefault="008273DF" w:rsidP="00C4137E">
            <w:pPr>
              <w:jc w:val="both"/>
              <w:rPr>
                <w:rFonts w:ascii="Barlow" w:hAnsi="Barlow" w:cs="Arial"/>
                <w:b/>
                <w:bCs/>
                <w:color w:val="000000"/>
                <w:sz w:val="20"/>
                <w:szCs w:val="20"/>
                <w:lang w:eastAsia="es-MX"/>
              </w:rPr>
            </w:pPr>
            <w:bookmarkStart w:id="9" w:name="m24"/>
            <w:bookmarkEnd w:id="9"/>
            <w:r w:rsidRPr="00D40CE7">
              <w:rPr>
                <w:rFonts w:ascii="Barlow" w:hAnsi="Barlow" w:cs="Arial"/>
                <w:b/>
                <w:bCs/>
                <w:color w:val="000000"/>
                <w:sz w:val="20"/>
                <w:szCs w:val="20"/>
                <w:lang w:eastAsia="es-MX"/>
              </w:rPr>
              <w:t>1. Ingresos Presupuestarios</w:t>
            </w:r>
          </w:p>
        </w:tc>
        <w:tc>
          <w:tcPr>
            <w:tcW w:w="1540" w:type="dxa"/>
            <w:tcBorders>
              <w:top w:val="nil"/>
              <w:left w:val="nil"/>
              <w:bottom w:val="nil"/>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8273DF" w:rsidRPr="00D40CE7" w:rsidRDefault="002110E0" w:rsidP="00EB2B76">
            <w:pPr>
              <w:jc w:val="right"/>
              <w:rPr>
                <w:rFonts w:ascii="Barlow" w:hAnsi="Barlow" w:cs="Arial"/>
                <w:b/>
                <w:bCs/>
                <w:color w:val="000000"/>
                <w:sz w:val="20"/>
                <w:szCs w:val="20"/>
                <w:lang w:eastAsia="es-MX"/>
              </w:rPr>
            </w:pPr>
            <w:r w:rsidRPr="00D40CE7">
              <w:rPr>
                <w:rFonts w:ascii="Barlow" w:hAnsi="Barlow" w:cs="Arial"/>
                <w:b/>
                <w:bCs/>
                <w:color w:val="000000"/>
                <w:sz w:val="20"/>
                <w:szCs w:val="20"/>
                <w:lang w:eastAsia="es-MX"/>
              </w:rPr>
              <w:t>16,084.3</w:t>
            </w:r>
            <w:r w:rsidR="00C97900" w:rsidRPr="00D40CE7">
              <w:rPr>
                <w:rFonts w:ascii="Barlow" w:hAnsi="Barlow" w:cs="Arial"/>
                <w:b/>
                <w:bCs/>
                <w:color w:val="000000"/>
                <w:sz w:val="20"/>
                <w:szCs w:val="20"/>
                <w:lang w:eastAsia="es-MX"/>
              </w:rPr>
              <w:t>1</w:t>
            </w:r>
          </w:p>
          <w:p w:rsidR="00065432" w:rsidRPr="00D40CE7" w:rsidRDefault="00065432" w:rsidP="00EB2B76">
            <w:pPr>
              <w:jc w:val="right"/>
              <w:rPr>
                <w:rFonts w:ascii="Barlow" w:hAnsi="Barlow" w:cs="Arial"/>
                <w:b/>
                <w:bCs/>
                <w:color w:val="000000"/>
                <w:sz w:val="20"/>
                <w:szCs w:val="20"/>
                <w:lang w:eastAsia="es-MX"/>
              </w:rPr>
            </w:pPr>
          </w:p>
        </w:tc>
      </w:tr>
      <w:tr w:rsidR="008273DF" w:rsidRPr="00D40CE7" w:rsidTr="008273DF">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540" w:type="dxa"/>
            <w:tcBorders>
              <w:top w:val="single" w:sz="8" w:space="0" w:color="auto"/>
              <w:left w:val="nil"/>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r>
      <w:tr w:rsidR="008273DF" w:rsidRPr="00D40CE7"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D40CE7" w:rsidRDefault="008273DF"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2. Más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8273DF" w:rsidRPr="00D40CE7" w:rsidRDefault="00264851" w:rsidP="00264851">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r>
      <w:tr w:rsidR="008273DF" w:rsidRPr="00D40CE7" w:rsidTr="008273DF">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Incremento por variación de inventarios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Disminución del exceso de estimaciones por pérdida o deterioro u obsolescencia</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Disminución del exceso de provisiones</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Otros ingresos y beneficios varios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264851"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Otros ingresos contables no presupuestarios</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540" w:type="dxa"/>
            <w:tcBorders>
              <w:top w:val="nil"/>
              <w:left w:val="nil"/>
              <w:bottom w:val="single" w:sz="8" w:space="0" w:color="auto"/>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r>
      <w:tr w:rsidR="008273DF" w:rsidRPr="00D40CE7"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D40CE7" w:rsidRDefault="008273DF"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3. Menos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r>
      <w:tr w:rsidR="008273DF" w:rsidRPr="00D40CE7" w:rsidTr="008273DF">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Productos de capital</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Aprovechamientos capital</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315"/>
          <w:jc w:val="center"/>
        </w:trPr>
        <w:tc>
          <w:tcPr>
            <w:tcW w:w="1200" w:type="dxa"/>
            <w:tcBorders>
              <w:top w:val="nil"/>
              <w:left w:val="single" w:sz="8" w:space="0" w:color="auto"/>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358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Ingresos derivados de financiamientos</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Otros Ingresos presupuestarios no contables</w:t>
            </w:r>
          </w:p>
        </w:tc>
        <w:tc>
          <w:tcPr>
            <w:tcW w:w="1540" w:type="dxa"/>
            <w:tcBorders>
              <w:top w:val="nil"/>
              <w:left w:val="nil"/>
              <w:bottom w:val="single" w:sz="8" w:space="0" w:color="auto"/>
              <w:right w:val="single" w:sz="8" w:space="0" w:color="auto"/>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8273DF" w:rsidRPr="00D40CE7" w:rsidRDefault="008273DF" w:rsidP="002E6169">
            <w:pPr>
              <w:jc w:val="right"/>
              <w:rPr>
                <w:rFonts w:ascii="Barlow" w:hAnsi="Barlow" w:cs="Arial"/>
                <w:color w:val="000000"/>
                <w:sz w:val="20"/>
                <w:szCs w:val="20"/>
                <w:lang w:eastAsia="es-MX"/>
              </w:rPr>
            </w:pPr>
          </w:p>
        </w:tc>
      </w:tr>
      <w:tr w:rsidR="008273DF" w:rsidRPr="00D40CE7" w:rsidTr="008273DF">
        <w:trPr>
          <w:trHeight w:val="315"/>
          <w:jc w:val="center"/>
        </w:trPr>
        <w:tc>
          <w:tcPr>
            <w:tcW w:w="4780" w:type="dxa"/>
            <w:gridSpan w:val="2"/>
            <w:tcBorders>
              <w:top w:val="single" w:sz="8" w:space="0" w:color="auto"/>
              <w:left w:val="nil"/>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540" w:type="dxa"/>
            <w:tcBorders>
              <w:top w:val="nil"/>
              <w:left w:val="nil"/>
              <w:bottom w:val="nil"/>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p>
        </w:tc>
        <w:tc>
          <w:tcPr>
            <w:tcW w:w="1720" w:type="dxa"/>
            <w:tcBorders>
              <w:top w:val="nil"/>
              <w:left w:val="nil"/>
              <w:bottom w:val="single" w:sz="8" w:space="0" w:color="auto"/>
              <w:right w:val="nil"/>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r>
      <w:tr w:rsidR="008273DF" w:rsidRPr="00D40CE7" w:rsidTr="008273DF">
        <w:trPr>
          <w:trHeight w:val="315"/>
          <w:jc w:val="center"/>
        </w:trPr>
        <w:tc>
          <w:tcPr>
            <w:tcW w:w="47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8273DF" w:rsidRPr="00D40CE7" w:rsidRDefault="008273DF" w:rsidP="00C4137E">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4. Ingresos Contables (4 = 1 + 2 - 3)</w:t>
            </w:r>
          </w:p>
        </w:tc>
        <w:tc>
          <w:tcPr>
            <w:tcW w:w="1540" w:type="dxa"/>
            <w:tcBorders>
              <w:top w:val="nil"/>
              <w:left w:val="nil"/>
              <w:bottom w:val="nil"/>
              <w:right w:val="single" w:sz="8" w:space="0" w:color="auto"/>
            </w:tcBorders>
            <w:shd w:val="clear" w:color="auto" w:fill="auto"/>
            <w:vAlign w:val="center"/>
            <w:hideMark/>
          </w:tcPr>
          <w:p w:rsidR="008273DF" w:rsidRPr="00D40CE7" w:rsidRDefault="008273DF" w:rsidP="00C4137E">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8273DF" w:rsidRPr="00D40CE7" w:rsidRDefault="002110E0" w:rsidP="00EB2B76">
            <w:pPr>
              <w:jc w:val="right"/>
              <w:rPr>
                <w:rFonts w:ascii="Barlow" w:hAnsi="Barlow" w:cs="Arial"/>
                <w:b/>
                <w:bCs/>
                <w:color w:val="000000"/>
                <w:sz w:val="20"/>
                <w:szCs w:val="20"/>
                <w:lang w:eastAsia="es-MX"/>
              </w:rPr>
            </w:pPr>
            <w:r w:rsidRPr="00D40CE7">
              <w:rPr>
                <w:rFonts w:ascii="Barlow" w:hAnsi="Barlow" w:cs="Arial"/>
                <w:b/>
                <w:bCs/>
                <w:color w:val="000000"/>
                <w:sz w:val="20"/>
                <w:szCs w:val="20"/>
                <w:lang w:eastAsia="es-MX"/>
              </w:rPr>
              <w:t>16</w:t>
            </w:r>
            <w:r w:rsidR="00C66FB5" w:rsidRPr="00D40CE7">
              <w:rPr>
                <w:rFonts w:ascii="Barlow" w:hAnsi="Barlow" w:cs="Arial"/>
                <w:b/>
                <w:bCs/>
                <w:color w:val="000000"/>
                <w:sz w:val="20"/>
                <w:szCs w:val="20"/>
                <w:lang w:eastAsia="es-MX"/>
              </w:rPr>
              <w:t>,</w:t>
            </w:r>
            <w:r w:rsidRPr="00D40CE7">
              <w:rPr>
                <w:rFonts w:ascii="Barlow" w:hAnsi="Barlow" w:cs="Arial"/>
                <w:b/>
                <w:bCs/>
                <w:color w:val="000000"/>
                <w:sz w:val="20"/>
                <w:szCs w:val="20"/>
                <w:lang w:eastAsia="es-MX"/>
              </w:rPr>
              <w:t>084</w:t>
            </w:r>
            <w:r w:rsidR="00AA1BE9" w:rsidRPr="00D40CE7">
              <w:rPr>
                <w:rFonts w:ascii="Barlow" w:hAnsi="Barlow" w:cs="Arial"/>
                <w:b/>
                <w:bCs/>
                <w:color w:val="000000"/>
                <w:sz w:val="20"/>
                <w:szCs w:val="20"/>
                <w:lang w:eastAsia="es-MX"/>
              </w:rPr>
              <w:t>.</w:t>
            </w:r>
            <w:r w:rsidRPr="00D40CE7">
              <w:rPr>
                <w:rFonts w:ascii="Barlow" w:hAnsi="Barlow" w:cs="Arial"/>
                <w:b/>
                <w:bCs/>
                <w:color w:val="000000"/>
                <w:sz w:val="20"/>
                <w:szCs w:val="20"/>
                <w:lang w:eastAsia="es-MX"/>
              </w:rPr>
              <w:t>3</w:t>
            </w:r>
            <w:r w:rsidR="00C97900" w:rsidRPr="00D40CE7">
              <w:rPr>
                <w:rFonts w:ascii="Barlow" w:hAnsi="Barlow" w:cs="Arial"/>
                <w:b/>
                <w:bCs/>
                <w:color w:val="000000"/>
                <w:sz w:val="20"/>
                <w:szCs w:val="20"/>
                <w:lang w:eastAsia="es-MX"/>
              </w:rPr>
              <w:t>1</w:t>
            </w:r>
          </w:p>
        </w:tc>
      </w:tr>
    </w:tbl>
    <w:p w:rsidR="008273DF" w:rsidRPr="00D40CE7" w:rsidRDefault="008273DF" w:rsidP="00C4137E">
      <w:pPr>
        <w:autoSpaceDE w:val="0"/>
        <w:autoSpaceDN w:val="0"/>
        <w:adjustRightInd w:val="0"/>
        <w:spacing w:line="360" w:lineRule="auto"/>
        <w:ind w:left="708"/>
        <w:jc w:val="both"/>
        <w:rPr>
          <w:rFonts w:ascii="Barlow" w:hAnsi="Barlow" w:cs="Arial"/>
          <w:bCs/>
          <w:sz w:val="20"/>
          <w:szCs w:val="20"/>
        </w:rPr>
      </w:pPr>
    </w:p>
    <w:p w:rsidR="008273DF" w:rsidRPr="00D40CE7" w:rsidRDefault="008273DF" w:rsidP="00C4137E">
      <w:pPr>
        <w:autoSpaceDE w:val="0"/>
        <w:autoSpaceDN w:val="0"/>
        <w:adjustRightInd w:val="0"/>
        <w:spacing w:line="360" w:lineRule="auto"/>
        <w:ind w:left="708"/>
        <w:jc w:val="both"/>
        <w:rPr>
          <w:rFonts w:ascii="Barlow" w:hAnsi="Barlow" w:cs="Arial"/>
          <w:bCs/>
          <w:sz w:val="20"/>
          <w:szCs w:val="20"/>
        </w:rPr>
      </w:pPr>
      <w:r w:rsidRPr="00D40CE7">
        <w:rPr>
          <w:rFonts w:ascii="Barlow" w:hAnsi="Barlow" w:cs="Arial"/>
          <w:bCs/>
          <w:sz w:val="20"/>
          <w:szCs w:val="20"/>
        </w:rPr>
        <w:lastRenderedPageBreak/>
        <w:t>B. Conciliación de Egresos presupuestarios y gastos contables d</w:t>
      </w:r>
      <w:r w:rsidR="00EF7EFA" w:rsidRPr="00D40CE7">
        <w:rPr>
          <w:rFonts w:ascii="Barlow" w:hAnsi="Barlow" w:cs="Arial"/>
          <w:bCs/>
          <w:sz w:val="20"/>
          <w:szCs w:val="20"/>
        </w:rPr>
        <w:t xml:space="preserve">el 1 de enero al </w:t>
      </w:r>
      <w:r w:rsidR="007364CF" w:rsidRPr="00D40CE7">
        <w:rPr>
          <w:rFonts w:ascii="Barlow" w:hAnsi="Barlow" w:cs="Arial"/>
          <w:bCs/>
          <w:sz w:val="20"/>
          <w:szCs w:val="20"/>
        </w:rPr>
        <w:t>3</w:t>
      </w:r>
      <w:r w:rsidR="00C97900" w:rsidRPr="00D40CE7">
        <w:rPr>
          <w:rFonts w:ascii="Barlow" w:hAnsi="Barlow" w:cs="Arial"/>
          <w:bCs/>
          <w:sz w:val="20"/>
          <w:szCs w:val="20"/>
        </w:rPr>
        <w:t>1</w:t>
      </w:r>
      <w:r w:rsidR="00C23A86" w:rsidRPr="00D40CE7">
        <w:rPr>
          <w:rFonts w:ascii="Barlow" w:hAnsi="Barlow" w:cs="Arial"/>
          <w:bCs/>
          <w:sz w:val="20"/>
          <w:szCs w:val="20"/>
        </w:rPr>
        <w:t xml:space="preserve"> </w:t>
      </w:r>
      <w:r w:rsidR="00EF7EFA" w:rsidRPr="00D40CE7">
        <w:rPr>
          <w:rFonts w:ascii="Barlow" w:hAnsi="Barlow" w:cs="Arial"/>
          <w:bCs/>
          <w:sz w:val="20"/>
          <w:szCs w:val="20"/>
        </w:rPr>
        <w:t xml:space="preserve">de </w:t>
      </w:r>
      <w:r w:rsidR="00D40CE7" w:rsidRPr="00D40CE7">
        <w:rPr>
          <w:rFonts w:ascii="Barlow" w:hAnsi="Barlow" w:cs="Arial"/>
          <w:bCs/>
          <w:sz w:val="20"/>
          <w:szCs w:val="20"/>
        </w:rPr>
        <w:t>enero</w:t>
      </w:r>
      <w:r w:rsidR="00C23A86" w:rsidRPr="00D40CE7">
        <w:rPr>
          <w:rFonts w:ascii="Barlow" w:hAnsi="Barlow" w:cs="Arial"/>
          <w:bCs/>
          <w:sz w:val="20"/>
          <w:szCs w:val="20"/>
        </w:rPr>
        <w:t xml:space="preserve"> </w:t>
      </w:r>
      <w:r w:rsidR="00EF7EFA" w:rsidRPr="00D40CE7">
        <w:rPr>
          <w:rFonts w:ascii="Barlow" w:hAnsi="Barlow" w:cs="Arial"/>
          <w:bCs/>
          <w:sz w:val="20"/>
          <w:szCs w:val="20"/>
        </w:rPr>
        <w:t xml:space="preserve">de </w:t>
      </w:r>
      <w:r w:rsidR="002110E0" w:rsidRPr="00D40CE7">
        <w:rPr>
          <w:rFonts w:ascii="Barlow" w:hAnsi="Barlow" w:cs="Arial"/>
          <w:bCs/>
          <w:sz w:val="20"/>
          <w:szCs w:val="20"/>
        </w:rPr>
        <w:t>2022</w:t>
      </w:r>
      <w:r w:rsidRPr="00D40CE7">
        <w:rPr>
          <w:rFonts w:ascii="Barlow" w:hAnsi="Barlow" w:cs="Arial"/>
          <w:bCs/>
          <w:sz w:val="20"/>
          <w:szCs w:val="20"/>
        </w:rPr>
        <w:t>.</w:t>
      </w:r>
    </w:p>
    <w:p w:rsidR="008273DF" w:rsidRPr="00D40CE7" w:rsidRDefault="008273DF" w:rsidP="00C4137E">
      <w:pPr>
        <w:autoSpaceDE w:val="0"/>
        <w:autoSpaceDN w:val="0"/>
        <w:adjustRightInd w:val="0"/>
        <w:spacing w:line="360" w:lineRule="auto"/>
        <w:ind w:left="708" w:firstLine="708"/>
        <w:jc w:val="both"/>
        <w:rPr>
          <w:rFonts w:ascii="Barlow" w:hAnsi="Barlow" w:cs="Arial"/>
          <w:bCs/>
          <w:sz w:val="20"/>
          <w:szCs w:val="20"/>
        </w:rPr>
      </w:pPr>
      <w:bookmarkStart w:id="10" w:name="m25"/>
      <w:bookmarkEnd w:id="10"/>
    </w:p>
    <w:tbl>
      <w:tblPr>
        <w:tblW w:w="9100" w:type="dxa"/>
        <w:jc w:val="center"/>
        <w:tblCellMar>
          <w:left w:w="70" w:type="dxa"/>
          <w:right w:w="70" w:type="dxa"/>
        </w:tblCellMar>
        <w:tblLook w:val="04A0" w:firstRow="1" w:lastRow="0" w:firstColumn="1" w:lastColumn="0" w:noHBand="0" w:noVBand="1"/>
      </w:tblPr>
      <w:tblGrid>
        <w:gridCol w:w="1200"/>
        <w:gridCol w:w="4780"/>
        <w:gridCol w:w="1400"/>
        <w:gridCol w:w="1720"/>
      </w:tblGrid>
      <w:tr w:rsidR="00B76817" w:rsidRPr="00D40CE7" w:rsidTr="00B76817">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D40CE7" w:rsidRDefault="00B76817" w:rsidP="00B76817">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1. Total de egresos (presupuestarios)</w:t>
            </w:r>
          </w:p>
        </w:tc>
        <w:tc>
          <w:tcPr>
            <w:tcW w:w="1400" w:type="dxa"/>
            <w:tcBorders>
              <w:top w:val="nil"/>
              <w:left w:val="nil"/>
              <w:bottom w:val="nil"/>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B76817" w:rsidRPr="00D40CE7" w:rsidRDefault="00A657CF" w:rsidP="00A657CF">
            <w:pPr>
              <w:jc w:val="right"/>
              <w:rPr>
                <w:rFonts w:ascii="Barlow" w:hAnsi="Barlow" w:cs="Arial"/>
                <w:b/>
                <w:bCs/>
                <w:color w:val="000000"/>
                <w:sz w:val="20"/>
                <w:szCs w:val="20"/>
                <w:lang w:eastAsia="es-MX"/>
              </w:rPr>
            </w:pPr>
            <w:r w:rsidRPr="00D40CE7">
              <w:rPr>
                <w:rFonts w:ascii="Barlow" w:hAnsi="Barlow" w:cs="Arial"/>
                <w:b/>
                <w:bCs/>
                <w:color w:val="000000"/>
                <w:sz w:val="20"/>
                <w:szCs w:val="20"/>
                <w:lang w:eastAsia="es-MX"/>
              </w:rPr>
              <w:t>5,800.00</w:t>
            </w:r>
          </w:p>
        </w:tc>
      </w:tr>
      <w:tr w:rsidR="00B76817" w:rsidRPr="00D40CE7" w:rsidTr="00B76817">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400" w:type="dxa"/>
            <w:tcBorders>
              <w:top w:val="single" w:sz="8" w:space="0" w:color="auto"/>
              <w:left w:val="nil"/>
              <w:bottom w:val="single" w:sz="8" w:space="0" w:color="auto"/>
              <w:right w:val="nil"/>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nil"/>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r>
      <w:tr w:rsidR="00B76817" w:rsidRPr="00D40CE7" w:rsidTr="00B76817">
        <w:trPr>
          <w:trHeight w:val="36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D40CE7" w:rsidRDefault="00B76817" w:rsidP="00B76817">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2. Menos egresos presupuestarios no contables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B76817" w:rsidRPr="00D40CE7" w:rsidRDefault="00EB2B76" w:rsidP="00B76817">
            <w:pPr>
              <w:jc w:val="right"/>
              <w:rPr>
                <w:rFonts w:ascii="Barlow" w:hAnsi="Barlow" w:cs="Arial"/>
                <w:b/>
                <w:bCs/>
                <w:color w:val="000000"/>
                <w:sz w:val="20"/>
                <w:szCs w:val="20"/>
                <w:lang w:eastAsia="es-MX"/>
              </w:rPr>
            </w:pPr>
            <w:r w:rsidRPr="00D40CE7">
              <w:rPr>
                <w:rFonts w:ascii="Barlow" w:hAnsi="Barlow" w:cs="Arial"/>
                <w:b/>
                <w:bCs/>
                <w:color w:val="000000"/>
                <w:sz w:val="20"/>
                <w:szCs w:val="20"/>
                <w:lang w:eastAsia="es-MX"/>
              </w:rPr>
              <w:t>0</w:t>
            </w:r>
          </w:p>
        </w:tc>
      </w:tr>
      <w:tr w:rsidR="00B76817" w:rsidRPr="00D40CE7" w:rsidTr="00112895">
        <w:trPr>
          <w:trHeight w:val="705"/>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Mobiliario y equipo de administración</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112895">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Mobiliario y equipo educacional y recreativo</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112895">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Equipo e instrumental médico y de laboratorio</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112895">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Vehículos y equipo de transporte</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112895">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Equipo de defensa y seguridad</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112895">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Maquinaria, otros equipos y herramientas</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112895">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Activos biológicos</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112895">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Bienes inmuebles</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112895">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Activos intangibles</w:t>
            </w:r>
          </w:p>
        </w:tc>
        <w:tc>
          <w:tcPr>
            <w:tcW w:w="1400" w:type="dxa"/>
            <w:tcBorders>
              <w:top w:val="nil"/>
              <w:left w:val="nil"/>
              <w:bottom w:val="single" w:sz="8" w:space="0" w:color="auto"/>
              <w:right w:val="single" w:sz="8" w:space="0" w:color="auto"/>
            </w:tcBorders>
            <w:shd w:val="clear" w:color="auto" w:fill="auto"/>
            <w:vAlign w:val="center"/>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Obra pública en bienes propios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Acciones y participaciones de capital</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Compra de títulos y valores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Inversiones en fideicomisos, mandatos y otros análogos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Provisiones para contingencias y otras erogaciones especiales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lastRenderedPageBreak/>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Amortización de la deuda publica</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Adeudos de ejercicios fiscales anteriores (ADEFAS)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Otros Egresos Presupuestales No Contables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400" w:type="dxa"/>
            <w:tcBorders>
              <w:top w:val="nil"/>
              <w:left w:val="nil"/>
              <w:bottom w:val="single" w:sz="8" w:space="0" w:color="auto"/>
              <w:right w:val="nil"/>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nil"/>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r>
      <w:tr w:rsidR="00B76817" w:rsidRPr="00D40CE7" w:rsidTr="00B76817">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D40CE7" w:rsidRDefault="00B76817" w:rsidP="00B76817">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3. Más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auto" w:fill="auto"/>
            <w:vAlign w:val="center"/>
            <w:hideMark/>
          </w:tcPr>
          <w:p w:rsidR="00B76817" w:rsidRPr="00D40CE7" w:rsidRDefault="00EB2B76" w:rsidP="00B76817">
            <w:pPr>
              <w:jc w:val="right"/>
              <w:rPr>
                <w:rFonts w:ascii="Barlow" w:hAnsi="Barlow" w:cs="Arial"/>
                <w:b/>
                <w:bCs/>
                <w:color w:val="000000"/>
                <w:sz w:val="20"/>
                <w:szCs w:val="20"/>
                <w:lang w:eastAsia="es-MX"/>
              </w:rPr>
            </w:pPr>
            <w:r w:rsidRPr="00D40CE7">
              <w:rPr>
                <w:rFonts w:ascii="Barlow" w:hAnsi="Barlow" w:cs="Arial"/>
                <w:b/>
                <w:bCs/>
                <w:color w:val="000000"/>
                <w:sz w:val="20"/>
                <w:szCs w:val="20"/>
                <w:lang w:eastAsia="es-MX"/>
              </w:rPr>
              <w:t>0</w:t>
            </w:r>
          </w:p>
        </w:tc>
      </w:tr>
      <w:tr w:rsidR="00B76817" w:rsidRPr="00D40CE7" w:rsidTr="00B76817">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Estimaciones, depreciaciones, deterioros, obsolescencia y amortizaciones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EB2B76"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Provisiones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Disminución de inventarios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495"/>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Aumento por insuficiencia de estimaciones por pérdida o deterioro u obsolescencia</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Aumento por insuficiencia de provisiones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1200" w:type="dxa"/>
            <w:tcBorders>
              <w:top w:val="nil"/>
              <w:left w:val="single" w:sz="8" w:space="0" w:color="auto"/>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478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Otros Gastos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244932"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30"/>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Otros Gastos Contables No Presupuestales</w:t>
            </w:r>
          </w:p>
        </w:tc>
        <w:tc>
          <w:tcPr>
            <w:tcW w:w="1400" w:type="dxa"/>
            <w:tcBorders>
              <w:top w:val="nil"/>
              <w:left w:val="nil"/>
              <w:bottom w:val="single" w:sz="8" w:space="0" w:color="auto"/>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0.00</w:t>
            </w:r>
          </w:p>
        </w:tc>
        <w:tc>
          <w:tcPr>
            <w:tcW w:w="172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olor w:val="000000"/>
                <w:sz w:val="20"/>
                <w:szCs w:val="20"/>
                <w:lang w:eastAsia="es-MX"/>
              </w:rPr>
            </w:pPr>
          </w:p>
        </w:tc>
      </w:tr>
      <w:tr w:rsidR="00B76817" w:rsidRPr="00D40CE7" w:rsidTr="00B76817">
        <w:trPr>
          <w:trHeight w:val="315"/>
          <w:jc w:val="center"/>
        </w:trPr>
        <w:tc>
          <w:tcPr>
            <w:tcW w:w="5980" w:type="dxa"/>
            <w:gridSpan w:val="2"/>
            <w:tcBorders>
              <w:top w:val="single" w:sz="8" w:space="0" w:color="auto"/>
              <w:left w:val="nil"/>
              <w:bottom w:val="single" w:sz="8" w:space="0" w:color="auto"/>
              <w:right w:val="nil"/>
            </w:tcBorders>
            <w:shd w:val="clear" w:color="auto" w:fill="auto"/>
            <w:vAlign w:val="center"/>
            <w:hideMark/>
          </w:tcPr>
          <w:p w:rsidR="00B76817" w:rsidRPr="00D40CE7" w:rsidRDefault="00B76817" w:rsidP="00B76817">
            <w:pPr>
              <w:jc w:val="both"/>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400" w:type="dxa"/>
            <w:tcBorders>
              <w:top w:val="nil"/>
              <w:left w:val="nil"/>
              <w:bottom w:val="nil"/>
              <w:right w:val="nil"/>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p>
        </w:tc>
        <w:tc>
          <w:tcPr>
            <w:tcW w:w="1720" w:type="dxa"/>
            <w:tcBorders>
              <w:top w:val="nil"/>
              <w:left w:val="nil"/>
              <w:bottom w:val="single" w:sz="8" w:space="0" w:color="auto"/>
              <w:right w:val="nil"/>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r>
      <w:tr w:rsidR="00B76817" w:rsidRPr="00D40CE7" w:rsidTr="00B76817">
        <w:trPr>
          <w:trHeight w:val="315"/>
          <w:jc w:val="center"/>
        </w:trPr>
        <w:tc>
          <w:tcPr>
            <w:tcW w:w="5980" w:type="dxa"/>
            <w:gridSpan w:val="2"/>
            <w:tcBorders>
              <w:top w:val="single" w:sz="8" w:space="0" w:color="auto"/>
              <w:left w:val="single" w:sz="8" w:space="0" w:color="auto"/>
              <w:bottom w:val="single" w:sz="8" w:space="0" w:color="auto"/>
              <w:right w:val="single" w:sz="8" w:space="0" w:color="000000"/>
            </w:tcBorders>
            <w:shd w:val="clear" w:color="000000" w:fill="C0C0C0"/>
            <w:vAlign w:val="center"/>
            <w:hideMark/>
          </w:tcPr>
          <w:p w:rsidR="00B76817" w:rsidRPr="00D40CE7" w:rsidRDefault="00B76817" w:rsidP="00B76817">
            <w:pPr>
              <w:jc w:val="both"/>
              <w:rPr>
                <w:rFonts w:ascii="Barlow" w:hAnsi="Barlow" w:cs="Arial"/>
                <w:b/>
                <w:bCs/>
                <w:color w:val="000000"/>
                <w:sz w:val="20"/>
                <w:szCs w:val="20"/>
                <w:lang w:eastAsia="es-MX"/>
              </w:rPr>
            </w:pPr>
            <w:r w:rsidRPr="00D40CE7">
              <w:rPr>
                <w:rFonts w:ascii="Barlow" w:hAnsi="Barlow" w:cs="Arial"/>
                <w:b/>
                <w:bCs/>
                <w:color w:val="000000"/>
                <w:sz w:val="20"/>
                <w:szCs w:val="20"/>
                <w:lang w:eastAsia="es-MX"/>
              </w:rPr>
              <w:t>4. Total de Gasto Contable (4 = 1 - 2 + 3)</w:t>
            </w:r>
          </w:p>
        </w:tc>
        <w:tc>
          <w:tcPr>
            <w:tcW w:w="1400" w:type="dxa"/>
            <w:tcBorders>
              <w:top w:val="nil"/>
              <w:left w:val="nil"/>
              <w:bottom w:val="nil"/>
              <w:right w:val="single" w:sz="8" w:space="0" w:color="auto"/>
            </w:tcBorders>
            <w:shd w:val="clear" w:color="auto" w:fill="auto"/>
            <w:vAlign w:val="center"/>
            <w:hideMark/>
          </w:tcPr>
          <w:p w:rsidR="00B76817" w:rsidRPr="00D40CE7" w:rsidRDefault="00B76817" w:rsidP="00B76817">
            <w:pPr>
              <w:jc w:val="right"/>
              <w:rPr>
                <w:rFonts w:ascii="Barlow" w:hAnsi="Barlow" w:cs="Arial"/>
                <w:color w:val="000000"/>
                <w:sz w:val="20"/>
                <w:szCs w:val="20"/>
                <w:lang w:eastAsia="es-MX"/>
              </w:rPr>
            </w:pPr>
            <w:r w:rsidRPr="00D40CE7">
              <w:rPr>
                <w:rFonts w:ascii="Barlow" w:hAnsi="Barlow" w:cs="Arial"/>
                <w:color w:val="000000"/>
                <w:sz w:val="20"/>
                <w:szCs w:val="20"/>
                <w:lang w:eastAsia="es-MX"/>
              </w:rPr>
              <w:t> </w:t>
            </w:r>
          </w:p>
        </w:tc>
        <w:tc>
          <w:tcPr>
            <w:tcW w:w="1720" w:type="dxa"/>
            <w:tcBorders>
              <w:top w:val="nil"/>
              <w:left w:val="nil"/>
              <w:bottom w:val="single" w:sz="8" w:space="0" w:color="auto"/>
              <w:right w:val="single" w:sz="8" w:space="0" w:color="auto"/>
            </w:tcBorders>
            <w:shd w:val="clear" w:color="000000" w:fill="C0C0C0"/>
            <w:vAlign w:val="center"/>
            <w:hideMark/>
          </w:tcPr>
          <w:p w:rsidR="00B76817" w:rsidRPr="00D40CE7" w:rsidRDefault="00A657CF" w:rsidP="00A657CF">
            <w:pPr>
              <w:jc w:val="right"/>
              <w:rPr>
                <w:rFonts w:ascii="Barlow" w:hAnsi="Barlow" w:cs="Arial"/>
                <w:b/>
                <w:bCs/>
                <w:color w:val="000000"/>
                <w:sz w:val="20"/>
                <w:szCs w:val="20"/>
                <w:lang w:eastAsia="es-MX"/>
              </w:rPr>
            </w:pPr>
            <w:r w:rsidRPr="00D40CE7">
              <w:rPr>
                <w:rFonts w:ascii="Barlow" w:hAnsi="Barlow" w:cs="Arial"/>
                <w:b/>
                <w:bCs/>
                <w:color w:val="000000"/>
                <w:sz w:val="20"/>
                <w:szCs w:val="20"/>
                <w:lang w:eastAsia="es-MX"/>
              </w:rPr>
              <w:t>5,800.00</w:t>
            </w:r>
          </w:p>
        </w:tc>
      </w:tr>
    </w:tbl>
    <w:p w:rsidR="008273DF" w:rsidRPr="00D40CE7" w:rsidRDefault="008273DF" w:rsidP="00C4137E">
      <w:pPr>
        <w:autoSpaceDE w:val="0"/>
        <w:autoSpaceDN w:val="0"/>
        <w:adjustRightInd w:val="0"/>
        <w:spacing w:line="360" w:lineRule="auto"/>
        <w:ind w:left="708" w:firstLine="708"/>
        <w:jc w:val="both"/>
        <w:rPr>
          <w:rFonts w:ascii="Barlow" w:hAnsi="Barlow" w:cs="Arial"/>
          <w:bCs/>
          <w:sz w:val="20"/>
          <w:szCs w:val="20"/>
        </w:rPr>
      </w:pPr>
    </w:p>
    <w:p w:rsidR="00374219" w:rsidRPr="00D40CE7" w:rsidRDefault="00374219" w:rsidP="00C4137E">
      <w:pPr>
        <w:autoSpaceDE w:val="0"/>
        <w:autoSpaceDN w:val="0"/>
        <w:adjustRightInd w:val="0"/>
        <w:spacing w:line="360" w:lineRule="auto"/>
        <w:jc w:val="both"/>
        <w:rPr>
          <w:rFonts w:ascii="Barlow" w:hAnsi="Barlow" w:cs="Arial"/>
          <w:b/>
          <w:sz w:val="20"/>
          <w:szCs w:val="20"/>
        </w:rPr>
      </w:pPr>
    </w:p>
    <w:p w:rsidR="00251A08" w:rsidRPr="00D40CE7" w:rsidRDefault="00251A0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B) NOTAS DE MEMORIA</w:t>
      </w:r>
    </w:p>
    <w:p w:rsidR="00401FD4" w:rsidRPr="00D40CE7" w:rsidRDefault="00401FD4" w:rsidP="00C4137E">
      <w:pPr>
        <w:autoSpaceDE w:val="0"/>
        <w:autoSpaceDN w:val="0"/>
        <w:adjustRightInd w:val="0"/>
        <w:spacing w:line="360" w:lineRule="auto"/>
        <w:jc w:val="both"/>
        <w:rPr>
          <w:rFonts w:ascii="Barlow" w:hAnsi="Barlow" w:cs="Arial"/>
          <w:bCs/>
          <w:sz w:val="20"/>
          <w:szCs w:val="20"/>
        </w:rPr>
      </w:pPr>
    </w:p>
    <w:p w:rsidR="00251A08" w:rsidRPr="00D40CE7" w:rsidRDefault="00251A08" w:rsidP="00C4137E">
      <w:pPr>
        <w:autoSpaceDE w:val="0"/>
        <w:autoSpaceDN w:val="0"/>
        <w:adjustRightInd w:val="0"/>
        <w:spacing w:line="360" w:lineRule="auto"/>
        <w:jc w:val="both"/>
        <w:rPr>
          <w:rFonts w:ascii="Barlow" w:hAnsi="Barlow" w:cs="Arial"/>
          <w:sz w:val="20"/>
          <w:szCs w:val="20"/>
        </w:rPr>
      </w:pPr>
      <w:r w:rsidRPr="00D40CE7">
        <w:rPr>
          <w:rFonts w:ascii="Barlow" w:hAnsi="Barlow" w:cs="Arial"/>
          <w:bCs/>
          <w:sz w:val="20"/>
          <w:szCs w:val="20"/>
        </w:rPr>
        <w:t xml:space="preserve">Los saldos de las cuentas de orden contables y </w:t>
      </w:r>
      <w:r w:rsidR="00D40CE7" w:rsidRPr="00D40CE7">
        <w:rPr>
          <w:rFonts w:ascii="Barlow" w:hAnsi="Barlow" w:cs="Arial"/>
          <w:bCs/>
          <w:sz w:val="20"/>
          <w:szCs w:val="20"/>
        </w:rPr>
        <w:t>presupuestales se</w:t>
      </w:r>
      <w:r w:rsidRPr="00D40CE7">
        <w:rPr>
          <w:rFonts w:ascii="Barlow" w:hAnsi="Barlow" w:cs="Arial"/>
          <w:bCs/>
          <w:sz w:val="20"/>
          <w:szCs w:val="20"/>
        </w:rPr>
        <w:t xml:space="preserve"> presentan a continuación</w:t>
      </w:r>
      <w:r w:rsidR="00A92B97" w:rsidRPr="00D40CE7">
        <w:rPr>
          <w:rFonts w:ascii="Barlow" w:hAnsi="Barlow" w:cs="Arial"/>
          <w:sz w:val="20"/>
          <w:szCs w:val="20"/>
        </w:rPr>
        <w:t>:</w:t>
      </w:r>
      <w:r w:rsidR="00EB2B76" w:rsidRPr="00D40CE7">
        <w:rPr>
          <w:rFonts w:ascii="Barlow" w:hAnsi="Barlow" w:cs="Arial"/>
          <w:sz w:val="20"/>
          <w:szCs w:val="20"/>
        </w:rPr>
        <w:t xml:space="preserve"> (NINGUNA)</w:t>
      </w:r>
    </w:p>
    <w:p w:rsidR="00A92B97" w:rsidRDefault="00A92B97" w:rsidP="00C4137E">
      <w:pPr>
        <w:autoSpaceDE w:val="0"/>
        <w:autoSpaceDN w:val="0"/>
        <w:adjustRightInd w:val="0"/>
        <w:spacing w:line="360" w:lineRule="auto"/>
        <w:jc w:val="both"/>
        <w:rPr>
          <w:rFonts w:ascii="Barlow" w:hAnsi="Barlow" w:cs="Arial"/>
          <w:sz w:val="20"/>
          <w:szCs w:val="20"/>
        </w:rPr>
      </w:pPr>
    </w:p>
    <w:p w:rsidR="00D40CE7" w:rsidRPr="00D40CE7" w:rsidRDefault="00D40CE7" w:rsidP="00C4137E">
      <w:pPr>
        <w:autoSpaceDE w:val="0"/>
        <w:autoSpaceDN w:val="0"/>
        <w:adjustRightInd w:val="0"/>
        <w:spacing w:line="360" w:lineRule="auto"/>
        <w:jc w:val="both"/>
        <w:rPr>
          <w:rFonts w:ascii="Barlow" w:hAnsi="Barlow" w:cs="Arial"/>
          <w:sz w:val="20"/>
          <w:szCs w:val="20"/>
        </w:rPr>
      </w:pPr>
    </w:p>
    <w:p w:rsidR="00251A08" w:rsidRPr="00D40CE7" w:rsidRDefault="00251A08" w:rsidP="00C4137E">
      <w:pPr>
        <w:numPr>
          <w:ilvl w:val="0"/>
          <w:numId w:val="32"/>
        </w:num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lastRenderedPageBreak/>
        <w:t>Cuentas contables.</w:t>
      </w:r>
    </w:p>
    <w:p w:rsidR="00251A08" w:rsidRPr="00D40CE7" w:rsidRDefault="00251A08" w:rsidP="00C4137E">
      <w:pPr>
        <w:autoSpaceDE w:val="0"/>
        <w:autoSpaceDN w:val="0"/>
        <w:adjustRightInd w:val="0"/>
        <w:spacing w:line="360" w:lineRule="auto"/>
        <w:jc w:val="both"/>
        <w:rPr>
          <w:rFonts w:ascii="Barlow" w:hAnsi="Barlow" w:cs="Arial"/>
          <w:b/>
          <w:bCs/>
          <w:sz w:val="20"/>
          <w:szCs w:val="20"/>
        </w:rPr>
      </w:pPr>
    </w:p>
    <w:p w:rsidR="00251A08" w:rsidRPr="00D40CE7" w:rsidRDefault="00251A08" w:rsidP="00C4137E">
      <w:pPr>
        <w:numPr>
          <w:ilvl w:val="0"/>
          <w:numId w:val="32"/>
        </w:numPr>
        <w:autoSpaceDE w:val="0"/>
        <w:autoSpaceDN w:val="0"/>
        <w:adjustRightInd w:val="0"/>
        <w:spacing w:line="360" w:lineRule="auto"/>
        <w:jc w:val="both"/>
        <w:rPr>
          <w:rFonts w:ascii="Barlow" w:hAnsi="Barlow" w:cs="Arial"/>
          <w:bCs/>
          <w:sz w:val="20"/>
          <w:szCs w:val="20"/>
        </w:rPr>
      </w:pPr>
      <w:bookmarkStart w:id="11" w:name="m16"/>
      <w:bookmarkEnd w:id="11"/>
      <w:r w:rsidRPr="00D40CE7">
        <w:rPr>
          <w:rFonts w:ascii="Barlow" w:hAnsi="Barlow" w:cs="Arial"/>
          <w:bCs/>
          <w:sz w:val="20"/>
          <w:szCs w:val="20"/>
        </w:rPr>
        <w:t>Cuentas presupuestarias.</w:t>
      </w:r>
    </w:p>
    <w:tbl>
      <w:tblPr>
        <w:tblW w:w="6200" w:type="dxa"/>
        <w:jc w:val="center"/>
        <w:tblCellMar>
          <w:left w:w="70" w:type="dxa"/>
          <w:right w:w="70" w:type="dxa"/>
        </w:tblCellMar>
        <w:tblLook w:val="04A0" w:firstRow="1" w:lastRow="0" w:firstColumn="1" w:lastColumn="0" w:noHBand="0" w:noVBand="1"/>
      </w:tblPr>
      <w:tblGrid>
        <w:gridCol w:w="3300"/>
        <w:gridCol w:w="2900"/>
      </w:tblGrid>
      <w:tr w:rsidR="00EE0DE5" w:rsidRPr="00D40CE7" w:rsidTr="00EE0DE5">
        <w:trPr>
          <w:trHeight w:val="300"/>
          <w:jc w:val="center"/>
        </w:trPr>
        <w:tc>
          <w:tcPr>
            <w:tcW w:w="3300" w:type="dxa"/>
            <w:tcBorders>
              <w:top w:val="nil"/>
              <w:left w:val="nil"/>
              <w:bottom w:val="nil"/>
              <w:right w:val="nil"/>
            </w:tcBorders>
            <w:shd w:val="clear" w:color="auto" w:fill="auto"/>
            <w:vAlign w:val="center"/>
            <w:hideMark/>
          </w:tcPr>
          <w:p w:rsidR="00EE0DE5" w:rsidRPr="00D40CE7" w:rsidRDefault="00EE0DE5" w:rsidP="00EE0DE5">
            <w:pPr>
              <w:rPr>
                <w:rFonts w:ascii="Barlow" w:hAnsi="Barlow"/>
                <w:b/>
                <w:bCs/>
                <w:color w:val="000000"/>
                <w:sz w:val="20"/>
                <w:szCs w:val="20"/>
                <w:lang w:eastAsia="es-MX"/>
              </w:rPr>
            </w:pPr>
            <w:r w:rsidRPr="00D40CE7">
              <w:rPr>
                <w:rFonts w:ascii="Barlow" w:hAnsi="Barlow"/>
                <w:b/>
                <w:bCs/>
                <w:color w:val="000000"/>
                <w:sz w:val="20"/>
                <w:szCs w:val="20"/>
                <w:lang w:eastAsia="es-MX"/>
              </w:rPr>
              <w:t>PRESUPUESTO DE EGRESOS</w:t>
            </w:r>
          </w:p>
        </w:tc>
        <w:tc>
          <w:tcPr>
            <w:tcW w:w="2900" w:type="dxa"/>
            <w:tcBorders>
              <w:top w:val="nil"/>
              <w:left w:val="nil"/>
              <w:bottom w:val="nil"/>
              <w:right w:val="nil"/>
            </w:tcBorders>
            <w:shd w:val="clear" w:color="auto" w:fill="auto"/>
            <w:vAlign w:val="center"/>
            <w:hideMark/>
          </w:tcPr>
          <w:p w:rsidR="00EE0DE5" w:rsidRPr="00D40CE7" w:rsidRDefault="00EE0DE5" w:rsidP="00EE0DE5">
            <w:pPr>
              <w:jc w:val="right"/>
              <w:rPr>
                <w:rFonts w:ascii="Barlow" w:hAnsi="Barlow"/>
                <w:b/>
                <w:bCs/>
                <w:color w:val="000000"/>
                <w:sz w:val="20"/>
                <w:szCs w:val="20"/>
                <w:lang w:eastAsia="es-MX"/>
              </w:rPr>
            </w:pPr>
          </w:p>
        </w:tc>
      </w:tr>
      <w:tr w:rsidR="00EE0DE5" w:rsidRPr="00D40CE7" w:rsidTr="00EE0DE5">
        <w:trPr>
          <w:trHeight w:val="300"/>
          <w:jc w:val="center"/>
        </w:trPr>
        <w:tc>
          <w:tcPr>
            <w:tcW w:w="3300" w:type="dxa"/>
            <w:tcBorders>
              <w:top w:val="nil"/>
              <w:left w:val="nil"/>
              <w:bottom w:val="nil"/>
              <w:right w:val="nil"/>
            </w:tcBorders>
            <w:shd w:val="clear" w:color="auto" w:fill="auto"/>
            <w:vAlign w:val="center"/>
            <w:hideMark/>
          </w:tcPr>
          <w:p w:rsidR="00EE0DE5" w:rsidRPr="00D40CE7" w:rsidRDefault="00EE0DE5" w:rsidP="00EE0DE5">
            <w:pPr>
              <w:rPr>
                <w:rFonts w:ascii="Barlow" w:hAnsi="Barlow"/>
                <w:color w:val="000000"/>
                <w:sz w:val="20"/>
                <w:szCs w:val="20"/>
                <w:lang w:eastAsia="es-MX"/>
              </w:rPr>
            </w:pPr>
            <w:r w:rsidRPr="00D40CE7">
              <w:rPr>
                <w:rFonts w:ascii="Barlow" w:hAnsi="Barlow"/>
                <w:color w:val="000000"/>
                <w:sz w:val="20"/>
                <w:szCs w:val="20"/>
                <w:lang w:eastAsia="es-MX"/>
              </w:rPr>
              <w:t>PRESUPUESTO DE EGRESOS APROBADO</w:t>
            </w:r>
          </w:p>
        </w:tc>
        <w:tc>
          <w:tcPr>
            <w:tcW w:w="2900" w:type="dxa"/>
            <w:tcBorders>
              <w:top w:val="nil"/>
              <w:left w:val="nil"/>
              <w:bottom w:val="nil"/>
              <w:right w:val="nil"/>
            </w:tcBorders>
            <w:shd w:val="clear" w:color="auto" w:fill="auto"/>
            <w:vAlign w:val="center"/>
            <w:hideMark/>
          </w:tcPr>
          <w:p w:rsidR="00EE0DE5" w:rsidRPr="00D40CE7" w:rsidRDefault="00EB2B76" w:rsidP="00EE0DE5">
            <w:pPr>
              <w:jc w:val="right"/>
              <w:rPr>
                <w:rFonts w:ascii="Barlow" w:hAnsi="Barlow"/>
                <w:color w:val="000000"/>
                <w:sz w:val="20"/>
                <w:szCs w:val="20"/>
                <w:lang w:eastAsia="es-MX"/>
              </w:rPr>
            </w:pPr>
            <w:r w:rsidRPr="00D40CE7">
              <w:rPr>
                <w:rFonts w:ascii="Barlow" w:hAnsi="Barlow"/>
                <w:color w:val="000000"/>
                <w:sz w:val="20"/>
                <w:szCs w:val="20"/>
                <w:lang w:eastAsia="es-MX"/>
              </w:rPr>
              <w:t>0.00</w:t>
            </w:r>
          </w:p>
        </w:tc>
      </w:tr>
      <w:tr w:rsidR="00EE0DE5" w:rsidRPr="00D40CE7" w:rsidTr="00EE0DE5">
        <w:trPr>
          <w:trHeight w:val="510"/>
          <w:jc w:val="center"/>
        </w:trPr>
        <w:tc>
          <w:tcPr>
            <w:tcW w:w="3300" w:type="dxa"/>
            <w:tcBorders>
              <w:top w:val="nil"/>
              <w:left w:val="nil"/>
              <w:bottom w:val="nil"/>
              <w:right w:val="nil"/>
            </w:tcBorders>
            <w:shd w:val="clear" w:color="auto" w:fill="auto"/>
            <w:vAlign w:val="center"/>
            <w:hideMark/>
          </w:tcPr>
          <w:p w:rsidR="00EE0DE5" w:rsidRPr="00D40CE7" w:rsidRDefault="00EE0DE5" w:rsidP="00EE0DE5">
            <w:pPr>
              <w:rPr>
                <w:rFonts w:ascii="Barlow" w:hAnsi="Barlow"/>
                <w:color w:val="000000"/>
                <w:sz w:val="20"/>
                <w:szCs w:val="20"/>
                <w:lang w:eastAsia="es-MX"/>
              </w:rPr>
            </w:pPr>
            <w:r w:rsidRPr="00D40CE7">
              <w:rPr>
                <w:rFonts w:ascii="Barlow" w:hAnsi="Barlow"/>
                <w:color w:val="000000"/>
                <w:sz w:val="20"/>
                <w:szCs w:val="20"/>
                <w:lang w:eastAsia="es-MX"/>
              </w:rPr>
              <w:t>PRESUPUESTO DE EGRESOS POR EJERCER</w:t>
            </w:r>
          </w:p>
        </w:tc>
        <w:tc>
          <w:tcPr>
            <w:tcW w:w="2900" w:type="dxa"/>
            <w:tcBorders>
              <w:top w:val="nil"/>
              <w:left w:val="nil"/>
              <w:bottom w:val="nil"/>
              <w:right w:val="nil"/>
            </w:tcBorders>
            <w:shd w:val="clear" w:color="auto" w:fill="auto"/>
            <w:vAlign w:val="center"/>
            <w:hideMark/>
          </w:tcPr>
          <w:p w:rsidR="00EE0DE5" w:rsidRPr="00D40CE7" w:rsidRDefault="00EB2B76" w:rsidP="00EE0DE5">
            <w:pPr>
              <w:jc w:val="right"/>
              <w:rPr>
                <w:rFonts w:ascii="Barlow" w:hAnsi="Barlow"/>
                <w:color w:val="000000"/>
                <w:sz w:val="20"/>
                <w:szCs w:val="20"/>
                <w:lang w:eastAsia="es-MX"/>
              </w:rPr>
            </w:pPr>
            <w:r w:rsidRPr="00D40CE7">
              <w:rPr>
                <w:rFonts w:ascii="Barlow" w:hAnsi="Barlow"/>
                <w:color w:val="000000"/>
                <w:sz w:val="20"/>
                <w:szCs w:val="20"/>
                <w:lang w:eastAsia="es-MX"/>
              </w:rPr>
              <w:t>0.00</w:t>
            </w:r>
          </w:p>
        </w:tc>
      </w:tr>
      <w:tr w:rsidR="00EE0DE5" w:rsidRPr="00D40CE7" w:rsidTr="00EE0DE5">
        <w:trPr>
          <w:trHeight w:val="510"/>
          <w:jc w:val="center"/>
        </w:trPr>
        <w:tc>
          <w:tcPr>
            <w:tcW w:w="3300" w:type="dxa"/>
            <w:tcBorders>
              <w:top w:val="nil"/>
              <w:left w:val="nil"/>
              <w:bottom w:val="nil"/>
              <w:right w:val="nil"/>
            </w:tcBorders>
            <w:shd w:val="clear" w:color="auto" w:fill="auto"/>
            <w:vAlign w:val="center"/>
            <w:hideMark/>
          </w:tcPr>
          <w:p w:rsidR="00EE0DE5" w:rsidRPr="00D40CE7" w:rsidRDefault="00EE0DE5" w:rsidP="00EE0DE5">
            <w:pPr>
              <w:rPr>
                <w:rFonts w:ascii="Barlow" w:hAnsi="Barlow"/>
                <w:color w:val="000000"/>
                <w:sz w:val="20"/>
                <w:szCs w:val="20"/>
                <w:lang w:eastAsia="es-MX"/>
              </w:rPr>
            </w:pPr>
            <w:r w:rsidRPr="00D40CE7">
              <w:rPr>
                <w:rFonts w:ascii="Barlow" w:hAnsi="Barlow"/>
                <w:color w:val="000000"/>
                <w:sz w:val="20"/>
                <w:szCs w:val="20"/>
                <w:lang w:eastAsia="es-MX"/>
              </w:rPr>
              <w:t>MODIFICACIONES AL PRESUPUESTO DE EGRESOS APROBADO</w:t>
            </w:r>
          </w:p>
        </w:tc>
        <w:tc>
          <w:tcPr>
            <w:tcW w:w="2900" w:type="dxa"/>
            <w:tcBorders>
              <w:top w:val="nil"/>
              <w:left w:val="nil"/>
              <w:bottom w:val="nil"/>
              <w:right w:val="nil"/>
            </w:tcBorders>
            <w:shd w:val="clear" w:color="auto" w:fill="auto"/>
            <w:vAlign w:val="center"/>
            <w:hideMark/>
          </w:tcPr>
          <w:p w:rsidR="00EE0DE5" w:rsidRPr="00D40CE7" w:rsidRDefault="006E2937" w:rsidP="00EB2B76">
            <w:pPr>
              <w:jc w:val="right"/>
              <w:rPr>
                <w:rFonts w:ascii="Barlow" w:hAnsi="Barlow"/>
                <w:color w:val="000000"/>
                <w:sz w:val="20"/>
                <w:szCs w:val="20"/>
                <w:lang w:eastAsia="es-MX"/>
              </w:rPr>
            </w:pPr>
            <w:r w:rsidRPr="00D40CE7">
              <w:rPr>
                <w:rFonts w:ascii="Barlow" w:hAnsi="Barlow"/>
                <w:color w:val="000000"/>
                <w:sz w:val="20"/>
                <w:szCs w:val="20"/>
                <w:lang w:eastAsia="es-MX"/>
              </w:rPr>
              <w:t>5,800.00</w:t>
            </w:r>
          </w:p>
        </w:tc>
      </w:tr>
      <w:tr w:rsidR="00EE0DE5" w:rsidRPr="00D40CE7" w:rsidTr="00EE0DE5">
        <w:trPr>
          <w:trHeight w:val="510"/>
          <w:jc w:val="center"/>
        </w:trPr>
        <w:tc>
          <w:tcPr>
            <w:tcW w:w="3300" w:type="dxa"/>
            <w:tcBorders>
              <w:top w:val="nil"/>
              <w:left w:val="nil"/>
              <w:bottom w:val="nil"/>
              <w:right w:val="nil"/>
            </w:tcBorders>
            <w:shd w:val="clear" w:color="auto" w:fill="auto"/>
            <w:vAlign w:val="center"/>
            <w:hideMark/>
          </w:tcPr>
          <w:p w:rsidR="00EE0DE5" w:rsidRPr="00D40CE7" w:rsidRDefault="00EE0DE5" w:rsidP="00EE0DE5">
            <w:pPr>
              <w:rPr>
                <w:rFonts w:ascii="Barlow" w:hAnsi="Barlow"/>
                <w:color w:val="000000"/>
                <w:sz w:val="20"/>
                <w:szCs w:val="20"/>
                <w:lang w:eastAsia="es-MX"/>
              </w:rPr>
            </w:pPr>
            <w:r w:rsidRPr="00D40CE7">
              <w:rPr>
                <w:rFonts w:ascii="Barlow" w:hAnsi="Barlow"/>
                <w:color w:val="000000"/>
                <w:sz w:val="20"/>
                <w:szCs w:val="20"/>
                <w:lang w:eastAsia="es-MX"/>
              </w:rPr>
              <w:t>PRESUPUESTO DE EGRESOS COMPROMETIDO</w:t>
            </w:r>
          </w:p>
        </w:tc>
        <w:tc>
          <w:tcPr>
            <w:tcW w:w="2900" w:type="dxa"/>
            <w:tcBorders>
              <w:top w:val="nil"/>
              <w:left w:val="nil"/>
              <w:bottom w:val="nil"/>
              <w:right w:val="nil"/>
            </w:tcBorders>
            <w:shd w:val="clear" w:color="auto" w:fill="auto"/>
            <w:vAlign w:val="center"/>
            <w:hideMark/>
          </w:tcPr>
          <w:p w:rsidR="00EE0DE5" w:rsidRPr="00D40CE7" w:rsidRDefault="006E2937" w:rsidP="00EE0DE5">
            <w:pPr>
              <w:jc w:val="right"/>
              <w:rPr>
                <w:rFonts w:ascii="Barlow" w:hAnsi="Barlow"/>
                <w:color w:val="000000"/>
                <w:sz w:val="20"/>
                <w:szCs w:val="20"/>
                <w:lang w:eastAsia="es-MX"/>
              </w:rPr>
            </w:pPr>
            <w:r w:rsidRPr="00D40CE7">
              <w:rPr>
                <w:rFonts w:ascii="Barlow" w:hAnsi="Barlow"/>
                <w:color w:val="000000"/>
                <w:sz w:val="20"/>
                <w:szCs w:val="20"/>
                <w:lang w:eastAsia="es-MX"/>
              </w:rPr>
              <w:t>5,800.00</w:t>
            </w:r>
          </w:p>
        </w:tc>
      </w:tr>
      <w:tr w:rsidR="00EE0DE5" w:rsidRPr="00D40CE7" w:rsidTr="00EE0DE5">
        <w:trPr>
          <w:trHeight w:val="510"/>
          <w:jc w:val="center"/>
        </w:trPr>
        <w:tc>
          <w:tcPr>
            <w:tcW w:w="3300" w:type="dxa"/>
            <w:tcBorders>
              <w:top w:val="nil"/>
              <w:left w:val="nil"/>
              <w:bottom w:val="nil"/>
              <w:right w:val="nil"/>
            </w:tcBorders>
            <w:shd w:val="clear" w:color="auto" w:fill="auto"/>
            <w:vAlign w:val="center"/>
            <w:hideMark/>
          </w:tcPr>
          <w:p w:rsidR="00EE0DE5" w:rsidRPr="00D40CE7" w:rsidRDefault="00EE0DE5" w:rsidP="00EE0DE5">
            <w:pPr>
              <w:rPr>
                <w:rFonts w:ascii="Barlow" w:hAnsi="Barlow"/>
                <w:color w:val="000000"/>
                <w:sz w:val="20"/>
                <w:szCs w:val="20"/>
                <w:lang w:eastAsia="es-MX"/>
              </w:rPr>
            </w:pPr>
            <w:r w:rsidRPr="00D40CE7">
              <w:rPr>
                <w:rFonts w:ascii="Barlow" w:hAnsi="Barlow"/>
                <w:color w:val="000000"/>
                <w:sz w:val="20"/>
                <w:szCs w:val="20"/>
                <w:lang w:eastAsia="es-MX"/>
              </w:rPr>
              <w:t>PRESUPUESTO DE EGRESOS DEVENGADO</w:t>
            </w:r>
          </w:p>
        </w:tc>
        <w:tc>
          <w:tcPr>
            <w:tcW w:w="2900" w:type="dxa"/>
            <w:tcBorders>
              <w:top w:val="nil"/>
              <w:left w:val="nil"/>
              <w:bottom w:val="nil"/>
              <w:right w:val="nil"/>
            </w:tcBorders>
            <w:shd w:val="clear" w:color="auto" w:fill="auto"/>
            <w:vAlign w:val="center"/>
            <w:hideMark/>
          </w:tcPr>
          <w:p w:rsidR="00EE0DE5" w:rsidRPr="00D40CE7" w:rsidRDefault="006E2937" w:rsidP="00EE0DE5">
            <w:pPr>
              <w:jc w:val="right"/>
              <w:rPr>
                <w:rFonts w:ascii="Barlow" w:hAnsi="Barlow"/>
                <w:color w:val="000000"/>
                <w:sz w:val="20"/>
                <w:szCs w:val="20"/>
                <w:lang w:eastAsia="es-MX"/>
              </w:rPr>
            </w:pPr>
            <w:r w:rsidRPr="00D40CE7">
              <w:rPr>
                <w:rFonts w:ascii="Barlow" w:hAnsi="Barlow"/>
                <w:color w:val="000000"/>
                <w:sz w:val="20"/>
                <w:szCs w:val="20"/>
                <w:lang w:eastAsia="es-MX"/>
              </w:rPr>
              <w:t>5,800.00</w:t>
            </w:r>
          </w:p>
        </w:tc>
      </w:tr>
      <w:tr w:rsidR="00EE0DE5" w:rsidRPr="00D40CE7" w:rsidTr="00EE0DE5">
        <w:trPr>
          <w:trHeight w:val="300"/>
          <w:jc w:val="center"/>
        </w:trPr>
        <w:tc>
          <w:tcPr>
            <w:tcW w:w="3300" w:type="dxa"/>
            <w:tcBorders>
              <w:top w:val="nil"/>
              <w:left w:val="nil"/>
              <w:bottom w:val="nil"/>
              <w:right w:val="nil"/>
            </w:tcBorders>
            <w:shd w:val="clear" w:color="auto" w:fill="auto"/>
            <w:vAlign w:val="center"/>
            <w:hideMark/>
          </w:tcPr>
          <w:p w:rsidR="00EE0DE5" w:rsidRPr="00D40CE7" w:rsidRDefault="00EE0DE5" w:rsidP="00EE0DE5">
            <w:pPr>
              <w:rPr>
                <w:rFonts w:ascii="Barlow" w:hAnsi="Barlow"/>
                <w:color w:val="000000"/>
                <w:sz w:val="20"/>
                <w:szCs w:val="20"/>
                <w:lang w:eastAsia="es-MX"/>
              </w:rPr>
            </w:pPr>
            <w:r w:rsidRPr="00D40CE7">
              <w:rPr>
                <w:rFonts w:ascii="Barlow" w:hAnsi="Barlow"/>
                <w:color w:val="000000"/>
                <w:sz w:val="20"/>
                <w:szCs w:val="20"/>
                <w:lang w:eastAsia="es-MX"/>
              </w:rPr>
              <w:t>PRESUPUESTO DE EGRESOS EJERCIDO</w:t>
            </w:r>
          </w:p>
        </w:tc>
        <w:tc>
          <w:tcPr>
            <w:tcW w:w="2900" w:type="dxa"/>
            <w:tcBorders>
              <w:top w:val="nil"/>
              <w:left w:val="nil"/>
              <w:bottom w:val="nil"/>
              <w:right w:val="nil"/>
            </w:tcBorders>
            <w:shd w:val="clear" w:color="auto" w:fill="auto"/>
            <w:vAlign w:val="center"/>
            <w:hideMark/>
          </w:tcPr>
          <w:p w:rsidR="00EE0DE5" w:rsidRPr="00D40CE7" w:rsidRDefault="006E2937" w:rsidP="00EE0DE5">
            <w:pPr>
              <w:jc w:val="right"/>
              <w:rPr>
                <w:rFonts w:ascii="Barlow" w:hAnsi="Barlow"/>
                <w:color w:val="000000"/>
                <w:sz w:val="20"/>
                <w:szCs w:val="20"/>
                <w:lang w:eastAsia="es-MX"/>
              </w:rPr>
            </w:pPr>
            <w:r w:rsidRPr="00D40CE7">
              <w:rPr>
                <w:rFonts w:ascii="Barlow" w:hAnsi="Barlow"/>
                <w:color w:val="000000"/>
                <w:sz w:val="20"/>
                <w:szCs w:val="20"/>
                <w:lang w:eastAsia="es-MX"/>
              </w:rPr>
              <w:t>5,800.00</w:t>
            </w:r>
          </w:p>
        </w:tc>
      </w:tr>
      <w:tr w:rsidR="00EE0DE5" w:rsidRPr="00D40CE7" w:rsidTr="00EE0DE5">
        <w:trPr>
          <w:trHeight w:val="300"/>
          <w:jc w:val="center"/>
        </w:trPr>
        <w:tc>
          <w:tcPr>
            <w:tcW w:w="3300" w:type="dxa"/>
            <w:tcBorders>
              <w:top w:val="nil"/>
              <w:left w:val="nil"/>
              <w:bottom w:val="nil"/>
              <w:right w:val="nil"/>
            </w:tcBorders>
            <w:shd w:val="clear" w:color="auto" w:fill="auto"/>
            <w:vAlign w:val="center"/>
            <w:hideMark/>
          </w:tcPr>
          <w:p w:rsidR="00EE0DE5" w:rsidRPr="00D40CE7" w:rsidRDefault="00EE0DE5" w:rsidP="00EE0DE5">
            <w:pPr>
              <w:rPr>
                <w:rFonts w:ascii="Barlow" w:hAnsi="Barlow"/>
                <w:color w:val="000000"/>
                <w:sz w:val="20"/>
                <w:szCs w:val="20"/>
                <w:lang w:eastAsia="es-MX"/>
              </w:rPr>
            </w:pPr>
            <w:r w:rsidRPr="00D40CE7">
              <w:rPr>
                <w:rFonts w:ascii="Barlow" w:hAnsi="Barlow"/>
                <w:color w:val="000000"/>
                <w:sz w:val="20"/>
                <w:szCs w:val="20"/>
                <w:lang w:eastAsia="es-MX"/>
              </w:rPr>
              <w:t>PRESUPUESTO DE EGRESOS PAGADO</w:t>
            </w:r>
          </w:p>
        </w:tc>
        <w:tc>
          <w:tcPr>
            <w:tcW w:w="2900" w:type="dxa"/>
            <w:tcBorders>
              <w:top w:val="nil"/>
              <w:left w:val="nil"/>
              <w:bottom w:val="nil"/>
              <w:right w:val="nil"/>
            </w:tcBorders>
            <w:shd w:val="clear" w:color="auto" w:fill="auto"/>
            <w:vAlign w:val="center"/>
            <w:hideMark/>
          </w:tcPr>
          <w:p w:rsidR="00EE0DE5" w:rsidRPr="00D40CE7" w:rsidRDefault="006E2937" w:rsidP="00EE0DE5">
            <w:pPr>
              <w:jc w:val="right"/>
              <w:rPr>
                <w:rFonts w:ascii="Barlow" w:hAnsi="Barlow"/>
                <w:color w:val="000000"/>
                <w:sz w:val="20"/>
                <w:szCs w:val="20"/>
                <w:lang w:eastAsia="es-MX"/>
              </w:rPr>
            </w:pPr>
            <w:r w:rsidRPr="00D40CE7">
              <w:rPr>
                <w:rFonts w:ascii="Barlow" w:hAnsi="Barlow"/>
                <w:color w:val="000000"/>
                <w:sz w:val="20"/>
                <w:szCs w:val="20"/>
                <w:lang w:eastAsia="es-MX"/>
              </w:rPr>
              <w:t>5,800.00</w:t>
            </w:r>
          </w:p>
        </w:tc>
      </w:tr>
    </w:tbl>
    <w:p w:rsidR="00EE0DE5" w:rsidRPr="00D40CE7" w:rsidRDefault="00EE0DE5" w:rsidP="00C4137E">
      <w:pPr>
        <w:autoSpaceDE w:val="0"/>
        <w:autoSpaceDN w:val="0"/>
        <w:adjustRightInd w:val="0"/>
        <w:spacing w:line="360" w:lineRule="auto"/>
        <w:jc w:val="both"/>
        <w:rPr>
          <w:rFonts w:ascii="Barlow" w:hAnsi="Barlow" w:cs="Arial"/>
          <w:bCs/>
          <w:sz w:val="20"/>
          <w:szCs w:val="20"/>
        </w:rPr>
      </w:pPr>
      <w:bookmarkStart w:id="12" w:name="m15"/>
      <w:bookmarkEnd w:id="12"/>
    </w:p>
    <w:p w:rsidR="00251A08" w:rsidRPr="00D40CE7" w:rsidRDefault="00251A08" w:rsidP="00C4137E">
      <w:pPr>
        <w:autoSpaceDE w:val="0"/>
        <w:autoSpaceDN w:val="0"/>
        <w:adjustRightInd w:val="0"/>
        <w:spacing w:line="360" w:lineRule="auto"/>
        <w:jc w:val="both"/>
        <w:rPr>
          <w:rFonts w:ascii="Barlow" w:hAnsi="Barlow" w:cs="Arial"/>
          <w:bCs/>
          <w:sz w:val="20"/>
          <w:szCs w:val="20"/>
        </w:rPr>
      </w:pPr>
      <w:r w:rsidRPr="00D40CE7">
        <w:rPr>
          <w:rFonts w:ascii="Barlow" w:hAnsi="Barlow" w:cs="Arial"/>
          <w:bCs/>
          <w:sz w:val="20"/>
          <w:szCs w:val="20"/>
        </w:rPr>
        <w:t>*Las modificaciones al presupuesto corresponden a adecuaciones presupuestales realizadas.</w:t>
      </w:r>
    </w:p>
    <w:p w:rsidR="00D40CE7" w:rsidRDefault="00D40CE7" w:rsidP="00C4137E">
      <w:pPr>
        <w:autoSpaceDE w:val="0"/>
        <w:autoSpaceDN w:val="0"/>
        <w:adjustRightInd w:val="0"/>
        <w:spacing w:line="360" w:lineRule="auto"/>
        <w:jc w:val="both"/>
        <w:rPr>
          <w:rFonts w:ascii="Barlow" w:hAnsi="Barlow" w:cs="Arial"/>
          <w:b/>
          <w:sz w:val="20"/>
          <w:szCs w:val="20"/>
        </w:rPr>
      </w:pPr>
    </w:p>
    <w:p w:rsidR="00D40CE7" w:rsidRDefault="00D40CE7" w:rsidP="00C4137E">
      <w:pPr>
        <w:autoSpaceDE w:val="0"/>
        <w:autoSpaceDN w:val="0"/>
        <w:adjustRightInd w:val="0"/>
        <w:spacing w:line="360" w:lineRule="auto"/>
        <w:jc w:val="both"/>
        <w:rPr>
          <w:rFonts w:ascii="Barlow" w:hAnsi="Barlow" w:cs="Arial"/>
          <w:b/>
          <w:sz w:val="20"/>
          <w:szCs w:val="20"/>
        </w:rPr>
      </w:pPr>
    </w:p>
    <w:p w:rsidR="00D40CE7" w:rsidRDefault="00D40CE7" w:rsidP="00C4137E">
      <w:pPr>
        <w:autoSpaceDE w:val="0"/>
        <w:autoSpaceDN w:val="0"/>
        <w:adjustRightInd w:val="0"/>
        <w:spacing w:line="360" w:lineRule="auto"/>
        <w:jc w:val="both"/>
        <w:rPr>
          <w:rFonts w:ascii="Barlow" w:hAnsi="Barlow" w:cs="Arial"/>
          <w:b/>
          <w:sz w:val="20"/>
          <w:szCs w:val="20"/>
        </w:rPr>
      </w:pPr>
    </w:p>
    <w:p w:rsidR="00D40CE7" w:rsidRDefault="00D40CE7" w:rsidP="00C4137E">
      <w:pPr>
        <w:autoSpaceDE w:val="0"/>
        <w:autoSpaceDN w:val="0"/>
        <w:adjustRightInd w:val="0"/>
        <w:spacing w:line="360" w:lineRule="auto"/>
        <w:jc w:val="both"/>
        <w:rPr>
          <w:rFonts w:ascii="Barlow" w:hAnsi="Barlow" w:cs="Arial"/>
          <w:b/>
          <w:sz w:val="20"/>
          <w:szCs w:val="20"/>
        </w:rPr>
      </w:pPr>
    </w:p>
    <w:p w:rsidR="00D40CE7" w:rsidRDefault="00D40CE7" w:rsidP="00C4137E">
      <w:pPr>
        <w:autoSpaceDE w:val="0"/>
        <w:autoSpaceDN w:val="0"/>
        <w:adjustRightInd w:val="0"/>
        <w:spacing w:line="360" w:lineRule="auto"/>
        <w:jc w:val="both"/>
        <w:rPr>
          <w:rFonts w:ascii="Barlow" w:hAnsi="Barlow" w:cs="Arial"/>
          <w:b/>
          <w:sz w:val="20"/>
          <w:szCs w:val="20"/>
        </w:rPr>
      </w:pPr>
    </w:p>
    <w:p w:rsidR="00D3760C" w:rsidRPr="00D40CE7" w:rsidRDefault="00D40CE7"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lastRenderedPageBreak/>
        <w:t>NOTAS DE</w:t>
      </w:r>
      <w:r w:rsidR="00D3760C" w:rsidRPr="00D40CE7">
        <w:rPr>
          <w:rFonts w:ascii="Barlow" w:hAnsi="Barlow" w:cs="Arial"/>
          <w:b/>
          <w:sz w:val="20"/>
          <w:szCs w:val="20"/>
        </w:rPr>
        <w:t xml:space="preserve"> GESTIÓN ADMINISTRATIVA</w:t>
      </w:r>
    </w:p>
    <w:p w:rsidR="00052C47" w:rsidRPr="00D40CE7" w:rsidRDefault="00052C47" w:rsidP="00C4137E">
      <w:pPr>
        <w:autoSpaceDE w:val="0"/>
        <w:autoSpaceDN w:val="0"/>
        <w:adjustRightInd w:val="0"/>
        <w:spacing w:line="360" w:lineRule="auto"/>
        <w:jc w:val="both"/>
        <w:rPr>
          <w:rFonts w:ascii="Barlow" w:hAnsi="Barlow" w:cs="Arial"/>
          <w:b/>
          <w:sz w:val="20"/>
          <w:szCs w:val="20"/>
        </w:rPr>
      </w:pPr>
    </w:p>
    <w:p w:rsidR="00D3760C" w:rsidRPr="00D40CE7" w:rsidRDefault="00D3760C" w:rsidP="00C4137E">
      <w:pPr>
        <w:autoSpaceDE w:val="0"/>
        <w:autoSpaceDN w:val="0"/>
        <w:adjustRightInd w:val="0"/>
        <w:spacing w:line="360" w:lineRule="auto"/>
        <w:ind w:left="709"/>
        <w:jc w:val="both"/>
        <w:rPr>
          <w:rFonts w:ascii="Barlow" w:hAnsi="Barlow" w:cs="Arial"/>
          <w:b/>
          <w:sz w:val="20"/>
          <w:szCs w:val="20"/>
        </w:rPr>
      </w:pPr>
      <w:r w:rsidRPr="00D40CE7">
        <w:rPr>
          <w:rFonts w:ascii="Barlow" w:hAnsi="Barlow" w:cs="Arial"/>
          <w:b/>
          <w:sz w:val="20"/>
          <w:szCs w:val="20"/>
        </w:rPr>
        <w:t>1.- Introducción</w:t>
      </w:r>
    </w:p>
    <w:p w:rsidR="00052C47" w:rsidRPr="00D40CE7" w:rsidRDefault="00052C47" w:rsidP="00C4137E">
      <w:pPr>
        <w:autoSpaceDE w:val="0"/>
        <w:autoSpaceDN w:val="0"/>
        <w:adjustRightInd w:val="0"/>
        <w:spacing w:line="360" w:lineRule="auto"/>
        <w:ind w:left="709"/>
        <w:jc w:val="both"/>
        <w:rPr>
          <w:rFonts w:ascii="Barlow" w:hAnsi="Barlow" w:cs="Arial"/>
          <w:b/>
          <w:sz w:val="20"/>
          <w:szCs w:val="20"/>
        </w:rPr>
      </w:pPr>
    </w:p>
    <w:p w:rsidR="00D3760C" w:rsidRPr="00D40CE7" w:rsidRDefault="00D3760C" w:rsidP="00C4137E">
      <w:pPr>
        <w:autoSpaceDE w:val="0"/>
        <w:autoSpaceDN w:val="0"/>
        <w:adjustRightInd w:val="0"/>
        <w:spacing w:line="360" w:lineRule="auto"/>
        <w:ind w:firstLine="360"/>
        <w:jc w:val="both"/>
        <w:rPr>
          <w:rFonts w:ascii="Barlow" w:hAnsi="Barlow" w:cs="Arial"/>
          <w:sz w:val="20"/>
          <w:szCs w:val="20"/>
        </w:rPr>
      </w:pPr>
      <w:r w:rsidRPr="00D40CE7">
        <w:rPr>
          <w:rFonts w:ascii="Barlow" w:hAnsi="Barlow" w:cs="Arial"/>
          <w:sz w:val="20"/>
          <w:szCs w:val="20"/>
        </w:rPr>
        <w:t xml:space="preserve"> Los Estados Financieros del </w:t>
      </w:r>
      <w:r w:rsidR="007B50DC" w:rsidRPr="00D40CE7">
        <w:rPr>
          <w:rFonts w:ascii="Barlow" w:hAnsi="Barlow" w:cs="Arial"/>
          <w:sz w:val="20"/>
          <w:szCs w:val="20"/>
        </w:rPr>
        <w:t>Fideicomiso</w:t>
      </w:r>
      <w:r w:rsidRPr="00D40CE7">
        <w:rPr>
          <w:rFonts w:ascii="Barlow" w:hAnsi="Barlow" w:cs="Arial"/>
          <w:sz w:val="20"/>
          <w:szCs w:val="20"/>
        </w:rPr>
        <w:t xml:space="preserve">, proveen de información financiera a </w:t>
      </w:r>
      <w:r w:rsidR="00AE5989" w:rsidRPr="00D40CE7">
        <w:rPr>
          <w:rFonts w:ascii="Barlow" w:hAnsi="Barlow" w:cs="Arial"/>
          <w:sz w:val="20"/>
          <w:szCs w:val="20"/>
        </w:rPr>
        <w:t>los</w:t>
      </w:r>
      <w:r w:rsidRPr="00D40CE7">
        <w:rPr>
          <w:rFonts w:ascii="Barlow" w:hAnsi="Barlow" w:cs="Arial"/>
          <w:sz w:val="20"/>
          <w:szCs w:val="20"/>
        </w:rPr>
        <w:t xml:space="preserve"> principales usuarios</w:t>
      </w:r>
      <w:r w:rsidR="00AE5989" w:rsidRPr="00D40CE7">
        <w:rPr>
          <w:rFonts w:ascii="Barlow" w:hAnsi="Barlow" w:cs="Arial"/>
          <w:sz w:val="20"/>
          <w:szCs w:val="20"/>
        </w:rPr>
        <w:t xml:space="preserve"> de la </w:t>
      </w:r>
      <w:r w:rsidR="00D40CE7" w:rsidRPr="00D40CE7">
        <w:rPr>
          <w:rFonts w:ascii="Barlow" w:hAnsi="Barlow" w:cs="Arial"/>
          <w:sz w:val="20"/>
          <w:szCs w:val="20"/>
        </w:rPr>
        <w:t>misma, al</w:t>
      </w:r>
      <w:r w:rsidRPr="00D40CE7">
        <w:rPr>
          <w:rFonts w:ascii="Barlow" w:hAnsi="Barlow" w:cs="Arial"/>
          <w:sz w:val="20"/>
          <w:szCs w:val="20"/>
        </w:rPr>
        <w:t xml:space="preserve"> H.</w:t>
      </w:r>
      <w:r w:rsidR="00B17F34" w:rsidRPr="00D40CE7">
        <w:rPr>
          <w:rFonts w:ascii="Barlow" w:hAnsi="Barlow" w:cs="Arial"/>
          <w:sz w:val="20"/>
          <w:szCs w:val="20"/>
        </w:rPr>
        <w:t xml:space="preserve"> Congreso del Estado de Yucatán y a los ciudadanos</w:t>
      </w:r>
      <w:r w:rsidRPr="00D40CE7">
        <w:rPr>
          <w:rFonts w:ascii="Barlow" w:hAnsi="Barlow" w:cs="Arial"/>
          <w:sz w:val="20"/>
          <w:szCs w:val="20"/>
        </w:rPr>
        <w:t>.</w:t>
      </w:r>
    </w:p>
    <w:p w:rsidR="00AA7F21" w:rsidRPr="00D40CE7"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D40CE7" w:rsidRDefault="00D3760C" w:rsidP="00C4137E">
      <w:pPr>
        <w:autoSpaceDE w:val="0"/>
        <w:autoSpaceDN w:val="0"/>
        <w:adjustRightInd w:val="0"/>
        <w:spacing w:line="360" w:lineRule="auto"/>
        <w:ind w:firstLine="360"/>
        <w:jc w:val="both"/>
        <w:rPr>
          <w:rFonts w:ascii="Barlow" w:hAnsi="Barlow" w:cs="Arial"/>
          <w:sz w:val="20"/>
          <w:szCs w:val="20"/>
        </w:rPr>
      </w:pPr>
      <w:r w:rsidRPr="00D40CE7">
        <w:rPr>
          <w:rFonts w:ascii="Barlow" w:hAnsi="Barlow" w:cs="Arial"/>
          <w:sz w:val="20"/>
          <w:szCs w:val="20"/>
        </w:rPr>
        <w:t xml:space="preserve">El objetivo del presente documento es la revelación del contexto y de los aspectos económicos-financieros más relevantes que influyeron en las decisiones del período y que </w:t>
      </w:r>
      <w:r w:rsidR="00962E2B" w:rsidRPr="00D40CE7">
        <w:rPr>
          <w:rFonts w:ascii="Barlow" w:hAnsi="Barlow" w:cs="Arial"/>
          <w:sz w:val="20"/>
          <w:szCs w:val="20"/>
        </w:rPr>
        <w:t xml:space="preserve">fueron </w:t>
      </w:r>
      <w:r w:rsidRPr="00D40CE7">
        <w:rPr>
          <w:rFonts w:ascii="Barlow" w:hAnsi="Barlow" w:cs="Arial"/>
          <w:sz w:val="20"/>
          <w:szCs w:val="20"/>
        </w:rPr>
        <w:t>considerados en la elaboración d</w:t>
      </w:r>
      <w:r w:rsidR="004B1EE2" w:rsidRPr="00D40CE7">
        <w:rPr>
          <w:rFonts w:ascii="Barlow" w:hAnsi="Barlow" w:cs="Arial"/>
          <w:sz w:val="20"/>
          <w:szCs w:val="20"/>
        </w:rPr>
        <w:t>e los estados financieros para la</w:t>
      </w:r>
      <w:r w:rsidRPr="00D40CE7">
        <w:rPr>
          <w:rFonts w:ascii="Barlow" w:hAnsi="Barlow" w:cs="Arial"/>
          <w:sz w:val="20"/>
          <w:szCs w:val="20"/>
        </w:rPr>
        <w:t xml:space="preserve"> comprensión de los mismos y </w:t>
      </w:r>
      <w:r w:rsidR="008A304E" w:rsidRPr="00D40CE7">
        <w:rPr>
          <w:rFonts w:ascii="Barlow" w:hAnsi="Barlow" w:cs="Arial"/>
          <w:sz w:val="20"/>
          <w:szCs w:val="20"/>
        </w:rPr>
        <w:t>sus</w:t>
      </w:r>
      <w:r w:rsidRPr="00D40CE7">
        <w:rPr>
          <w:rFonts w:ascii="Barlow" w:hAnsi="Barlow" w:cs="Arial"/>
          <w:sz w:val="20"/>
          <w:szCs w:val="20"/>
        </w:rPr>
        <w:t xml:space="preserve"> particulares.</w:t>
      </w:r>
    </w:p>
    <w:p w:rsidR="00AA7F21" w:rsidRPr="00D40CE7"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D40CE7" w:rsidRDefault="00D3760C" w:rsidP="00C4137E">
      <w:pPr>
        <w:autoSpaceDE w:val="0"/>
        <w:autoSpaceDN w:val="0"/>
        <w:adjustRightInd w:val="0"/>
        <w:spacing w:line="360" w:lineRule="auto"/>
        <w:ind w:firstLine="360"/>
        <w:jc w:val="both"/>
        <w:rPr>
          <w:rFonts w:ascii="Barlow" w:hAnsi="Barlow" w:cs="Arial"/>
          <w:sz w:val="20"/>
          <w:szCs w:val="20"/>
        </w:rPr>
      </w:pPr>
      <w:r w:rsidRPr="00D40CE7">
        <w:rPr>
          <w:rFonts w:ascii="Barlow" w:hAnsi="Barlow" w:cs="Arial"/>
          <w:sz w:val="20"/>
          <w:szCs w:val="20"/>
        </w:rPr>
        <w:t>De esta manera se informa y explica la respuesta del gobierno a las condiciones relacionadas con la información financiera de cada período de gestión; además, de exponer aquellas políticas que podrían afectar la toma de decisiones en períodos posteriores.</w:t>
      </w:r>
    </w:p>
    <w:p w:rsidR="00AA7F21" w:rsidRPr="00D40CE7" w:rsidRDefault="00AA7F21" w:rsidP="00C4137E">
      <w:pPr>
        <w:autoSpaceDE w:val="0"/>
        <w:autoSpaceDN w:val="0"/>
        <w:adjustRightInd w:val="0"/>
        <w:spacing w:line="360" w:lineRule="auto"/>
        <w:ind w:firstLine="360"/>
        <w:jc w:val="both"/>
        <w:rPr>
          <w:rFonts w:ascii="Barlow" w:hAnsi="Barlow" w:cs="Arial"/>
          <w:sz w:val="20"/>
          <w:szCs w:val="20"/>
        </w:rPr>
      </w:pPr>
    </w:p>
    <w:p w:rsidR="00D3760C" w:rsidRPr="00D40CE7" w:rsidRDefault="00D3760C" w:rsidP="00C4137E">
      <w:pPr>
        <w:autoSpaceDE w:val="0"/>
        <w:autoSpaceDN w:val="0"/>
        <w:adjustRightInd w:val="0"/>
        <w:spacing w:line="360" w:lineRule="auto"/>
        <w:jc w:val="both"/>
        <w:rPr>
          <w:rFonts w:ascii="Barlow" w:hAnsi="Barlow" w:cs="Arial"/>
          <w:b/>
          <w:bCs/>
          <w:sz w:val="20"/>
          <w:szCs w:val="20"/>
        </w:rPr>
      </w:pPr>
      <w:r w:rsidRPr="00D40CE7">
        <w:rPr>
          <w:rFonts w:ascii="Barlow" w:hAnsi="Barlow" w:cs="Arial"/>
          <w:sz w:val="20"/>
          <w:szCs w:val="20"/>
        </w:rPr>
        <w:t xml:space="preserve">     Los Estados Financieros del </w:t>
      </w:r>
      <w:r w:rsidR="007B50DC" w:rsidRPr="00D40CE7">
        <w:rPr>
          <w:rFonts w:ascii="Barlow" w:hAnsi="Barlow" w:cs="Arial"/>
          <w:sz w:val="20"/>
          <w:szCs w:val="20"/>
        </w:rPr>
        <w:t>Fideicomiso</w:t>
      </w:r>
      <w:r w:rsidRPr="00D40CE7">
        <w:rPr>
          <w:rFonts w:ascii="Barlow" w:hAnsi="Barlow" w:cs="Arial"/>
          <w:sz w:val="20"/>
          <w:szCs w:val="20"/>
        </w:rPr>
        <w:t xml:space="preserve"> son </w:t>
      </w:r>
      <w:r w:rsidR="005D6501" w:rsidRPr="00D40CE7">
        <w:rPr>
          <w:rFonts w:ascii="Barlow" w:hAnsi="Barlow" w:cs="Arial"/>
          <w:sz w:val="20"/>
          <w:szCs w:val="20"/>
        </w:rPr>
        <w:t>generados</w:t>
      </w:r>
      <w:r w:rsidRPr="00D40CE7">
        <w:rPr>
          <w:rFonts w:ascii="Barlow" w:hAnsi="Barlow" w:cs="Arial"/>
          <w:sz w:val="20"/>
          <w:szCs w:val="20"/>
        </w:rPr>
        <w:t xml:space="preserve"> por la Secretaría de Administración y Finanzas a través de la Dirección </w:t>
      </w:r>
      <w:r w:rsidR="00A70892" w:rsidRPr="00D40CE7">
        <w:rPr>
          <w:rFonts w:ascii="Barlow" w:hAnsi="Barlow" w:cs="Arial"/>
          <w:sz w:val="20"/>
          <w:szCs w:val="20"/>
        </w:rPr>
        <w:t xml:space="preserve">General </w:t>
      </w:r>
      <w:r w:rsidRPr="00D40CE7">
        <w:rPr>
          <w:rFonts w:ascii="Barlow" w:hAnsi="Barlow" w:cs="Arial"/>
          <w:sz w:val="20"/>
          <w:szCs w:val="20"/>
        </w:rPr>
        <w:t>de Contabilidad</w:t>
      </w:r>
      <w:r w:rsidR="008A304E" w:rsidRPr="00D40CE7">
        <w:rPr>
          <w:rFonts w:ascii="Barlow" w:hAnsi="Barlow" w:cs="Arial"/>
          <w:sz w:val="20"/>
          <w:szCs w:val="20"/>
        </w:rPr>
        <w:t xml:space="preserve"> </w:t>
      </w:r>
      <w:r w:rsidR="006E1089" w:rsidRPr="00D40CE7">
        <w:rPr>
          <w:rFonts w:ascii="Barlow" w:hAnsi="Barlow" w:cs="Arial"/>
          <w:sz w:val="20"/>
          <w:szCs w:val="20"/>
        </w:rPr>
        <w:t>Gubernamental</w:t>
      </w:r>
      <w:r w:rsidRPr="00D40CE7">
        <w:rPr>
          <w:rFonts w:ascii="Barlow" w:hAnsi="Barlow" w:cs="Arial"/>
          <w:sz w:val="20"/>
          <w:szCs w:val="20"/>
        </w:rPr>
        <w:t xml:space="preserve">, </w:t>
      </w:r>
      <w:r w:rsidR="005D6501" w:rsidRPr="00D40CE7">
        <w:rPr>
          <w:rFonts w:ascii="Barlow" w:hAnsi="Barlow" w:cs="Arial"/>
          <w:sz w:val="20"/>
          <w:szCs w:val="20"/>
        </w:rPr>
        <w:t xml:space="preserve">con la </w:t>
      </w:r>
      <w:r w:rsidR="00A70892" w:rsidRPr="00D40CE7">
        <w:rPr>
          <w:rFonts w:ascii="Barlow" w:hAnsi="Barlow" w:cs="Arial"/>
          <w:sz w:val="20"/>
          <w:szCs w:val="20"/>
        </w:rPr>
        <w:t xml:space="preserve">información que registran las </w:t>
      </w:r>
      <w:r w:rsidR="005D6501" w:rsidRPr="00D40CE7">
        <w:rPr>
          <w:rFonts w:ascii="Barlow" w:hAnsi="Barlow" w:cs="Arial"/>
          <w:sz w:val="20"/>
          <w:szCs w:val="20"/>
        </w:rPr>
        <w:t xml:space="preserve">distintas </w:t>
      </w:r>
      <w:r w:rsidR="00A70892" w:rsidRPr="00D40CE7">
        <w:rPr>
          <w:rFonts w:ascii="Barlow" w:hAnsi="Barlow" w:cs="Arial"/>
          <w:sz w:val="20"/>
          <w:szCs w:val="20"/>
        </w:rPr>
        <w:t xml:space="preserve">unidades administrativas del </w:t>
      </w:r>
      <w:r w:rsidR="007B50DC" w:rsidRPr="00D40CE7">
        <w:rPr>
          <w:rFonts w:ascii="Barlow" w:hAnsi="Barlow" w:cs="Arial"/>
          <w:sz w:val="20"/>
          <w:szCs w:val="20"/>
        </w:rPr>
        <w:t>Fideicomiso</w:t>
      </w:r>
      <w:r w:rsidR="00A70892" w:rsidRPr="00D40CE7">
        <w:rPr>
          <w:rFonts w:ascii="Barlow" w:hAnsi="Barlow" w:cs="Arial"/>
          <w:sz w:val="20"/>
          <w:szCs w:val="20"/>
        </w:rPr>
        <w:t xml:space="preserve"> en </w:t>
      </w:r>
      <w:r w:rsidR="005D6501" w:rsidRPr="00D40CE7">
        <w:rPr>
          <w:rFonts w:ascii="Barlow" w:hAnsi="Barlow" w:cs="Arial"/>
          <w:sz w:val="20"/>
          <w:szCs w:val="20"/>
        </w:rPr>
        <w:t xml:space="preserve">el </w:t>
      </w:r>
      <w:r w:rsidRPr="00D40CE7">
        <w:rPr>
          <w:rFonts w:ascii="Barlow" w:hAnsi="Barlow" w:cs="Arial"/>
          <w:sz w:val="20"/>
          <w:szCs w:val="20"/>
        </w:rPr>
        <w:t xml:space="preserve">Sistema Integral del Gobierno del Estado de Yucatán </w:t>
      </w:r>
      <w:r w:rsidR="005D6501" w:rsidRPr="00D40CE7">
        <w:rPr>
          <w:rFonts w:ascii="Barlow" w:hAnsi="Barlow" w:cs="Arial"/>
          <w:sz w:val="20"/>
          <w:szCs w:val="20"/>
        </w:rPr>
        <w:t xml:space="preserve">(SIGEY) </w:t>
      </w:r>
      <w:r w:rsidRPr="00D40CE7">
        <w:rPr>
          <w:rFonts w:ascii="Barlow" w:hAnsi="Barlow" w:cs="Arial"/>
          <w:sz w:val="20"/>
          <w:szCs w:val="20"/>
        </w:rPr>
        <w:t xml:space="preserve">y formulados con sustento </w:t>
      </w:r>
      <w:r w:rsidR="005D6501" w:rsidRPr="00D40CE7">
        <w:rPr>
          <w:rFonts w:ascii="Barlow" w:hAnsi="Barlow" w:cs="Arial"/>
          <w:sz w:val="20"/>
          <w:szCs w:val="20"/>
        </w:rPr>
        <w:t xml:space="preserve">en </w:t>
      </w:r>
      <w:r w:rsidRPr="00D40CE7">
        <w:rPr>
          <w:rFonts w:ascii="Barlow" w:hAnsi="Barlow" w:cs="Arial"/>
          <w:sz w:val="20"/>
          <w:szCs w:val="20"/>
        </w:rPr>
        <w:t>las disposiciones legales, normas contables y presupuestales del Estado, con avances en el apego a los criterios de armonización que dicta la Ley  General de Contabilidad Gubernamental y las Normas y Metodologías para la Emisión de la Información Financiera y con la Estructura de los  Estados Financieros básicos emitido por el Consejo Nacional de Armonización Contable  (CONAC), en ellos se registran las operaciones que realizan las Dependencias que forman la Administración Pública Centralizada, que se integra por el Despacho del Gobernador y las Dependencias contempladas en el artículo 22 del Código de la Administración Pública de Yucatán, siendo esta una fuente de información confiable, que facilita las tareas de evaluación y fiscalización del origen de los ingresos y del destino del gasto</w:t>
      </w:r>
      <w:r w:rsidR="003A2D4F" w:rsidRPr="00D40CE7">
        <w:rPr>
          <w:rFonts w:ascii="Barlow" w:hAnsi="Barlow" w:cs="Arial"/>
          <w:sz w:val="20"/>
          <w:szCs w:val="20"/>
        </w:rPr>
        <w:t>.</w:t>
      </w:r>
      <w:r w:rsidRPr="00D40CE7">
        <w:rPr>
          <w:rFonts w:ascii="Barlow" w:hAnsi="Barlow" w:cs="Arial"/>
          <w:b/>
          <w:bCs/>
          <w:sz w:val="20"/>
          <w:szCs w:val="20"/>
        </w:rPr>
        <w:tab/>
      </w:r>
    </w:p>
    <w:p w:rsidR="002B4C8F" w:rsidRPr="00D40CE7" w:rsidRDefault="002B4C8F" w:rsidP="00C4137E">
      <w:pPr>
        <w:autoSpaceDE w:val="0"/>
        <w:autoSpaceDN w:val="0"/>
        <w:adjustRightInd w:val="0"/>
        <w:spacing w:line="360" w:lineRule="auto"/>
        <w:jc w:val="both"/>
        <w:rPr>
          <w:rFonts w:ascii="Barlow" w:hAnsi="Barlow" w:cs="Arial"/>
          <w:b/>
          <w:bCs/>
          <w:sz w:val="20"/>
          <w:szCs w:val="20"/>
        </w:rPr>
      </w:pPr>
    </w:p>
    <w:p w:rsidR="00D3760C" w:rsidRPr="00D40CE7" w:rsidRDefault="00D3760C" w:rsidP="00C4137E">
      <w:pPr>
        <w:autoSpaceDE w:val="0"/>
        <w:autoSpaceDN w:val="0"/>
        <w:adjustRightInd w:val="0"/>
        <w:spacing w:line="360" w:lineRule="auto"/>
        <w:ind w:left="709"/>
        <w:jc w:val="both"/>
        <w:rPr>
          <w:rFonts w:ascii="Barlow" w:hAnsi="Barlow" w:cs="Arial"/>
          <w:b/>
          <w:sz w:val="20"/>
          <w:szCs w:val="20"/>
        </w:rPr>
      </w:pPr>
      <w:r w:rsidRPr="00D40CE7">
        <w:rPr>
          <w:rFonts w:ascii="Barlow" w:hAnsi="Barlow" w:cs="Arial"/>
          <w:b/>
          <w:sz w:val="20"/>
          <w:szCs w:val="20"/>
        </w:rPr>
        <w:t>2.-  Panorama Económico y Financiero</w:t>
      </w:r>
    </w:p>
    <w:p w:rsidR="00C806E7" w:rsidRPr="00D40CE7" w:rsidRDefault="00C806E7" w:rsidP="00C806E7">
      <w:pPr>
        <w:rPr>
          <w:rFonts w:ascii="Barlow" w:hAnsi="Barlow"/>
          <w:sz w:val="20"/>
          <w:szCs w:val="20"/>
        </w:rPr>
      </w:pPr>
    </w:p>
    <w:p w:rsidR="00C806E7" w:rsidRPr="00D40CE7" w:rsidRDefault="00C806E7" w:rsidP="00C806E7">
      <w:pPr>
        <w:spacing w:line="360" w:lineRule="auto"/>
        <w:jc w:val="both"/>
        <w:rPr>
          <w:rFonts w:ascii="Barlow" w:hAnsi="Barlow" w:cs="Arial"/>
          <w:sz w:val="20"/>
          <w:szCs w:val="20"/>
        </w:rPr>
      </w:pPr>
      <w:r w:rsidRPr="00D40CE7">
        <w:rPr>
          <w:rFonts w:ascii="Barlow" w:hAnsi="Barlow" w:cs="Arial"/>
          <w:sz w:val="20"/>
          <w:szCs w:val="20"/>
        </w:rPr>
        <w:t xml:space="preserve">Entre las fortalezas que tiene el Estado se encuentra en su ubicación geográfica; así como percibir a la Capital </w:t>
      </w:r>
      <w:r w:rsidR="00D40CE7" w:rsidRPr="00D40CE7">
        <w:rPr>
          <w:rFonts w:ascii="Barlow" w:hAnsi="Barlow" w:cs="Arial"/>
          <w:sz w:val="20"/>
          <w:szCs w:val="20"/>
        </w:rPr>
        <w:t>del Estado</w:t>
      </w:r>
      <w:r w:rsidRPr="00D40CE7">
        <w:rPr>
          <w:rFonts w:ascii="Barlow" w:hAnsi="Barlow" w:cs="Arial"/>
          <w:sz w:val="20"/>
          <w:szCs w:val="20"/>
        </w:rPr>
        <w:t xml:space="preserve"> con menor nivel de inseguridad, según los estudios realizados con la Encuesta Nacional de Seguridad Pública Urbana por el </w:t>
      </w:r>
      <w:r w:rsidR="00D40CE7" w:rsidRPr="00D40CE7">
        <w:rPr>
          <w:rFonts w:ascii="Barlow" w:hAnsi="Barlow" w:cs="Arial"/>
          <w:sz w:val="20"/>
          <w:szCs w:val="20"/>
        </w:rPr>
        <w:t>INEGI, lo</w:t>
      </w:r>
      <w:r w:rsidRPr="00D40CE7">
        <w:rPr>
          <w:rFonts w:ascii="Barlow" w:hAnsi="Barlow" w:cs="Arial"/>
          <w:sz w:val="20"/>
          <w:szCs w:val="20"/>
        </w:rPr>
        <w:t xml:space="preserve"> que representa un punto clave para el comercio nacional e internacional.</w:t>
      </w:r>
    </w:p>
    <w:p w:rsidR="00304057" w:rsidRPr="00D40CE7" w:rsidRDefault="00304057" w:rsidP="00C806E7">
      <w:pPr>
        <w:spacing w:line="360" w:lineRule="auto"/>
        <w:jc w:val="both"/>
        <w:rPr>
          <w:rFonts w:ascii="Barlow" w:hAnsi="Barlow" w:cs="Arial"/>
          <w:b/>
          <w:sz w:val="20"/>
          <w:szCs w:val="20"/>
        </w:rPr>
      </w:pPr>
    </w:p>
    <w:p w:rsidR="00C806E7" w:rsidRPr="00D40CE7" w:rsidRDefault="00C806E7" w:rsidP="00C806E7">
      <w:pPr>
        <w:spacing w:line="360" w:lineRule="auto"/>
        <w:jc w:val="both"/>
        <w:rPr>
          <w:rFonts w:ascii="Barlow" w:hAnsi="Barlow" w:cs="Arial"/>
          <w:b/>
          <w:sz w:val="20"/>
          <w:szCs w:val="20"/>
        </w:rPr>
      </w:pPr>
      <w:r w:rsidRPr="00D40CE7">
        <w:rPr>
          <w:rFonts w:ascii="Barlow" w:hAnsi="Barlow" w:cs="Arial"/>
          <w:b/>
          <w:sz w:val="20"/>
          <w:szCs w:val="20"/>
        </w:rPr>
        <w:t>2.1 Panorama económico nacional</w:t>
      </w:r>
    </w:p>
    <w:p w:rsidR="00BA0496" w:rsidRPr="00D40CE7" w:rsidRDefault="00BA0496" w:rsidP="00BA0496">
      <w:pPr>
        <w:spacing w:before="100" w:beforeAutospacing="1" w:after="100" w:afterAutospacing="1"/>
        <w:rPr>
          <w:rFonts w:ascii="Barlow" w:hAnsi="Barlow" w:cs="Arial"/>
          <w:sz w:val="20"/>
          <w:szCs w:val="20"/>
        </w:rPr>
      </w:pPr>
      <w:r w:rsidRPr="00D40CE7">
        <w:rPr>
          <w:rFonts w:ascii="Barlow" w:hAnsi="Barlow" w:cs="Arial"/>
          <w:sz w:val="20"/>
          <w:szCs w:val="20"/>
        </w:rPr>
        <w:t>Conforme avanza el año, junto con el proceso de vacunación y se van normalizando las actividades económicas, los analistas ven un mejor 202</w:t>
      </w:r>
      <w:r w:rsidR="00304057" w:rsidRPr="00D40CE7">
        <w:rPr>
          <w:rFonts w:ascii="Barlow" w:hAnsi="Barlow" w:cs="Arial"/>
          <w:sz w:val="20"/>
          <w:szCs w:val="20"/>
        </w:rPr>
        <w:t>2</w:t>
      </w:r>
      <w:r w:rsidRPr="00D40CE7">
        <w:rPr>
          <w:rFonts w:ascii="Barlow" w:hAnsi="Barlow" w:cs="Arial"/>
          <w:sz w:val="20"/>
          <w:szCs w:val="20"/>
        </w:rPr>
        <w:t xml:space="preserve"> para la recuperación del Producto Interno Bruto (PIB).</w:t>
      </w:r>
    </w:p>
    <w:p w:rsidR="00BA0496" w:rsidRPr="00D40CE7" w:rsidRDefault="00877AAC" w:rsidP="00BA0496">
      <w:pPr>
        <w:spacing w:before="100" w:beforeAutospacing="1" w:after="100" w:afterAutospacing="1"/>
        <w:rPr>
          <w:rFonts w:ascii="Barlow" w:hAnsi="Barlow" w:cs="Arial"/>
          <w:sz w:val="20"/>
          <w:szCs w:val="20"/>
        </w:rPr>
      </w:pPr>
      <w:r w:rsidRPr="00D40CE7">
        <w:rPr>
          <w:rFonts w:ascii="Barlow" w:hAnsi="Barlow" w:cs="Arial"/>
          <w:sz w:val="20"/>
          <w:szCs w:val="20"/>
        </w:rPr>
        <w:t>Para este año</w:t>
      </w:r>
      <w:r w:rsidR="00BA0496" w:rsidRPr="00D40CE7">
        <w:rPr>
          <w:rFonts w:ascii="Barlow" w:hAnsi="Barlow" w:cs="Arial"/>
          <w:sz w:val="20"/>
          <w:szCs w:val="20"/>
        </w:rPr>
        <w:t xml:space="preserve"> se espera que la economía de México crezca 4.5%, de acuerdo con la última encuesta de </w:t>
      </w:r>
      <w:proofErr w:type="spellStart"/>
      <w:r w:rsidR="00BA0496" w:rsidRPr="00D40CE7">
        <w:rPr>
          <w:rFonts w:ascii="Barlow" w:hAnsi="Barlow" w:cs="Arial"/>
          <w:sz w:val="20"/>
          <w:szCs w:val="20"/>
        </w:rPr>
        <w:t>Citibanamex</w:t>
      </w:r>
      <w:proofErr w:type="spellEnd"/>
      <w:r w:rsidR="00BA0496" w:rsidRPr="00D40CE7">
        <w:rPr>
          <w:rFonts w:ascii="Barlow" w:hAnsi="Barlow" w:cs="Arial"/>
          <w:sz w:val="20"/>
          <w:szCs w:val="20"/>
        </w:rPr>
        <w:t>. La cifra es mayor al 4% de la encuesta previa. La incertidumbre alrededor de esta estimación persiste, con pronósticos que se mueven en un rango desde 3.0% hasta 6.0%, señala el documento.</w:t>
      </w:r>
    </w:p>
    <w:p w:rsidR="00BA0496" w:rsidRPr="00D40CE7" w:rsidRDefault="00BA0496" w:rsidP="00BA0496">
      <w:pPr>
        <w:spacing w:before="100" w:beforeAutospacing="1" w:after="100" w:afterAutospacing="1"/>
        <w:rPr>
          <w:rFonts w:ascii="Barlow" w:hAnsi="Barlow" w:cs="Arial"/>
          <w:sz w:val="20"/>
          <w:szCs w:val="20"/>
        </w:rPr>
      </w:pPr>
      <w:r w:rsidRPr="00D40CE7">
        <w:rPr>
          <w:rFonts w:ascii="Barlow" w:hAnsi="Barlow" w:cs="Arial"/>
          <w:sz w:val="20"/>
          <w:szCs w:val="20"/>
        </w:rPr>
        <w:t>La economía de México podría crecer "fácilmente" por encima de un 5% este año si se considera el avance del programa de vacunación contra el COVID-19 en el país y el paquete de estímulo económico en Estados Unidos</w:t>
      </w:r>
    </w:p>
    <w:p w:rsidR="00BA0496" w:rsidRPr="00D40CE7" w:rsidRDefault="00BA0496" w:rsidP="00BA0496">
      <w:pPr>
        <w:spacing w:before="100" w:beforeAutospacing="1" w:after="100" w:afterAutospacing="1"/>
        <w:rPr>
          <w:rFonts w:ascii="Barlow" w:hAnsi="Barlow" w:cs="Arial"/>
          <w:sz w:val="20"/>
          <w:szCs w:val="20"/>
        </w:rPr>
      </w:pPr>
      <w:r w:rsidRPr="00D40CE7">
        <w:rPr>
          <w:rFonts w:ascii="Barlow" w:hAnsi="Barlow" w:cs="Arial"/>
          <w:sz w:val="20"/>
          <w:szCs w:val="20"/>
        </w:rPr>
        <w:t>Recientemente, el banco central también mejoró su pronóstico de crecimiento para el PIB local en 202</w:t>
      </w:r>
      <w:r w:rsidR="00304057" w:rsidRPr="00D40CE7">
        <w:rPr>
          <w:rFonts w:ascii="Barlow" w:hAnsi="Barlow" w:cs="Arial"/>
          <w:sz w:val="20"/>
          <w:szCs w:val="20"/>
        </w:rPr>
        <w:t>2</w:t>
      </w:r>
      <w:r w:rsidRPr="00D40CE7">
        <w:rPr>
          <w:rFonts w:ascii="Barlow" w:hAnsi="Barlow" w:cs="Arial"/>
          <w:sz w:val="20"/>
          <w:szCs w:val="20"/>
        </w:rPr>
        <w:t>, cuando prevé se recuperará 4.8% en lugar del 3.3% que había estimado previamente</w:t>
      </w:r>
    </w:p>
    <w:p w:rsidR="00BA0496" w:rsidRPr="00D40CE7" w:rsidRDefault="00BA0496" w:rsidP="00BA0496">
      <w:pPr>
        <w:spacing w:before="100" w:beforeAutospacing="1" w:after="100" w:afterAutospacing="1"/>
        <w:rPr>
          <w:rFonts w:ascii="Barlow" w:hAnsi="Barlow" w:cs="Arial"/>
          <w:sz w:val="20"/>
          <w:szCs w:val="20"/>
        </w:rPr>
      </w:pPr>
      <w:r w:rsidRPr="00D40CE7">
        <w:rPr>
          <w:rFonts w:ascii="Barlow" w:hAnsi="Barlow" w:cs="Arial"/>
          <w:sz w:val="20"/>
          <w:szCs w:val="20"/>
        </w:rPr>
        <w:t>La recaudación tributaria de México como porcentaje del PIB es la más baja de los 37 países de la Organización para la Cooperación y el Desarrollo Económicos (OCDE). El Fondo Monetario Internacional propuso el año pasado que el país latinoamericano aplicara una reforma fiscal para apoyar el gasto y ayudar a su recuperación.</w:t>
      </w:r>
    </w:p>
    <w:p w:rsidR="00BA0496" w:rsidRPr="00D40CE7" w:rsidRDefault="00BA0496" w:rsidP="00C806E7">
      <w:pPr>
        <w:spacing w:line="360" w:lineRule="auto"/>
        <w:jc w:val="both"/>
        <w:rPr>
          <w:rFonts w:ascii="Barlow" w:hAnsi="Barlow" w:cs="Arial"/>
          <w:b/>
          <w:sz w:val="20"/>
          <w:szCs w:val="20"/>
        </w:rPr>
      </w:pPr>
    </w:p>
    <w:p w:rsidR="003661A9" w:rsidRPr="00D40CE7" w:rsidRDefault="003661A9" w:rsidP="003661A9">
      <w:pPr>
        <w:autoSpaceDE w:val="0"/>
        <w:autoSpaceDN w:val="0"/>
        <w:spacing w:line="360" w:lineRule="auto"/>
        <w:ind w:firstLine="708"/>
        <w:jc w:val="both"/>
        <w:rPr>
          <w:rFonts w:ascii="Barlow" w:hAnsi="Barlow" w:cs="Arial"/>
          <w:sz w:val="20"/>
          <w:szCs w:val="20"/>
        </w:rPr>
      </w:pPr>
    </w:p>
    <w:p w:rsidR="00FD6E2C" w:rsidRPr="00D40CE7" w:rsidRDefault="00FD6E2C" w:rsidP="00FD6E2C">
      <w:pPr>
        <w:spacing w:after="200" w:line="276" w:lineRule="auto"/>
        <w:rPr>
          <w:rFonts w:ascii="Barlow" w:eastAsia="Calibri" w:hAnsi="Barlow" w:cs="Arial"/>
          <w:b/>
          <w:color w:val="000000"/>
          <w:sz w:val="20"/>
          <w:szCs w:val="20"/>
          <w:lang w:eastAsia="en-US"/>
        </w:rPr>
      </w:pPr>
      <w:r w:rsidRPr="00D40CE7">
        <w:rPr>
          <w:rFonts w:ascii="Barlow" w:eastAsia="Calibri" w:hAnsi="Barlow" w:cs="Arial"/>
          <w:b/>
          <w:color w:val="000000"/>
          <w:sz w:val="20"/>
          <w:szCs w:val="20"/>
          <w:lang w:eastAsia="en-US"/>
        </w:rPr>
        <w:lastRenderedPageBreak/>
        <w:t>2.2 Panorama económico local</w:t>
      </w:r>
    </w:p>
    <w:p w:rsidR="00304057" w:rsidRPr="00D40CE7" w:rsidRDefault="00304057" w:rsidP="00304057">
      <w:pPr>
        <w:shd w:val="clear" w:color="auto" w:fill="FFFFFF"/>
        <w:spacing w:after="144"/>
        <w:rPr>
          <w:rFonts w:ascii="Barlow" w:hAnsi="Barlow" w:cs="Arial"/>
          <w:sz w:val="20"/>
          <w:szCs w:val="20"/>
        </w:rPr>
      </w:pPr>
      <w:r w:rsidRPr="00D40CE7">
        <w:rPr>
          <w:rFonts w:ascii="Barlow" w:hAnsi="Barlow" w:cs="Arial"/>
          <w:sz w:val="20"/>
          <w:szCs w:val="20"/>
        </w:rPr>
        <w:t>Las perspectivas económicas del país no son nada halagadoras para este año, pero la de Yucatán mantendrá su ritmo de crecimiento por la llegada de inversiones, generación de empleos y la dinámica de su reactivación, manifestaron los presidentes nacional y local del Instituto Mexicano de Ejecutivos y Finanzas (IMEF), Alejandro Hernández Bringas y Santiago Pérez Arjona, en su primer informe de este año.</w:t>
      </w:r>
    </w:p>
    <w:p w:rsidR="00304057" w:rsidRPr="00D40CE7" w:rsidRDefault="00304057" w:rsidP="00304057">
      <w:pPr>
        <w:shd w:val="clear" w:color="auto" w:fill="FFFFFF"/>
        <w:spacing w:after="144"/>
        <w:rPr>
          <w:rFonts w:ascii="Barlow" w:hAnsi="Barlow" w:cs="Arial"/>
          <w:sz w:val="20"/>
          <w:szCs w:val="20"/>
        </w:rPr>
      </w:pPr>
      <w:r w:rsidRPr="00D40CE7">
        <w:rPr>
          <w:rFonts w:ascii="Barlow" w:hAnsi="Barlow" w:cs="Arial"/>
          <w:sz w:val="20"/>
          <w:szCs w:val="20"/>
        </w:rPr>
        <w:t>El presidente del IMEF Capítulo Yucatán dijo que, de acuerdo con la planeación económica del gobierno del Estado, sus expectativas de crecimiento son de 2% a 4% en este 2022, a pesar de que la inflación global que afecta a las economías continúa al alza y encarece el financiamiento, disminuye el consumo interno y aumenta el costo de los artículos por el transporte de los productos y mercancías.</w:t>
      </w:r>
    </w:p>
    <w:p w:rsidR="00304057" w:rsidRPr="00D40CE7" w:rsidRDefault="00304057" w:rsidP="00304057">
      <w:pPr>
        <w:shd w:val="clear" w:color="auto" w:fill="FFFFFF"/>
        <w:spacing w:after="144"/>
        <w:rPr>
          <w:rFonts w:ascii="Barlow" w:hAnsi="Barlow" w:cs="Arial"/>
          <w:sz w:val="20"/>
          <w:szCs w:val="20"/>
        </w:rPr>
      </w:pPr>
      <w:r w:rsidRPr="00D40CE7">
        <w:rPr>
          <w:rFonts w:ascii="Barlow" w:hAnsi="Barlow" w:cs="Arial"/>
          <w:sz w:val="20"/>
          <w:szCs w:val="20"/>
        </w:rPr>
        <w:t>Sin embargo, Yucatán tiene las condiciones para continuar con su crecimiento económico por arriba de la media nacional, con la creación de empleos y el aumento salarial de los trabajadores. Acorde con datos del IMSS, el sueldo mensual promedio es de $12,000, un aumento de aproximadamente un 22% en comparación con años anteriores.</w:t>
      </w:r>
    </w:p>
    <w:p w:rsidR="005D5336" w:rsidRPr="00D40CE7" w:rsidRDefault="00D40CE7" w:rsidP="00D40CE7">
      <w:pPr>
        <w:rPr>
          <w:rFonts w:ascii="Barlow" w:hAnsi="Barlow"/>
          <w:sz w:val="20"/>
          <w:szCs w:val="20"/>
          <w:lang w:eastAsia="es-MX"/>
        </w:rPr>
      </w:pPr>
      <w:r>
        <w:rPr>
          <w:rFonts w:ascii="Barlow" w:hAnsi="Barlow"/>
          <w:sz w:val="20"/>
          <w:szCs w:val="20"/>
          <w:lang w:eastAsia="es-MX"/>
        </w:rPr>
        <w:br/>
      </w:r>
    </w:p>
    <w:p w:rsidR="00EB2B76" w:rsidRPr="00D40CE7" w:rsidRDefault="00D3760C" w:rsidP="00FC5B05">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3.-  Autorización e Historia</w:t>
      </w:r>
    </w:p>
    <w:p w:rsidR="00EB2B76" w:rsidRPr="00D40CE7" w:rsidRDefault="00EB2B76" w:rsidP="00FC5B05">
      <w:pPr>
        <w:spacing w:after="86" w:line="216" w:lineRule="exact"/>
        <w:jc w:val="both"/>
        <w:rPr>
          <w:rFonts w:ascii="Barlow" w:hAnsi="Barlow" w:cstheme="minorHAnsi"/>
          <w:sz w:val="20"/>
          <w:szCs w:val="20"/>
        </w:rPr>
      </w:pPr>
    </w:p>
    <w:p w:rsidR="00FC5B05" w:rsidRPr="00D40CE7" w:rsidRDefault="00D3760C" w:rsidP="00DA1530">
      <w:pPr>
        <w:numPr>
          <w:ilvl w:val="0"/>
          <w:numId w:val="17"/>
        </w:numPr>
        <w:autoSpaceDE w:val="0"/>
        <w:autoSpaceDN w:val="0"/>
        <w:adjustRightInd w:val="0"/>
        <w:spacing w:line="360" w:lineRule="auto"/>
        <w:jc w:val="both"/>
        <w:rPr>
          <w:rFonts w:ascii="Barlow" w:hAnsi="Barlow" w:cs="Arial"/>
          <w:sz w:val="20"/>
          <w:szCs w:val="20"/>
        </w:rPr>
      </w:pPr>
      <w:r w:rsidRPr="00D40CE7">
        <w:rPr>
          <w:rFonts w:ascii="Barlow" w:hAnsi="Barlow" w:cs="Arial"/>
          <w:b/>
          <w:sz w:val="20"/>
          <w:szCs w:val="20"/>
        </w:rPr>
        <w:t xml:space="preserve">Fecha de creación del ente. </w:t>
      </w:r>
      <w:r w:rsidR="00FC5B05" w:rsidRPr="00D40CE7">
        <w:rPr>
          <w:rFonts w:ascii="Barlow" w:hAnsi="Barlow" w:cs="Arial"/>
          <w:sz w:val="20"/>
          <w:szCs w:val="20"/>
        </w:rPr>
        <w:t xml:space="preserve">Con fecha 23 de diciembre de 2013 se celebró el Contrato de Fideicomiso de Administración denominado Fondo de Apoyo a Víctimas del Delito, fungiendo el Gobierno del Estado de Yucatán como Fideicomitente, el Banco Mercantil del Norte SA, Institución de Banca Múltiple, Grupo Financiero Banorte, por conducto de su División Fiduciaria como Fiduciario, y el mismo Fideicomitente por lo que hace a su derecho de instruir a el Fiduciario por conducto del Comité Técnico, respecto a la forma en que se deberá de aplicar el patrimonio </w:t>
      </w:r>
      <w:proofErr w:type="spellStart"/>
      <w:r w:rsidR="00FC5B05" w:rsidRPr="00D40CE7">
        <w:rPr>
          <w:rFonts w:ascii="Barlow" w:hAnsi="Barlow" w:cs="Arial"/>
          <w:sz w:val="20"/>
          <w:szCs w:val="20"/>
        </w:rPr>
        <w:t>fideicom</w:t>
      </w:r>
      <w:r w:rsidR="0059773A" w:rsidRPr="00D40CE7">
        <w:rPr>
          <w:rFonts w:ascii="Barlow" w:hAnsi="Barlow" w:cs="Arial"/>
          <w:sz w:val="20"/>
          <w:szCs w:val="20"/>
        </w:rPr>
        <w:t>i</w:t>
      </w:r>
      <w:r w:rsidR="00FC5B05" w:rsidRPr="00D40CE7">
        <w:rPr>
          <w:rFonts w:ascii="Barlow" w:hAnsi="Barlow" w:cs="Arial"/>
          <w:sz w:val="20"/>
          <w:szCs w:val="20"/>
        </w:rPr>
        <w:t>tido</w:t>
      </w:r>
      <w:proofErr w:type="spellEnd"/>
      <w:r w:rsidR="00FC5B05" w:rsidRPr="00D40CE7">
        <w:rPr>
          <w:rFonts w:ascii="Barlow" w:hAnsi="Barlow" w:cs="Arial"/>
          <w:sz w:val="20"/>
          <w:szCs w:val="20"/>
        </w:rPr>
        <w:t xml:space="preserve"> en los términos del mismo contrato</w:t>
      </w:r>
    </w:p>
    <w:p w:rsidR="00D3760C" w:rsidRPr="00D40CE7" w:rsidRDefault="00D3760C" w:rsidP="00C4137E">
      <w:pPr>
        <w:autoSpaceDE w:val="0"/>
        <w:autoSpaceDN w:val="0"/>
        <w:adjustRightInd w:val="0"/>
        <w:spacing w:line="360" w:lineRule="auto"/>
        <w:jc w:val="both"/>
        <w:rPr>
          <w:rFonts w:ascii="Barlow" w:hAnsi="Barlow" w:cs="Arial"/>
          <w:sz w:val="20"/>
          <w:szCs w:val="20"/>
        </w:rPr>
      </w:pPr>
    </w:p>
    <w:p w:rsidR="00FC5B05" w:rsidRPr="00D40CE7" w:rsidRDefault="00D3760C" w:rsidP="00DA1530">
      <w:pPr>
        <w:numPr>
          <w:ilvl w:val="0"/>
          <w:numId w:val="17"/>
        </w:numPr>
        <w:autoSpaceDE w:val="0"/>
        <w:autoSpaceDN w:val="0"/>
        <w:adjustRightInd w:val="0"/>
        <w:spacing w:line="360" w:lineRule="auto"/>
        <w:jc w:val="both"/>
        <w:rPr>
          <w:rFonts w:ascii="Barlow" w:hAnsi="Barlow" w:cs="Arial"/>
          <w:sz w:val="20"/>
          <w:szCs w:val="20"/>
        </w:rPr>
      </w:pPr>
      <w:r w:rsidRPr="00D40CE7">
        <w:rPr>
          <w:rFonts w:ascii="Barlow" w:hAnsi="Barlow" w:cs="Arial"/>
          <w:b/>
          <w:sz w:val="20"/>
          <w:szCs w:val="20"/>
        </w:rPr>
        <w:t>Principales cambios en su estructura.</w:t>
      </w:r>
      <w:r w:rsidR="007B54F9" w:rsidRPr="00D40CE7">
        <w:rPr>
          <w:rFonts w:ascii="Barlow" w:hAnsi="Barlow" w:cs="Arial"/>
          <w:b/>
          <w:sz w:val="20"/>
          <w:szCs w:val="20"/>
        </w:rPr>
        <w:t xml:space="preserve"> </w:t>
      </w:r>
      <w:r w:rsidR="00FC5B05" w:rsidRPr="00D40CE7">
        <w:rPr>
          <w:rFonts w:ascii="Barlow" w:hAnsi="Barlow" w:cs="Arial"/>
          <w:sz w:val="20"/>
          <w:szCs w:val="20"/>
        </w:rPr>
        <w:t xml:space="preserve">Con fecha 27 de abril de 2016, el H. Congreso del Estado de Yucatán mediante decreto 384 publicado en el Diario Oficial del Estado de Yucatán en fecha 2 de  </w:t>
      </w:r>
      <w:proofErr w:type="spellStart"/>
      <w:r w:rsidR="00FC5B05" w:rsidRPr="00D40CE7">
        <w:rPr>
          <w:rFonts w:ascii="Barlow" w:hAnsi="Barlow" w:cs="Arial"/>
          <w:sz w:val="20"/>
          <w:szCs w:val="20"/>
        </w:rPr>
        <w:t>de</w:t>
      </w:r>
      <w:proofErr w:type="spellEnd"/>
      <w:r w:rsidR="00FC5B05" w:rsidRPr="00D40CE7">
        <w:rPr>
          <w:rFonts w:ascii="Barlow" w:hAnsi="Barlow" w:cs="Arial"/>
          <w:sz w:val="20"/>
          <w:szCs w:val="20"/>
        </w:rPr>
        <w:t xml:space="preserve"> 2016, específicamente en su artículo transitorio noveno denominado Recursos del Fondo, instruye que "A partir de la entrada en vigor de este decreto los recursos del Fondo General de Reparaciones a las Víctimas del Delito pasarán a formar parte del </w:t>
      </w:r>
      <w:r w:rsidR="00FC5B05" w:rsidRPr="00D40CE7">
        <w:rPr>
          <w:rFonts w:ascii="Barlow" w:hAnsi="Barlow" w:cs="Arial"/>
          <w:sz w:val="20"/>
          <w:szCs w:val="20"/>
        </w:rPr>
        <w:lastRenderedPageBreak/>
        <w:t>Fondo Estatal de Ayuda, Asistencia y Reparación Integral, por tales motivos, durante el ejercicio fiscal 2018 no se ha realizado ningún movimiento al fideicomiso en virtud de que no se ha creado el fideicomiso que lo sustituya.</w:t>
      </w:r>
    </w:p>
    <w:p w:rsidR="00FA68EA" w:rsidRPr="00D40CE7" w:rsidRDefault="00FA68EA" w:rsidP="00FA68EA">
      <w:pPr>
        <w:pStyle w:val="Prrafodelista"/>
        <w:rPr>
          <w:rFonts w:ascii="Barlow" w:hAnsi="Barlow" w:cs="Arial"/>
          <w:sz w:val="20"/>
          <w:szCs w:val="20"/>
        </w:rPr>
      </w:pPr>
    </w:p>
    <w:p w:rsidR="007E44EB" w:rsidRPr="00D40CE7" w:rsidRDefault="00FA68EA" w:rsidP="00DA1530">
      <w:pPr>
        <w:numPr>
          <w:ilvl w:val="0"/>
          <w:numId w:val="17"/>
        </w:numPr>
        <w:autoSpaceDE w:val="0"/>
        <w:autoSpaceDN w:val="0"/>
        <w:adjustRightInd w:val="0"/>
        <w:spacing w:line="360" w:lineRule="auto"/>
        <w:jc w:val="both"/>
        <w:rPr>
          <w:rFonts w:ascii="Barlow" w:hAnsi="Barlow" w:cs="Arial"/>
          <w:sz w:val="20"/>
          <w:szCs w:val="20"/>
        </w:rPr>
      </w:pPr>
      <w:r w:rsidRPr="00D40CE7">
        <w:rPr>
          <w:rFonts w:ascii="Barlow" w:hAnsi="Barlow" w:cs="Arial"/>
          <w:b/>
          <w:sz w:val="20"/>
          <w:szCs w:val="20"/>
        </w:rPr>
        <w:t xml:space="preserve">Extinción del Fideicomiso. </w:t>
      </w:r>
      <w:r w:rsidRPr="00D40CE7">
        <w:rPr>
          <w:rFonts w:ascii="Barlow" w:hAnsi="Barlow" w:cs="Arial"/>
          <w:sz w:val="20"/>
          <w:szCs w:val="20"/>
        </w:rPr>
        <w:t xml:space="preserve">Al no existir sustento legal para administrar el Fondo de </w:t>
      </w:r>
      <w:r w:rsidR="00C65D89" w:rsidRPr="00D40CE7">
        <w:rPr>
          <w:rFonts w:ascii="Barlow" w:hAnsi="Barlow" w:cs="Arial"/>
          <w:sz w:val="20"/>
          <w:szCs w:val="20"/>
        </w:rPr>
        <w:t>Apoyo a Víctimas del Delito (FAAVID), y al hacerse jurídica y materialmente imposible el acceso a los recursos del mismo y en consecuencia, al encontrarse éste en el supuesto contemplado en la fracción II del artículo 392 de la Ley General de Títulos y Operaciones de Crédito “por hacerse este imposible”</w:t>
      </w:r>
      <w:r w:rsidR="00D1238C" w:rsidRPr="00D40CE7">
        <w:rPr>
          <w:rFonts w:ascii="Barlow" w:hAnsi="Barlow" w:cs="Arial"/>
          <w:sz w:val="20"/>
          <w:szCs w:val="20"/>
        </w:rPr>
        <w:t xml:space="preserve">, se solicita la elaboración del convenio de extinción con base en el artículo 392 de la Ley General de Títulos y Operaciones de Crédito fracciones II y V. Dicho convenio de extinción </w:t>
      </w:r>
      <w:r w:rsidR="00153148" w:rsidRPr="00D40CE7">
        <w:rPr>
          <w:rFonts w:ascii="Barlow" w:hAnsi="Barlow" w:cs="Arial"/>
          <w:sz w:val="20"/>
          <w:szCs w:val="20"/>
        </w:rPr>
        <w:t xml:space="preserve">identificado con el número 744798, </w:t>
      </w:r>
      <w:r w:rsidR="00D1238C" w:rsidRPr="00D40CE7">
        <w:rPr>
          <w:rFonts w:ascii="Barlow" w:hAnsi="Barlow" w:cs="Arial"/>
          <w:sz w:val="20"/>
          <w:szCs w:val="20"/>
        </w:rPr>
        <w:t>fue firmado el día 04 de enero del año en curso por la Secretaría de Administración y Finanzas en calidad de Fideicomitente único del Estado y el Banco Mercantil del Norte, Institución de Banca Múltiple Grupo Financiero Banorte en calidad de Fiduciario, por lo que a partir de dicha fecha ha quedado extinto el fideicomiso referido</w:t>
      </w:r>
      <w:r w:rsidR="0091278D" w:rsidRPr="00D40CE7">
        <w:rPr>
          <w:rFonts w:ascii="Barlow" w:hAnsi="Barlow" w:cs="Arial"/>
          <w:sz w:val="20"/>
          <w:szCs w:val="20"/>
        </w:rPr>
        <w:t xml:space="preserve">. </w:t>
      </w:r>
    </w:p>
    <w:p w:rsidR="007E44EB" w:rsidRPr="00D40CE7" w:rsidRDefault="007E44EB" w:rsidP="007E44EB">
      <w:pPr>
        <w:pStyle w:val="Prrafodelista"/>
        <w:rPr>
          <w:rFonts w:ascii="Barlow" w:hAnsi="Barlow" w:cs="Arial"/>
          <w:sz w:val="20"/>
          <w:szCs w:val="20"/>
        </w:rPr>
      </w:pPr>
    </w:p>
    <w:p w:rsidR="007E44EB" w:rsidRPr="00D40CE7" w:rsidRDefault="007E44EB" w:rsidP="007E44EB">
      <w:pPr>
        <w:autoSpaceDE w:val="0"/>
        <w:autoSpaceDN w:val="0"/>
        <w:adjustRightInd w:val="0"/>
        <w:spacing w:line="360" w:lineRule="auto"/>
        <w:ind w:left="720"/>
        <w:jc w:val="both"/>
        <w:rPr>
          <w:rFonts w:ascii="Barlow" w:hAnsi="Barlow" w:cs="Arial"/>
          <w:sz w:val="20"/>
          <w:szCs w:val="20"/>
        </w:rPr>
      </w:pPr>
      <w:r w:rsidRPr="00D40CE7">
        <w:rPr>
          <w:rFonts w:ascii="Barlow" w:hAnsi="Barlow" w:cs="Arial"/>
          <w:sz w:val="20"/>
          <w:szCs w:val="20"/>
        </w:rPr>
        <w:t xml:space="preserve">Los recursos restantes del patrimonio </w:t>
      </w:r>
      <w:proofErr w:type="spellStart"/>
      <w:r w:rsidRPr="00D40CE7">
        <w:rPr>
          <w:rFonts w:ascii="Barlow" w:hAnsi="Barlow" w:cs="Arial"/>
          <w:sz w:val="20"/>
          <w:szCs w:val="20"/>
        </w:rPr>
        <w:t>fideicomitido</w:t>
      </w:r>
      <w:proofErr w:type="spellEnd"/>
      <w:r w:rsidRPr="00D40CE7">
        <w:rPr>
          <w:rFonts w:ascii="Barlow" w:hAnsi="Barlow" w:cs="Arial"/>
          <w:sz w:val="20"/>
          <w:szCs w:val="20"/>
        </w:rPr>
        <w:t>, se depositaron a la cuenta de cheques persona moral a nombre de la Secretaría de Administración y Finanzas “Remanentes de Fideicomiso FAAVID”</w:t>
      </w:r>
    </w:p>
    <w:p w:rsidR="00FA68EA" w:rsidRPr="00D40CE7" w:rsidRDefault="0091278D" w:rsidP="007E44EB">
      <w:pPr>
        <w:autoSpaceDE w:val="0"/>
        <w:autoSpaceDN w:val="0"/>
        <w:adjustRightInd w:val="0"/>
        <w:spacing w:line="360" w:lineRule="auto"/>
        <w:ind w:left="720"/>
        <w:jc w:val="both"/>
        <w:rPr>
          <w:rFonts w:ascii="Barlow" w:hAnsi="Barlow" w:cs="Arial"/>
          <w:sz w:val="20"/>
          <w:szCs w:val="20"/>
        </w:rPr>
      </w:pPr>
      <w:r w:rsidRPr="00D40CE7">
        <w:rPr>
          <w:rFonts w:ascii="Barlow" w:hAnsi="Barlow" w:cs="Arial"/>
          <w:sz w:val="20"/>
          <w:szCs w:val="20"/>
        </w:rPr>
        <w:t xml:space="preserve">Cabe mencionar que una vez revertido el Patrimonio del Fideicomiso, éste será </w:t>
      </w:r>
      <w:r w:rsidR="00D40CE7" w:rsidRPr="00D40CE7">
        <w:rPr>
          <w:rFonts w:ascii="Barlow" w:hAnsi="Barlow" w:cs="Arial"/>
          <w:sz w:val="20"/>
          <w:szCs w:val="20"/>
        </w:rPr>
        <w:t>entregado al</w:t>
      </w:r>
      <w:r w:rsidRPr="00D40CE7">
        <w:rPr>
          <w:rFonts w:ascii="Barlow" w:hAnsi="Barlow" w:cs="Arial"/>
          <w:sz w:val="20"/>
          <w:szCs w:val="20"/>
        </w:rPr>
        <w:t xml:space="preserve"> actual Fondo Estatal de Ayuda, Asistencia y Reparación Integral, en cumplimiento a lo establecido en el artículo Noveno Transitorio de la ley de Atención y Protección a las Víctimas del Delito para el Estado de Yucatán</w:t>
      </w:r>
      <w:r w:rsidR="007E44EB" w:rsidRPr="00D40CE7">
        <w:rPr>
          <w:rFonts w:ascii="Barlow" w:hAnsi="Barlow" w:cs="Arial"/>
          <w:sz w:val="20"/>
          <w:szCs w:val="20"/>
        </w:rPr>
        <w:t xml:space="preserve">, según oficio SAF/859/2021 Firmado por la Fideicomitente </w:t>
      </w:r>
      <w:proofErr w:type="spellStart"/>
      <w:r w:rsidR="007E44EB" w:rsidRPr="00D40CE7">
        <w:rPr>
          <w:rFonts w:ascii="Barlow" w:hAnsi="Barlow" w:cs="Arial"/>
          <w:sz w:val="20"/>
          <w:szCs w:val="20"/>
        </w:rPr>
        <w:t>Unico</w:t>
      </w:r>
      <w:proofErr w:type="spellEnd"/>
      <w:r w:rsidR="007E44EB" w:rsidRPr="00D40CE7">
        <w:rPr>
          <w:rFonts w:ascii="Barlow" w:hAnsi="Barlow" w:cs="Arial"/>
          <w:sz w:val="20"/>
          <w:szCs w:val="20"/>
        </w:rPr>
        <w:t xml:space="preserve"> del Gobierno del Estado de Yucatán y Secretaria de Administración y Finanzas el 18 octubre 2021</w:t>
      </w:r>
    </w:p>
    <w:p w:rsidR="00AB20FB" w:rsidRPr="00D40CE7" w:rsidRDefault="00AB20FB" w:rsidP="00BE4543">
      <w:pPr>
        <w:autoSpaceDE w:val="0"/>
        <w:autoSpaceDN w:val="0"/>
        <w:adjustRightInd w:val="0"/>
        <w:spacing w:line="360" w:lineRule="auto"/>
        <w:jc w:val="both"/>
        <w:rPr>
          <w:rFonts w:ascii="Barlow" w:hAnsi="Barlow" w:cs="Arial"/>
          <w:sz w:val="20"/>
          <w:szCs w:val="20"/>
        </w:rPr>
      </w:pPr>
    </w:p>
    <w:p w:rsidR="00AB20FB" w:rsidRDefault="00AB20FB" w:rsidP="007E77DA">
      <w:pPr>
        <w:autoSpaceDE w:val="0"/>
        <w:autoSpaceDN w:val="0"/>
        <w:adjustRightInd w:val="0"/>
        <w:spacing w:line="360" w:lineRule="auto"/>
        <w:ind w:firstLine="360"/>
        <w:jc w:val="both"/>
        <w:rPr>
          <w:rFonts w:ascii="Barlow" w:hAnsi="Barlow" w:cs="Arial"/>
          <w:sz w:val="20"/>
          <w:szCs w:val="20"/>
        </w:rPr>
      </w:pPr>
    </w:p>
    <w:p w:rsidR="00D40CE7" w:rsidRDefault="00D40CE7" w:rsidP="007E77DA">
      <w:pPr>
        <w:autoSpaceDE w:val="0"/>
        <w:autoSpaceDN w:val="0"/>
        <w:adjustRightInd w:val="0"/>
        <w:spacing w:line="360" w:lineRule="auto"/>
        <w:ind w:firstLine="360"/>
        <w:jc w:val="both"/>
        <w:rPr>
          <w:rFonts w:ascii="Barlow" w:hAnsi="Barlow" w:cs="Arial"/>
          <w:sz w:val="20"/>
          <w:szCs w:val="20"/>
        </w:rPr>
      </w:pPr>
    </w:p>
    <w:p w:rsidR="00D40CE7" w:rsidRDefault="00D40CE7" w:rsidP="007E77DA">
      <w:pPr>
        <w:autoSpaceDE w:val="0"/>
        <w:autoSpaceDN w:val="0"/>
        <w:adjustRightInd w:val="0"/>
        <w:spacing w:line="360" w:lineRule="auto"/>
        <w:ind w:firstLine="360"/>
        <w:jc w:val="both"/>
        <w:rPr>
          <w:rFonts w:ascii="Barlow" w:hAnsi="Barlow" w:cs="Arial"/>
          <w:sz w:val="20"/>
          <w:szCs w:val="20"/>
        </w:rPr>
      </w:pPr>
    </w:p>
    <w:p w:rsidR="00D40CE7" w:rsidRPr="00D40CE7" w:rsidRDefault="00D40CE7" w:rsidP="007E77DA">
      <w:pPr>
        <w:autoSpaceDE w:val="0"/>
        <w:autoSpaceDN w:val="0"/>
        <w:adjustRightInd w:val="0"/>
        <w:spacing w:line="360" w:lineRule="auto"/>
        <w:ind w:firstLine="360"/>
        <w:jc w:val="both"/>
        <w:rPr>
          <w:rFonts w:ascii="Barlow" w:hAnsi="Barlow" w:cs="Arial"/>
          <w:sz w:val="20"/>
          <w:szCs w:val="20"/>
        </w:rPr>
      </w:pPr>
    </w:p>
    <w:p w:rsidR="00D3760C" w:rsidRPr="00D40CE7" w:rsidRDefault="00D3760C" w:rsidP="007E77DA">
      <w:pPr>
        <w:autoSpaceDE w:val="0"/>
        <w:autoSpaceDN w:val="0"/>
        <w:adjustRightInd w:val="0"/>
        <w:spacing w:line="360" w:lineRule="auto"/>
        <w:ind w:firstLine="360"/>
        <w:jc w:val="both"/>
        <w:rPr>
          <w:rFonts w:ascii="Barlow" w:hAnsi="Barlow" w:cs="Arial"/>
          <w:sz w:val="20"/>
          <w:szCs w:val="20"/>
        </w:rPr>
      </w:pPr>
      <w:r w:rsidRPr="00D40CE7">
        <w:rPr>
          <w:rFonts w:ascii="Barlow" w:hAnsi="Barlow" w:cs="Arial"/>
          <w:b/>
          <w:sz w:val="20"/>
          <w:szCs w:val="20"/>
        </w:rPr>
        <w:lastRenderedPageBreak/>
        <w:t>4.- Organización y Objeto Social</w:t>
      </w:r>
    </w:p>
    <w:p w:rsidR="00AD3205" w:rsidRPr="00D40CE7" w:rsidRDefault="00AD3205" w:rsidP="00C4137E">
      <w:pPr>
        <w:autoSpaceDE w:val="0"/>
        <w:autoSpaceDN w:val="0"/>
        <w:adjustRightInd w:val="0"/>
        <w:spacing w:line="360" w:lineRule="auto"/>
        <w:jc w:val="both"/>
        <w:rPr>
          <w:rFonts w:ascii="Barlow" w:hAnsi="Barlow" w:cs="Arial"/>
          <w:b/>
          <w:sz w:val="20"/>
          <w:szCs w:val="20"/>
        </w:rPr>
      </w:pPr>
    </w:p>
    <w:p w:rsidR="00FC5B05" w:rsidRPr="00D40CE7" w:rsidRDefault="00D3760C" w:rsidP="00DA1530">
      <w:pPr>
        <w:numPr>
          <w:ilvl w:val="0"/>
          <w:numId w:val="18"/>
        </w:numPr>
        <w:tabs>
          <w:tab w:val="left" w:pos="1065"/>
        </w:tabs>
        <w:autoSpaceDE w:val="0"/>
        <w:autoSpaceDN w:val="0"/>
        <w:adjustRightInd w:val="0"/>
        <w:spacing w:line="360" w:lineRule="auto"/>
        <w:jc w:val="both"/>
        <w:rPr>
          <w:rFonts w:ascii="Barlow" w:hAnsi="Barlow" w:cs="Arial"/>
          <w:sz w:val="20"/>
          <w:szCs w:val="20"/>
        </w:rPr>
      </w:pPr>
      <w:r w:rsidRPr="00D40CE7">
        <w:rPr>
          <w:rFonts w:ascii="Barlow" w:hAnsi="Barlow" w:cs="Arial"/>
          <w:b/>
          <w:sz w:val="20"/>
          <w:szCs w:val="20"/>
        </w:rPr>
        <w:t>Objeto social.</w:t>
      </w:r>
      <w:r w:rsidR="00DB0C1A" w:rsidRPr="00D40CE7">
        <w:rPr>
          <w:rFonts w:ascii="Barlow" w:hAnsi="Barlow" w:cs="Arial"/>
          <w:b/>
          <w:sz w:val="20"/>
          <w:szCs w:val="20"/>
        </w:rPr>
        <w:t xml:space="preserve"> </w:t>
      </w:r>
      <w:r w:rsidR="00FC5B05" w:rsidRPr="00D40CE7">
        <w:rPr>
          <w:rFonts w:ascii="Barlow" w:hAnsi="Barlow" w:cs="Arial"/>
          <w:sz w:val="20"/>
          <w:szCs w:val="20"/>
        </w:rPr>
        <w:t xml:space="preserve">Solventar los gastos en que se incurra para brindar atención y protección a las personas </w:t>
      </w:r>
      <w:r w:rsidR="00D40CE7" w:rsidRPr="00D40CE7">
        <w:rPr>
          <w:rFonts w:ascii="Barlow" w:hAnsi="Barlow" w:cs="Arial"/>
          <w:sz w:val="20"/>
          <w:szCs w:val="20"/>
        </w:rPr>
        <w:t>que,</w:t>
      </w:r>
      <w:r w:rsidR="00FC5B05" w:rsidRPr="00D40CE7">
        <w:rPr>
          <w:rFonts w:ascii="Barlow" w:hAnsi="Barlow" w:cs="Arial"/>
          <w:sz w:val="20"/>
          <w:szCs w:val="20"/>
        </w:rPr>
        <w:t xml:space="preserve"> de conformidad con la Ley de Atención y Protección a las Víctimas del Delito para el Estado de Yucatán en vigor, sean catalogadas como Víctimas del Delito. Así como las personas que habiten o se encuentren de paso en el Estado de Yucatán y reúnan la condición de Víctima, por el delito cometido en su contra dentro del territorio estatal.</w:t>
      </w:r>
    </w:p>
    <w:p w:rsidR="00D3760C" w:rsidRPr="00D40CE7"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Principal actividad</w:t>
      </w:r>
      <w:r w:rsidR="00DB0C1A" w:rsidRPr="00D40CE7">
        <w:rPr>
          <w:rFonts w:ascii="Barlow" w:hAnsi="Barlow" w:cs="Arial"/>
          <w:b/>
          <w:sz w:val="20"/>
          <w:szCs w:val="20"/>
        </w:rPr>
        <w:t xml:space="preserve"> </w:t>
      </w:r>
    </w:p>
    <w:p w:rsidR="00D3760C" w:rsidRPr="00D40CE7" w:rsidRDefault="00FC5B05" w:rsidP="00FC5B05">
      <w:pPr>
        <w:autoSpaceDE w:val="0"/>
        <w:autoSpaceDN w:val="0"/>
        <w:adjustRightInd w:val="0"/>
        <w:spacing w:line="360" w:lineRule="auto"/>
        <w:ind w:firstLine="708"/>
        <w:jc w:val="both"/>
        <w:rPr>
          <w:rFonts w:ascii="Barlow" w:hAnsi="Barlow" w:cs="Arial"/>
          <w:sz w:val="20"/>
          <w:szCs w:val="20"/>
        </w:rPr>
      </w:pPr>
      <w:r w:rsidRPr="00D40CE7">
        <w:rPr>
          <w:rFonts w:ascii="Barlow" w:hAnsi="Barlow" w:cs="Arial"/>
          <w:sz w:val="20"/>
          <w:szCs w:val="20"/>
        </w:rPr>
        <w:t>Solventar gastos a las Víctimas del Delito,</w:t>
      </w:r>
    </w:p>
    <w:p w:rsidR="00D3760C" w:rsidRPr="00D40CE7" w:rsidRDefault="00D3760C"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Ejercicio Fiscal</w:t>
      </w:r>
      <w:r w:rsidR="00AF47B8" w:rsidRPr="00D40CE7">
        <w:rPr>
          <w:rFonts w:ascii="Barlow" w:hAnsi="Barlow" w:cs="Arial"/>
          <w:b/>
          <w:sz w:val="20"/>
          <w:szCs w:val="20"/>
        </w:rPr>
        <w:t xml:space="preserve"> </w:t>
      </w:r>
      <w:r w:rsidR="00215646" w:rsidRPr="00D40CE7">
        <w:rPr>
          <w:rFonts w:ascii="Barlow" w:hAnsi="Barlow" w:cs="Arial"/>
          <w:b/>
          <w:sz w:val="20"/>
          <w:szCs w:val="20"/>
        </w:rPr>
        <w:t>2022</w:t>
      </w:r>
    </w:p>
    <w:p w:rsidR="00222282" w:rsidRPr="00D40CE7" w:rsidRDefault="00D3760C" w:rsidP="00C4137E">
      <w:pPr>
        <w:autoSpaceDE w:val="0"/>
        <w:autoSpaceDN w:val="0"/>
        <w:adjustRightInd w:val="0"/>
        <w:spacing w:line="360" w:lineRule="auto"/>
        <w:ind w:firstLine="705"/>
        <w:jc w:val="both"/>
        <w:rPr>
          <w:rFonts w:ascii="Barlow" w:hAnsi="Barlow" w:cs="Arial"/>
          <w:sz w:val="20"/>
          <w:szCs w:val="20"/>
        </w:rPr>
      </w:pPr>
      <w:r w:rsidRPr="00D40CE7">
        <w:rPr>
          <w:rFonts w:ascii="Barlow" w:hAnsi="Barlow" w:cs="Arial"/>
          <w:sz w:val="20"/>
          <w:szCs w:val="20"/>
        </w:rPr>
        <w:t xml:space="preserve">Las cifras contenidas en los Estados Financieros y que se mencionan en estas notas se </w:t>
      </w:r>
      <w:r w:rsidR="00D40CE7" w:rsidRPr="00D40CE7">
        <w:rPr>
          <w:rFonts w:ascii="Barlow" w:hAnsi="Barlow" w:cs="Arial"/>
          <w:sz w:val="20"/>
          <w:szCs w:val="20"/>
        </w:rPr>
        <w:t>presentan al</w:t>
      </w:r>
      <w:r w:rsidRPr="00D40CE7">
        <w:rPr>
          <w:rFonts w:ascii="Barlow" w:hAnsi="Barlow" w:cs="Arial"/>
          <w:sz w:val="20"/>
          <w:szCs w:val="20"/>
        </w:rPr>
        <w:t xml:space="preserve"> </w:t>
      </w:r>
      <w:bookmarkStart w:id="13" w:name="m17"/>
      <w:bookmarkEnd w:id="13"/>
      <w:r w:rsidR="00D34149" w:rsidRPr="00D40CE7">
        <w:rPr>
          <w:rFonts w:ascii="Barlow" w:hAnsi="Barlow" w:cs="Arial"/>
          <w:sz w:val="20"/>
          <w:szCs w:val="20"/>
        </w:rPr>
        <w:t>3</w:t>
      </w:r>
      <w:r w:rsidR="009643E9" w:rsidRPr="00D40CE7">
        <w:rPr>
          <w:rFonts w:ascii="Barlow" w:hAnsi="Barlow" w:cs="Arial"/>
          <w:sz w:val="20"/>
          <w:szCs w:val="20"/>
        </w:rPr>
        <w:t>1</w:t>
      </w:r>
      <w:r w:rsidRPr="00D40CE7">
        <w:rPr>
          <w:rFonts w:ascii="Barlow" w:hAnsi="Barlow" w:cs="Arial"/>
          <w:sz w:val="20"/>
          <w:szCs w:val="20"/>
        </w:rPr>
        <w:t xml:space="preserve"> de </w:t>
      </w:r>
      <w:r w:rsidR="00D40CE7" w:rsidRPr="00D40CE7">
        <w:rPr>
          <w:rFonts w:ascii="Barlow" w:hAnsi="Barlow" w:cs="Arial"/>
          <w:sz w:val="20"/>
          <w:szCs w:val="20"/>
        </w:rPr>
        <w:t>enero</w:t>
      </w:r>
      <w:r w:rsidR="00B67D17" w:rsidRPr="00D40CE7">
        <w:rPr>
          <w:rFonts w:ascii="Barlow" w:hAnsi="Barlow" w:cs="Arial"/>
          <w:sz w:val="20"/>
          <w:szCs w:val="20"/>
        </w:rPr>
        <w:t xml:space="preserve"> </w:t>
      </w:r>
      <w:r w:rsidR="00AF47B8" w:rsidRPr="00D40CE7">
        <w:rPr>
          <w:rFonts w:ascii="Barlow" w:hAnsi="Barlow" w:cs="Arial"/>
          <w:sz w:val="20"/>
          <w:szCs w:val="20"/>
        </w:rPr>
        <w:t xml:space="preserve">del Ejercicio Fiscal </w:t>
      </w:r>
      <w:r w:rsidR="00FF2E57" w:rsidRPr="00D40CE7">
        <w:rPr>
          <w:rFonts w:ascii="Barlow" w:hAnsi="Barlow" w:cs="Arial"/>
          <w:sz w:val="20"/>
          <w:szCs w:val="20"/>
        </w:rPr>
        <w:t>202</w:t>
      </w:r>
      <w:r w:rsidR="00215646" w:rsidRPr="00D40CE7">
        <w:rPr>
          <w:rFonts w:ascii="Barlow" w:hAnsi="Barlow" w:cs="Arial"/>
          <w:sz w:val="20"/>
          <w:szCs w:val="20"/>
        </w:rPr>
        <w:t>2</w:t>
      </w:r>
      <w:r w:rsidR="00222282" w:rsidRPr="00D40CE7">
        <w:rPr>
          <w:rFonts w:ascii="Barlow" w:hAnsi="Barlow" w:cs="Arial"/>
          <w:sz w:val="20"/>
          <w:szCs w:val="20"/>
        </w:rPr>
        <w:t>.</w:t>
      </w:r>
    </w:p>
    <w:p w:rsidR="00D3760C" w:rsidRPr="00D40CE7" w:rsidRDefault="00775193" w:rsidP="00C4137E">
      <w:pPr>
        <w:numPr>
          <w:ilvl w:val="0"/>
          <w:numId w:val="18"/>
        </w:numPr>
        <w:tabs>
          <w:tab w:val="left" w:pos="1065"/>
        </w:tabs>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Régimen Jurídico</w:t>
      </w:r>
    </w:p>
    <w:p w:rsidR="00D3760C" w:rsidRPr="00D40CE7" w:rsidRDefault="00D3760C" w:rsidP="00C4137E">
      <w:pPr>
        <w:autoSpaceDE w:val="0"/>
        <w:autoSpaceDN w:val="0"/>
        <w:adjustRightInd w:val="0"/>
        <w:spacing w:line="360" w:lineRule="auto"/>
        <w:ind w:firstLine="705"/>
        <w:jc w:val="both"/>
        <w:rPr>
          <w:rFonts w:ascii="Barlow" w:hAnsi="Barlow" w:cs="Arial"/>
          <w:sz w:val="20"/>
          <w:szCs w:val="20"/>
        </w:rPr>
      </w:pPr>
      <w:r w:rsidRPr="00D40CE7">
        <w:rPr>
          <w:rFonts w:ascii="Barlow" w:hAnsi="Barlow" w:cs="Arial"/>
          <w:sz w:val="20"/>
          <w:szCs w:val="20"/>
        </w:rPr>
        <w:t xml:space="preserve">El </w:t>
      </w:r>
      <w:r w:rsidR="007B50DC" w:rsidRPr="00D40CE7">
        <w:rPr>
          <w:rFonts w:ascii="Barlow" w:hAnsi="Barlow" w:cs="Arial"/>
          <w:sz w:val="20"/>
          <w:szCs w:val="20"/>
        </w:rPr>
        <w:t>Fideicomiso</w:t>
      </w:r>
      <w:r w:rsidRPr="00D40CE7">
        <w:rPr>
          <w:rFonts w:ascii="Barlow" w:hAnsi="Barlow" w:cs="Arial"/>
          <w:sz w:val="20"/>
          <w:szCs w:val="20"/>
        </w:rPr>
        <w:t xml:space="preserve"> está regulado por lo siguiente:</w:t>
      </w:r>
    </w:p>
    <w:p w:rsidR="00D3760C" w:rsidRPr="00D40CE7"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Constitución de los Estados Unidos Mexicanos.</w:t>
      </w:r>
    </w:p>
    <w:p w:rsidR="00D3760C" w:rsidRPr="00D40CE7"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Constitución</w:t>
      </w:r>
      <w:r w:rsidR="00F95B60" w:rsidRPr="00D40CE7">
        <w:rPr>
          <w:rFonts w:ascii="Barlow" w:hAnsi="Barlow" w:cs="Arial"/>
          <w:sz w:val="20"/>
          <w:szCs w:val="20"/>
        </w:rPr>
        <w:t xml:space="preserve"> Política</w:t>
      </w:r>
      <w:r w:rsidRPr="00D40CE7">
        <w:rPr>
          <w:rFonts w:ascii="Barlow" w:hAnsi="Barlow" w:cs="Arial"/>
          <w:sz w:val="20"/>
          <w:szCs w:val="20"/>
        </w:rPr>
        <w:t xml:space="preserve"> del Estado de Yucatán.</w:t>
      </w:r>
    </w:p>
    <w:p w:rsidR="00A70892" w:rsidRPr="00D40CE7" w:rsidRDefault="00A70892"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Ley General de Contabilidad Gubernamental.</w:t>
      </w:r>
    </w:p>
    <w:p w:rsidR="00D3760C" w:rsidRPr="00D40CE7"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El Código de la Administración Pública del Estado de Yucatán.</w:t>
      </w:r>
    </w:p>
    <w:p w:rsidR="00D3760C" w:rsidRPr="00D40CE7"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El Reglamento de la Administración Pública del Estado de Yucatán.</w:t>
      </w:r>
    </w:p>
    <w:p w:rsidR="00D3760C" w:rsidRPr="00D40CE7"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Ley del Presupuesto y Contabilidad Gubernamental del Estado de Yucatán y su reglamento.</w:t>
      </w:r>
    </w:p>
    <w:p w:rsidR="00D3760C" w:rsidRPr="00D40CE7"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Ley de Responsabilidades de los Servidores Públicos del Estado de Yucatán.</w:t>
      </w:r>
    </w:p>
    <w:p w:rsidR="00F95B60" w:rsidRPr="00D40CE7" w:rsidRDefault="00F95B60"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Ley Federal de Responsabilidades de los Servidores Públicos</w:t>
      </w:r>
    </w:p>
    <w:p w:rsidR="00D3760C" w:rsidRPr="00D40CE7"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Ley de Adquisiciones, Arrendamientos y Prestación de Servicios relacionados con Bienes Muebles.</w:t>
      </w:r>
    </w:p>
    <w:p w:rsidR="00D3760C" w:rsidRPr="00D40CE7" w:rsidRDefault="00D3760C"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Ley de Fiscalización de la Cuenta Pública del Estado de Yucatán y su reglamento.</w:t>
      </w:r>
    </w:p>
    <w:p w:rsidR="00D62038" w:rsidRPr="00D40CE7" w:rsidRDefault="00D62038" w:rsidP="00C4137E">
      <w:pPr>
        <w:numPr>
          <w:ilvl w:val="0"/>
          <w:numId w:val="1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lastRenderedPageBreak/>
        <w:t>L</w:t>
      </w:r>
      <w:r w:rsidR="00F95B60" w:rsidRPr="00D40CE7">
        <w:rPr>
          <w:rFonts w:ascii="Barlow" w:hAnsi="Barlow" w:cs="Arial"/>
          <w:sz w:val="20"/>
          <w:szCs w:val="20"/>
        </w:rPr>
        <w:t>ey de Disciplina Financiera de las Entidades Federativas y Municipios</w:t>
      </w:r>
    </w:p>
    <w:p w:rsidR="00FC5B05" w:rsidRPr="00D40CE7" w:rsidRDefault="00FC5B05" w:rsidP="00FC5B05">
      <w:pPr>
        <w:pStyle w:val="Prrafodelista"/>
        <w:numPr>
          <w:ilvl w:val="0"/>
          <w:numId w:val="16"/>
        </w:numPr>
        <w:rPr>
          <w:rFonts w:ascii="Barlow" w:hAnsi="Barlow" w:cs="Arial"/>
          <w:sz w:val="20"/>
          <w:szCs w:val="20"/>
        </w:rPr>
      </w:pPr>
      <w:r w:rsidRPr="00D40CE7">
        <w:rPr>
          <w:rFonts w:ascii="Barlow" w:hAnsi="Barlow" w:cs="Arial"/>
          <w:sz w:val="20"/>
          <w:szCs w:val="20"/>
        </w:rPr>
        <w:t>La Ley de Atención y Protección a las Víctimas del Estado de Yucatán</w:t>
      </w:r>
    </w:p>
    <w:p w:rsidR="00FC5B05" w:rsidRPr="00D40CE7" w:rsidRDefault="00FC5B05" w:rsidP="00FC5B05">
      <w:pPr>
        <w:tabs>
          <w:tab w:val="left" w:pos="2565"/>
        </w:tabs>
        <w:autoSpaceDE w:val="0"/>
        <w:autoSpaceDN w:val="0"/>
        <w:adjustRightInd w:val="0"/>
        <w:spacing w:line="360" w:lineRule="auto"/>
        <w:ind w:left="1065"/>
        <w:jc w:val="both"/>
        <w:rPr>
          <w:rFonts w:ascii="Barlow" w:hAnsi="Barlow" w:cs="Arial"/>
          <w:sz w:val="20"/>
          <w:szCs w:val="20"/>
        </w:rPr>
      </w:pPr>
    </w:p>
    <w:p w:rsidR="00FC5B05" w:rsidRPr="00D40CE7" w:rsidRDefault="00D3760C" w:rsidP="00DA1530">
      <w:pPr>
        <w:numPr>
          <w:ilvl w:val="0"/>
          <w:numId w:val="18"/>
        </w:numPr>
        <w:tabs>
          <w:tab w:val="left" w:pos="1065"/>
        </w:tabs>
        <w:autoSpaceDE w:val="0"/>
        <w:autoSpaceDN w:val="0"/>
        <w:adjustRightInd w:val="0"/>
        <w:spacing w:line="360" w:lineRule="auto"/>
        <w:jc w:val="both"/>
        <w:rPr>
          <w:rFonts w:ascii="Barlow" w:hAnsi="Barlow" w:cs="Arial"/>
          <w:sz w:val="20"/>
          <w:szCs w:val="20"/>
        </w:rPr>
      </w:pPr>
      <w:r w:rsidRPr="00D40CE7">
        <w:rPr>
          <w:rFonts w:ascii="Barlow" w:hAnsi="Barlow" w:cs="Arial"/>
          <w:b/>
          <w:sz w:val="20"/>
          <w:szCs w:val="20"/>
        </w:rPr>
        <w:t>Con</w:t>
      </w:r>
      <w:r w:rsidR="00FC5B05" w:rsidRPr="00D40CE7">
        <w:rPr>
          <w:rFonts w:ascii="Barlow" w:hAnsi="Barlow" w:cs="Arial"/>
          <w:b/>
          <w:sz w:val="20"/>
          <w:szCs w:val="20"/>
        </w:rPr>
        <w:t xml:space="preserve">sideraciones fiscales del ente:  </w:t>
      </w:r>
      <w:r w:rsidR="00FC5B05" w:rsidRPr="00D40CE7">
        <w:rPr>
          <w:rFonts w:ascii="Barlow" w:hAnsi="Barlow" w:cs="Arial"/>
          <w:sz w:val="20"/>
          <w:szCs w:val="20"/>
        </w:rPr>
        <w:t>El Fideicomiso no se constituye con fines lucrativos, por lo que no incide en los supuestos normativos que establecen los artículos trece, ciento cuarenta y cuatro, ciento ochenta y seis, doscientos veintitrés y doscientos veintiocho de la Ley del Impuesto sobre la Renta y demás ordenamientos legales</w:t>
      </w:r>
    </w:p>
    <w:p w:rsidR="00FC5B05" w:rsidRPr="00D40CE7" w:rsidRDefault="00FC5B05" w:rsidP="00C4137E">
      <w:pPr>
        <w:tabs>
          <w:tab w:val="left" w:pos="1065"/>
        </w:tabs>
        <w:autoSpaceDE w:val="0"/>
        <w:autoSpaceDN w:val="0"/>
        <w:adjustRightInd w:val="0"/>
        <w:spacing w:line="360" w:lineRule="auto"/>
        <w:jc w:val="both"/>
        <w:rPr>
          <w:rFonts w:ascii="Barlow" w:hAnsi="Barlow" w:cs="Arial"/>
          <w:sz w:val="20"/>
          <w:szCs w:val="20"/>
        </w:rPr>
      </w:pPr>
    </w:p>
    <w:p w:rsidR="00D3760C" w:rsidRPr="00D40CE7" w:rsidRDefault="00D3760C" w:rsidP="00DB0C1A">
      <w:pPr>
        <w:numPr>
          <w:ilvl w:val="0"/>
          <w:numId w:val="18"/>
        </w:numPr>
        <w:tabs>
          <w:tab w:val="left" w:pos="1065"/>
        </w:tabs>
        <w:autoSpaceDE w:val="0"/>
        <w:autoSpaceDN w:val="0"/>
        <w:adjustRightInd w:val="0"/>
        <w:spacing w:line="360" w:lineRule="auto"/>
        <w:ind w:left="705"/>
        <w:jc w:val="both"/>
        <w:rPr>
          <w:rFonts w:ascii="Barlow" w:hAnsi="Barlow" w:cs="Arial"/>
          <w:sz w:val="20"/>
          <w:szCs w:val="20"/>
        </w:rPr>
      </w:pPr>
      <w:r w:rsidRPr="00D40CE7">
        <w:rPr>
          <w:rFonts w:ascii="Barlow" w:hAnsi="Barlow" w:cs="Arial"/>
          <w:b/>
          <w:sz w:val="20"/>
          <w:szCs w:val="20"/>
        </w:rPr>
        <w:t>Estructura Organizacional Básica.</w:t>
      </w:r>
      <w:r w:rsidR="00CF1486" w:rsidRPr="00D40CE7">
        <w:rPr>
          <w:rFonts w:ascii="Barlow" w:hAnsi="Barlow" w:cs="Arial"/>
          <w:b/>
          <w:sz w:val="20"/>
          <w:szCs w:val="20"/>
        </w:rPr>
        <w:t xml:space="preserve"> </w:t>
      </w:r>
      <w:r w:rsidR="00FC5B05" w:rsidRPr="00D40CE7">
        <w:rPr>
          <w:rFonts w:ascii="Barlow" w:hAnsi="Barlow" w:cs="Arial"/>
          <w:sz w:val="20"/>
          <w:szCs w:val="20"/>
          <w:lang w:eastAsia="es-MX"/>
        </w:rPr>
        <w:t xml:space="preserve"> </w:t>
      </w:r>
      <w:r w:rsidR="00FC5B05" w:rsidRPr="00D40CE7">
        <w:rPr>
          <w:rFonts w:ascii="Barlow" w:hAnsi="Barlow" w:cs="Arial"/>
          <w:sz w:val="20"/>
          <w:szCs w:val="20"/>
        </w:rPr>
        <w:t>Su Comité Técnico, de conformidad a la cláusula Sexta del Contrato de Fideicomiso</w:t>
      </w:r>
    </w:p>
    <w:p w:rsidR="00D3760C" w:rsidRPr="00D40CE7" w:rsidRDefault="00D3760C" w:rsidP="00C4137E">
      <w:pPr>
        <w:autoSpaceDE w:val="0"/>
        <w:autoSpaceDN w:val="0"/>
        <w:adjustRightInd w:val="0"/>
        <w:spacing w:line="360" w:lineRule="auto"/>
        <w:jc w:val="both"/>
        <w:rPr>
          <w:rFonts w:ascii="Barlow" w:hAnsi="Barlow" w:cs="Arial"/>
          <w:sz w:val="20"/>
          <w:szCs w:val="20"/>
        </w:rPr>
      </w:pPr>
    </w:p>
    <w:p w:rsidR="00D3760C" w:rsidRPr="00D40CE7" w:rsidRDefault="00D3760C"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5.-</w:t>
      </w:r>
      <w:r w:rsidRPr="00D40CE7">
        <w:rPr>
          <w:rFonts w:ascii="Barlow" w:hAnsi="Barlow" w:cs="Arial"/>
          <w:sz w:val="20"/>
          <w:szCs w:val="20"/>
        </w:rPr>
        <w:t xml:space="preserve"> </w:t>
      </w:r>
      <w:r w:rsidRPr="00D40CE7">
        <w:rPr>
          <w:rFonts w:ascii="Barlow" w:hAnsi="Barlow" w:cs="Arial"/>
          <w:b/>
          <w:sz w:val="20"/>
          <w:szCs w:val="20"/>
        </w:rPr>
        <w:t>Bases para la Preparación de Estados Financieros.</w:t>
      </w:r>
    </w:p>
    <w:p w:rsidR="00D3760C" w:rsidRPr="00D40CE7" w:rsidRDefault="00D3760C" w:rsidP="00C4137E">
      <w:pPr>
        <w:autoSpaceDE w:val="0"/>
        <w:autoSpaceDN w:val="0"/>
        <w:adjustRightInd w:val="0"/>
        <w:spacing w:line="360" w:lineRule="auto"/>
        <w:jc w:val="both"/>
        <w:rPr>
          <w:rFonts w:ascii="Barlow" w:hAnsi="Barlow" w:cs="Arial"/>
          <w:sz w:val="20"/>
          <w:szCs w:val="20"/>
        </w:rPr>
      </w:pPr>
    </w:p>
    <w:p w:rsidR="00D3760C" w:rsidRPr="00D40CE7" w:rsidRDefault="00C91D4B" w:rsidP="006F3B1E">
      <w:pPr>
        <w:numPr>
          <w:ilvl w:val="0"/>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En la preparación de los Estados Financieros del </w:t>
      </w:r>
      <w:r w:rsidR="007B50DC" w:rsidRPr="00D40CE7">
        <w:rPr>
          <w:rFonts w:ascii="Barlow" w:hAnsi="Barlow" w:cs="Arial"/>
          <w:sz w:val="20"/>
          <w:szCs w:val="20"/>
        </w:rPr>
        <w:t>Fideicomiso</w:t>
      </w:r>
      <w:r w:rsidRPr="00D40CE7">
        <w:rPr>
          <w:rFonts w:ascii="Barlow" w:hAnsi="Barlow" w:cs="Arial"/>
          <w:sz w:val="20"/>
          <w:szCs w:val="20"/>
        </w:rPr>
        <w:t>, se observó con lo establecido en la Ley General de Contabilidad Gubernamental, la Ley de Presupuesto y Contabilidad Gubernamental del Estado de Yucatán y demás disposiciones emitidas para tal efecto por el Consejo Nacional de Armonización Contable (CONAC).</w:t>
      </w:r>
      <w:r w:rsidR="00D3760C" w:rsidRPr="00D40CE7">
        <w:rPr>
          <w:rFonts w:ascii="Barlow" w:hAnsi="Barlow" w:cs="Arial"/>
          <w:sz w:val="20"/>
          <w:szCs w:val="20"/>
        </w:rPr>
        <w:t xml:space="preserve">  </w:t>
      </w:r>
    </w:p>
    <w:p w:rsidR="00D3760C" w:rsidRPr="00D40CE7" w:rsidRDefault="00D3760C" w:rsidP="00C4137E">
      <w:pPr>
        <w:numPr>
          <w:ilvl w:val="0"/>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 base de medición utilizada en el registro de las operaciones para la elaboración de los Estados Financieros es a Costo histórico.</w:t>
      </w:r>
    </w:p>
    <w:p w:rsidR="00D3760C" w:rsidRPr="00D40CE7" w:rsidRDefault="00D3760C" w:rsidP="00C4137E">
      <w:pPr>
        <w:numPr>
          <w:ilvl w:val="0"/>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Postulados básicos de la Contabilidad gubernamental aprobados por la </w:t>
      </w:r>
      <w:r w:rsidR="00D40CE7" w:rsidRPr="00D40CE7">
        <w:rPr>
          <w:rFonts w:ascii="Barlow" w:hAnsi="Barlow" w:cs="Arial"/>
          <w:sz w:val="20"/>
          <w:szCs w:val="20"/>
        </w:rPr>
        <w:t>CONAC y</w:t>
      </w:r>
      <w:r w:rsidRPr="00D40CE7">
        <w:rPr>
          <w:rFonts w:ascii="Barlow" w:hAnsi="Barlow" w:cs="Arial"/>
          <w:sz w:val="20"/>
          <w:szCs w:val="20"/>
        </w:rPr>
        <w:t xml:space="preserve"> Publicados en el Diario Oficial del Estado para su difusión.</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Sustancia Económica</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Entes Públicos</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Existencia Permanente</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Revelación Suficiente</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Importancia Relativa</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Registro e Integración Presupuestaria</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lastRenderedPageBreak/>
        <w:t>Consolidación de la Información Financiera</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Devengo Contable</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Valuación</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Dualidad Económica</w:t>
      </w:r>
    </w:p>
    <w:p w:rsidR="00D3760C" w:rsidRPr="00D40CE7" w:rsidRDefault="00D3760C" w:rsidP="00C4137E">
      <w:pPr>
        <w:numPr>
          <w:ilvl w:val="1"/>
          <w:numId w:val="26"/>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Consistencia</w:t>
      </w:r>
    </w:p>
    <w:p w:rsidR="00D3760C" w:rsidRPr="00D40CE7" w:rsidRDefault="00D3760C" w:rsidP="00C4137E">
      <w:pPr>
        <w:autoSpaceDE w:val="0"/>
        <w:autoSpaceDN w:val="0"/>
        <w:adjustRightInd w:val="0"/>
        <w:spacing w:line="360" w:lineRule="auto"/>
        <w:jc w:val="both"/>
        <w:rPr>
          <w:rFonts w:ascii="Barlow" w:hAnsi="Barlow" w:cs="Arial"/>
          <w:sz w:val="20"/>
          <w:szCs w:val="20"/>
        </w:rPr>
      </w:pPr>
    </w:p>
    <w:p w:rsidR="00D3760C" w:rsidRPr="00D40CE7" w:rsidRDefault="00D3760C" w:rsidP="00D258C6">
      <w:pPr>
        <w:autoSpaceDE w:val="0"/>
        <w:autoSpaceDN w:val="0"/>
        <w:adjustRightInd w:val="0"/>
        <w:spacing w:line="360" w:lineRule="auto"/>
        <w:ind w:firstLine="360"/>
        <w:jc w:val="both"/>
        <w:rPr>
          <w:rFonts w:ascii="Barlow" w:hAnsi="Barlow" w:cs="Arial"/>
          <w:sz w:val="20"/>
          <w:szCs w:val="20"/>
        </w:rPr>
      </w:pPr>
      <w:r w:rsidRPr="00D40CE7">
        <w:rPr>
          <w:rFonts w:ascii="Barlow" w:hAnsi="Barlow" w:cs="Arial"/>
          <w:sz w:val="20"/>
          <w:szCs w:val="20"/>
        </w:rPr>
        <w:t>d)   En forma supletoria a las Normas de la Ley General de Contabilidad Gubernamental y a las emitidas por la CONAC aplicar</w:t>
      </w:r>
      <w:r w:rsidR="00D258C6" w:rsidRPr="00D40CE7">
        <w:rPr>
          <w:rFonts w:ascii="Barlow" w:hAnsi="Barlow" w:cs="Arial"/>
          <w:sz w:val="20"/>
          <w:szCs w:val="20"/>
        </w:rPr>
        <w:t>o</w:t>
      </w:r>
      <w:r w:rsidRPr="00D40CE7">
        <w:rPr>
          <w:rFonts w:ascii="Barlow" w:hAnsi="Barlow" w:cs="Arial"/>
          <w:sz w:val="20"/>
          <w:szCs w:val="20"/>
        </w:rPr>
        <w:t>n las siguientes:</w:t>
      </w:r>
    </w:p>
    <w:p w:rsidR="00D3760C" w:rsidRPr="00D40CE7" w:rsidRDefault="00D3760C" w:rsidP="00C4137E">
      <w:pPr>
        <w:numPr>
          <w:ilvl w:val="0"/>
          <w:numId w:val="27"/>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Normatividad emitida por las unidades administrativas o instancias competentes en materia de Contabilidad Gubernamental.</w:t>
      </w:r>
    </w:p>
    <w:p w:rsidR="00D3760C" w:rsidRPr="00D40CE7" w:rsidRDefault="00D3760C" w:rsidP="00C4137E">
      <w:pPr>
        <w:numPr>
          <w:ilvl w:val="0"/>
          <w:numId w:val="27"/>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Las Normas Internacionales de Contabilidad para el sector público (NICSP) emitidas por la junta de Normas Internacionales de Contabilidad del Sector Público.</w:t>
      </w:r>
    </w:p>
    <w:p w:rsidR="00D3760C" w:rsidRPr="00D40CE7" w:rsidRDefault="00D3760C" w:rsidP="00C4137E">
      <w:pPr>
        <w:numPr>
          <w:ilvl w:val="0"/>
          <w:numId w:val="27"/>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Las normas de información financiera del consejo </w:t>
      </w:r>
      <w:r w:rsidR="00D40CE7" w:rsidRPr="00D40CE7">
        <w:rPr>
          <w:rFonts w:ascii="Barlow" w:hAnsi="Barlow" w:cs="Arial"/>
          <w:sz w:val="20"/>
          <w:szCs w:val="20"/>
        </w:rPr>
        <w:t>mexicano</w:t>
      </w:r>
      <w:r w:rsidRPr="00D40CE7">
        <w:rPr>
          <w:rFonts w:ascii="Barlow" w:hAnsi="Barlow" w:cs="Arial"/>
          <w:sz w:val="20"/>
          <w:szCs w:val="20"/>
        </w:rPr>
        <w:t xml:space="preserve"> para la investigación y Desarrollo de normas de Información Financiera A.C. (CINIF).</w:t>
      </w:r>
    </w:p>
    <w:p w:rsidR="00D3760C" w:rsidRPr="00D40CE7" w:rsidRDefault="00D3760C" w:rsidP="00C4137E">
      <w:pPr>
        <w:autoSpaceDE w:val="0"/>
        <w:autoSpaceDN w:val="0"/>
        <w:adjustRightInd w:val="0"/>
        <w:spacing w:line="360" w:lineRule="auto"/>
        <w:ind w:left="720"/>
        <w:jc w:val="both"/>
        <w:rPr>
          <w:rFonts w:ascii="Barlow" w:hAnsi="Barlow" w:cs="Arial"/>
          <w:sz w:val="20"/>
          <w:szCs w:val="20"/>
        </w:rPr>
      </w:pPr>
    </w:p>
    <w:p w:rsidR="00D3760C" w:rsidRPr="00D40CE7" w:rsidRDefault="00D3760C"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6.- Políticas de Contabilidad Significativas.</w:t>
      </w:r>
    </w:p>
    <w:p w:rsidR="00D3760C" w:rsidRPr="00D40CE7" w:rsidRDefault="00D3760C" w:rsidP="00C4137E">
      <w:pPr>
        <w:autoSpaceDE w:val="0"/>
        <w:autoSpaceDN w:val="0"/>
        <w:adjustRightInd w:val="0"/>
        <w:spacing w:line="360" w:lineRule="auto"/>
        <w:jc w:val="both"/>
        <w:rPr>
          <w:rFonts w:ascii="Barlow" w:hAnsi="Barlow" w:cs="Arial"/>
          <w:b/>
          <w:sz w:val="20"/>
          <w:szCs w:val="20"/>
        </w:rPr>
      </w:pPr>
    </w:p>
    <w:p w:rsidR="00D3760C" w:rsidRPr="00D40CE7" w:rsidRDefault="009B7816" w:rsidP="009B7816">
      <w:pPr>
        <w:numPr>
          <w:ilvl w:val="0"/>
          <w:numId w:val="28"/>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Los Estados Financieros del </w:t>
      </w:r>
      <w:r w:rsidR="007B50DC" w:rsidRPr="00D40CE7">
        <w:rPr>
          <w:rFonts w:ascii="Barlow" w:hAnsi="Barlow" w:cs="Arial"/>
          <w:sz w:val="20"/>
          <w:szCs w:val="20"/>
        </w:rPr>
        <w:t>Fideicomiso</w:t>
      </w:r>
      <w:r w:rsidRPr="00D40CE7">
        <w:rPr>
          <w:rFonts w:ascii="Barlow" w:hAnsi="Barlow" w:cs="Arial"/>
          <w:sz w:val="20"/>
          <w:szCs w:val="20"/>
        </w:rPr>
        <w:t xml:space="preserve"> no reconocen los efectos de la inflación, toda vez que no se actualiza lo previsto en las Principales Reglas de Registro y Valoración del Patrimonio (elementos generales), en cuanto a que, se indica que es necesario reconocer los efectos de la inflación cuando exista un entorno inflacionario, derivado de lo anterior, no estamos dentro de un entorno inflacionario, por lo cual no se actualiza. </w:t>
      </w:r>
    </w:p>
    <w:p w:rsidR="00D3760C" w:rsidRPr="00D40CE7" w:rsidRDefault="00D3760C" w:rsidP="00C4137E">
      <w:pPr>
        <w:numPr>
          <w:ilvl w:val="0"/>
          <w:numId w:val="28"/>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El </w:t>
      </w:r>
      <w:r w:rsidR="007B50DC" w:rsidRPr="00D40CE7">
        <w:rPr>
          <w:rFonts w:ascii="Barlow" w:hAnsi="Barlow" w:cs="Arial"/>
          <w:sz w:val="20"/>
          <w:szCs w:val="20"/>
        </w:rPr>
        <w:t>Fideicomiso</w:t>
      </w:r>
      <w:r w:rsidRPr="00D40CE7">
        <w:rPr>
          <w:rFonts w:ascii="Barlow" w:hAnsi="Barlow" w:cs="Arial"/>
          <w:sz w:val="20"/>
          <w:szCs w:val="20"/>
        </w:rPr>
        <w:t xml:space="preserve"> del Gobierno del Estado, no </w:t>
      </w:r>
      <w:r w:rsidR="00D40CE7" w:rsidRPr="00D40CE7">
        <w:rPr>
          <w:rFonts w:ascii="Barlow" w:hAnsi="Barlow" w:cs="Arial"/>
          <w:sz w:val="20"/>
          <w:szCs w:val="20"/>
        </w:rPr>
        <w:t>realizó operaciones</w:t>
      </w:r>
      <w:r w:rsidRPr="00D40CE7">
        <w:rPr>
          <w:rFonts w:ascii="Barlow" w:hAnsi="Barlow" w:cs="Arial"/>
          <w:sz w:val="20"/>
          <w:szCs w:val="20"/>
        </w:rPr>
        <w:t xml:space="preserve"> en el extranjero.</w:t>
      </w:r>
    </w:p>
    <w:p w:rsidR="00D3760C" w:rsidRPr="00D40CE7" w:rsidRDefault="00D40CE7" w:rsidP="00C4137E">
      <w:pPr>
        <w:numPr>
          <w:ilvl w:val="0"/>
          <w:numId w:val="28"/>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Las inversiones en acciones en Empresas de participación Estatal se encuentran</w:t>
      </w:r>
      <w:r w:rsidR="00D3760C" w:rsidRPr="00D40CE7">
        <w:rPr>
          <w:rFonts w:ascii="Barlow" w:hAnsi="Barlow" w:cs="Arial"/>
          <w:sz w:val="20"/>
          <w:szCs w:val="20"/>
        </w:rPr>
        <w:t xml:space="preserve"> registradas a valor histórico.</w:t>
      </w:r>
    </w:p>
    <w:p w:rsidR="00D3760C" w:rsidRPr="00D40CE7" w:rsidRDefault="00D3760C" w:rsidP="00C4137E">
      <w:pPr>
        <w:numPr>
          <w:ilvl w:val="0"/>
          <w:numId w:val="28"/>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lastRenderedPageBreak/>
        <w:t xml:space="preserve">Las Dependencias del Sector Centralizado que forman el </w:t>
      </w:r>
      <w:r w:rsidR="007B50DC" w:rsidRPr="00D40CE7">
        <w:rPr>
          <w:rFonts w:ascii="Barlow" w:hAnsi="Barlow" w:cs="Arial"/>
          <w:sz w:val="20"/>
          <w:szCs w:val="20"/>
        </w:rPr>
        <w:t>Fideicomiso</w:t>
      </w:r>
      <w:r w:rsidRPr="00D40CE7">
        <w:rPr>
          <w:rFonts w:ascii="Barlow" w:hAnsi="Barlow" w:cs="Arial"/>
          <w:sz w:val="20"/>
          <w:szCs w:val="20"/>
        </w:rPr>
        <w:t xml:space="preserve"> del Gobierno del Estado, no cuentan con inventarios de mercancías para venta</w:t>
      </w:r>
      <w:r w:rsidR="007E77DA" w:rsidRPr="00D40CE7">
        <w:rPr>
          <w:rFonts w:ascii="Barlow" w:hAnsi="Barlow" w:cs="Arial"/>
          <w:sz w:val="20"/>
          <w:szCs w:val="20"/>
        </w:rPr>
        <w:t>, por lo que no se cuenta con registro en almacenes.</w:t>
      </w:r>
    </w:p>
    <w:p w:rsidR="0093585E" w:rsidRPr="00D40CE7" w:rsidRDefault="0093585E" w:rsidP="00C4137E">
      <w:pPr>
        <w:numPr>
          <w:ilvl w:val="0"/>
          <w:numId w:val="28"/>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El </w:t>
      </w:r>
      <w:r w:rsidR="006E1089" w:rsidRPr="00D40CE7">
        <w:rPr>
          <w:rFonts w:ascii="Barlow" w:hAnsi="Barlow" w:cs="Arial"/>
          <w:sz w:val="20"/>
          <w:szCs w:val="20"/>
        </w:rPr>
        <w:t>cálculo</w:t>
      </w:r>
      <w:r w:rsidRPr="00D40CE7">
        <w:rPr>
          <w:rFonts w:ascii="Barlow" w:hAnsi="Barlow" w:cs="Arial"/>
          <w:sz w:val="20"/>
          <w:szCs w:val="20"/>
        </w:rPr>
        <w:t xml:space="preserve"> de la reserva actuarial, la realiza el Instituto de Seguridad de los Trabajadores al Servicio del Estado, </w:t>
      </w:r>
      <w:r w:rsidR="006E1089" w:rsidRPr="00D40CE7">
        <w:rPr>
          <w:rFonts w:ascii="Barlow" w:hAnsi="Barlow" w:cs="Arial"/>
          <w:sz w:val="20"/>
          <w:szCs w:val="20"/>
        </w:rPr>
        <w:t>órgano</w:t>
      </w:r>
      <w:r w:rsidRPr="00D40CE7">
        <w:rPr>
          <w:rFonts w:ascii="Barlow" w:hAnsi="Barlow" w:cs="Arial"/>
          <w:sz w:val="20"/>
          <w:szCs w:val="20"/>
        </w:rPr>
        <w:t xml:space="preserve"> descentralizado del Sector Central.</w:t>
      </w:r>
    </w:p>
    <w:p w:rsidR="00D3760C" w:rsidRPr="00D40CE7" w:rsidRDefault="00D3760C" w:rsidP="00C4137E">
      <w:pPr>
        <w:numPr>
          <w:ilvl w:val="0"/>
          <w:numId w:val="28"/>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 xml:space="preserve">Los Estados financieros no presentan registros </w:t>
      </w:r>
      <w:r w:rsidR="007E77DA" w:rsidRPr="00D40CE7">
        <w:rPr>
          <w:rFonts w:ascii="Barlow" w:hAnsi="Barlow" w:cs="Arial"/>
          <w:sz w:val="20"/>
          <w:szCs w:val="20"/>
        </w:rPr>
        <w:t xml:space="preserve">de creación o aumento </w:t>
      </w:r>
      <w:r w:rsidRPr="00D40CE7">
        <w:rPr>
          <w:rFonts w:ascii="Barlow" w:hAnsi="Barlow" w:cs="Arial"/>
          <w:sz w:val="20"/>
          <w:szCs w:val="20"/>
        </w:rPr>
        <w:t>de reservas.</w:t>
      </w:r>
    </w:p>
    <w:p w:rsidR="00522850" w:rsidRPr="00D40CE7" w:rsidRDefault="00522850" w:rsidP="00522850">
      <w:pPr>
        <w:numPr>
          <w:ilvl w:val="0"/>
          <w:numId w:val="28"/>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No se realizaron cambios con</w:t>
      </w:r>
      <w:r w:rsidR="00FC0B76" w:rsidRPr="00D40CE7">
        <w:rPr>
          <w:rFonts w:ascii="Barlow" w:hAnsi="Barlow" w:cs="Arial"/>
          <w:sz w:val="20"/>
          <w:szCs w:val="20"/>
        </w:rPr>
        <w:t xml:space="preserve">tables durante el ejercicio </w:t>
      </w:r>
      <w:r w:rsidR="00FF2E57" w:rsidRPr="00D40CE7">
        <w:rPr>
          <w:rFonts w:ascii="Barlow" w:hAnsi="Barlow" w:cs="Arial"/>
          <w:sz w:val="20"/>
          <w:szCs w:val="20"/>
        </w:rPr>
        <w:t>202</w:t>
      </w:r>
      <w:r w:rsidR="00D4791B" w:rsidRPr="00D40CE7">
        <w:rPr>
          <w:rFonts w:ascii="Barlow" w:hAnsi="Barlow" w:cs="Arial"/>
          <w:sz w:val="20"/>
          <w:szCs w:val="20"/>
        </w:rPr>
        <w:t>2</w:t>
      </w:r>
      <w:r w:rsidR="00232EA7" w:rsidRPr="00D40CE7">
        <w:rPr>
          <w:rFonts w:ascii="Barlow" w:hAnsi="Barlow" w:cs="Arial"/>
          <w:sz w:val="20"/>
          <w:szCs w:val="20"/>
        </w:rPr>
        <w:t>.</w:t>
      </w:r>
    </w:p>
    <w:p w:rsidR="0093585E" w:rsidRPr="00D40CE7" w:rsidRDefault="00522850" w:rsidP="00522850">
      <w:pPr>
        <w:numPr>
          <w:ilvl w:val="0"/>
          <w:numId w:val="28"/>
        </w:numPr>
        <w:autoSpaceDE w:val="0"/>
        <w:autoSpaceDN w:val="0"/>
        <w:adjustRightInd w:val="0"/>
        <w:spacing w:line="360" w:lineRule="auto"/>
        <w:jc w:val="both"/>
        <w:rPr>
          <w:rFonts w:ascii="Barlow" w:hAnsi="Barlow" w:cs="Arial"/>
          <w:sz w:val="20"/>
          <w:szCs w:val="20"/>
        </w:rPr>
      </w:pPr>
      <w:r w:rsidRPr="00D40CE7">
        <w:rPr>
          <w:rFonts w:ascii="Barlow" w:hAnsi="Barlow" w:cs="Arial"/>
          <w:sz w:val="20"/>
          <w:szCs w:val="20"/>
        </w:rPr>
        <w:t>Respecto a las correcciones de errores, reclasificaciones, depuración y cancelación de saldos, estos se ven reflejados en la cuenta de Hacienda Pública.</w:t>
      </w:r>
    </w:p>
    <w:p w:rsidR="00D3760C" w:rsidRPr="00D40CE7" w:rsidRDefault="00D3760C" w:rsidP="00C4137E">
      <w:pPr>
        <w:autoSpaceDE w:val="0"/>
        <w:autoSpaceDN w:val="0"/>
        <w:adjustRightInd w:val="0"/>
        <w:spacing w:line="360" w:lineRule="auto"/>
        <w:jc w:val="both"/>
        <w:rPr>
          <w:rFonts w:ascii="Barlow" w:hAnsi="Barlow" w:cs="Arial"/>
          <w:b/>
          <w:sz w:val="20"/>
          <w:szCs w:val="20"/>
        </w:rPr>
      </w:pPr>
    </w:p>
    <w:p w:rsidR="00D3760C" w:rsidRPr="00D40CE7" w:rsidRDefault="00D3760C"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7.- Posición en Moneda Extranjera y Protección por Riesgo Cambiario.</w:t>
      </w:r>
      <w:r w:rsidR="00FC0B76" w:rsidRPr="00D40CE7">
        <w:rPr>
          <w:rFonts w:ascii="Barlow" w:hAnsi="Barlow" w:cs="Arial"/>
          <w:b/>
          <w:sz w:val="20"/>
          <w:szCs w:val="20"/>
        </w:rPr>
        <w:t xml:space="preserve"> (NINGUNO)</w:t>
      </w:r>
    </w:p>
    <w:p w:rsidR="00D3760C" w:rsidRPr="00D40CE7" w:rsidRDefault="00D3760C"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8.- Reporte Analítico del Activo.</w:t>
      </w:r>
      <w:r w:rsidR="009F3293" w:rsidRPr="00D40CE7">
        <w:rPr>
          <w:rFonts w:ascii="Barlow" w:hAnsi="Barlow" w:cs="Arial"/>
          <w:b/>
          <w:sz w:val="20"/>
          <w:szCs w:val="20"/>
        </w:rPr>
        <w:t xml:space="preserve"> (NINGUNO)</w:t>
      </w:r>
    </w:p>
    <w:p w:rsidR="00DB5E38" w:rsidRPr="00D40CE7" w:rsidRDefault="00DB5E3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 xml:space="preserve">9.- Fideicomisos, Mandatos y </w:t>
      </w:r>
      <w:r w:rsidR="00D40CE7" w:rsidRPr="00D40CE7">
        <w:rPr>
          <w:rFonts w:ascii="Barlow" w:hAnsi="Barlow" w:cs="Arial"/>
          <w:b/>
          <w:sz w:val="20"/>
          <w:szCs w:val="20"/>
        </w:rPr>
        <w:t>Análogos (</w:t>
      </w:r>
      <w:r w:rsidR="009F3293" w:rsidRPr="00D40CE7">
        <w:rPr>
          <w:rFonts w:ascii="Barlow" w:hAnsi="Barlow" w:cs="Arial"/>
          <w:b/>
          <w:sz w:val="20"/>
          <w:szCs w:val="20"/>
        </w:rPr>
        <w:t>NINGUNO)</w:t>
      </w:r>
    </w:p>
    <w:p w:rsidR="001105EC" w:rsidRPr="00D40CE7" w:rsidRDefault="001105EC"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10.- Reporte de la Recaudación.</w:t>
      </w:r>
      <w:r w:rsidR="009F3293" w:rsidRPr="00D40CE7">
        <w:rPr>
          <w:rFonts w:ascii="Barlow" w:hAnsi="Barlow" w:cs="Arial"/>
          <w:b/>
          <w:sz w:val="20"/>
          <w:szCs w:val="20"/>
        </w:rPr>
        <w:t xml:space="preserve"> (NINGUNO)</w:t>
      </w:r>
    </w:p>
    <w:p w:rsidR="001105EC" w:rsidRPr="00D40CE7" w:rsidRDefault="001105EC"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 xml:space="preserve">11. Información sobre la Deuda y el Reporte </w:t>
      </w:r>
      <w:r w:rsidR="006E1089" w:rsidRPr="00D40CE7">
        <w:rPr>
          <w:rFonts w:ascii="Barlow" w:hAnsi="Barlow" w:cs="Arial"/>
          <w:b/>
          <w:sz w:val="20"/>
          <w:szCs w:val="20"/>
        </w:rPr>
        <w:t>Analítico</w:t>
      </w:r>
      <w:r w:rsidRPr="00D40CE7">
        <w:rPr>
          <w:rFonts w:ascii="Barlow" w:hAnsi="Barlow" w:cs="Arial"/>
          <w:b/>
          <w:sz w:val="20"/>
          <w:szCs w:val="20"/>
        </w:rPr>
        <w:t xml:space="preserve"> de la Deuda</w:t>
      </w:r>
      <w:r w:rsidR="009F3293" w:rsidRPr="00D40CE7">
        <w:rPr>
          <w:rFonts w:ascii="Barlow" w:hAnsi="Barlow" w:cs="Arial"/>
          <w:b/>
          <w:sz w:val="20"/>
          <w:szCs w:val="20"/>
        </w:rPr>
        <w:t xml:space="preserve"> (NINGUNA)</w:t>
      </w:r>
    </w:p>
    <w:p w:rsidR="00D3760C" w:rsidRPr="00D40CE7" w:rsidRDefault="009C4317"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12</w:t>
      </w:r>
      <w:r w:rsidR="00D3760C" w:rsidRPr="00D40CE7">
        <w:rPr>
          <w:rFonts w:ascii="Barlow" w:hAnsi="Barlow" w:cs="Arial"/>
          <w:b/>
          <w:sz w:val="20"/>
          <w:szCs w:val="20"/>
        </w:rPr>
        <w:t>.- Calificaciones Otorgadas.</w:t>
      </w:r>
      <w:r w:rsidR="009F3293" w:rsidRPr="00D40CE7">
        <w:rPr>
          <w:rFonts w:ascii="Barlow" w:hAnsi="Barlow" w:cs="Arial"/>
          <w:b/>
          <w:sz w:val="20"/>
          <w:szCs w:val="20"/>
        </w:rPr>
        <w:t xml:space="preserve"> (NINGUNA)</w:t>
      </w:r>
    </w:p>
    <w:p w:rsidR="009C4317" w:rsidRPr="00D40CE7" w:rsidRDefault="00DB0C1A"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1</w:t>
      </w:r>
      <w:r w:rsidR="009C4317" w:rsidRPr="00D40CE7">
        <w:rPr>
          <w:rFonts w:ascii="Barlow" w:hAnsi="Barlow" w:cs="Arial"/>
          <w:b/>
          <w:sz w:val="20"/>
          <w:szCs w:val="20"/>
        </w:rPr>
        <w:t xml:space="preserve">3.- </w:t>
      </w:r>
      <w:r w:rsidR="008A76C8" w:rsidRPr="00D40CE7">
        <w:rPr>
          <w:rFonts w:ascii="Barlow" w:hAnsi="Barlow" w:cs="Arial"/>
          <w:b/>
          <w:sz w:val="20"/>
          <w:szCs w:val="20"/>
        </w:rPr>
        <w:t xml:space="preserve">Proceso de </w:t>
      </w:r>
      <w:r w:rsidR="00D40CE7" w:rsidRPr="00D40CE7">
        <w:rPr>
          <w:rFonts w:ascii="Barlow" w:hAnsi="Barlow" w:cs="Arial"/>
          <w:b/>
          <w:sz w:val="20"/>
          <w:szCs w:val="20"/>
        </w:rPr>
        <w:t>Mejora (</w:t>
      </w:r>
      <w:r w:rsidR="009F3293" w:rsidRPr="00D40CE7">
        <w:rPr>
          <w:rFonts w:ascii="Barlow" w:hAnsi="Barlow" w:cs="Arial"/>
          <w:b/>
          <w:sz w:val="20"/>
          <w:szCs w:val="20"/>
        </w:rPr>
        <w:t>NINGUNO)</w:t>
      </w:r>
    </w:p>
    <w:p w:rsidR="002C663F" w:rsidRPr="00D40CE7" w:rsidRDefault="002C663F" w:rsidP="002C663F">
      <w:pPr>
        <w:spacing w:line="360" w:lineRule="auto"/>
        <w:jc w:val="both"/>
        <w:rPr>
          <w:rFonts w:ascii="Barlow" w:hAnsi="Barlow" w:cs="Arial"/>
          <w:sz w:val="20"/>
          <w:szCs w:val="20"/>
        </w:rPr>
      </w:pPr>
    </w:p>
    <w:p w:rsidR="002C663F" w:rsidRPr="00D40CE7" w:rsidRDefault="002C663F" w:rsidP="002C663F">
      <w:pPr>
        <w:spacing w:after="200" w:line="360" w:lineRule="auto"/>
        <w:jc w:val="both"/>
        <w:rPr>
          <w:rFonts w:ascii="Barlow" w:hAnsi="Barlow" w:cs="Arial"/>
          <w:sz w:val="20"/>
          <w:szCs w:val="20"/>
        </w:rPr>
      </w:pPr>
      <w:r w:rsidRPr="00D40CE7">
        <w:rPr>
          <w:rFonts w:ascii="Barlow" w:hAnsi="Barlow" w:cs="Arial"/>
          <w:sz w:val="20"/>
          <w:szCs w:val="20"/>
        </w:rPr>
        <w:t>RESULTADOS.</w:t>
      </w:r>
    </w:p>
    <w:p w:rsidR="002C663F" w:rsidRPr="00D40CE7" w:rsidRDefault="005758D5" w:rsidP="009F3293">
      <w:pPr>
        <w:autoSpaceDE w:val="0"/>
        <w:autoSpaceDN w:val="0"/>
        <w:adjustRightInd w:val="0"/>
        <w:spacing w:line="360" w:lineRule="auto"/>
        <w:jc w:val="both"/>
        <w:rPr>
          <w:rFonts w:ascii="Barlow" w:hAnsi="Barlow" w:cs="Arial"/>
          <w:sz w:val="20"/>
          <w:szCs w:val="20"/>
          <w:highlight w:val="yellow"/>
        </w:rPr>
      </w:pPr>
      <w:r w:rsidRPr="00D40CE7">
        <w:rPr>
          <w:rFonts w:ascii="Barlow" w:hAnsi="Barlow" w:cs="Arial"/>
          <w:sz w:val="20"/>
          <w:szCs w:val="20"/>
        </w:rPr>
        <w:t xml:space="preserve">Al </w:t>
      </w:r>
      <w:r w:rsidR="009643E9" w:rsidRPr="00D40CE7">
        <w:rPr>
          <w:rFonts w:ascii="Barlow" w:hAnsi="Barlow" w:cs="Arial"/>
          <w:sz w:val="20"/>
          <w:szCs w:val="20"/>
        </w:rPr>
        <w:t>31</w:t>
      </w:r>
      <w:r w:rsidRPr="00D40CE7">
        <w:rPr>
          <w:rFonts w:ascii="Barlow" w:hAnsi="Barlow" w:cs="Arial"/>
          <w:sz w:val="20"/>
          <w:szCs w:val="20"/>
        </w:rPr>
        <w:t xml:space="preserve"> de </w:t>
      </w:r>
      <w:proofErr w:type="gramStart"/>
      <w:r w:rsidR="00215646" w:rsidRPr="00D40CE7">
        <w:rPr>
          <w:rFonts w:ascii="Barlow" w:hAnsi="Barlow" w:cs="Arial"/>
          <w:sz w:val="20"/>
          <w:szCs w:val="20"/>
        </w:rPr>
        <w:t>Enero</w:t>
      </w:r>
      <w:proofErr w:type="gramEnd"/>
      <w:r w:rsidR="00215646" w:rsidRPr="00D40CE7">
        <w:rPr>
          <w:rFonts w:ascii="Barlow" w:hAnsi="Barlow" w:cs="Arial"/>
          <w:sz w:val="20"/>
          <w:szCs w:val="20"/>
        </w:rPr>
        <w:t xml:space="preserve"> de </w:t>
      </w:r>
      <w:r w:rsidR="00D40CE7" w:rsidRPr="00D40CE7">
        <w:rPr>
          <w:rFonts w:ascii="Barlow" w:hAnsi="Barlow" w:cs="Arial"/>
          <w:sz w:val="20"/>
          <w:szCs w:val="20"/>
        </w:rPr>
        <w:t>2022 se</w:t>
      </w:r>
      <w:r w:rsidRPr="00D40CE7">
        <w:rPr>
          <w:rFonts w:ascii="Barlow" w:hAnsi="Barlow" w:cs="Arial"/>
          <w:sz w:val="20"/>
          <w:szCs w:val="20"/>
        </w:rPr>
        <w:t xml:space="preserve"> advierte un </w:t>
      </w:r>
      <w:r w:rsidR="00E74546" w:rsidRPr="00D40CE7">
        <w:rPr>
          <w:rFonts w:ascii="Barlow" w:hAnsi="Barlow" w:cs="Arial"/>
          <w:sz w:val="20"/>
          <w:szCs w:val="20"/>
        </w:rPr>
        <w:t>resultado</w:t>
      </w:r>
      <w:r w:rsidR="002C663F" w:rsidRPr="00D40CE7">
        <w:rPr>
          <w:rFonts w:ascii="Barlow" w:hAnsi="Barlow" w:cs="Arial"/>
          <w:sz w:val="20"/>
          <w:szCs w:val="20"/>
        </w:rPr>
        <w:t xml:space="preserve"> contable y presupuestal en los Estados Financieros del </w:t>
      </w:r>
      <w:r w:rsidR="007B50DC" w:rsidRPr="00D40CE7">
        <w:rPr>
          <w:rFonts w:ascii="Barlow" w:hAnsi="Barlow" w:cs="Arial"/>
          <w:sz w:val="20"/>
          <w:szCs w:val="20"/>
        </w:rPr>
        <w:t>Fideicomiso</w:t>
      </w:r>
      <w:r w:rsidR="002C663F" w:rsidRPr="00D40CE7">
        <w:rPr>
          <w:rFonts w:ascii="Barlow" w:hAnsi="Barlow" w:cs="Arial"/>
          <w:sz w:val="20"/>
          <w:szCs w:val="20"/>
        </w:rPr>
        <w:t xml:space="preserve">, por </w:t>
      </w:r>
      <w:r w:rsidR="00DF42C3" w:rsidRPr="00D40CE7">
        <w:rPr>
          <w:rFonts w:ascii="Barlow" w:hAnsi="Barlow" w:cs="Arial"/>
          <w:sz w:val="20"/>
          <w:szCs w:val="20"/>
        </w:rPr>
        <w:t xml:space="preserve">$ </w:t>
      </w:r>
      <w:r w:rsidR="00215646" w:rsidRPr="00D40CE7">
        <w:rPr>
          <w:rFonts w:ascii="Barlow" w:hAnsi="Barlow" w:cs="Arial"/>
          <w:sz w:val="20"/>
          <w:szCs w:val="20"/>
        </w:rPr>
        <w:t>-</w:t>
      </w:r>
      <w:r w:rsidR="00932569" w:rsidRPr="00D40CE7">
        <w:rPr>
          <w:rFonts w:ascii="Barlow" w:hAnsi="Barlow" w:cs="Arial"/>
          <w:sz w:val="20"/>
          <w:szCs w:val="20"/>
        </w:rPr>
        <w:t>7,084,821.76</w:t>
      </w:r>
    </w:p>
    <w:p w:rsidR="009C4317" w:rsidRPr="00D40CE7" w:rsidRDefault="008A76C8"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 xml:space="preserve">14. Información por Segmentos, </w:t>
      </w:r>
      <w:r w:rsidRPr="00D40CE7">
        <w:rPr>
          <w:rFonts w:ascii="Barlow" w:hAnsi="Barlow" w:cs="Arial"/>
          <w:sz w:val="20"/>
          <w:szCs w:val="20"/>
        </w:rPr>
        <w:t xml:space="preserve">No aplica </w:t>
      </w:r>
      <w:r w:rsidRPr="00D40CE7">
        <w:rPr>
          <w:rFonts w:ascii="Barlow" w:hAnsi="Barlow" w:cs="Arial"/>
          <w:b/>
          <w:sz w:val="20"/>
          <w:szCs w:val="20"/>
        </w:rPr>
        <w:t xml:space="preserve">  </w:t>
      </w:r>
    </w:p>
    <w:p w:rsidR="00512E42" w:rsidRPr="00D40CE7" w:rsidRDefault="00512E42" w:rsidP="00C4137E">
      <w:pPr>
        <w:autoSpaceDE w:val="0"/>
        <w:autoSpaceDN w:val="0"/>
        <w:adjustRightInd w:val="0"/>
        <w:spacing w:line="360" w:lineRule="auto"/>
        <w:jc w:val="both"/>
        <w:rPr>
          <w:rFonts w:ascii="Barlow" w:hAnsi="Barlow" w:cs="Arial"/>
          <w:b/>
          <w:sz w:val="20"/>
          <w:szCs w:val="20"/>
        </w:rPr>
      </w:pPr>
      <w:r w:rsidRPr="00D40CE7">
        <w:rPr>
          <w:rFonts w:ascii="Barlow" w:hAnsi="Barlow" w:cs="Arial"/>
          <w:b/>
          <w:sz w:val="20"/>
          <w:szCs w:val="20"/>
        </w:rPr>
        <w:t>15.- Eventos Posteriores.</w:t>
      </w:r>
      <w:r w:rsidR="00E25EFA" w:rsidRPr="00D40CE7">
        <w:rPr>
          <w:rFonts w:ascii="Barlow" w:hAnsi="Barlow" w:cs="Arial"/>
          <w:b/>
          <w:sz w:val="20"/>
          <w:szCs w:val="20"/>
        </w:rPr>
        <w:t xml:space="preserve"> </w:t>
      </w:r>
      <w:r w:rsidR="00E25EFA" w:rsidRPr="00D40CE7">
        <w:rPr>
          <w:rFonts w:ascii="Barlow" w:hAnsi="Barlow" w:cs="Arial"/>
          <w:sz w:val="20"/>
          <w:szCs w:val="20"/>
        </w:rPr>
        <w:t>No aplica</w:t>
      </w:r>
    </w:p>
    <w:p w:rsidR="009C4317" w:rsidRPr="00D40CE7" w:rsidRDefault="00512E42" w:rsidP="00C4137E">
      <w:pPr>
        <w:autoSpaceDE w:val="0"/>
        <w:autoSpaceDN w:val="0"/>
        <w:adjustRightInd w:val="0"/>
        <w:spacing w:line="360" w:lineRule="auto"/>
        <w:jc w:val="both"/>
        <w:rPr>
          <w:rFonts w:ascii="Barlow" w:hAnsi="Barlow" w:cs="Arial"/>
          <w:sz w:val="20"/>
          <w:szCs w:val="20"/>
        </w:rPr>
      </w:pPr>
      <w:r w:rsidRPr="00D40CE7">
        <w:rPr>
          <w:rFonts w:ascii="Barlow" w:hAnsi="Barlow" w:cs="Arial"/>
          <w:b/>
          <w:sz w:val="20"/>
          <w:szCs w:val="20"/>
        </w:rPr>
        <w:lastRenderedPageBreak/>
        <w:t>16.- Partes Relacionadas</w:t>
      </w:r>
      <w:r w:rsidR="00E605B4" w:rsidRPr="00D40CE7">
        <w:rPr>
          <w:rFonts w:ascii="Barlow" w:hAnsi="Barlow" w:cs="Arial"/>
          <w:b/>
          <w:sz w:val="20"/>
          <w:szCs w:val="20"/>
        </w:rPr>
        <w:t xml:space="preserve">, </w:t>
      </w:r>
      <w:r w:rsidR="00E605B4" w:rsidRPr="00D40CE7">
        <w:rPr>
          <w:rFonts w:ascii="Barlow" w:hAnsi="Barlow" w:cs="Arial"/>
          <w:sz w:val="20"/>
          <w:szCs w:val="20"/>
        </w:rPr>
        <w:t>No aplica</w:t>
      </w:r>
      <w:r w:rsidRPr="00D40CE7">
        <w:rPr>
          <w:rFonts w:ascii="Barlow" w:hAnsi="Barlow" w:cs="Arial"/>
          <w:sz w:val="20"/>
          <w:szCs w:val="20"/>
        </w:rPr>
        <w:t>.</w:t>
      </w:r>
    </w:p>
    <w:p w:rsidR="0023705C" w:rsidRPr="00D40CE7" w:rsidRDefault="0023705C" w:rsidP="00055DF3">
      <w:pPr>
        <w:jc w:val="both"/>
        <w:rPr>
          <w:rFonts w:ascii="Barlow" w:hAnsi="Barlow" w:cs="Arial"/>
          <w:color w:val="000000"/>
          <w:sz w:val="20"/>
          <w:szCs w:val="20"/>
          <w:lang w:eastAsia="es-MX"/>
        </w:rPr>
      </w:pPr>
    </w:p>
    <w:p w:rsidR="00A17B33" w:rsidRPr="00D40CE7" w:rsidRDefault="00D20015" w:rsidP="00055DF3">
      <w:pPr>
        <w:jc w:val="both"/>
        <w:rPr>
          <w:rFonts w:ascii="Barlow" w:hAnsi="Barlow" w:cs="Arial"/>
          <w:b/>
          <w:sz w:val="20"/>
          <w:szCs w:val="20"/>
        </w:rPr>
      </w:pPr>
      <w:r w:rsidRPr="00D40CE7">
        <w:rPr>
          <w:rFonts w:ascii="Barlow" w:hAnsi="Barlow" w:cs="Arial"/>
          <w:color w:val="000000"/>
          <w:sz w:val="20"/>
          <w:szCs w:val="20"/>
          <w:lang w:eastAsia="es-MX"/>
        </w:rPr>
        <w:t xml:space="preserve">Bajo protesta de decir verdad declaramos que los Estados Financieros y sus Notas son razonablemente correctos y </w:t>
      </w:r>
      <w:r w:rsidR="00D40CE7">
        <w:rPr>
          <w:rFonts w:ascii="Barlow" w:hAnsi="Barlow" w:cs="Arial"/>
          <w:color w:val="000000"/>
          <w:sz w:val="20"/>
          <w:szCs w:val="20"/>
          <w:lang w:eastAsia="es-MX"/>
        </w:rPr>
        <w:t xml:space="preserve">son </w:t>
      </w:r>
      <w:r w:rsidRPr="00D40CE7">
        <w:rPr>
          <w:rFonts w:ascii="Barlow" w:hAnsi="Barlow" w:cs="Arial"/>
          <w:color w:val="000000"/>
          <w:sz w:val="20"/>
          <w:szCs w:val="20"/>
          <w:lang w:eastAsia="es-MX"/>
        </w:rPr>
        <w:t>responsabilidad del emisor.</w:t>
      </w:r>
      <w:r w:rsidR="00055DF3" w:rsidRPr="00D40CE7">
        <w:rPr>
          <w:rFonts w:ascii="Barlow" w:hAnsi="Barlow" w:cs="Arial"/>
          <w:b/>
          <w:sz w:val="20"/>
          <w:szCs w:val="20"/>
        </w:rPr>
        <w:t xml:space="preserve"> </w:t>
      </w:r>
    </w:p>
    <w:sectPr w:rsidR="00A17B33" w:rsidRPr="00D40CE7" w:rsidSect="00D40CE7">
      <w:footerReference w:type="even" r:id="rId8"/>
      <w:footerReference w:type="default" r:id="rId9"/>
      <w:pgSz w:w="15840" w:h="12240" w:orient="landscape" w:code="1"/>
      <w:pgMar w:top="2835" w:right="1134" w:bottom="1701"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14" w:rsidRDefault="00D26114" w:rsidP="00DA679B">
      <w:r>
        <w:separator/>
      </w:r>
    </w:p>
  </w:endnote>
  <w:endnote w:type="continuationSeparator" w:id="0">
    <w:p w:rsidR="00D26114" w:rsidRDefault="00D26114" w:rsidP="00DA6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Soberana Titular">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Barlow">
    <w:altName w:val="Courier New"/>
    <w:panose1 w:val="000005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569" w:rsidRDefault="0093256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32569" w:rsidRDefault="0093256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569" w:rsidRDefault="00932569" w:rsidP="00A17B33">
    <w:pPr>
      <w:pStyle w:val="Piedepgina"/>
      <w:ind w:right="360"/>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14" w:rsidRDefault="00D26114" w:rsidP="00DA679B">
      <w:r>
        <w:separator/>
      </w:r>
    </w:p>
  </w:footnote>
  <w:footnote w:type="continuationSeparator" w:id="0">
    <w:p w:rsidR="00D26114" w:rsidRDefault="00D26114" w:rsidP="00DA679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A22"/>
    <w:multiLevelType w:val="hybridMultilevel"/>
    <w:tmpl w:val="7F9C0A30"/>
    <w:lvl w:ilvl="0" w:tplc="F288FCBE">
      <w:start w:val="1"/>
      <w:numFmt w:val="lowerLetter"/>
      <w:lvlText w:val="%1)"/>
      <w:lvlJc w:val="left"/>
      <w:pPr>
        <w:tabs>
          <w:tab w:val="num" w:pos="1065"/>
        </w:tabs>
        <w:ind w:left="1065" w:hanging="360"/>
      </w:pPr>
      <w:rPr>
        <w:rFonts w:hint="default"/>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 w15:restartNumberingAfterBreak="0">
    <w:nsid w:val="045B48F7"/>
    <w:multiLevelType w:val="hybridMultilevel"/>
    <w:tmpl w:val="53C2D03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033DEE"/>
    <w:multiLevelType w:val="hybridMultilevel"/>
    <w:tmpl w:val="30604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2D0362"/>
    <w:multiLevelType w:val="hybridMultilevel"/>
    <w:tmpl w:val="463492BC"/>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933E67"/>
    <w:multiLevelType w:val="hybridMultilevel"/>
    <w:tmpl w:val="DFBE3A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E0B609C"/>
    <w:multiLevelType w:val="hybridMultilevel"/>
    <w:tmpl w:val="F95E35B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14B353DE"/>
    <w:multiLevelType w:val="hybridMultilevel"/>
    <w:tmpl w:val="675E0BFA"/>
    <w:lvl w:ilvl="0" w:tplc="080A0001">
      <w:start w:val="1"/>
      <w:numFmt w:val="bullet"/>
      <w:lvlText w:val=""/>
      <w:lvlJc w:val="left"/>
      <w:pPr>
        <w:ind w:left="1776" w:hanging="360"/>
      </w:pPr>
      <w:rPr>
        <w:rFonts w:ascii="Symbol" w:hAnsi="Symbol" w:hint="default"/>
      </w:rPr>
    </w:lvl>
    <w:lvl w:ilvl="1" w:tplc="080A0003">
      <w:start w:val="1"/>
      <w:numFmt w:val="bullet"/>
      <w:lvlText w:val="o"/>
      <w:lvlJc w:val="left"/>
      <w:pPr>
        <w:ind w:left="2496" w:hanging="360"/>
      </w:pPr>
      <w:rPr>
        <w:rFonts w:ascii="Courier New" w:hAnsi="Courier New" w:cs="Courier New" w:hint="default"/>
      </w:rPr>
    </w:lvl>
    <w:lvl w:ilvl="2" w:tplc="080A0005">
      <w:start w:val="1"/>
      <w:numFmt w:val="bullet"/>
      <w:lvlText w:val=""/>
      <w:lvlJc w:val="left"/>
      <w:pPr>
        <w:ind w:left="3216" w:hanging="360"/>
      </w:pPr>
      <w:rPr>
        <w:rFonts w:ascii="Wingdings" w:hAnsi="Wingdings" w:hint="default"/>
      </w:rPr>
    </w:lvl>
    <w:lvl w:ilvl="3" w:tplc="080A0001">
      <w:start w:val="1"/>
      <w:numFmt w:val="bullet"/>
      <w:lvlText w:val=""/>
      <w:lvlJc w:val="left"/>
      <w:pPr>
        <w:ind w:left="3936" w:hanging="360"/>
      </w:pPr>
      <w:rPr>
        <w:rFonts w:ascii="Symbol" w:hAnsi="Symbol" w:hint="default"/>
      </w:rPr>
    </w:lvl>
    <w:lvl w:ilvl="4" w:tplc="080A0003">
      <w:start w:val="1"/>
      <w:numFmt w:val="bullet"/>
      <w:lvlText w:val="o"/>
      <w:lvlJc w:val="left"/>
      <w:pPr>
        <w:ind w:left="4656" w:hanging="360"/>
      </w:pPr>
      <w:rPr>
        <w:rFonts w:ascii="Courier New" w:hAnsi="Courier New" w:cs="Courier New" w:hint="default"/>
      </w:rPr>
    </w:lvl>
    <w:lvl w:ilvl="5" w:tplc="080A0005">
      <w:start w:val="1"/>
      <w:numFmt w:val="bullet"/>
      <w:lvlText w:val=""/>
      <w:lvlJc w:val="left"/>
      <w:pPr>
        <w:ind w:left="5376" w:hanging="360"/>
      </w:pPr>
      <w:rPr>
        <w:rFonts w:ascii="Wingdings" w:hAnsi="Wingdings" w:hint="default"/>
      </w:rPr>
    </w:lvl>
    <w:lvl w:ilvl="6" w:tplc="080A0001">
      <w:start w:val="1"/>
      <w:numFmt w:val="bullet"/>
      <w:lvlText w:val=""/>
      <w:lvlJc w:val="left"/>
      <w:pPr>
        <w:ind w:left="6096" w:hanging="360"/>
      </w:pPr>
      <w:rPr>
        <w:rFonts w:ascii="Symbol" w:hAnsi="Symbol" w:hint="default"/>
      </w:rPr>
    </w:lvl>
    <w:lvl w:ilvl="7" w:tplc="080A0003">
      <w:start w:val="1"/>
      <w:numFmt w:val="bullet"/>
      <w:lvlText w:val="o"/>
      <w:lvlJc w:val="left"/>
      <w:pPr>
        <w:ind w:left="6816" w:hanging="360"/>
      </w:pPr>
      <w:rPr>
        <w:rFonts w:ascii="Courier New" w:hAnsi="Courier New" w:cs="Courier New" w:hint="default"/>
      </w:rPr>
    </w:lvl>
    <w:lvl w:ilvl="8" w:tplc="080A0005">
      <w:start w:val="1"/>
      <w:numFmt w:val="bullet"/>
      <w:lvlText w:val=""/>
      <w:lvlJc w:val="left"/>
      <w:pPr>
        <w:ind w:left="7536" w:hanging="360"/>
      </w:pPr>
      <w:rPr>
        <w:rFonts w:ascii="Wingdings" w:hAnsi="Wingdings" w:hint="default"/>
      </w:rPr>
    </w:lvl>
  </w:abstractNum>
  <w:abstractNum w:abstractNumId="7" w15:restartNumberingAfterBreak="0">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EE0A4E"/>
    <w:multiLevelType w:val="hybridMultilevel"/>
    <w:tmpl w:val="C7EC1F82"/>
    <w:lvl w:ilvl="0" w:tplc="0C0A0001">
      <w:start w:val="1"/>
      <w:numFmt w:val="bullet"/>
      <w:lvlText w:val=""/>
      <w:lvlJc w:val="left"/>
      <w:pPr>
        <w:tabs>
          <w:tab w:val="num" w:pos="1428"/>
        </w:tabs>
        <w:ind w:left="1428" w:hanging="360"/>
      </w:pPr>
      <w:rPr>
        <w:rFonts w:ascii="Symbol" w:hAnsi="Symbol" w:hint="default"/>
      </w:rPr>
    </w:lvl>
    <w:lvl w:ilvl="1" w:tplc="0C0A0019" w:tentative="1">
      <w:start w:val="1"/>
      <w:numFmt w:val="lowerLetter"/>
      <w:lvlText w:val="%2."/>
      <w:lvlJc w:val="left"/>
      <w:pPr>
        <w:tabs>
          <w:tab w:val="num" w:pos="2148"/>
        </w:tabs>
        <w:ind w:left="2148" w:hanging="360"/>
      </w:pPr>
    </w:lvl>
    <w:lvl w:ilvl="2" w:tplc="0C0A001B" w:tentative="1">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9" w15:restartNumberingAfterBreak="0">
    <w:nsid w:val="196B57CD"/>
    <w:multiLevelType w:val="hybridMultilevel"/>
    <w:tmpl w:val="498260E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22252339"/>
    <w:multiLevelType w:val="hybridMultilevel"/>
    <w:tmpl w:val="BC1AC422"/>
    <w:lvl w:ilvl="0" w:tplc="942024C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22DE4D7B"/>
    <w:multiLevelType w:val="hybridMultilevel"/>
    <w:tmpl w:val="6DC45A84"/>
    <w:lvl w:ilvl="0" w:tplc="F9605EFC">
      <w:start w:val="1"/>
      <w:numFmt w:val="bullet"/>
      <w:lvlText w:val="•"/>
      <w:lvlJc w:val="left"/>
      <w:pPr>
        <w:tabs>
          <w:tab w:val="num" w:pos="720"/>
        </w:tabs>
        <w:ind w:left="720" w:hanging="360"/>
      </w:pPr>
      <w:rPr>
        <w:rFonts w:ascii="Arial" w:hAnsi="Arial" w:cs="Times New Roman" w:hint="default"/>
      </w:rPr>
    </w:lvl>
    <w:lvl w:ilvl="1" w:tplc="42205B04">
      <w:start w:val="1"/>
      <w:numFmt w:val="bullet"/>
      <w:lvlText w:val="•"/>
      <w:lvlJc w:val="left"/>
      <w:pPr>
        <w:tabs>
          <w:tab w:val="num" w:pos="1440"/>
        </w:tabs>
        <w:ind w:left="1440" w:hanging="360"/>
      </w:pPr>
      <w:rPr>
        <w:rFonts w:ascii="Arial" w:hAnsi="Arial" w:cs="Times New Roman" w:hint="default"/>
      </w:rPr>
    </w:lvl>
    <w:lvl w:ilvl="2" w:tplc="FD6234B0">
      <w:start w:val="1"/>
      <w:numFmt w:val="bullet"/>
      <w:lvlText w:val="•"/>
      <w:lvlJc w:val="left"/>
      <w:pPr>
        <w:tabs>
          <w:tab w:val="num" w:pos="2160"/>
        </w:tabs>
        <w:ind w:left="2160" w:hanging="360"/>
      </w:pPr>
      <w:rPr>
        <w:rFonts w:ascii="Arial" w:hAnsi="Arial" w:cs="Times New Roman" w:hint="default"/>
      </w:rPr>
    </w:lvl>
    <w:lvl w:ilvl="3" w:tplc="C9E83CAC">
      <w:start w:val="1"/>
      <w:numFmt w:val="bullet"/>
      <w:lvlText w:val="•"/>
      <w:lvlJc w:val="left"/>
      <w:pPr>
        <w:tabs>
          <w:tab w:val="num" w:pos="2880"/>
        </w:tabs>
        <w:ind w:left="2880" w:hanging="360"/>
      </w:pPr>
      <w:rPr>
        <w:rFonts w:ascii="Arial" w:hAnsi="Arial" w:cs="Times New Roman" w:hint="default"/>
      </w:rPr>
    </w:lvl>
    <w:lvl w:ilvl="4" w:tplc="E60A9B56">
      <w:start w:val="1"/>
      <w:numFmt w:val="bullet"/>
      <w:lvlText w:val="•"/>
      <w:lvlJc w:val="left"/>
      <w:pPr>
        <w:tabs>
          <w:tab w:val="num" w:pos="3600"/>
        </w:tabs>
        <w:ind w:left="3600" w:hanging="360"/>
      </w:pPr>
      <w:rPr>
        <w:rFonts w:ascii="Arial" w:hAnsi="Arial" w:cs="Times New Roman" w:hint="default"/>
      </w:rPr>
    </w:lvl>
    <w:lvl w:ilvl="5" w:tplc="D2F6AA7C">
      <w:start w:val="1"/>
      <w:numFmt w:val="bullet"/>
      <w:lvlText w:val="•"/>
      <w:lvlJc w:val="left"/>
      <w:pPr>
        <w:tabs>
          <w:tab w:val="num" w:pos="4320"/>
        </w:tabs>
        <w:ind w:left="4320" w:hanging="360"/>
      </w:pPr>
      <w:rPr>
        <w:rFonts w:ascii="Arial" w:hAnsi="Arial" w:cs="Times New Roman" w:hint="default"/>
      </w:rPr>
    </w:lvl>
    <w:lvl w:ilvl="6" w:tplc="C48CE1FC">
      <w:start w:val="1"/>
      <w:numFmt w:val="bullet"/>
      <w:lvlText w:val="•"/>
      <w:lvlJc w:val="left"/>
      <w:pPr>
        <w:tabs>
          <w:tab w:val="num" w:pos="5040"/>
        </w:tabs>
        <w:ind w:left="5040" w:hanging="360"/>
      </w:pPr>
      <w:rPr>
        <w:rFonts w:ascii="Arial" w:hAnsi="Arial" w:cs="Times New Roman" w:hint="default"/>
      </w:rPr>
    </w:lvl>
    <w:lvl w:ilvl="7" w:tplc="04B62074">
      <w:start w:val="1"/>
      <w:numFmt w:val="bullet"/>
      <w:lvlText w:val="•"/>
      <w:lvlJc w:val="left"/>
      <w:pPr>
        <w:tabs>
          <w:tab w:val="num" w:pos="5760"/>
        </w:tabs>
        <w:ind w:left="5760" w:hanging="360"/>
      </w:pPr>
      <w:rPr>
        <w:rFonts w:ascii="Arial" w:hAnsi="Arial" w:cs="Times New Roman" w:hint="default"/>
      </w:rPr>
    </w:lvl>
    <w:lvl w:ilvl="8" w:tplc="559CD088">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30643DC"/>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964844"/>
    <w:multiLevelType w:val="hybridMultilevel"/>
    <w:tmpl w:val="4C78F514"/>
    <w:lvl w:ilvl="0" w:tplc="FFFFFFFF">
      <w:start w:val="1"/>
      <w:numFmt w:val="bullet"/>
      <w:lvlText w:val=""/>
      <w:lvlJc w:val="left"/>
      <w:pPr>
        <w:tabs>
          <w:tab w:val="num" w:pos="1068"/>
        </w:tabs>
        <w:ind w:left="1068" w:hanging="360"/>
      </w:pPr>
      <w:rPr>
        <w:rFonts w:ascii="Symbol" w:hAnsi="Symbol" w:hint="default"/>
      </w:rPr>
    </w:lvl>
    <w:lvl w:ilvl="1" w:tplc="FFFFFFFF" w:tentative="1">
      <w:start w:val="1"/>
      <w:numFmt w:val="bullet"/>
      <w:lvlText w:val="o"/>
      <w:lvlJc w:val="left"/>
      <w:pPr>
        <w:tabs>
          <w:tab w:val="num" w:pos="1788"/>
        </w:tabs>
        <w:ind w:left="1788" w:hanging="360"/>
      </w:pPr>
      <w:rPr>
        <w:rFonts w:ascii="Courier New" w:hAnsi="Courier New" w:hint="default"/>
      </w:rPr>
    </w:lvl>
    <w:lvl w:ilvl="2" w:tplc="FFFFFFFF" w:tentative="1">
      <w:start w:val="1"/>
      <w:numFmt w:val="bullet"/>
      <w:lvlText w:val=""/>
      <w:lvlJc w:val="left"/>
      <w:pPr>
        <w:tabs>
          <w:tab w:val="num" w:pos="2508"/>
        </w:tabs>
        <w:ind w:left="2508" w:hanging="360"/>
      </w:pPr>
      <w:rPr>
        <w:rFonts w:ascii="Wingdings" w:hAnsi="Wingdings" w:hint="default"/>
      </w:rPr>
    </w:lvl>
    <w:lvl w:ilvl="3" w:tplc="FFFFFFFF" w:tentative="1">
      <w:start w:val="1"/>
      <w:numFmt w:val="bullet"/>
      <w:lvlText w:val=""/>
      <w:lvlJc w:val="left"/>
      <w:pPr>
        <w:tabs>
          <w:tab w:val="num" w:pos="3228"/>
        </w:tabs>
        <w:ind w:left="3228" w:hanging="360"/>
      </w:pPr>
      <w:rPr>
        <w:rFonts w:ascii="Symbol" w:hAnsi="Symbol" w:hint="default"/>
      </w:rPr>
    </w:lvl>
    <w:lvl w:ilvl="4" w:tplc="FFFFFFFF" w:tentative="1">
      <w:start w:val="1"/>
      <w:numFmt w:val="bullet"/>
      <w:lvlText w:val="o"/>
      <w:lvlJc w:val="left"/>
      <w:pPr>
        <w:tabs>
          <w:tab w:val="num" w:pos="3948"/>
        </w:tabs>
        <w:ind w:left="3948" w:hanging="360"/>
      </w:pPr>
      <w:rPr>
        <w:rFonts w:ascii="Courier New" w:hAnsi="Courier New" w:hint="default"/>
      </w:rPr>
    </w:lvl>
    <w:lvl w:ilvl="5" w:tplc="FFFFFFFF" w:tentative="1">
      <w:start w:val="1"/>
      <w:numFmt w:val="bullet"/>
      <w:lvlText w:val=""/>
      <w:lvlJc w:val="left"/>
      <w:pPr>
        <w:tabs>
          <w:tab w:val="num" w:pos="4668"/>
        </w:tabs>
        <w:ind w:left="4668" w:hanging="360"/>
      </w:pPr>
      <w:rPr>
        <w:rFonts w:ascii="Wingdings" w:hAnsi="Wingdings" w:hint="default"/>
      </w:rPr>
    </w:lvl>
    <w:lvl w:ilvl="6" w:tplc="FFFFFFFF" w:tentative="1">
      <w:start w:val="1"/>
      <w:numFmt w:val="bullet"/>
      <w:lvlText w:val=""/>
      <w:lvlJc w:val="left"/>
      <w:pPr>
        <w:tabs>
          <w:tab w:val="num" w:pos="5388"/>
        </w:tabs>
        <w:ind w:left="5388" w:hanging="360"/>
      </w:pPr>
      <w:rPr>
        <w:rFonts w:ascii="Symbol" w:hAnsi="Symbol" w:hint="default"/>
      </w:rPr>
    </w:lvl>
    <w:lvl w:ilvl="7" w:tplc="FFFFFFFF" w:tentative="1">
      <w:start w:val="1"/>
      <w:numFmt w:val="bullet"/>
      <w:lvlText w:val="o"/>
      <w:lvlJc w:val="left"/>
      <w:pPr>
        <w:tabs>
          <w:tab w:val="num" w:pos="6108"/>
        </w:tabs>
        <w:ind w:left="6108" w:hanging="360"/>
      </w:pPr>
      <w:rPr>
        <w:rFonts w:ascii="Courier New" w:hAnsi="Courier New" w:hint="default"/>
      </w:rPr>
    </w:lvl>
    <w:lvl w:ilvl="8" w:tplc="FFFFFFFF"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24EF2216"/>
    <w:multiLevelType w:val="hybridMultilevel"/>
    <w:tmpl w:val="CE44BA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6356788"/>
    <w:multiLevelType w:val="hybridMultilevel"/>
    <w:tmpl w:val="48A8DF00"/>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6694C70"/>
    <w:multiLevelType w:val="hybridMultilevel"/>
    <w:tmpl w:val="2D9C31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8BC6998"/>
    <w:multiLevelType w:val="hybridMultilevel"/>
    <w:tmpl w:val="5DFCF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1882"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ABE6CB9"/>
    <w:multiLevelType w:val="hybridMultilevel"/>
    <w:tmpl w:val="DA9C2AB8"/>
    <w:lvl w:ilvl="0" w:tplc="7BEC8D22">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2F760C53"/>
    <w:multiLevelType w:val="hybridMultilevel"/>
    <w:tmpl w:val="672ED804"/>
    <w:lvl w:ilvl="0" w:tplc="59C06C76">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6FB753D"/>
    <w:multiLevelType w:val="hybridMultilevel"/>
    <w:tmpl w:val="6B8EAE4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7CF43DA"/>
    <w:multiLevelType w:val="hybridMultilevel"/>
    <w:tmpl w:val="B54251F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6935F9"/>
    <w:multiLevelType w:val="hybridMultilevel"/>
    <w:tmpl w:val="59C2F18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96665488">
      <w:numFmt w:val="bullet"/>
      <w:lvlText w:val="•"/>
      <w:lvlJc w:val="left"/>
      <w:pPr>
        <w:ind w:left="2685" w:hanging="705"/>
      </w:pPr>
      <w:rPr>
        <w:rFonts w:ascii="Calibri" w:eastAsia="Times New Roman" w:hAnsi="Calibri"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D1637DA"/>
    <w:multiLevelType w:val="hybridMultilevel"/>
    <w:tmpl w:val="D5EC542C"/>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42DA5DEE"/>
    <w:multiLevelType w:val="hybridMultilevel"/>
    <w:tmpl w:val="FB58E702"/>
    <w:lvl w:ilvl="0" w:tplc="FC82BFC8">
      <w:start w:val="1"/>
      <w:numFmt w:val="upp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5" w15:restartNumberingAfterBreak="0">
    <w:nsid w:val="48465DB4"/>
    <w:multiLevelType w:val="hybridMultilevel"/>
    <w:tmpl w:val="04F4597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4873212D"/>
    <w:multiLevelType w:val="hybridMultilevel"/>
    <w:tmpl w:val="E996BDD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9CC4F0C"/>
    <w:multiLevelType w:val="hybridMultilevel"/>
    <w:tmpl w:val="A80443CE"/>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4E0264B7"/>
    <w:multiLevelType w:val="hybridMultilevel"/>
    <w:tmpl w:val="0A5CD2D2"/>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4E652C48"/>
    <w:multiLevelType w:val="hybridMultilevel"/>
    <w:tmpl w:val="14D699BC"/>
    <w:lvl w:ilvl="0" w:tplc="080A0001">
      <w:start w:val="1"/>
      <w:numFmt w:val="bullet"/>
      <w:lvlText w:val=""/>
      <w:lvlJc w:val="left"/>
      <w:pPr>
        <w:ind w:left="1785" w:hanging="360"/>
      </w:pPr>
      <w:rPr>
        <w:rFonts w:ascii="Symbol" w:hAnsi="Symbol" w:hint="default"/>
      </w:rPr>
    </w:lvl>
    <w:lvl w:ilvl="1" w:tplc="080A0003" w:tentative="1">
      <w:start w:val="1"/>
      <w:numFmt w:val="bullet"/>
      <w:lvlText w:val="o"/>
      <w:lvlJc w:val="left"/>
      <w:pPr>
        <w:ind w:left="2505" w:hanging="360"/>
      </w:pPr>
      <w:rPr>
        <w:rFonts w:ascii="Courier New" w:hAnsi="Courier New" w:cs="Courier New" w:hint="default"/>
      </w:rPr>
    </w:lvl>
    <w:lvl w:ilvl="2" w:tplc="080A0005" w:tentative="1">
      <w:start w:val="1"/>
      <w:numFmt w:val="bullet"/>
      <w:lvlText w:val=""/>
      <w:lvlJc w:val="left"/>
      <w:pPr>
        <w:ind w:left="3225" w:hanging="360"/>
      </w:pPr>
      <w:rPr>
        <w:rFonts w:ascii="Wingdings" w:hAnsi="Wingdings" w:hint="default"/>
      </w:rPr>
    </w:lvl>
    <w:lvl w:ilvl="3" w:tplc="080A0001" w:tentative="1">
      <w:start w:val="1"/>
      <w:numFmt w:val="bullet"/>
      <w:lvlText w:val=""/>
      <w:lvlJc w:val="left"/>
      <w:pPr>
        <w:ind w:left="3945" w:hanging="360"/>
      </w:pPr>
      <w:rPr>
        <w:rFonts w:ascii="Symbol" w:hAnsi="Symbol" w:hint="default"/>
      </w:rPr>
    </w:lvl>
    <w:lvl w:ilvl="4" w:tplc="080A0003" w:tentative="1">
      <w:start w:val="1"/>
      <w:numFmt w:val="bullet"/>
      <w:lvlText w:val="o"/>
      <w:lvlJc w:val="left"/>
      <w:pPr>
        <w:ind w:left="4665" w:hanging="360"/>
      </w:pPr>
      <w:rPr>
        <w:rFonts w:ascii="Courier New" w:hAnsi="Courier New" w:cs="Courier New" w:hint="default"/>
      </w:rPr>
    </w:lvl>
    <w:lvl w:ilvl="5" w:tplc="080A0005" w:tentative="1">
      <w:start w:val="1"/>
      <w:numFmt w:val="bullet"/>
      <w:lvlText w:val=""/>
      <w:lvlJc w:val="left"/>
      <w:pPr>
        <w:ind w:left="5385" w:hanging="360"/>
      </w:pPr>
      <w:rPr>
        <w:rFonts w:ascii="Wingdings" w:hAnsi="Wingdings" w:hint="default"/>
      </w:rPr>
    </w:lvl>
    <w:lvl w:ilvl="6" w:tplc="080A0001" w:tentative="1">
      <w:start w:val="1"/>
      <w:numFmt w:val="bullet"/>
      <w:lvlText w:val=""/>
      <w:lvlJc w:val="left"/>
      <w:pPr>
        <w:ind w:left="6105" w:hanging="360"/>
      </w:pPr>
      <w:rPr>
        <w:rFonts w:ascii="Symbol" w:hAnsi="Symbol" w:hint="default"/>
      </w:rPr>
    </w:lvl>
    <w:lvl w:ilvl="7" w:tplc="080A0003" w:tentative="1">
      <w:start w:val="1"/>
      <w:numFmt w:val="bullet"/>
      <w:lvlText w:val="o"/>
      <w:lvlJc w:val="left"/>
      <w:pPr>
        <w:ind w:left="6825" w:hanging="360"/>
      </w:pPr>
      <w:rPr>
        <w:rFonts w:ascii="Courier New" w:hAnsi="Courier New" w:cs="Courier New" w:hint="default"/>
      </w:rPr>
    </w:lvl>
    <w:lvl w:ilvl="8" w:tplc="080A0005" w:tentative="1">
      <w:start w:val="1"/>
      <w:numFmt w:val="bullet"/>
      <w:lvlText w:val=""/>
      <w:lvlJc w:val="left"/>
      <w:pPr>
        <w:ind w:left="7545" w:hanging="360"/>
      </w:pPr>
      <w:rPr>
        <w:rFonts w:ascii="Wingdings" w:hAnsi="Wingdings" w:hint="default"/>
      </w:rPr>
    </w:lvl>
  </w:abstractNum>
  <w:abstractNum w:abstractNumId="30" w15:restartNumberingAfterBreak="0">
    <w:nsid w:val="59196C1E"/>
    <w:multiLevelType w:val="hybridMultilevel"/>
    <w:tmpl w:val="26E23058"/>
    <w:lvl w:ilvl="0" w:tplc="0C0A0017">
      <w:start w:val="1"/>
      <w:numFmt w:val="lowerLetter"/>
      <w:lvlText w:val="%1)"/>
      <w:lvlJc w:val="left"/>
      <w:pPr>
        <w:tabs>
          <w:tab w:val="num" w:pos="720"/>
        </w:tabs>
        <w:ind w:left="720" w:hanging="360"/>
      </w:pPr>
      <w:rPr>
        <w:rFonts w:hint="default"/>
      </w:rPr>
    </w:lvl>
    <w:lvl w:ilvl="1" w:tplc="E6CCA55A">
      <w:start w:val="1"/>
      <w:numFmt w:val="lowerLetter"/>
      <w:lvlText w:val="%2)"/>
      <w:lvlJc w:val="left"/>
      <w:pPr>
        <w:tabs>
          <w:tab w:val="num" w:pos="1440"/>
        </w:tabs>
        <w:ind w:left="1440" w:hanging="360"/>
      </w:pPr>
      <w:rPr>
        <w:rFonts w:hint="default"/>
      </w:rPr>
    </w:lvl>
    <w:lvl w:ilvl="2" w:tplc="F8A4628E">
      <w:start w:val="2"/>
      <w:numFmt w:val="decimal"/>
      <w:lvlText w:val="%3)"/>
      <w:lvlJc w:val="left"/>
      <w:pPr>
        <w:tabs>
          <w:tab w:val="num" w:pos="2340"/>
        </w:tabs>
        <w:ind w:left="2340" w:hanging="360"/>
      </w:pPr>
      <w:rPr>
        <w:rFonts w:ascii="Times New Roman" w:hAnsi="Times New Roman" w:cs="Times New Roman" w:hint="default"/>
        <w:b/>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A5818EB"/>
    <w:multiLevelType w:val="hybridMultilevel"/>
    <w:tmpl w:val="241CA936"/>
    <w:lvl w:ilvl="0" w:tplc="080A0001">
      <w:start w:val="1"/>
      <w:numFmt w:val="bullet"/>
      <w:lvlText w:val=""/>
      <w:lvlJc w:val="left"/>
      <w:pPr>
        <w:tabs>
          <w:tab w:val="num" w:pos="720"/>
        </w:tabs>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92AE832C">
      <w:start w:val="4"/>
      <w:numFmt w:val="decimal"/>
      <w:lvlText w:val="%3)"/>
      <w:lvlJc w:val="left"/>
      <w:pPr>
        <w:tabs>
          <w:tab w:val="num" w:pos="2340"/>
        </w:tabs>
        <w:ind w:left="2340" w:hanging="360"/>
      </w:pPr>
      <w:rPr>
        <w:rFonts w:hint="default"/>
        <w:b w:val="0"/>
        <w:sz w:val="24"/>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C7656F5"/>
    <w:multiLevelType w:val="hybridMultilevel"/>
    <w:tmpl w:val="3B5EEF9E"/>
    <w:lvl w:ilvl="0" w:tplc="07E42080">
      <w:start w:val="1"/>
      <w:numFmt w:val="upperLetter"/>
      <w:pStyle w:val="NotasEEFF"/>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3" w15:restartNumberingAfterBreak="0">
    <w:nsid w:val="5D281121"/>
    <w:multiLevelType w:val="hybridMultilevel"/>
    <w:tmpl w:val="08FC1902"/>
    <w:lvl w:ilvl="0" w:tplc="3DE00E54">
      <w:start w:val="1"/>
      <w:numFmt w:val="lowerLetter"/>
      <w:lvlText w:val="%1."/>
      <w:lvlJc w:val="left"/>
      <w:pPr>
        <w:ind w:left="1789" w:hanging="360"/>
      </w:pPr>
      <w:rPr>
        <w:rFonts w:hint="default"/>
      </w:rPr>
    </w:lvl>
    <w:lvl w:ilvl="1" w:tplc="080A0019" w:tentative="1">
      <w:start w:val="1"/>
      <w:numFmt w:val="lowerLetter"/>
      <w:lvlText w:val="%2."/>
      <w:lvlJc w:val="left"/>
      <w:pPr>
        <w:ind w:left="2509" w:hanging="360"/>
      </w:pPr>
    </w:lvl>
    <w:lvl w:ilvl="2" w:tplc="080A001B" w:tentative="1">
      <w:start w:val="1"/>
      <w:numFmt w:val="lowerRoman"/>
      <w:lvlText w:val="%3."/>
      <w:lvlJc w:val="right"/>
      <w:pPr>
        <w:ind w:left="3229" w:hanging="180"/>
      </w:pPr>
    </w:lvl>
    <w:lvl w:ilvl="3" w:tplc="080A000F" w:tentative="1">
      <w:start w:val="1"/>
      <w:numFmt w:val="decimal"/>
      <w:lvlText w:val="%4."/>
      <w:lvlJc w:val="left"/>
      <w:pPr>
        <w:ind w:left="3949" w:hanging="360"/>
      </w:pPr>
    </w:lvl>
    <w:lvl w:ilvl="4" w:tplc="080A0019" w:tentative="1">
      <w:start w:val="1"/>
      <w:numFmt w:val="lowerLetter"/>
      <w:lvlText w:val="%5."/>
      <w:lvlJc w:val="left"/>
      <w:pPr>
        <w:ind w:left="4669" w:hanging="360"/>
      </w:pPr>
    </w:lvl>
    <w:lvl w:ilvl="5" w:tplc="080A001B" w:tentative="1">
      <w:start w:val="1"/>
      <w:numFmt w:val="lowerRoman"/>
      <w:lvlText w:val="%6."/>
      <w:lvlJc w:val="right"/>
      <w:pPr>
        <w:ind w:left="5389" w:hanging="180"/>
      </w:pPr>
    </w:lvl>
    <w:lvl w:ilvl="6" w:tplc="080A000F" w:tentative="1">
      <w:start w:val="1"/>
      <w:numFmt w:val="decimal"/>
      <w:lvlText w:val="%7."/>
      <w:lvlJc w:val="left"/>
      <w:pPr>
        <w:ind w:left="6109" w:hanging="360"/>
      </w:pPr>
    </w:lvl>
    <w:lvl w:ilvl="7" w:tplc="080A0019" w:tentative="1">
      <w:start w:val="1"/>
      <w:numFmt w:val="lowerLetter"/>
      <w:lvlText w:val="%8."/>
      <w:lvlJc w:val="left"/>
      <w:pPr>
        <w:ind w:left="6829" w:hanging="360"/>
      </w:pPr>
    </w:lvl>
    <w:lvl w:ilvl="8" w:tplc="080A001B" w:tentative="1">
      <w:start w:val="1"/>
      <w:numFmt w:val="lowerRoman"/>
      <w:lvlText w:val="%9."/>
      <w:lvlJc w:val="right"/>
      <w:pPr>
        <w:ind w:left="7549" w:hanging="180"/>
      </w:pPr>
    </w:lvl>
  </w:abstractNum>
  <w:abstractNum w:abstractNumId="34" w15:restartNumberingAfterBreak="0">
    <w:nsid w:val="5F977372"/>
    <w:multiLevelType w:val="hybridMultilevel"/>
    <w:tmpl w:val="231C5DC8"/>
    <w:lvl w:ilvl="0" w:tplc="93802970">
      <w:start w:val="3"/>
      <w:numFmt w:val="upperRoman"/>
      <w:lvlText w:val="%1)"/>
      <w:lvlJc w:val="left"/>
      <w:pPr>
        <w:ind w:left="1080" w:hanging="720"/>
      </w:pPr>
      <w:rPr>
        <w:rFonts w:ascii="Times New Roman" w:hAnsi="Times New Roman"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850D15"/>
    <w:multiLevelType w:val="hybridMultilevel"/>
    <w:tmpl w:val="921CA98E"/>
    <w:lvl w:ilvl="0" w:tplc="080A0015">
      <w:start w:val="1"/>
      <w:numFmt w:val="upperLetter"/>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6" w15:restartNumberingAfterBreak="0">
    <w:nsid w:val="60FE3E15"/>
    <w:multiLevelType w:val="hybridMultilevel"/>
    <w:tmpl w:val="5E020A34"/>
    <w:lvl w:ilvl="0" w:tplc="6DAE0A74">
      <w:numFmt w:val="bullet"/>
      <w:lvlText w:val=""/>
      <w:lvlJc w:val="left"/>
      <w:pPr>
        <w:ind w:left="720" w:hanging="360"/>
      </w:pPr>
      <w:rPr>
        <w:rFonts w:ascii="Symbol" w:eastAsia="Calibri" w:hAnsi="Symbol" w:cs="Aria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abstractNum w:abstractNumId="37" w15:restartNumberingAfterBreak="0">
    <w:nsid w:val="64234FDE"/>
    <w:multiLevelType w:val="hybridMultilevel"/>
    <w:tmpl w:val="F11C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42410FB"/>
    <w:multiLevelType w:val="hybridMultilevel"/>
    <w:tmpl w:val="02D62F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A9F26FF"/>
    <w:multiLevelType w:val="hybridMultilevel"/>
    <w:tmpl w:val="EEA82602"/>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6B1A2160"/>
    <w:multiLevelType w:val="hybridMultilevel"/>
    <w:tmpl w:val="4DE6C1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C9C7A54"/>
    <w:multiLevelType w:val="hybridMultilevel"/>
    <w:tmpl w:val="0F98ABF0"/>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cs="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cs="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cs="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42" w15:restartNumberingAfterBreak="0">
    <w:nsid w:val="6ED830B3"/>
    <w:multiLevelType w:val="hybridMultilevel"/>
    <w:tmpl w:val="67B024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2929F6"/>
    <w:multiLevelType w:val="hybridMultilevel"/>
    <w:tmpl w:val="96720F36"/>
    <w:lvl w:ilvl="0" w:tplc="0C0A000B">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44" w15:restartNumberingAfterBreak="0">
    <w:nsid w:val="7D445CBD"/>
    <w:multiLevelType w:val="hybridMultilevel"/>
    <w:tmpl w:val="059A2C6A"/>
    <w:lvl w:ilvl="0" w:tplc="0C0A0017">
      <w:start w:val="1"/>
      <w:numFmt w:val="lowerLetter"/>
      <w:lvlText w:val="%1)"/>
      <w:lvlJc w:val="left"/>
      <w:pPr>
        <w:tabs>
          <w:tab w:val="num" w:pos="720"/>
        </w:tabs>
        <w:ind w:left="72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7"/>
  </w:num>
  <w:num w:numId="2">
    <w:abstractNumId w:val="13"/>
  </w:num>
  <w:num w:numId="3">
    <w:abstractNumId w:val="16"/>
  </w:num>
  <w:num w:numId="4">
    <w:abstractNumId w:val="37"/>
  </w:num>
  <w:num w:numId="5">
    <w:abstractNumId w:val="38"/>
  </w:num>
  <w:num w:numId="6">
    <w:abstractNumId w:val="1"/>
  </w:num>
  <w:num w:numId="7">
    <w:abstractNumId w:val="10"/>
  </w:num>
  <w:num w:numId="8">
    <w:abstractNumId w:val="32"/>
  </w:num>
  <w:num w:numId="9">
    <w:abstractNumId w:val="9"/>
  </w:num>
  <w:num w:numId="10">
    <w:abstractNumId w:val="40"/>
  </w:num>
  <w:num w:numId="11">
    <w:abstractNumId w:val="33"/>
  </w:num>
  <w:num w:numId="12">
    <w:abstractNumId w:val="26"/>
  </w:num>
  <w:num w:numId="13">
    <w:abstractNumId w:val="3"/>
  </w:num>
  <w:num w:numId="14">
    <w:abstractNumId w:val="0"/>
  </w:num>
  <w:num w:numId="15">
    <w:abstractNumId w:val="35"/>
  </w:num>
  <w:num w:numId="16">
    <w:abstractNumId w:val="41"/>
  </w:num>
  <w:num w:numId="17">
    <w:abstractNumId w:val="20"/>
  </w:num>
  <w:num w:numId="18">
    <w:abstractNumId w:val="22"/>
  </w:num>
  <w:num w:numId="19">
    <w:abstractNumId w:val="5"/>
  </w:num>
  <w:num w:numId="20">
    <w:abstractNumId w:val="27"/>
  </w:num>
  <w:num w:numId="21">
    <w:abstractNumId w:val="28"/>
  </w:num>
  <w:num w:numId="22">
    <w:abstractNumId w:val="23"/>
  </w:num>
  <w:num w:numId="23">
    <w:abstractNumId w:val="25"/>
  </w:num>
  <w:num w:numId="24">
    <w:abstractNumId w:val="44"/>
  </w:num>
  <w:num w:numId="25">
    <w:abstractNumId w:val="15"/>
  </w:num>
  <w:num w:numId="26">
    <w:abstractNumId w:val="30"/>
  </w:num>
  <w:num w:numId="27">
    <w:abstractNumId w:val="8"/>
  </w:num>
  <w:num w:numId="28">
    <w:abstractNumId w:val="39"/>
  </w:num>
  <w:num w:numId="2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1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4"/>
  </w:num>
  <w:num w:numId="34">
    <w:abstractNumId w:val="11"/>
  </w:num>
  <w:num w:numId="35">
    <w:abstractNumId w:val="15"/>
    <w:lvlOverride w:ilvl="0">
      <w:startOverride w:val="1"/>
    </w:lvlOverride>
    <w:lvlOverride w:ilvl="1"/>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
  </w:num>
  <w:num w:numId="37">
    <w:abstractNumId w:val="29"/>
  </w:num>
  <w:num w:numId="38">
    <w:abstractNumId w:val="24"/>
  </w:num>
  <w:num w:numId="39">
    <w:abstractNumId w:val="19"/>
  </w:num>
  <w:num w:numId="40">
    <w:abstractNumId w:val="21"/>
  </w:num>
  <w:num w:numId="41">
    <w:abstractNumId w:val="34"/>
  </w:num>
  <w:num w:numId="42">
    <w:abstractNumId w:val="18"/>
  </w:num>
  <w:num w:numId="43">
    <w:abstractNumId w:val="17"/>
  </w:num>
  <w:num w:numId="44">
    <w:abstractNumId w:val="42"/>
  </w:num>
  <w:num w:numId="45">
    <w:abstractNumId w:val="14"/>
  </w:num>
  <w:num w:numId="46">
    <w:abstractNumId w:val="43"/>
  </w:num>
  <w:num w:numId="47">
    <w:abstractNumId w:val="6"/>
  </w:num>
  <w:num w:numId="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189"/>
    <w:rsid w:val="00005ABB"/>
    <w:rsid w:val="000107AC"/>
    <w:rsid w:val="0001274A"/>
    <w:rsid w:val="0001378A"/>
    <w:rsid w:val="000144F5"/>
    <w:rsid w:val="0001792B"/>
    <w:rsid w:val="00023BE7"/>
    <w:rsid w:val="00026DF4"/>
    <w:rsid w:val="000336F3"/>
    <w:rsid w:val="0003650E"/>
    <w:rsid w:val="00040F2F"/>
    <w:rsid w:val="00041724"/>
    <w:rsid w:val="00051C2B"/>
    <w:rsid w:val="00052C47"/>
    <w:rsid w:val="00055DF3"/>
    <w:rsid w:val="000630C9"/>
    <w:rsid w:val="00064C4F"/>
    <w:rsid w:val="00065432"/>
    <w:rsid w:val="0007023B"/>
    <w:rsid w:val="00082456"/>
    <w:rsid w:val="000831D9"/>
    <w:rsid w:val="00084CEB"/>
    <w:rsid w:val="00093686"/>
    <w:rsid w:val="000A302E"/>
    <w:rsid w:val="000A718F"/>
    <w:rsid w:val="000B1288"/>
    <w:rsid w:val="000B3057"/>
    <w:rsid w:val="000B5E21"/>
    <w:rsid w:val="000B73EE"/>
    <w:rsid w:val="000C0FBD"/>
    <w:rsid w:val="000C1019"/>
    <w:rsid w:val="000C4DE4"/>
    <w:rsid w:val="000D06E7"/>
    <w:rsid w:val="000D16E3"/>
    <w:rsid w:val="000D61D6"/>
    <w:rsid w:val="000E4FB8"/>
    <w:rsid w:val="000F1D87"/>
    <w:rsid w:val="000F4D56"/>
    <w:rsid w:val="00107D8B"/>
    <w:rsid w:val="001100EC"/>
    <w:rsid w:val="001105EC"/>
    <w:rsid w:val="00110B2A"/>
    <w:rsid w:val="00112895"/>
    <w:rsid w:val="00112D72"/>
    <w:rsid w:val="001160EF"/>
    <w:rsid w:val="001238F2"/>
    <w:rsid w:val="00153148"/>
    <w:rsid w:val="00155916"/>
    <w:rsid w:val="00164BDE"/>
    <w:rsid w:val="00167B72"/>
    <w:rsid w:val="0017605A"/>
    <w:rsid w:val="00177775"/>
    <w:rsid w:val="00184B9D"/>
    <w:rsid w:val="00185BD6"/>
    <w:rsid w:val="00185FB7"/>
    <w:rsid w:val="00190D31"/>
    <w:rsid w:val="00196319"/>
    <w:rsid w:val="00197B70"/>
    <w:rsid w:val="001A1A31"/>
    <w:rsid w:val="001A531F"/>
    <w:rsid w:val="001B320E"/>
    <w:rsid w:val="001B698E"/>
    <w:rsid w:val="001C466C"/>
    <w:rsid w:val="001C4822"/>
    <w:rsid w:val="001C53E7"/>
    <w:rsid w:val="001C5430"/>
    <w:rsid w:val="001C652E"/>
    <w:rsid w:val="001C6AD4"/>
    <w:rsid w:val="001C6E97"/>
    <w:rsid w:val="001E0215"/>
    <w:rsid w:val="001E1596"/>
    <w:rsid w:val="001E1837"/>
    <w:rsid w:val="001E2682"/>
    <w:rsid w:val="001E4CF4"/>
    <w:rsid w:val="001E6396"/>
    <w:rsid w:val="002110E0"/>
    <w:rsid w:val="00211FCA"/>
    <w:rsid w:val="00213CFF"/>
    <w:rsid w:val="00215509"/>
    <w:rsid w:val="00215646"/>
    <w:rsid w:val="00216493"/>
    <w:rsid w:val="00216AF8"/>
    <w:rsid w:val="002170E4"/>
    <w:rsid w:val="002178E6"/>
    <w:rsid w:val="00222282"/>
    <w:rsid w:val="00232EA7"/>
    <w:rsid w:val="00234B5D"/>
    <w:rsid w:val="0023705C"/>
    <w:rsid w:val="00240562"/>
    <w:rsid w:val="00240C3B"/>
    <w:rsid w:val="0024458B"/>
    <w:rsid w:val="00244932"/>
    <w:rsid w:val="002458BE"/>
    <w:rsid w:val="00245CFB"/>
    <w:rsid w:val="00251A08"/>
    <w:rsid w:val="00253F29"/>
    <w:rsid w:val="002563E6"/>
    <w:rsid w:val="00264851"/>
    <w:rsid w:val="002679A0"/>
    <w:rsid w:val="002732BB"/>
    <w:rsid w:val="0029084C"/>
    <w:rsid w:val="00290ED6"/>
    <w:rsid w:val="00291770"/>
    <w:rsid w:val="002920B2"/>
    <w:rsid w:val="002926DF"/>
    <w:rsid w:val="002940B3"/>
    <w:rsid w:val="002968DF"/>
    <w:rsid w:val="002A6A34"/>
    <w:rsid w:val="002B3407"/>
    <w:rsid w:val="002B4C8F"/>
    <w:rsid w:val="002B7A05"/>
    <w:rsid w:val="002C1A37"/>
    <w:rsid w:val="002C2D08"/>
    <w:rsid w:val="002C663F"/>
    <w:rsid w:val="002D3464"/>
    <w:rsid w:val="002D4AD6"/>
    <w:rsid w:val="002D5991"/>
    <w:rsid w:val="002D7C5C"/>
    <w:rsid w:val="002E6169"/>
    <w:rsid w:val="002F14F7"/>
    <w:rsid w:val="002F58BA"/>
    <w:rsid w:val="00304057"/>
    <w:rsid w:val="00310074"/>
    <w:rsid w:val="003105B5"/>
    <w:rsid w:val="00314C97"/>
    <w:rsid w:val="003153C1"/>
    <w:rsid w:val="00320CE4"/>
    <w:rsid w:val="003301EC"/>
    <w:rsid w:val="00335CAE"/>
    <w:rsid w:val="003422C6"/>
    <w:rsid w:val="0034445C"/>
    <w:rsid w:val="00352187"/>
    <w:rsid w:val="0036136E"/>
    <w:rsid w:val="00365030"/>
    <w:rsid w:val="003661A9"/>
    <w:rsid w:val="00372CEB"/>
    <w:rsid w:val="00373189"/>
    <w:rsid w:val="00373A1D"/>
    <w:rsid w:val="00374219"/>
    <w:rsid w:val="0037467B"/>
    <w:rsid w:val="003756FA"/>
    <w:rsid w:val="00386FBA"/>
    <w:rsid w:val="00387981"/>
    <w:rsid w:val="003931EB"/>
    <w:rsid w:val="003947A5"/>
    <w:rsid w:val="00395E78"/>
    <w:rsid w:val="00397A3F"/>
    <w:rsid w:val="003A2D4F"/>
    <w:rsid w:val="003A6427"/>
    <w:rsid w:val="003A7680"/>
    <w:rsid w:val="003B1778"/>
    <w:rsid w:val="003B5D3C"/>
    <w:rsid w:val="003D7C6A"/>
    <w:rsid w:val="003E4E9A"/>
    <w:rsid w:val="003E7911"/>
    <w:rsid w:val="003F40BF"/>
    <w:rsid w:val="003F4482"/>
    <w:rsid w:val="0040153B"/>
    <w:rsid w:val="00401FD4"/>
    <w:rsid w:val="00404879"/>
    <w:rsid w:val="00410528"/>
    <w:rsid w:val="0043560D"/>
    <w:rsid w:val="004479CD"/>
    <w:rsid w:val="00452397"/>
    <w:rsid w:val="00453B11"/>
    <w:rsid w:val="00453C0E"/>
    <w:rsid w:val="00454BA9"/>
    <w:rsid w:val="00455288"/>
    <w:rsid w:val="00456449"/>
    <w:rsid w:val="004630C8"/>
    <w:rsid w:val="00464C5E"/>
    <w:rsid w:val="004665E3"/>
    <w:rsid w:val="00473903"/>
    <w:rsid w:val="004740D5"/>
    <w:rsid w:val="0047465B"/>
    <w:rsid w:val="00481155"/>
    <w:rsid w:val="00482B0C"/>
    <w:rsid w:val="004832E5"/>
    <w:rsid w:val="0048331C"/>
    <w:rsid w:val="00490849"/>
    <w:rsid w:val="004A3F60"/>
    <w:rsid w:val="004A6B03"/>
    <w:rsid w:val="004B0334"/>
    <w:rsid w:val="004B1EE2"/>
    <w:rsid w:val="004B6928"/>
    <w:rsid w:val="004C2688"/>
    <w:rsid w:val="004D258E"/>
    <w:rsid w:val="004D7A9F"/>
    <w:rsid w:val="004E7F0F"/>
    <w:rsid w:val="004F22A7"/>
    <w:rsid w:val="004F40D4"/>
    <w:rsid w:val="005108BB"/>
    <w:rsid w:val="00512E42"/>
    <w:rsid w:val="005137ED"/>
    <w:rsid w:val="00522850"/>
    <w:rsid w:val="00524569"/>
    <w:rsid w:val="0052472D"/>
    <w:rsid w:val="005306EA"/>
    <w:rsid w:val="005351F8"/>
    <w:rsid w:val="00543730"/>
    <w:rsid w:val="00550847"/>
    <w:rsid w:val="00565897"/>
    <w:rsid w:val="005720ED"/>
    <w:rsid w:val="00575261"/>
    <w:rsid w:val="005758D5"/>
    <w:rsid w:val="00585774"/>
    <w:rsid w:val="0059773A"/>
    <w:rsid w:val="005A0960"/>
    <w:rsid w:val="005A2D1D"/>
    <w:rsid w:val="005A3DE1"/>
    <w:rsid w:val="005A4A75"/>
    <w:rsid w:val="005C534E"/>
    <w:rsid w:val="005D39CB"/>
    <w:rsid w:val="005D5336"/>
    <w:rsid w:val="005D6501"/>
    <w:rsid w:val="005F3621"/>
    <w:rsid w:val="005F3F5F"/>
    <w:rsid w:val="00600CF0"/>
    <w:rsid w:val="006230F3"/>
    <w:rsid w:val="0062340E"/>
    <w:rsid w:val="00630DA9"/>
    <w:rsid w:val="006324BB"/>
    <w:rsid w:val="006329D5"/>
    <w:rsid w:val="0064475B"/>
    <w:rsid w:val="006552DC"/>
    <w:rsid w:val="00662428"/>
    <w:rsid w:val="006720EF"/>
    <w:rsid w:val="00672CB0"/>
    <w:rsid w:val="00673B01"/>
    <w:rsid w:val="0067540B"/>
    <w:rsid w:val="0067650C"/>
    <w:rsid w:val="00677F38"/>
    <w:rsid w:val="00691041"/>
    <w:rsid w:val="006967F4"/>
    <w:rsid w:val="006968E3"/>
    <w:rsid w:val="006A0BB0"/>
    <w:rsid w:val="006A26B5"/>
    <w:rsid w:val="006A2783"/>
    <w:rsid w:val="006A6D32"/>
    <w:rsid w:val="006B117A"/>
    <w:rsid w:val="006B248C"/>
    <w:rsid w:val="006B65F8"/>
    <w:rsid w:val="006B77E6"/>
    <w:rsid w:val="006C4D57"/>
    <w:rsid w:val="006C73FB"/>
    <w:rsid w:val="006E1089"/>
    <w:rsid w:val="006E2937"/>
    <w:rsid w:val="006E3356"/>
    <w:rsid w:val="006F0767"/>
    <w:rsid w:val="006F3B1E"/>
    <w:rsid w:val="00702B7B"/>
    <w:rsid w:val="00704525"/>
    <w:rsid w:val="00705583"/>
    <w:rsid w:val="00706E8B"/>
    <w:rsid w:val="0070798A"/>
    <w:rsid w:val="0071143C"/>
    <w:rsid w:val="007176BC"/>
    <w:rsid w:val="0072194E"/>
    <w:rsid w:val="00721A11"/>
    <w:rsid w:val="00723D9B"/>
    <w:rsid w:val="00725A48"/>
    <w:rsid w:val="00731788"/>
    <w:rsid w:val="007321A5"/>
    <w:rsid w:val="00733A68"/>
    <w:rsid w:val="007345D7"/>
    <w:rsid w:val="007364CF"/>
    <w:rsid w:val="007401F7"/>
    <w:rsid w:val="00747E1C"/>
    <w:rsid w:val="00754336"/>
    <w:rsid w:val="00755A14"/>
    <w:rsid w:val="00764771"/>
    <w:rsid w:val="00773C5F"/>
    <w:rsid w:val="007747F0"/>
    <w:rsid w:val="00775193"/>
    <w:rsid w:val="00780474"/>
    <w:rsid w:val="00785D65"/>
    <w:rsid w:val="00790F0E"/>
    <w:rsid w:val="007A230C"/>
    <w:rsid w:val="007A4E92"/>
    <w:rsid w:val="007A7DD6"/>
    <w:rsid w:val="007B28E8"/>
    <w:rsid w:val="007B50DC"/>
    <w:rsid w:val="007B54F9"/>
    <w:rsid w:val="007C5B18"/>
    <w:rsid w:val="007C789A"/>
    <w:rsid w:val="007C7A00"/>
    <w:rsid w:val="007E44EB"/>
    <w:rsid w:val="007E5CED"/>
    <w:rsid w:val="007E77DA"/>
    <w:rsid w:val="007E7FA6"/>
    <w:rsid w:val="007F1C9E"/>
    <w:rsid w:val="007F3941"/>
    <w:rsid w:val="00812110"/>
    <w:rsid w:val="00812DD4"/>
    <w:rsid w:val="00825864"/>
    <w:rsid w:val="008273DF"/>
    <w:rsid w:val="0084260F"/>
    <w:rsid w:val="00842987"/>
    <w:rsid w:val="0084764A"/>
    <w:rsid w:val="00856F2B"/>
    <w:rsid w:val="0086191D"/>
    <w:rsid w:val="00865017"/>
    <w:rsid w:val="00872E71"/>
    <w:rsid w:val="00877AAC"/>
    <w:rsid w:val="00886595"/>
    <w:rsid w:val="00893DBC"/>
    <w:rsid w:val="0089509B"/>
    <w:rsid w:val="00897CF9"/>
    <w:rsid w:val="008A0458"/>
    <w:rsid w:val="008A304E"/>
    <w:rsid w:val="008A38EF"/>
    <w:rsid w:val="008A76C8"/>
    <w:rsid w:val="008B1A84"/>
    <w:rsid w:val="008B6E6D"/>
    <w:rsid w:val="008C4C70"/>
    <w:rsid w:val="008D4470"/>
    <w:rsid w:val="008E456C"/>
    <w:rsid w:val="008E48E4"/>
    <w:rsid w:val="008F6E97"/>
    <w:rsid w:val="00904C57"/>
    <w:rsid w:val="00910150"/>
    <w:rsid w:val="0091278D"/>
    <w:rsid w:val="0091567C"/>
    <w:rsid w:val="00915960"/>
    <w:rsid w:val="009266D7"/>
    <w:rsid w:val="00932569"/>
    <w:rsid w:val="0093585E"/>
    <w:rsid w:val="00944EAC"/>
    <w:rsid w:val="00945B9F"/>
    <w:rsid w:val="00956BB5"/>
    <w:rsid w:val="00962E2B"/>
    <w:rsid w:val="009643E9"/>
    <w:rsid w:val="0097279B"/>
    <w:rsid w:val="00972B9D"/>
    <w:rsid w:val="0098050B"/>
    <w:rsid w:val="00990045"/>
    <w:rsid w:val="009902A8"/>
    <w:rsid w:val="009A073C"/>
    <w:rsid w:val="009A1145"/>
    <w:rsid w:val="009B25EF"/>
    <w:rsid w:val="009B7816"/>
    <w:rsid w:val="009C3FBD"/>
    <w:rsid w:val="009C4317"/>
    <w:rsid w:val="009C4513"/>
    <w:rsid w:val="009C6B98"/>
    <w:rsid w:val="009C77EE"/>
    <w:rsid w:val="009D3345"/>
    <w:rsid w:val="009F176D"/>
    <w:rsid w:val="009F268A"/>
    <w:rsid w:val="009F3293"/>
    <w:rsid w:val="00A01402"/>
    <w:rsid w:val="00A01697"/>
    <w:rsid w:val="00A025E5"/>
    <w:rsid w:val="00A07F28"/>
    <w:rsid w:val="00A1189F"/>
    <w:rsid w:val="00A167FD"/>
    <w:rsid w:val="00A17B33"/>
    <w:rsid w:val="00A20FDA"/>
    <w:rsid w:val="00A21908"/>
    <w:rsid w:val="00A3271E"/>
    <w:rsid w:val="00A537B4"/>
    <w:rsid w:val="00A563A1"/>
    <w:rsid w:val="00A573B9"/>
    <w:rsid w:val="00A657CF"/>
    <w:rsid w:val="00A67FAE"/>
    <w:rsid w:val="00A70892"/>
    <w:rsid w:val="00A77C6D"/>
    <w:rsid w:val="00A92B97"/>
    <w:rsid w:val="00A9325D"/>
    <w:rsid w:val="00AA1BE9"/>
    <w:rsid w:val="00AA55FA"/>
    <w:rsid w:val="00AA76DF"/>
    <w:rsid w:val="00AA7F21"/>
    <w:rsid w:val="00AB0980"/>
    <w:rsid w:val="00AB0DB8"/>
    <w:rsid w:val="00AB20FB"/>
    <w:rsid w:val="00AC043B"/>
    <w:rsid w:val="00AC07F7"/>
    <w:rsid w:val="00AD04E7"/>
    <w:rsid w:val="00AD19A8"/>
    <w:rsid w:val="00AD3205"/>
    <w:rsid w:val="00AE5989"/>
    <w:rsid w:val="00AE6870"/>
    <w:rsid w:val="00AF0D82"/>
    <w:rsid w:val="00AF47B8"/>
    <w:rsid w:val="00AF6C62"/>
    <w:rsid w:val="00B01633"/>
    <w:rsid w:val="00B17F34"/>
    <w:rsid w:val="00B36F69"/>
    <w:rsid w:val="00B37FB6"/>
    <w:rsid w:val="00B42A2F"/>
    <w:rsid w:val="00B43200"/>
    <w:rsid w:val="00B50557"/>
    <w:rsid w:val="00B63F9D"/>
    <w:rsid w:val="00B65305"/>
    <w:rsid w:val="00B67D17"/>
    <w:rsid w:val="00B71F24"/>
    <w:rsid w:val="00B76817"/>
    <w:rsid w:val="00B76F51"/>
    <w:rsid w:val="00B8021D"/>
    <w:rsid w:val="00B81BA7"/>
    <w:rsid w:val="00B81E09"/>
    <w:rsid w:val="00B83254"/>
    <w:rsid w:val="00B83BCB"/>
    <w:rsid w:val="00B85591"/>
    <w:rsid w:val="00B95CF9"/>
    <w:rsid w:val="00BA0496"/>
    <w:rsid w:val="00BA3714"/>
    <w:rsid w:val="00BA568D"/>
    <w:rsid w:val="00BA6327"/>
    <w:rsid w:val="00BA6774"/>
    <w:rsid w:val="00BB42BE"/>
    <w:rsid w:val="00BB50EC"/>
    <w:rsid w:val="00BB51BC"/>
    <w:rsid w:val="00BC6C2B"/>
    <w:rsid w:val="00BC777E"/>
    <w:rsid w:val="00BD070C"/>
    <w:rsid w:val="00BD63EC"/>
    <w:rsid w:val="00BE03B2"/>
    <w:rsid w:val="00BE4543"/>
    <w:rsid w:val="00BE4BE2"/>
    <w:rsid w:val="00BF33E6"/>
    <w:rsid w:val="00BF458F"/>
    <w:rsid w:val="00BF6CAF"/>
    <w:rsid w:val="00C1115B"/>
    <w:rsid w:val="00C16031"/>
    <w:rsid w:val="00C23A86"/>
    <w:rsid w:val="00C24984"/>
    <w:rsid w:val="00C3082A"/>
    <w:rsid w:val="00C32F12"/>
    <w:rsid w:val="00C36F7F"/>
    <w:rsid w:val="00C40954"/>
    <w:rsid w:val="00C4137E"/>
    <w:rsid w:val="00C44E99"/>
    <w:rsid w:val="00C4584A"/>
    <w:rsid w:val="00C509FF"/>
    <w:rsid w:val="00C621D3"/>
    <w:rsid w:val="00C62654"/>
    <w:rsid w:val="00C65D89"/>
    <w:rsid w:val="00C662B2"/>
    <w:rsid w:val="00C66FB5"/>
    <w:rsid w:val="00C806E7"/>
    <w:rsid w:val="00C81D32"/>
    <w:rsid w:val="00C850B8"/>
    <w:rsid w:val="00C86740"/>
    <w:rsid w:val="00C91D4B"/>
    <w:rsid w:val="00C955D7"/>
    <w:rsid w:val="00C97900"/>
    <w:rsid w:val="00CA36B1"/>
    <w:rsid w:val="00CA7800"/>
    <w:rsid w:val="00CC3AF1"/>
    <w:rsid w:val="00CC5867"/>
    <w:rsid w:val="00CD30AC"/>
    <w:rsid w:val="00CF1486"/>
    <w:rsid w:val="00CF4BF8"/>
    <w:rsid w:val="00CF5765"/>
    <w:rsid w:val="00CF5EFE"/>
    <w:rsid w:val="00CF6FAB"/>
    <w:rsid w:val="00D01A42"/>
    <w:rsid w:val="00D11D77"/>
    <w:rsid w:val="00D1238C"/>
    <w:rsid w:val="00D20015"/>
    <w:rsid w:val="00D258C6"/>
    <w:rsid w:val="00D26114"/>
    <w:rsid w:val="00D265A1"/>
    <w:rsid w:val="00D30E1D"/>
    <w:rsid w:val="00D32281"/>
    <w:rsid w:val="00D34149"/>
    <w:rsid w:val="00D35180"/>
    <w:rsid w:val="00D36319"/>
    <w:rsid w:val="00D3760C"/>
    <w:rsid w:val="00D40CE7"/>
    <w:rsid w:val="00D42613"/>
    <w:rsid w:val="00D45902"/>
    <w:rsid w:val="00D4661A"/>
    <w:rsid w:val="00D4791B"/>
    <w:rsid w:val="00D55B9F"/>
    <w:rsid w:val="00D62038"/>
    <w:rsid w:val="00D632AD"/>
    <w:rsid w:val="00D7090D"/>
    <w:rsid w:val="00D7398D"/>
    <w:rsid w:val="00D83798"/>
    <w:rsid w:val="00D84843"/>
    <w:rsid w:val="00D9176F"/>
    <w:rsid w:val="00DA1530"/>
    <w:rsid w:val="00DA5E82"/>
    <w:rsid w:val="00DA679B"/>
    <w:rsid w:val="00DB0C1A"/>
    <w:rsid w:val="00DB25FF"/>
    <w:rsid w:val="00DB2B36"/>
    <w:rsid w:val="00DB5E38"/>
    <w:rsid w:val="00DB6BFE"/>
    <w:rsid w:val="00DC5194"/>
    <w:rsid w:val="00DC6566"/>
    <w:rsid w:val="00DE3218"/>
    <w:rsid w:val="00DE5C93"/>
    <w:rsid w:val="00DF06E0"/>
    <w:rsid w:val="00DF1DB8"/>
    <w:rsid w:val="00DF42C3"/>
    <w:rsid w:val="00DF5487"/>
    <w:rsid w:val="00DF7D5B"/>
    <w:rsid w:val="00E047C9"/>
    <w:rsid w:val="00E06E3B"/>
    <w:rsid w:val="00E1436E"/>
    <w:rsid w:val="00E1795E"/>
    <w:rsid w:val="00E17E25"/>
    <w:rsid w:val="00E20254"/>
    <w:rsid w:val="00E232CB"/>
    <w:rsid w:val="00E24F8E"/>
    <w:rsid w:val="00E25EFA"/>
    <w:rsid w:val="00E30D42"/>
    <w:rsid w:val="00E3678C"/>
    <w:rsid w:val="00E37615"/>
    <w:rsid w:val="00E42A29"/>
    <w:rsid w:val="00E55617"/>
    <w:rsid w:val="00E5714B"/>
    <w:rsid w:val="00E605B4"/>
    <w:rsid w:val="00E70E3A"/>
    <w:rsid w:val="00E74546"/>
    <w:rsid w:val="00E87119"/>
    <w:rsid w:val="00E9118F"/>
    <w:rsid w:val="00E91FB0"/>
    <w:rsid w:val="00E95C8A"/>
    <w:rsid w:val="00EB2B76"/>
    <w:rsid w:val="00EB30EA"/>
    <w:rsid w:val="00EB3BC3"/>
    <w:rsid w:val="00EC2A18"/>
    <w:rsid w:val="00EC3D8E"/>
    <w:rsid w:val="00EC517C"/>
    <w:rsid w:val="00EC5EA4"/>
    <w:rsid w:val="00ED7F4D"/>
    <w:rsid w:val="00EE0DE5"/>
    <w:rsid w:val="00EE1544"/>
    <w:rsid w:val="00EF15F0"/>
    <w:rsid w:val="00EF24C7"/>
    <w:rsid w:val="00EF4A26"/>
    <w:rsid w:val="00EF4B72"/>
    <w:rsid w:val="00EF7EFA"/>
    <w:rsid w:val="00F02290"/>
    <w:rsid w:val="00F13098"/>
    <w:rsid w:val="00F14D6A"/>
    <w:rsid w:val="00F22AF0"/>
    <w:rsid w:val="00F2495B"/>
    <w:rsid w:val="00F25530"/>
    <w:rsid w:val="00F34865"/>
    <w:rsid w:val="00F3582B"/>
    <w:rsid w:val="00F439F8"/>
    <w:rsid w:val="00F43A15"/>
    <w:rsid w:val="00F47311"/>
    <w:rsid w:val="00F5643D"/>
    <w:rsid w:val="00F56712"/>
    <w:rsid w:val="00F57CBB"/>
    <w:rsid w:val="00F62E25"/>
    <w:rsid w:val="00F67ABD"/>
    <w:rsid w:val="00F72740"/>
    <w:rsid w:val="00F7773E"/>
    <w:rsid w:val="00F95B60"/>
    <w:rsid w:val="00F97100"/>
    <w:rsid w:val="00FA104C"/>
    <w:rsid w:val="00FA2055"/>
    <w:rsid w:val="00FA68EA"/>
    <w:rsid w:val="00FB03FA"/>
    <w:rsid w:val="00FC0B76"/>
    <w:rsid w:val="00FC5B05"/>
    <w:rsid w:val="00FD032C"/>
    <w:rsid w:val="00FD6E2C"/>
    <w:rsid w:val="00FE47D1"/>
    <w:rsid w:val="00FE4837"/>
    <w:rsid w:val="00FF2E57"/>
    <w:rsid w:val="00FF44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E16DC6"/>
  <w15:docId w15:val="{F269C385-6239-413F-801D-21DD7FDB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189"/>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373189"/>
    <w:pPr>
      <w:keepNext/>
      <w:outlineLvl w:val="0"/>
    </w:pPr>
    <w:rPr>
      <w:b/>
      <w:bCs/>
    </w:rPr>
  </w:style>
  <w:style w:type="paragraph" w:styleId="Ttulo2">
    <w:name w:val="heading 2"/>
    <w:basedOn w:val="Normal"/>
    <w:next w:val="Normal"/>
    <w:link w:val="Ttulo2Car"/>
    <w:qFormat/>
    <w:rsid w:val="00373189"/>
    <w:pPr>
      <w:keepNext/>
      <w:ind w:left="360"/>
      <w:outlineLvl w:val="1"/>
    </w:pPr>
    <w:rPr>
      <w:b/>
      <w:bCs/>
    </w:rPr>
  </w:style>
  <w:style w:type="paragraph" w:styleId="Ttulo5">
    <w:name w:val="heading 5"/>
    <w:basedOn w:val="Normal"/>
    <w:next w:val="Normal"/>
    <w:link w:val="Ttulo5Car"/>
    <w:qFormat/>
    <w:rsid w:val="00373189"/>
    <w:pPr>
      <w:keepNext/>
      <w:pBdr>
        <w:top w:val="single" w:sz="4" w:space="1" w:color="auto"/>
        <w:left w:val="single" w:sz="4" w:space="4" w:color="auto"/>
        <w:bottom w:val="single" w:sz="4" w:space="1" w:color="auto"/>
        <w:right w:val="single" w:sz="4" w:space="4" w:color="auto"/>
      </w:pBdr>
      <w:jc w:val="center"/>
      <w:outlineLvl w:val="4"/>
    </w:pPr>
    <w:rPr>
      <w:rFonts w:ascii="Arial" w:hAnsi="Arial"/>
      <w:b/>
      <w:sz w:val="18"/>
    </w:rPr>
  </w:style>
  <w:style w:type="paragraph" w:styleId="Ttulo6">
    <w:name w:val="heading 6"/>
    <w:basedOn w:val="Normal"/>
    <w:next w:val="Normal"/>
    <w:link w:val="Ttulo6Car"/>
    <w:qFormat/>
    <w:rsid w:val="00373189"/>
    <w:pPr>
      <w:keepNext/>
      <w:pBdr>
        <w:top w:val="single" w:sz="4" w:space="1" w:color="auto"/>
        <w:left w:val="single" w:sz="4" w:space="4" w:color="auto"/>
        <w:bottom w:val="single" w:sz="4" w:space="1" w:color="auto"/>
        <w:right w:val="single" w:sz="4" w:space="4" w:color="auto"/>
      </w:pBdr>
      <w:jc w:val="center"/>
      <w:outlineLvl w:val="5"/>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73189"/>
    <w:rPr>
      <w:rFonts w:ascii="Times New Roman" w:eastAsia="Times New Roman" w:hAnsi="Times New Roman" w:cs="Times New Roman"/>
      <w:b/>
      <w:bCs/>
      <w:sz w:val="24"/>
      <w:szCs w:val="24"/>
      <w:lang w:eastAsia="es-ES"/>
    </w:rPr>
  </w:style>
  <w:style w:type="character" w:customStyle="1" w:styleId="Ttulo2Car">
    <w:name w:val="Título 2 Car"/>
    <w:basedOn w:val="Fuentedeprrafopredeter"/>
    <w:link w:val="Ttulo2"/>
    <w:rsid w:val="00373189"/>
    <w:rPr>
      <w:rFonts w:ascii="Times New Roman" w:eastAsia="Times New Roman" w:hAnsi="Times New Roman" w:cs="Times New Roman"/>
      <w:b/>
      <w:bCs/>
      <w:sz w:val="24"/>
      <w:szCs w:val="24"/>
      <w:lang w:eastAsia="es-ES"/>
    </w:rPr>
  </w:style>
  <w:style w:type="character" w:customStyle="1" w:styleId="Ttulo5Car">
    <w:name w:val="Título 5 Car"/>
    <w:basedOn w:val="Fuentedeprrafopredeter"/>
    <w:link w:val="Ttulo5"/>
    <w:rsid w:val="00373189"/>
    <w:rPr>
      <w:rFonts w:ascii="Arial" w:eastAsia="Times New Roman" w:hAnsi="Arial" w:cs="Times New Roman"/>
      <w:b/>
      <w:sz w:val="18"/>
      <w:szCs w:val="24"/>
      <w:lang w:eastAsia="es-ES"/>
    </w:rPr>
  </w:style>
  <w:style w:type="character" w:customStyle="1" w:styleId="Ttulo6Car">
    <w:name w:val="Título 6 Car"/>
    <w:basedOn w:val="Fuentedeprrafopredeter"/>
    <w:link w:val="Ttulo6"/>
    <w:rsid w:val="00373189"/>
    <w:rPr>
      <w:rFonts w:ascii="Arial" w:eastAsia="Times New Roman" w:hAnsi="Arial" w:cs="Times New Roman"/>
      <w:b/>
      <w:szCs w:val="24"/>
      <w:lang w:eastAsia="es-ES"/>
    </w:rPr>
  </w:style>
  <w:style w:type="paragraph" w:styleId="Sangradetextonormal">
    <w:name w:val="Body Text Indent"/>
    <w:basedOn w:val="Normal"/>
    <w:link w:val="SangradetextonormalCar"/>
    <w:rsid w:val="00373189"/>
    <w:pPr>
      <w:ind w:left="180"/>
    </w:pPr>
  </w:style>
  <w:style w:type="character" w:customStyle="1" w:styleId="SangradetextonormalCar">
    <w:name w:val="Sangría de texto normal Car"/>
    <w:basedOn w:val="Fuentedeprrafopredeter"/>
    <w:link w:val="Sangradetextonormal"/>
    <w:rsid w:val="00373189"/>
    <w:rPr>
      <w:rFonts w:ascii="Times New Roman" w:eastAsia="Times New Roman" w:hAnsi="Times New Roman" w:cs="Times New Roman"/>
      <w:sz w:val="24"/>
      <w:szCs w:val="24"/>
      <w:lang w:eastAsia="es-ES"/>
    </w:rPr>
  </w:style>
  <w:style w:type="paragraph" w:styleId="Piedepgina">
    <w:name w:val="footer"/>
    <w:basedOn w:val="Normal"/>
    <w:link w:val="PiedepginaCar"/>
    <w:rsid w:val="00373189"/>
    <w:pPr>
      <w:tabs>
        <w:tab w:val="center" w:pos="4419"/>
        <w:tab w:val="right" w:pos="8838"/>
      </w:tabs>
    </w:pPr>
  </w:style>
  <w:style w:type="character" w:customStyle="1" w:styleId="PiedepginaCar">
    <w:name w:val="Pie de página Car"/>
    <w:basedOn w:val="Fuentedeprrafopredeter"/>
    <w:link w:val="Piedepgina"/>
    <w:rsid w:val="00373189"/>
    <w:rPr>
      <w:rFonts w:ascii="Times New Roman" w:eastAsia="Times New Roman" w:hAnsi="Times New Roman" w:cs="Times New Roman"/>
      <w:sz w:val="24"/>
      <w:szCs w:val="24"/>
      <w:lang w:eastAsia="es-ES"/>
    </w:rPr>
  </w:style>
  <w:style w:type="character" w:styleId="Nmerodepgina">
    <w:name w:val="page number"/>
    <w:basedOn w:val="Fuentedeprrafopredeter"/>
    <w:rsid w:val="00373189"/>
  </w:style>
  <w:style w:type="paragraph" w:styleId="Encabezado">
    <w:name w:val="header"/>
    <w:basedOn w:val="Normal"/>
    <w:link w:val="EncabezadoCar"/>
    <w:rsid w:val="00373189"/>
    <w:pPr>
      <w:tabs>
        <w:tab w:val="center" w:pos="4419"/>
        <w:tab w:val="right" w:pos="8838"/>
      </w:tabs>
    </w:pPr>
  </w:style>
  <w:style w:type="character" w:customStyle="1" w:styleId="EncabezadoCar">
    <w:name w:val="Encabezado Car"/>
    <w:basedOn w:val="Fuentedeprrafopredeter"/>
    <w:link w:val="Encabezado"/>
    <w:rsid w:val="00373189"/>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373189"/>
    <w:pPr>
      <w:jc w:val="both"/>
    </w:pPr>
    <w:rPr>
      <w:rFonts w:ascii="Arial" w:hAnsi="Arial" w:cs="Arial"/>
      <w:bCs/>
      <w:color w:val="CCFFCC"/>
      <w:sz w:val="22"/>
      <w:szCs w:val="22"/>
    </w:rPr>
  </w:style>
  <w:style w:type="character" w:customStyle="1" w:styleId="TextoindependienteCar">
    <w:name w:val="Texto independiente Car"/>
    <w:basedOn w:val="Fuentedeprrafopredeter"/>
    <w:link w:val="Textoindependiente"/>
    <w:rsid w:val="00373189"/>
    <w:rPr>
      <w:rFonts w:ascii="Arial" w:eastAsia="Times New Roman" w:hAnsi="Arial" w:cs="Arial"/>
      <w:bCs/>
      <w:color w:val="CCFFCC"/>
      <w:lang w:eastAsia="es-ES"/>
    </w:rPr>
  </w:style>
  <w:style w:type="paragraph" w:styleId="Textoindependiente2">
    <w:name w:val="Body Text 2"/>
    <w:basedOn w:val="Normal"/>
    <w:link w:val="Textoindependiente2Car"/>
    <w:rsid w:val="00373189"/>
    <w:pPr>
      <w:jc w:val="both"/>
    </w:pPr>
    <w:rPr>
      <w:rFonts w:ascii="Arial" w:hAnsi="Arial" w:cs="Arial"/>
      <w:sz w:val="22"/>
      <w:szCs w:val="22"/>
    </w:rPr>
  </w:style>
  <w:style w:type="character" w:customStyle="1" w:styleId="Textoindependiente2Car">
    <w:name w:val="Texto independiente 2 Car"/>
    <w:basedOn w:val="Fuentedeprrafopredeter"/>
    <w:link w:val="Textoindependiente2"/>
    <w:rsid w:val="00373189"/>
    <w:rPr>
      <w:rFonts w:ascii="Arial" w:eastAsia="Times New Roman" w:hAnsi="Arial" w:cs="Arial"/>
      <w:lang w:eastAsia="es-ES"/>
    </w:rPr>
  </w:style>
  <w:style w:type="paragraph" w:styleId="Sangra3detindependiente">
    <w:name w:val="Body Text Indent 3"/>
    <w:basedOn w:val="Normal"/>
    <w:link w:val="Sangra3detindependienteCar"/>
    <w:rsid w:val="00373189"/>
    <w:pPr>
      <w:ind w:firstLine="360"/>
      <w:jc w:val="both"/>
    </w:pPr>
    <w:rPr>
      <w:rFonts w:ascii="Arial" w:hAnsi="Arial"/>
      <w:sz w:val="22"/>
    </w:rPr>
  </w:style>
  <w:style w:type="character" w:customStyle="1" w:styleId="Sangra3detindependienteCar">
    <w:name w:val="Sangría 3 de t. independiente Car"/>
    <w:basedOn w:val="Fuentedeprrafopredeter"/>
    <w:link w:val="Sangra3detindependiente"/>
    <w:rsid w:val="00373189"/>
    <w:rPr>
      <w:rFonts w:ascii="Arial" w:eastAsia="Times New Roman" w:hAnsi="Arial" w:cs="Times New Roman"/>
      <w:szCs w:val="24"/>
      <w:lang w:eastAsia="es-ES"/>
    </w:rPr>
  </w:style>
  <w:style w:type="paragraph" w:styleId="Textoindependiente3">
    <w:name w:val="Body Text 3"/>
    <w:basedOn w:val="Normal"/>
    <w:link w:val="Textoindependiente3Car"/>
    <w:rsid w:val="00373189"/>
    <w:pPr>
      <w:jc w:val="both"/>
    </w:pPr>
    <w:rPr>
      <w:rFonts w:ascii="Arial" w:hAnsi="Arial"/>
      <w:sz w:val="18"/>
    </w:rPr>
  </w:style>
  <w:style w:type="character" w:customStyle="1" w:styleId="Textoindependiente3Car">
    <w:name w:val="Texto independiente 3 Car"/>
    <w:basedOn w:val="Fuentedeprrafopredeter"/>
    <w:link w:val="Textoindependiente3"/>
    <w:rsid w:val="00373189"/>
    <w:rPr>
      <w:rFonts w:ascii="Arial" w:eastAsia="Times New Roman" w:hAnsi="Arial" w:cs="Times New Roman"/>
      <w:sz w:val="18"/>
      <w:szCs w:val="24"/>
      <w:lang w:eastAsia="es-ES"/>
    </w:rPr>
  </w:style>
  <w:style w:type="paragraph" w:styleId="Textodeglobo">
    <w:name w:val="Balloon Text"/>
    <w:basedOn w:val="Normal"/>
    <w:link w:val="TextodegloboCar"/>
    <w:semiHidden/>
    <w:rsid w:val="00373189"/>
    <w:rPr>
      <w:rFonts w:ascii="Tahoma" w:hAnsi="Tahoma" w:cs="Tahoma"/>
      <w:sz w:val="16"/>
      <w:szCs w:val="16"/>
    </w:rPr>
  </w:style>
  <w:style w:type="character" w:customStyle="1" w:styleId="TextodegloboCar">
    <w:name w:val="Texto de globo Car"/>
    <w:basedOn w:val="Fuentedeprrafopredeter"/>
    <w:link w:val="Textodeglobo"/>
    <w:semiHidden/>
    <w:rsid w:val="00373189"/>
    <w:rPr>
      <w:rFonts w:ascii="Tahoma" w:eastAsia="Times New Roman" w:hAnsi="Tahoma" w:cs="Tahoma"/>
      <w:sz w:val="16"/>
      <w:szCs w:val="16"/>
      <w:lang w:eastAsia="es-ES"/>
    </w:rPr>
  </w:style>
  <w:style w:type="table" w:styleId="Tablaconcuadrcula">
    <w:name w:val="Table Grid"/>
    <w:basedOn w:val="Tablanormal"/>
    <w:rsid w:val="0037318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asEEFF">
    <w:name w:val="Notas EEFF"/>
    <w:basedOn w:val="Normal"/>
    <w:next w:val="Normal"/>
    <w:link w:val="NotasEEFFCar"/>
    <w:autoRedefine/>
    <w:rsid w:val="00373189"/>
    <w:pPr>
      <w:numPr>
        <w:numId w:val="8"/>
      </w:numPr>
      <w:pBdr>
        <w:top w:val="thinThickLargeGap" w:sz="24" w:space="5" w:color="auto"/>
        <w:left w:val="thinThickLargeGap" w:sz="24" w:space="5" w:color="auto"/>
        <w:bottom w:val="thickThinLargeGap" w:sz="24" w:space="4" w:color="auto"/>
        <w:right w:val="thickThinLargeGap" w:sz="24" w:space="5" w:color="auto"/>
      </w:pBdr>
      <w:spacing w:before="120" w:after="120"/>
      <w:jc w:val="center"/>
    </w:pPr>
    <w:rPr>
      <w:rFonts w:ascii="Eras Medium ITC" w:hAnsi="Eras Medium ITC" w:cs="Tahoma"/>
      <w:bCs/>
      <w:smallCaps/>
    </w:rPr>
  </w:style>
  <w:style w:type="character" w:customStyle="1" w:styleId="NotasEEFFCar">
    <w:name w:val="Notas EEFF Car"/>
    <w:link w:val="NotasEEFF"/>
    <w:rsid w:val="00373189"/>
    <w:rPr>
      <w:rFonts w:ascii="Eras Medium ITC" w:eastAsia="Times New Roman" w:hAnsi="Eras Medium ITC" w:cs="Tahoma"/>
      <w:bCs/>
      <w:smallCaps/>
      <w:sz w:val="24"/>
      <w:szCs w:val="24"/>
      <w:lang w:eastAsia="es-ES"/>
    </w:rPr>
  </w:style>
  <w:style w:type="paragraph" w:styleId="Prrafodelista">
    <w:name w:val="List Paragraph"/>
    <w:basedOn w:val="Normal"/>
    <w:uiPriority w:val="34"/>
    <w:qFormat/>
    <w:rsid w:val="00373189"/>
    <w:pPr>
      <w:ind w:left="720"/>
      <w:contextualSpacing/>
    </w:pPr>
  </w:style>
  <w:style w:type="character" w:customStyle="1" w:styleId="EstiloCorreo30">
    <w:name w:val="EstiloCorreo30"/>
    <w:semiHidden/>
    <w:rsid w:val="00373189"/>
    <w:rPr>
      <w:rFonts w:ascii="Arial" w:hAnsi="Arial" w:cs="Arial"/>
      <w:color w:val="auto"/>
      <w:sz w:val="20"/>
      <w:szCs w:val="20"/>
    </w:rPr>
  </w:style>
  <w:style w:type="paragraph" w:styleId="NormalWeb">
    <w:name w:val="Normal (Web)"/>
    <w:basedOn w:val="Normal"/>
    <w:uiPriority w:val="99"/>
    <w:unhideWhenUsed/>
    <w:rsid w:val="00373189"/>
    <w:pPr>
      <w:spacing w:before="100" w:beforeAutospacing="1" w:after="100" w:afterAutospacing="1"/>
    </w:pPr>
    <w:rPr>
      <w:lang w:eastAsia="es-MX"/>
    </w:rPr>
  </w:style>
  <w:style w:type="paragraph" w:styleId="Revisin">
    <w:name w:val="Revision"/>
    <w:hidden/>
    <w:uiPriority w:val="99"/>
    <w:semiHidden/>
    <w:rsid w:val="00373189"/>
    <w:pPr>
      <w:spacing w:after="0" w:line="240" w:lineRule="auto"/>
    </w:pPr>
    <w:rPr>
      <w:rFonts w:ascii="Times New Roman" w:eastAsia="Times New Roman" w:hAnsi="Times New Roman" w:cs="Times New Roman"/>
      <w:sz w:val="24"/>
      <w:szCs w:val="24"/>
      <w:lang w:eastAsia="es-ES"/>
    </w:rPr>
  </w:style>
  <w:style w:type="paragraph" w:customStyle="1" w:styleId="CM162">
    <w:name w:val="CM162"/>
    <w:basedOn w:val="Normal"/>
    <w:uiPriority w:val="99"/>
    <w:rsid w:val="00222282"/>
    <w:pPr>
      <w:autoSpaceDE w:val="0"/>
      <w:autoSpaceDN w:val="0"/>
    </w:pPr>
    <w:rPr>
      <w:rFonts w:ascii="Soberana Titular" w:eastAsiaTheme="minorHAnsi" w:hAnsi="Soberana Titular"/>
      <w:lang w:val="es-ES"/>
    </w:rPr>
  </w:style>
  <w:style w:type="character" w:styleId="Refdecomentario">
    <w:name w:val="annotation reference"/>
    <w:basedOn w:val="Fuentedeprrafopredeter"/>
    <w:uiPriority w:val="99"/>
    <w:semiHidden/>
    <w:unhideWhenUsed/>
    <w:rsid w:val="00291770"/>
    <w:rPr>
      <w:sz w:val="16"/>
      <w:szCs w:val="16"/>
    </w:rPr>
  </w:style>
  <w:style w:type="paragraph" w:styleId="Textocomentario">
    <w:name w:val="annotation text"/>
    <w:basedOn w:val="Normal"/>
    <w:link w:val="TextocomentarioCar"/>
    <w:uiPriority w:val="99"/>
    <w:semiHidden/>
    <w:unhideWhenUsed/>
    <w:rsid w:val="00291770"/>
    <w:rPr>
      <w:sz w:val="20"/>
      <w:szCs w:val="20"/>
    </w:rPr>
  </w:style>
  <w:style w:type="character" w:customStyle="1" w:styleId="TextocomentarioCar">
    <w:name w:val="Texto comentario Car"/>
    <w:basedOn w:val="Fuentedeprrafopredeter"/>
    <w:link w:val="Textocomentario"/>
    <w:uiPriority w:val="99"/>
    <w:semiHidden/>
    <w:rsid w:val="00291770"/>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291770"/>
    <w:rPr>
      <w:b/>
      <w:bCs/>
    </w:rPr>
  </w:style>
  <w:style w:type="character" w:customStyle="1" w:styleId="AsuntodelcomentarioCar">
    <w:name w:val="Asunto del comentario Car"/>
    <w:basedOn w:val="TextocomentarioCar"/>
    <w:link w:val="Asuntodelcomentario"/>
    <w:uiPriority w:val="99"/>
    <w:semiHidden/>
    <w:rsid w:val="00291770"/>
    <w:rPr>
      <w:rFonts w:ascii="Times New Roman" w:eastAsia="Times New Roman" w:hAnsi="Times New Roman" w:cs="Times New Roman"/>
      <w:b/>
      <w:bCs/>
      <w:sz w:val="20"/>
      <w:szCs w:val="20"/>
      <w:lang w:eastAsia="es-ES"/>
    </w:rPr>
  </w:style>
  <w:style w:type="table" w:styleId="Cuadrculaclara-nfasis1">
    <w:name w:val="Light Grid Accent 1"/>
    <w:basedOn w:val="Tablanormal"/>
    <w:uiPriority w:val="62"/>
    <w:rsid w:val="006E335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nfasis1">
    <w:name w:val="Light Shading Accent 1"/>
    <w:basedOn w:val="Tablanormal"/>
    <w:uiPriority w:val="60"/>
    <w:rsid w:val="005A4A75"/>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notapie">
    <w:name w:val="footnote text"/>
    <w:basedOn w:val="Normal"/>
    <w:link w:val="TextonotapieCar"/>
    <w:uiPriority w:val="99"/>
    <w:semiHidden/>
    <w:rsid w:val="00AA55FA"/>
    <w:rPr>
      <w:rFonts w:eastAsia="Calibri"/>
      <w:sz w:val="20"/>
      <w:szCs w:val="20"/>
      <w:lang w:val="es-ES"/>
    </w:rPr>
  </w:style>
  <w:style w:type="character" w:customStyle="1" w:styleId="TextonotapieCar">
    <w:name w:val="Texto nota pie Car"/>
    <w:basedOn w:val="Fuentedeprrafopredeter"/>
    <w:link w:val="Textonotapie"/>
    <w:uiPriority w:val="99"/>
    <w:semiHidden/>
    <w:rsid w:val="00AA55FA"/>
    <w:rPr>
      <w:rFonts w:ascii="Times New Roman" w:eastAsia="Calibri" w:hAnsi="Times New Roman" w:cs="Times New Roman"/>
      <w:sz w:val="20"/>
      <w:szCs w:val="20"/>
      <w:lang w:val="es-ES" w:eastAsia="es-ES"/>
    </w:rPr>
  </w:style>
  <w:style w:type="character" w:styleId="Refdenotaalpie">
    <w:name w:val="footnote reference"/>
    <w:uiPriority w:val="99"/>
    <w:rsid w:val="00AA55FA"/>
    <w:rPr>
      <w:rFonts w:cs="Times New Roman"/>
      <w:vertAlign w:val="superscript"/>
    </w:rPr>
  </w:style>
  <w:style w:type="character" w:customStyle="1" w:styleId="TextoCar">
    <w:name w:val="Texto Car"/>
    <w:basedOn w:val="Fuentedeprrafopredeter"/>
    <w:link w:val="Texto"/>
    <w:locked/>
    <w:rsid w:val="007C5B18"/>
    <w:rPr>
      <w:rFonts w:ascii="Arial" w:hAnsi="Arial" w:cs="Arial"/>
    </w:rPr>
  </w:style>
  <w:style w:type="paragraph" w:customStyle="1" w:styleId="Texto">
    <w:name w:val="Texto"/>
    <w:basedOn w:val="Normal"/>
    <w:link w:val="TextoCar"/>
    <w:rsid w:val="007C5B18"/>
    <w:pPr>
      <w:spacing w:after="101" w:line="216" w:lineRule="exact"/>
      <w:ind w:firstLine="288"/>
      <w:jc w:val="both"/>
    </w:pPr>
    <w:rPr>
      <w:rFonts w:ascii="Arial" w:eastAsiaTheme="minorHAnsi" w:hAnsi="Arial" w:cs="Arial"/>
      <w:sz w:val="22"/>
      <w:szCs w:val="22"/>
      <w:lang w:eastAsia="en-US"/>
    </w:rPr>
  </w:style>
  <w:style w:type="character" w:customStyle="1" w:styleId="ROMANOSCar">
    <w:name w:val="ROMANOS Car"/>
    <w:basedOn w:val="Fuentedeprrafopredeter"/>
    <w:link w:val="ROMANOS"/>
    <w:locked/>
    <w:rsid w:val="007C5B18"/>
    <w:rPr>
      <w:rFonts w:ascii="Arial" w:hAnsi="Arial" w:cs="Arial"/>
    </w:rPr>
  </w:style>
  <w:style w:type="paragraph" w:customStyle="1" w:styleId="ROMANOS">
    <w:name w:val="ROMANOS"/>
    <w:basedOn w:val="Normal"/>
    <w:link w:val="ROMANOSCar"/>
    <w:rsid w:val="007C5B18"/>
    <w:pPr>
      <w:spacing w:after="101" w:line="216" w:lineRule="exact"/>
      <w:ind w:left="720" w:hanging="432"/>
      <w:jc w:val="both"/>
    </w:pPr>
    <w:rPr>
      <w:rFonts w:ascii="Arial" w:eastAsiaTheme="minorHAnsi" w:hAnsi="Arial" w:cs="Arial"/>
      <w:sz w:val="22"/>
      <w:szCs w:val="22"/>
      <w:lang w:eastAsia="en-US"/>
    </w:rPr>
  </w:style>
  <w:style w:type="paragraph" w:customStyle="1" w:styleId="INCISO">
    <w:name w:val="INCISO"/>
    <w:basedOn w:val="Normal"/>
    <w:rsid w:val="007C5B18"/>
    <w:pPr>
      <w:spacing w:after="101" w:line="216" w:lineRule="exact"/>
      <w:ind w:left="1080" w:hanging="360"/>
      <w:jc w:val="both"/>
    </w:pPr>
    <w:rPr>
      <w:rFonts w:ascii="Arial" w:eastAsiaTheme="minorHAnsi" w:hAnsi="Arial" w:cs="Arial"/>
      <w:sz w:val="18"/>
      <w:szCs w:val="18"/>
      <w:lang w:val="es-ES"/>
    </w:rPr>
  </w:style>
  <w:style w:type="character" w:styleId="Hipervnculo">
    <w:name w:val="Hyperlink"/>
    <w:basedOn w:val="Fuentedeprrafopredeter"/>
    <w:uiPriority w:val="99"/>
    <w:semiHidden/>
    <w:unhideWhenUsed/>
    <w:rsid w:val="005D5336"/>
    <w:rPr>
      <w:color w:val="0000FF"/>
      <w:u w:val="single"/>
    </w:rPr>
  </w:style>
  <w:style w:type="character" w:styleId="Textoennegrita">
    <w:name w:val="Strong"/>
    <w:basedOn w:val="Fuentedeprrafopredeter"/>
    <w:uiPriority w:val="22"/>
    <w:qFormat/>
    <w:rsid w:val="00304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3237">
      <w:bodyDiv w:val="1"/>
      <w:marLeft w:val="0"/>
      <w:marRight w:val="0"/>
      <w:marTop w:val="0"/>
      <w:marBottom w:val="0"/>
      <w:divBdr>
        <w:top w:val="none" w:sz="0" w:space="0" w:color="auto"/>
        <w:left w:val="none" w:sz="0" w:space="0" w:color="auto"/>
        <w:bottom w:val="none" w:sz="0" w:space="0" w:color="auto"/>
        <w:right w:val="none" w:sz="0" w:space="0" w:color="auto"/>
      </w:divBdr>
    </w:div>
    <w:div w:id="97481798">
      <w:bodyDiv w:val="1"/>
      <w:marLeft w:val="0"/>
      <w:marRight w:val="0"/>
      <w:marTop w:val="0"/>
      <w:marBottom w:val="0"/>
      <w:divBdr>
        <w:top w:val="none" w:sz="0" w:space="0" w:color="auto"/>
        <w:left w:val="none" w:sz="0" w:space="0" w:color="auto"/>
        <w:bottom w:val="none" w:sz="0" w:space="0" w:color="auto"/>
        <w:right w:val="none" w:sz="0" w:space="0" w:color="auto"/>
      </w:divBdr>
    </w:div>
    <w:div w:id="121119046">
      <w:bodyDiv w:val="1"/>
      <w:marLeft w:val="0"/>
      <w:marRight w:val="0"/>
      <w:marTop w:val="0"/>
      <w:marBottom w:val="0"/>
      <w:divBdr>
        <w:top w:val="none" w:sz="0" w:space="0" w:color="auto"/>
        <w:left w:val="none" w:sz="0" w:space="0" w:color="auto"/>
        <w:bottom w:val="none" w:sz="0" w:space="0" w:color="auto"/>
        <w:right w:val="none" w:sz="0" w:space="0" w:color="auto"/>
      </w:divBdr>
    </w:div>
    <w:div w:id="129055944">
      <w:bodyDiv w:val="1"/>
      <w:marLeft w:val="0"/>
      <w:marRight w:val="0"/>
      <w:marTop w:val="0"/>
      <w:marBottom w:val="0"/>
      <w:divBdr>
        <w:top w:val="none" w:sz="0" w:space="0" w:color="auto"/>
        <w:left w:val="none" w:sz="0" w:space="0" w:color="auto"/>
        <w:bottom w:val="none" w:sz="0" w:space="0" w:color="auto"/>
        <w:right w:val="none" w:sz="0" w:space="0" w:color="auto"/>
      </w:divBdr>
    </w:div>
    <w:div w:id="135802907">
      <w:bodyDiv w:val="1"/>
      <w:marLeft w:val="0"/>
      <w:marRight w:val="0"/>
      <w:marTop w:val="0"/>
      <w:marBottom w:val="0"/>
      <w:divBdr>
        <w:top w:val="none" w:sz="0" w:space="0" w:color="auto"/>
        <w:left w:val="none" w:sz="0" w:space="0" w:color="auto"/>
        <w:bottom w:val="none" w:sz="0" w:space="0" w:color="auto"/>
        <w:right w:val="none" w:sz="0" w:space="0" w:color="auto"/>
      </w:divBdr>
    </w:div>
    <w:div w:id="199704035">
      <w:bodyDiv w:val="1"/>
      <w:marLeft w:val="0"/>
      <w:marRight w:val="0"/>
      <w:marTop w:val="0"/>
      <w:marBottom w:val="0"/>
      <w:divBdr>
        <w:top w:val="none" w:sz="0" w:space="0" w:color="auto"/>
        <w:left w:val="none" w:sz="0" w:space="0" w:color="auto"/>
        <w:bottom w:val="none" w:sz="0" w:space="0" w:color="auto"/>
        <w:right w:val="none" w:sz="0" w:space="0" w:color="auto"/>
      </w:divBdr>
    </w:div>
    <w:div w:id="216357390">
      <w:bodyDiv w:val="1"/>
      <w:marLeft w:val="0"/>
      <w:marRight w:val="0"/>
      <w:marTop w:val="0"/>
      <w:marBottom w:val="0"/>
      <w:divBdr>
        <w:top w:val="none" w:sz="0" w:space="0" w:color="auto"/>
        <w:left w:val="none" w:sz="0" w:space="0" w:color="auto"/>
        <w:bottom w:val="none" w:sz="0" w:space="0" w:color="auto"/>
        <w:right w:val="none" w:sz="0" w:space="0" w:color="auto"/>
      </w:divBdr>
    </w:div>
    <w:div w:id="223029492">
      <w:bodyDiv w:val="1"/>
      <w:marLeft w:val="0"/>
      <w:marRight w:val="0"/>
      <w:marTop w:val="0"/>
      <w:marBottom w:val="0"/>
      <w:divBdr>
        <w:top w:val="none" w:sz="0" w:space="0" w:color="auto"/>
        <w:left w:val="none" w:sz="0" w:space="0" w:color="auto"/>
        <w:bottom w:val="none" w:sz="0" w:space="0" w:color="auto"/>
        <w:right w:val="none" w:sz="0" w:space="0" w:color="auto"/>
      </w:divBdr>
    </w:div>
    <w:div w:id="234168124">
      <w:bodyDiv w:val="1"/>
      <w:marLeft w:val="0"/>
      <w:marRight w:val="0"/>
      <w:marTop w:val="0"/>
      <w:marBottom w:val="0"/>
      <w:divBdr>
        <w:top w:val="none" w:sz="0" w:space="0" w:color="auto"/>
        <w:left w:val="none" w:sz="0" w:space="0" w:color="auto"/>
        <w:bottom w:val="none" w:sz="0" w:space="0" w:color="auto"/>
        <w:right w:val="none" w:sz="0" w:space="0" w:color="auto"/>
      </w:divBdr>
    </w:div>
    <w:div w:id="238056141">
      <w:bodyDiv w:val="1"/>
      <w:marLeft w:val="0"/>
      <w:marRight w:val="0"/>
      <w:marTop w:val="0"/>
      <w:marBottom w:val="0"/>
      <w:divBdr>
        <w:top w:val="none" w:sz="0" w:space="0" w:color="auto"/>
        <w:left w:val="none" w:sz="0" w:space="0" w:color="auto"/>
        <w:bottom w:val="none" w:sz="0" w:space="0" w:color="auto"/>
        <w:right w:val="none" w:sz="0" w:space="0" w:color="auto"/>
      </w:divBdr>
    </w:div>
    <w:div w:id="238364542">
      <w:bodyDiv w:val="1"/>
      <w:marLeft w:val="0"/>
      <w:marRight w:val="0"/>
      <w:marTop w:val="0"/>
      <w:marBottom w:val="0"/>
      <w:divBdr>
        <w:top w:val="none" w:sz="0" w:space="0" w:color="auto"/>
        <w:left w:val="none" w:sz="0" w:space="0" w:color="auto"/>
        <w:bottom w:val="none" w:sz="0" w:space="0" w:color="auto"/>
        <w:right w:val="none" w:sz="0" w:space="0" w:color="auto"/>
      </w:divBdr>
    </w:div>
    <w:div w:id="243301635">
      <w:bodyDiv w:val="1"/>
      <w:marLeft w:val="0"/>
      <w:marRight w:val="0"/>
      <w:marTop w:val="0"/>
      <w:marBottom w:val="0"/>
      <w:divBdr>
        <w:top w:val="none" w:sz="0" w:space="0" w:color="auto"/>
        <w:left w:val="none" w:sz="0" w:space="0" w:color="auto"/>
        <w:bottom w:val="none" w:sz="0" w:space="0" w:color="auto"/>
        <w:right w:val="none" w:sz="0" w:space="0" w:color="auto"/>
      </w:divBdr>
    </w:div>
    <w:div w:id="250313404">
      <w:bodyDiv w:val="1"/>
      <w:marLeft w:val="0"/>
      <w:marRight w:val="0"/>
      <w:marTop w:val="0"/>
      <w:marBottom w:val="0"/>
      <w:divBdr>
        <w:top w:val="none" w:sz="0" w:space="0" w:color="auto"/>
        <w:left w:val="none" w:sz="0" w:space="0" w:color="auto"/>
        <w:bottom w:val="none" w:sz="0" w:space="0" w:color="auto"/>
        <w:right w:val="none" w:sz="0" w:space="0" w:color="auto"/>
      </w:divBdr>
    </w:div>
    <w:div w:id="267080867">
      <w:bodyDiv w:val="1"/>
      <w:marLeft w:val="0"/>
      <w:marRight w:val="0"/>
      <w:marTop w:val="0"/>
      <w:marBottom w:val="0"/>
      <w:divBdr>
        <w:top w:val="none" w:sz="0" w:space="0" w:color="auto"/>
        <w:left w:val="none" w:sz="0" w:space="0" w:color="auto"/>
        <w:bottom w:val="none" w:sz="0" w:space="0" w:color="auto"/>
        <w:right w:val="none" w:sz="0" w:space="0" w:color="auto"/>
      </w:divBdr>
    </w:div>
    <w:div w:id="288362693">
      <w:bodyDiv w:val="1"/>
      <w:marLeft w:val="0"/>
      <w:marRight w:val="0"/>
      <w:marTop w:val="0"/>
      <w:marBottom w:val="0"/>
      <w:divBdr>
        <w:top w:val="none" w:sz="0" w:space="0" w:color="auto"/>
        <w:left w:val="none" w:sz="0" w:space="0" w:color="auto"/>
        <w:bottom w:val="none" w:sz="0" w:space="0" w:color="auto"/>
        <w:right w:val="none" w:sz="0" w:space="0" w:color="auto"/>
      </w:divBdr>
    </w:div>
    <w:div w:id="292443169">
      <w:bodyDiv w:val="1"/>
      <w:marLeft w:val="0"/>
      <w:marRight w:val="0"/>
      <w:marTop w:val="0"/>
      <w:marBottom w:val="0"/>
      <w:divBdr>
        <w:top w:val="none" w:sz="0" w:space="0" w:color="auto"/>
        <w:left w:val="none" w:sz="0" w:space="0" w:color="auto"/>
        <w:bottom w:val="none" w:sz="0" w:space="0" w:color="auto"/>
        <w:right w:val="none" w:sz="0" w:space="0" w:color="auto"/>
      </w:divBdr>
    </w:div>
    <w:div w:id="317000675">
      <w:bodyDiv w:val="1"/>
      <w:marLeft w:val="0"/>
      <w:marRight w:val="0"/>
      <w:marTop w:val="0"/>
      <w:marBottom w:val="0"/>
      <w:divBdr>
        <w:top w:val="none" w:sz="0" w:space="0" w:color="auto"/>
        <w:left w:val="none" w:sz="0" w:space="0" w:color="auto"/>
        <w:bottom w:val="none" w:sz="0" w:space="0" w:color="auto"/>
        <w:right w:val="none" w:sz="0" w:space="0" w:color="auto"/>
      </w:divBdr>
    </w:div>
    <w:div w:id="351491821">
      <w:bodyDiv w:val="1"/>
      <w:marLeft w:val="0"/>
      <w:marRight w:val="0"/>
      <w:marTop w:val="0"/>
      <w:marBottom w:val="0"/>
      <w:divBdr>
        <w:top w:val="none" w:sz="0" w:space="0" w:color="auto"/>
        <w:left w:val="none" w:sz="0" w:space="0" w:color="auto"/>
        <w:bottom w:val="none" w:sz="0" w:space="0" w:color="auto"/>
        <w:right w:val="none" w:sz="0" w:space="0" w:color="auto"/>
      </w:divBdr>
    </w:div>
    <w:div w:id="367217921">
      <w:bodyDiv w:val="1"/>
      <w:marLeft w:val="0"/>
      <w:marRight w:val="0"/>
      <w:marTop w:val="0"/>
      <w:marBottom w:val="0"/>
      <w:divBdr>
        <w:top w:val="none" w:sz="0" w:space="0" w:color="auto"/>
        <w:left w:val="none" w:sz="0" w:space="0" w:color="auto"/>
        <w:bottom w:val="none" w:sz="0" w:space="0" w:color="auto"/>
        <w:right w:val="none" w:sz="0" w:space="0" w:color="auto"/>
      </w:divBdr>
    </w:div>
    <w:div w:id="372193929">
      <w:bodyDiv w:val="1"/>
      <w:marLeft w:val="0"/>
      <w:marRight w:val="0"/>
      <w:marTop w:val="0"/>
      <w:marBottom w:val="0"/>
      <w:divBdr>
        <w:top w:val="none" w:sz="0" w:space="0" w:color="auto"/>
        <w:left w:val="none" w:sz="0" w:space="0" w:color="auto"/>
        <w:bottom w:val="none" w:sz="0" w:space="0" w:color="auto"/>
        <w:right w:val="none" w:sz="0" w:space="0" w:color="auto"/>
      </w:divBdr>
    </w:div>
    <w:div w:id="391196187">
      <w:bodyDiv w:val="1"/>
      <w:marLeft w:val="0"/>
      <w:marRight w:val="0"/>
      <w:marTop w:val="0"/>
      <w:marBottom w:val="0"/>
      <w:divBdr>
        <w:top w:val="none" w:sz="0" w:space="0" w:color="auto"/>
        <w:left w:val="none" w:sz="0" w:space="0" w:color="auto"/>
        <w:bottom w:val="none" w:sz="0" w:space="0" w:color="auto"/>
        <w:right w:val="none" w:sz="0" w:space="0" w:color="auto"/>
      </w:divBdr>
    </w:div>
    <w:div w:id="395470186">
      <w:bodyDiv w:val="1"/>
      <w:marLeft w:val="0"/>
      <w:marRight w:val="0"/>
      <w:marTop w:val="0"/>
      <w:marBottom w:val="0"/>
      <w:divBdr>
        <w:top w:val="none" w:sz="0" w:space="0" w:color="auto"/>
        <w:left w:val="none" w:sz="0" w:space="0" w:color="auto"/>
        <w:bottom w:val="none" w:sz="0" w:space="0" w:color="auto"/>
        <w:right w:val="none" w:sz="0" w:space="0" w:color="auto"/>
      </w:divBdr>
    </w:div>
    <w:div w:id="401828633">
      <w:bodyDiv w:val="1"/>
      <w:marLeft w:val="0"/>
      <w:marRight w:val="0"/>
      <w:marTop w:val="0"/>
      <w:marBottom w:val="0"/>
      <w:divBdr>
        <w:top w:val="none" w:sz="0" w:space="0" w:color="auto"/>
        <w:left w:val="none" w:sz="0" w:space="0" w:color="auto"/>
        <w:bottom w:val="none" w:sz="0" w:space="0" w:color="auto"/>
        <w:right w:val="none" w:sz="0" w:space="0" w:color="auto"/>
      </w:divBdr>
    </w:div>
    <w:div w:id="410659890">
      <w:bodyDiv w:val="1"/>
      <w:marLeft w:val="0"/>
      <w:marRight w:val="0"/>
      <w:marTop w:val="0"/>
      <w:marBottom w:val="0"/>
      <w:divBdr>
        <w:top w:val="none" w:sz="0" w:space="0" w:color="auto"/>
        <w:left w:val="none" w:sz="0" w:space="0" w:color="auto"/>
        <w:bottom w:val="none" w:sz="0" w:space="0" w:color="auto"/>
        <w:right w:val="none" w:sz="0" w:space="0" w:color="auto"/>
      </w:divBdr>
    </w:div>
    <w:div w:id="424425086">
      <w:bodyDiv w:val="1"/>
      <w:marLeft w:val="0"/>
      <w:marRight w:val="0"/>
      <w:marTop w:val="0"/>
      <w:marBottom w:val="0"/>
      <w:divBdr>
        <w:top w:val="none" w:sz="0" w:space="0" w:color="auto"/>
        <w:left w:val="none" w:sz="0" w:space="0" w:color="auto"/>
        <w:bottom w:val="none" w:sz="0" w:space="0" w:color="auto"/>
        <w:right w:val="none" w:sz="0" w:space="0" w:color="auto"/>
      </w:divBdr>
    </w:div>
    <w:div w:id="430734982">
      <w:bodyDiv w:val="1"/>
      <w:marLeft w:val="0"/>
      <w:marRight w:val="0"/>
      <w:marTop w:val="0"/>
      <w:marBottom w:val="0"/>
      <w:divBdr>
        <w:top w:val="none" w:sz="0" w:space="0" w:color="auto"/>
        <w:left w:val="none" w:sz="0" w:space="0" w:color="auto"/>
        <w:bottom w:val="none" w:sz="0" w:space="0" w:color="auto"/>
        <w:right w:val="none" w:sz="0" w:space="0" w:color="auto"/>
      </w:divBdr>
    </w:div>
    <w:div w:id="441001605">
      <w:bodyDiv w:val="1"/>
      <w:marLeft w:val="0"/>
      <w:marRight w:val="0"/>
      <w:marTop w:val="0"/>
      <w:marBottom w:val="0"/>
      <w:divBdr>
        <w:top w:val="none" w:sz="0" w:space="0" w:color="auto"/>
        <w:left w:val="none" w:sz="0" w:space="0" w:color="auto"/>
        <w:bottom w:val="none" w:sz="0" w:space="0" w:color="auto"/>
        <w:right w:val="none" w:sz="0" w:space="0" w:color="auto"/>
      </w:divBdr>
      <w:divsChild>
        <w:div w:id="662390413">
          <w:marLeft w:val="0"/>
          <w:marRight w:val="0"/>
          <w:marTop w:val="0"/>
          <w:marBottom w:val="0"/>
          <w:divBdr>
            <w:top w:val="none" w:sz="0" w:space="0" w:color="auto"/>
            <w:left w:val="none" w:sz="0" w:space="0" w:color="auto"/>
            <w:bottom w:val="none" w:sz="0" w:space="0" w:color="auto"/>
            <w:right w:val="none" w:sz="0" w:space="0" w:color="auto"/>
          </w:divBdr>
        </w:div>
      </w:divsChild>
    </w:div>
    <w:div w:id="464737978">
      <w:bodyDiv w:val="1"/>
      <w:marLeft w:val="0"/>
      <w:marRight w:val="0"/>
      <w:marTop w:val="0"/>
      <w:marBottom w:val="0"/>
      <w:divBdr>
        <w:top w:val="none" w:sz="0" w:space="0" w:color="auto"/>
        <w:left w:val="none" w:sz="0" w:space="0" w:color="auto"/>
        <w:bottom w:val="none" w:sz="0" w:space="0" w:color="auto"/>
        <w:right w:val="none" w:sz="0" w:space="0" w:color="auto"/>
      </w:divBdr>
    </w:div>
    <w:div w:id="541865667">
      <w:bodyDiv w:val="1"/>
      <w:marLeft w:val="0"/>
      <w:marRight w:val="0"/>
      <w:marTop w:val="0"/>
      <w:marBottom w:val="0"/>
      <w:divBdr>
        <w:top w:val="none" w:sz="0" w:space="0" w:color="auto"/>
        <w:left w:val="none" w:sz="0" w:space="0" w:color="auto"/>
        <w:bottom w:val="none" w:sz="0" w:space="0" w:color="auto"/>
        <w:right w:val="none" w:sz="0" w:space="0" w:color="auto"/>
      </w:divBdr>
    </w:div>
    <w:div w:id="571744564">
      <w:bodyDiv w:val="1"/>
      <w:marLeft w:val="0"/>
      <w:marRight w:val="0"/>
      <w:marTop w:val="0"/>
      <w:marBottom w:val="0"/>
      <w:divBdr>
        <w:top w:val="none" w:sz="0" w:space="0" w:color="auto"/>
        <w:left w:val="none" w:sz="0" w:space="0" w:color="auto"/>
        <w:bottom w:val="none" w:sz="0" w:space="0" w:color="auto"/>
        <w:right w:val="none" w:sz="0" w:space="0" w:color="auto"/>
      </w:divBdr>
    </w:div>
    <w:div w:id="614094824">
      <w:bodyDiv w:val="1"/>
      <w:marLeft w:val="0"/>
      <w:marRight w:val="0"/>
      <w:marTop w:val="0"/>
      <w:marBottom w:val="0"/>
      <w:divBdr>
        <w:top w:val="none" w:sz="0" w:space="0" w:color="auto"/>
        <w:left w:val="none" w:sz="0" w:space="0" w:color="auto"/>
        <w:bottom w:val="none" w:sz="0" w:space="0" w:color="auto"/>
        <w:right w:val="none" w:sz="0" w:space="0" w:color="auto"/>
      </w:divBdr>
    </w:div>
    <w:div w:id="643195429">
      <w:bodyDiv w:val="1"/>
      <w:marLeft w:val="0"/>
      <w:marRight w:val="0"/>
      <w:marTop w:val="0"/>
      <w:marBottom w:val="0"/>
      <w:divBdr>
        <w:top w:val="none" w:sz="0" w:space="0" w:color="auto"/>
        <w:left w:val="none" w:sz="0" w:space="0" w:color="auto"/>
        <w:bottom w:val="none" w:sz="0" w:space="0" w:color="auto"/>
        <w:right w:val="none" w:sz="0" w:space="0" w:color="auto"/>
      </w:divBdr>
    </w:div>
    <w:div w:id="753168283">
      <w:bodyDiv w:val="1"/>
      <w:marLeft w:val="0"/>
      <w:marRight w:val="0"/>
      <w:marTop w:val="0"/>
      <w:marBottom w:val="0"/>
      <w:divBdr>
        <w:top w:val="none" w:sz="0" w:space="0" w:color="auto"/>
        <w:left w:val="none" w:sz="0" w:space="0" w:color="auto"/>
        <w:bottom w:val="none" w:sz="0" w:space="0" w:color="auto"/>
        <w:right w:val="none" w:sz="0" w:space="0" w:color="auto"/>
      </w:divBdr>
    </w:div>
    <w:div w:id="763189075">
      <w:bodyDiv w:val="1"/>
      <w:marLeft w:val="0"/>
      <w:marRight w:val="0"/>
      <w:marTop w:val="0"/>
      <w:marBottom w:val="0"/>
      <w:divBdr>
        <w:top w:val="none" w:sz="0" w:space="0" w:color="auto"/>
        <w:left w:val="none" w:sz="0" w:space="0" w:color="auto"/>
        <w:bottom w:val="none" w:sz="0" w:space="0" w:color="auto"/>
        <w:right w:val="none" w:sz="0" w:space="0" w:color="auto"/>
      </w:divBdr>
    </w:div>
    <w:div w:id="768046135">
      <w:bodyDiv w:val="1"/>
      <w:marLeft w:val="0"/>
      <w:marRight w:val="0"/>
      <w:marTop w:val="0"/>
      <w:marBottom w:val="0"/>
      <w:divBdr>
        <w:top w:val="none" w:sz="0" w:space="0" w:color="auto"/>
        <w:left w:val="none" w:sz="0" w:space="0" w:color="auto"/>
        <w:bottom w:val="none" w:sz="0" w:space="0" w:color="auto"/>
        <w:right w:val="none" w:sz="0" w:space="0" w:color="auto"/>
      </w:divBdr>
    </w:div>
    <w:div w:id="768738431">
      <w:bodyDiv w:val="1"/>
      <w:marLeft w:val="0"/>
      <w:marRight w:val="0"/>
      <w:marTop w:val="0"/>
      <w:marBottom w:val="0"/>
      <w:divBdr>
        <w:top w:val="none" w:sz="0" w:space="0" w:color="auto"/>
        <w:left w:val="none" w:sz="0" w:space="0" w:color="auto"/>
        <w:bottom w:val="none" w:sz="0" w:space="0" w:color="auto"/>
        <w:right w:val="none" w:sz="0" w:space="0" w:color="auto"/>
      </w:divBdr>
    </w:div>
    <w:div w:id="772045784">
      <w:bodyDiv w:val="1"/>
      <w:marLeft w:val="0"/>
      <w:marRight w:val="0"/>
      <w:marTop w:val="0"/>
      <w:marBottom w:val="0"/>
      <w:divBdr>
        <w:top w:val="none" w:sz="0" w:space="0" w:color="auto"/>
        <w:left w:val="none" w:sz="0" w:space="0" w:color="auto"/>
        <w:bottom w:val="none" w:sz="0" w:space="0" w:color="auto"/>
        <w:right w:val="none" w:sz="0" w:space="0" w:color="auto"/>
      </w:divBdr>
    </w:div>
    <w:div w:id="788744660">
      <w:bodyDiv w:val="1"/>
      <w:marLeft w:val="0"/>
      <w:marRight w:val="0"/>
      <w:marTop w:val="0"/>
      <w:marBottom w:val="0"/>
      <w:divBdr>
        <w:top w:val="none" w:sz="0" w:space="0" w:color="auto"/>
        <w:left w:val="none" w:sz="0" w:space="0" w:color="auto"/>
        <w:bottom w:val="none" w:sz="0" w:space="0" w:color="auto"/>
        <w:right w:val="none" w:sz="0" w:space="0" w:color="auto"/>
      </w:divBdr>
    </w:div>
    <w:div w:id="834956494">
      <w:bodyDiv w:val="1"/>
      <w:marLeft w:val="0"/>
      <w:marRight w:val="0"/>
      <w:marTop w:val="0"/>
      <w:marBottom w:val="0"/>
      <w:divBdr>
        <w:top w:val="none" w:sz="0" w:space="0" w:color="auto"/>
        <w:left w:val="none" w:sz="0" w:space="0" w:color="auto"/>
        <w:bottom w:val="none" w:sz="0" w:space="0" w:color="auto"/>
        <w:right w:val="none" w:sz="0" w:space="0" w:color="auto"/>
      </w:divBdr>
    </w:div>
    <w:div w:id="945693819">
      <w:bodyDiv w:val="1"/>
      <w:marLeft w:val="0"/>
      <w:marRight w:val="0"/>
      <w:marTop w:val="0"/>
      <w:marBottom w:val="0"/>
      <w:divBdr>
        <w:top w:val="none" w:sz="0" w:space="0" w:color="auto"/>
        <w:left w:val="none" w:sz="0" w:space="0" w:color="auto"/>
        <w:bottom w:val="none" w:sz="0" w:space="0" w:color="auto"/>
        <w:right w:val="none" w:sz="0" w:space="0" w:color="auto"/>
      </w:divBdr>
    </w:div>
    <w:div w:id="948703688">
      <w:bodyDiv w:val="1"/>
      <w:marLeft w:val="0"/>
      <w:marRight w:val="0"/>
      <w:marTop w:val="0"/>
      <w:marBottom w:val="0"/>
      <w:divBdr>
        <w:top w:val="none" w:sz="0" w:space="0" w:color="auto"/>
        <w:left w:val="none" w:sz="0" w:space="0" w:color="auto"/>
        <w:bottom w:val="none" w:sz="0" w:space="0" w:color="auto"/>
        <w:right w:val="none" w:sz="0" w:space="0" w:color="auto"/>
      </w:divBdr>
    </w:div>
    <w:div w:id="980185197">
      <w:bodyDiv w:val="1"/>
      <w:marLeft w:val="0"/>
      <w:marRight w:val="0"/>
      <w:marTop w:val="0"/>
      <w:marBottom w:val="0"/>
      <w:divBdr>
        <w:top w:val="none" w:sz="0" w:space="0" w:color="auto"/>
        <w:left w:val="none" w:sz="0" w:space="0" w:color="auto"/>
        <w:bottom w:val="none" w:sz="0" w:space="0" w:color="auto"/>
        <w:right w:val="none" w:sz="0" w:space="0" w:color="auto"/>
      </w:divBdr>
    </w:div>
    <w:div w:id="1013529715">
      <w:bodyDiv w:val="1"/>
      <w:marLeft w:val="0"/>
      <w:marRight w:val="0"/>
      <w:marTop w:val="0"/>
      <w:marBottom w:val="0"/>
      <w:divBdr>
        <w:top w:val="none" w:sz="0" w:space="0" w:color="auto"/>
        <w:left w:val="none" w:sz="0" w:space="0" w:color="auto"/>
        <w:bottom w:val="none" w:sz="0" w:space="0" w:color="auto"/>
        <w:right w:val="none" w:sz="0" w:space="0" w:color="auto"/>
      </w:divBdr>
    </w:div>
    <w:div w:id="1042830623">
      <w:bodyDiv w:val="1"/>
      <w:marLeft w:val="0"/>
      <w:marRight w:val="0"/>
      <w:marTop w:val="0"/>
      <w:marBottom w:val="0"/>
      <w:divBdr>
        <w:top w:val="none" w:sz="0" w:space="0" w:color="auto"/>
        <w:left w:val="none" w:sz="0" w:space="0" w:color="auto"/>
        <w:bottom w:val="none" w:sz="0" w:space="0" w:color="auto"/>
        <w:right w:val="none" w:sz="0" w:space="0" w:color="auto"/>
      </w:divBdr>
    </w:div>
    <w:div w:id="1044066121">
      <w:bodyDiv w:val="1"/>
      <w:marLeft w:val="0"/>
      <w:marRight w:val="0"/>
      <w:marTop w:val="0"/>
      <w:marBottom w:val="0"/>
      <w:divBdr>
        <w:top w:val="none" w:sz="0" w:space="0" w:color="auto"/>
        <w:left w:val="none" w:sz="0" w:space="0" w:color="auto"/>
        <w:bottom w:val="none" w:sz="0" w:space="0" w:color="auto"/>
        <w:right w:val="none" w:sz="0" w:space="0" w:color="auto"/>
      </w:divBdr>
    </w:div>
    <w:div w:id="1062825522">
      <w:bodyDiv w:val="1"/>
      <w:marLeft w:val="0"/>
      <w:marRight w:val="0"/>
      <w:marTop w:val="0"/>
      <w:marBottom w:val="0"/>
      <w:divBdr>
        <w:top w:val="none" w:sz="0" w:space="0" w:color="auto"/>
        <w:left w:val="none" w:sz="0" w:space="0" w:color="auto"/>
        <w:bottom w:val="none" w:sz="0" w:space="0" w:color="auto"/>
        <w:right w:val="none" w:sz="0" w:space="0" w:color="auto"/>
      </w:divBdr>
    </w:div>
    <w:div w:id="1116488545">
      <w:bodyDiv w:val="1"/>
      <w:marLeft w:val="0"/>
      <w:marRight w:val="0"/>
      <w:marTop w:val="0"/>
      <w:marBottom w:val="0"/>
      <w:divBdr>
        <w:top w:val="none" w:sz="0" w:space="0" w:color="auto"/>
        <w:left w:val="none" w:sz="0" w:space="0" w:color="auto"/>
        <w:bottom w:val="none" w:sz="0" w:space="0" w:color="auto"/>
        <w:right w:val="none" w:sz="0" w:space="0" w:color="auto"/>
      </w:divBdr>
    </w:div>
    <w:div w:id="1213077438">
      <w:bodyDiv w:val="1"/>
      <w:marLeft w:val="0"/>
      <w:marRight w:val="0"/>
      <w:marTop w:val="0"/>
      <w:marBottom w:val="0"/>
      <w:divBdr>
        <w:top w:val="none" w:sz="0" w:space="0" w:color="auto"/>
        <w:left w:val="none" w:sz="0" w:space="0" w:color="auto"/>
        <w:bottom w:val="none" w:sz="0" w:space="0" w:color="auto"/>
        <w:right w:val="none" w:sz="0" w:space="0" w:color="auto"/>
      </w:divBdr>
    </w:div>
    <w:div w:id="1285039919">
      <w:bodyDiv w:val="1"/>
      <w:marLeft w:val="0"/>
      <w:marRight w:val="0"/>
      <w:marTop w:val="0"/>
      <w:marBottom w:val="0"/>
      <w:divBdr>
        <w:top w:val="none" w:sz="0" w:space="0" w:color="auto"/>
        <w:left w:val="none" w:sz="0" w:space="0" w:color="auto"/>
        <w:bottom w:val="none" w:sz="0" w:space="0" w:color="auto"/>
        <w:right w:val="none" w:sz="0" w:space="0" w:color="auto"/>
      </w:divBdr>
    </w:div>
    <w:div w:id="1307975301">
      <w:bodyDiv w:val="1"/>
      <w:marLeft w:val="0"/>
      <w:marRight w:val="0"/>
      <w:marTop w:val="0"/>
      <w:marBottom w:val="0"/>
      <w:divBdr>
        <w:top w:val="none" w:sz="0" w:space="0" w:color="auto"/>
        <w:left w:val="none" w:sz="0" w:space="0" w:color="auto"/>
        <w:bottom w:val="none" w:sz="0" w:space="0" w:color="auto"/>
        <w:right w:val="none" w:sz="0" w:space="0" w:color="auto"/>
      </w:divBdr>
    </w:div>
    <w:div w:id="1337734105">
      <w:bodyDiv w:val="1"/>
      <w:marLeft w:val="0"/>
      <w:marRight w:val="0"/>
      <w:marTop w:val="0"/>
      <w:marBottom w:val="0"/>
      <w:divBdr>
        <w:top w:val="none" w:sz="0" w:space="0" w:color="auto"/>
        <w:left w:val="none" w:sz="0" w:space="0" w:color="auto"/>
        <w:bottom w:val="none" w:sz="0" w:space="0" w:color="auto"/>
        <w:right w:val="none" w:sz="0" w:space="0" w:color="auto"/>
      </w:divBdr>
    </w:div>
    <w:div w:id="1358002000">
      <w:bodyDiv w:val="1"/>
      <w:marLeft w:val="0"/>
      <w:marRight w:val="0"/>
      <w:marTop w:val="0"/>
      <w:marBottom w:val="0"/>
      <w:divBdr>
        <w:top w:val="none" w:sz="0" w:space="0" w:color="auto"/>
        <w:left w:val="none" w:sz="0" w:space="0" w:color="auto"/>
        <w:bottom w:val="none" w:sz="0" w:space="0" w:color="auto"/>
        <w:right w:val="none" w:sz="0" w:space="0" w:color="auto"/>
      </w:divBdr>
    </w:div>
    <w:div w:id="1369524657">
      <w:bodyDiv w:val="1"/>
      <w:marLeft w:val="0"/>
      <w:marRight w:val="0"/>
      <w:marTop w:val="0"/>
      <w:marBottom w:val="0"/>
      <w:divBdr>
        <w:top w:val="none" w:sz="0" w:space="0" w:color="auto"/>
        <w:left w:val="none" w:sz="0" w:space="0" w:color="auto"/>
        <w:bottom w:val="none" w:sz="0" w:space="0" w:color="auto"/>
        <w:right w:val="none" w:sz="0" w:space="0" w:color="auto"/>
      </w:divBdr>
    </w:div>
    <w:div w:id="1374117061">
      <w:bodyDiv w:val="1"/>
      <w:marLeft w:val="0"/>
      <w:marRight w:val="0"/>
      <w:marTop w:val="0"/>
      <w:marBottom w:val="0"/>
      <w:divBdr>
        <w:top w:val="none" w:sz="0" w:space="0" w:color="auto"/>
        <w:left w:val="none" w:sz="0" w:space="0" w:color="auto"/>
        <w:bottom w:val="none" w:sz="0" w:space="0" w:color="auto"/>
        <w:right w:val="none" w:sz="0" w:space="0" w:color="auto"/>
      </w:divBdr>
    </w:div>
    <w:div w:id="1382972549">
      <w:bodyDiv w:val="1"/>
      <w:marLeft w:val="0"/>
      <w:marRight w:val="0"/>
      <w:marTop w:val="0"/>
      <w:marBottom w:val="0"/>
      <w:divBdr>
        <w:top w:val="none" w:sz="0" w:space="0" w:color="auto"/>
        <w:left w:val="none" w:sz="0" w:space="0" w:color="auto"/>
        <w:bottom w:val="none" w:sz="0" w:space="0" w:color="auto"/>
        <w:right w:val="none" w:sz="0" w:space="0" w:color="auto"/>
      </w:divBdr>
    </w:div>
    <w:div w:id="1436170292">
      <w:bodyDiv w:val="1"/>
      <w:marLeft w:val="0"/>
      <w:marRight w:val="0"/>
      <w:marTop w:val="0"/>
      <w:marBottom w:val="0"/>
      <w:divBdr>
        <w:top w:val="none" w:sz="0" w:space="0" w:color="auto"/>
        <w:left w:val="none" w:sz="0" w:space="0" w:color="auto"/>
        <w:bottom w:val="none" w:sz="0" w:space="0" w:color="auto"/>
        <w:right w:val="none" w:sz="0" w:space="0" w:color="auto"/>
      </w:divBdr>
    </w:div>
    <w:div w:id="1438524421">
      <w:bodyDiv w:val="1"/>
      <w:marLeft w:val="0"/>
      <w:marRight w:val="0"/>
      <w:marTop w:val="0"/>
      <w:marBottom w:val="0"/>
      <w:divBdr>
        <w:top w:val="none" w:sz="0" w:space="0" w:color="auto"/>
        <w:left w:val="none" w:sz="0" w:space="0" w:color="auto"/>
        <w:bottom w:val="none" w:sz="0" w:space="0" w:color="auto"/>
        <w:right w:val="none" w:sz="0" w:space="0" w:color="auto"/>
      </w:divBdr>
    </w:div>
    <w:div w:id="1490438696">
      <w:bodyDiv w:val="1"/>
      <w:marLeft w:val="0"/>
      <w:marRight w:val="0"/>
      <w:marTop w:val="0"/>
      <w:marBottom w:val="0"/>
      <w:divBdr>
        <w:top w:val="none" w:sz="0" w:space="0" w:color="auto"/>
        <w:left w:val="none" w:sz="0" w:space="0" w:color="auto"/>
        <w:bottom w:val="none" w:sz="0" w:space="0" w:color="auto"/>
        <w:right w:val="none" w:sz="0" w:space="0" w:color="auto"/>
      </w:divBdr>
    </w:div>
    <w:div w:id="1521428113">
      <w:bodyDiv w:val="1"/>
      <w:marLeft w:val="0"/>
      <w:marRight w:val="0"/>
      <w:marTop w:val="0"/>
      <w:marBottom w:val="0"/>
      <w:divBdr>
        <w:top w:val="none" w:sz="0" w:space="0" w:color="auto"/>
        <w:left w:val="none" w:sz="0" w:space="0" w:color="auto"/>
        <w:bottom w:val="none" w:sz="0" w:space="0" w:color="auto"/>
        <w:right w:val="none" w:sz="0" w:space="0" w:color="auto"/>
      </w:divBdr>
    </w:div>
    <w:div w:id="1649821072">
      <w:bodyDiv w:val="1"/>
      <w:marLeft w:val="0"/>
      <w:marRight w:val="0"/>
      <w:marTop w:val="0"/>
      <w:marBottom w:val="0"/>
      <w:divBdr>
        <w:top w:val="none" w:sz="0" w:space="0" w:color="auto"/>
        <w:left w:val="none" w:sz="0" w:space="0" w:color="auto"/>
        <w:bottom w:val="none" w:sz="0" w:space="0" w:color="auto"/>
        <w:right w:val="none" w:sz="0" w:space="0" w:color="auto"/>
      </w:divBdr>
    </w:div>
    <w:div w:id="1663851396">
      <w:bodyDiv w:val="1"/>
      <w:marLeft w:val="0"/>
      <w:marRight w:val="0"/>
      <w:marTop w:val="0"/>
      <w:marBottom w:val="0"/>
      <w:divBdr>
        <w:top w:val="none" w:sz="0" w:space="0" w:color="auto"/>
        <w:left w:val="none" w:sz="0" w:space="0" w:color="auto"/>
        <w:bottom w:val="none" w:sz="0" w:space="0" w:color="auto"/>
        <w:right w:val="none" w:sz="0" w:space="0" w:color="auto"/>
      </w:divBdr>
    </w:div>
    <w:div w:id="1692141375">
      <w:bodyDiv w:val="1"/>
      <w:marLeft w:val="0"/>
      <w:marRight w:val="0"/>
      <w:marTop w:val="0"/>
      <w:marBottom w:val="0"/>
      <w:divBdr>
        <w:top w:val="none" w:sz="0" w:space="0" w:color="auto"/>
        <w:left w:val="none" w:sz="0" w:space="0" w:color="auto"/>
        <w:bottom w:val="none" w:sz="0" w:space="0" w:color="auto"/>
        <w:right w:val="none" w:sz="0" w:space="0" w:color="auto"/>
      </w:divBdr>
    </w:div>
    <w:div w:id="1721438545">
      <w:bodyDiv w:val="1"/>
      <w:marLeft w:val="0"/>
      <w:marRight w:val="0"/>
      <w:marTop w:val="0"/>
      <w:marBottom w:val="0"/>
      <w:divBdr>
        <w:top w:val="none" w:sz="0" w:space="0" w:color="auto"/>
        <w:left w:val="none" w:sz="0" w:space="0" w:color="auto"/>
        <w:bottom w:val="none" w:sz="0" w:space="0" w:color="auto"/>
        <w:right w:val="none" w:sz="0" w:space="0" w:color="auto"/>
      </w:divBdr>
    </w:div>
    <w:div w:id="1758360706">
      <w:bodyDiv w:val="1"/>
      <w:marLeft w:val="0"/>
      <w:marRight w:val="0"/>
      <w:marTop w:val="0"/>
      <w:marBottom w:val="0"/>
      <w:divBdr>
        <w:top w:val="none" w:sz="0" w:space="0" w:color="auto"/>
        <w:left w:val="none" w:sz="0" w:space="0" w:color="auto"/>
        <w:bottom w:val="none" w:sz="0" w:space="0" w:color="auto"/>
        <w:right w:val="none" w:sz="0" w:space="0" w:color="auto"/>
      </w:divBdr>
    </w:div>
    <w:div w:id="1779979698">
      <w:bodyDiv w:val="1"/>
      <w:marLeft w:val="0"/>
      <w:marRight w:val="0"/>
      <w:marTop w:val="0"/>
      <w:marBottom w:val="0"/>
      <w:divBdr>
        <w:top w:val="none" w:sz="0" w:space="0" w:color="auto"/>
        <w:left w:val="none" w:sz="0" w:space="0" w:color="auto"/>
        <w:bottom w:val="none" w:sz="0" w:space="0" w:color="auto"/>
        <w:right w:val="none" w:sz="0" w:space="0" w:color="auto"/>
      </w:divBdr>
    </w:div>
    <w:div w:id="1787653706">
      <w:bodyDiv w:val="1"/>
      <w:marLeft w:val="0"/>
      <w:marRight w:val="0"/>
      <w:marTop w:val="0"/>
      <w:marBottom w:val="0"/>
      <w:divBdr>
        <w:top w:val="none" w:sz="0" w:space="0" w:color="auto"/>
        <w:left w:val="none" w:sz="0" w:space="0" w:color="auto"/>
        <w:bottom w:val="none" w:sz="0" w:space="0" w:color="auto"/>
        <w:right w:val="none" w:sz="0" w:space="0" w:color="auto"/>
      </w:divBdr>
    </w:div>
    <w:div w:id="1831367781">
      <w:bodyDiv w:val="1"/>
      <w:marLeft w:val="0"/>
      <w:marRight w:val="0"/>
      <w:marTop w:val="0"/>
      <w:marBottom w:val="0"/>
      <w:divBdr>
        <w:top w:val="none" w:sz="0" w:space="0" w:color="auto"/>
        <w:left w:val="none" w:sz="0" w:space="0" w:color="auto"/>
        <w:bottom w:val="none" w:sz="0" w:space="0" w:color="auto"/>
        <w:right w:val="none" w:sz="0" w:space="0" w:color="auto"/>
      </w:divBdr>
    </w:div>
    <w:div w:id="1889800876">
      <w:bodyDiv w:val="1"/>
      <w:marLeft w:val="0"/>
      <w:marRight w:val="0"/>
      <w:marTop w:val="0"/>
      <w:marBottom w:val="0"/>
      <w:divBdr>
        <w:top w:val="none" w:sz="0" w:space="0" w:color="auto"/>
        <w:left w:val="none" w:sz="0" w:space="0" w:color="auto"/>
        <w:bottom w:val="none" w:sz="0" w:space="0" w:color="auto"/>
        <w:right w:val="none" w:sz="0" w:space="0" w:color="auto"/>
      </w:divBdr>
    </w:div>
    <w:div w:id="1892375913">
      <w:bodyDiv w:val="1"/>
      <w:marLeft w:val="0"/>
      <w:marRight w:val="0"/>
      <w:marTop w:val="0"/>
      <w:marBottom w:val="0"/>
      <w:divBdr>
        <w:top w:val="none" w:sz="0" w:space="0" w:color="auto"/>
        <w:left w:val="none" w:sz="0" w:space="0" w:color="auto"/>
        <w:bottom w:val="none" w:sz="0" w:space="0" w:color="auto"/>
        <w:right w:val="none" w:sz="0" w:space="0" w:color="auto"/>
      </w:divBdr>
    </w:div>
    <w:div w:id="2007901731">
      <w:bodyDiv w:val="1"/>
      <w:marLeft w:val="0"/>
      <w:marRight w:val="0"/>
      <w:marTop w:val="0"/>
      <w:marBottom w:val="0"/>
      <w:divBdr>
        <w:top w:val="none" w:sz="0" w:space="0" w:color="auto"/>
        <w:left w:val="none" w:sz="0" w:space="0" w:color="auto"/>
        <w:bottom w:val="none" w:sz="0" w:space="0" w:color="auto"/>
        <w:right w:val="none" w:sz="0" w:space="0" w:color="auto"/>
      </w:divBdr>
    </w:div>
    <w:div w:id="2009863428">
      <w:bodyDiv w:val="1"/>
      <w:marLeft w:val="0"/>
      <w:marRight w:val="0"/>
      <w:marTop w:val="0"/>
      <w:marBottom w:val="0"/>
      <w:divBdr>
        <w:top w:val="none" w:sz="0" w:space="0" w:color="auto"/>
        <w:left w:val="none" w:sz="0" w:space="0" w:color="auto"/>
        <w:bottom w:val="none" w:sz="0" w:space="0" w:color="auto"/>
        <w:right w:val="none" w:sz="0" w:space="0" w:color="auto"/>
      </w:divBdr>
    </w:div>
    <w:div w:id="2010712584">
      <w:bodyDiv w:val="1"/>
      <w:marLeft w:val="0"/>
      <w:marRight w:val="0"/>
      <w:marTop w:val="0"/>
      <w:marBottom w:val="0"/>
      <w:divBdr>
        <w:top w:val="none" w:sz="0" w:space="0" w:color="auto"/>
        <w:left w:val="none" w:sz="0" w:space="0" w:color="auto"/>
        <w:bottom w:val="none" w:sz="0" w:space="0" w:color="auto"/>
        <w:right w:val="none" w:sz="0" w:space="0" w:color="auto"/>
      </w:divBdr>
      <w:divsChild>
        <w:div w:id="1659846336">
          <w:marLeft w:val="0"/>
          <w:marRight w:val="0"/>
          <w:marTop w:val="0"/>
          <w:marBottom w:val="0"/>
          <w:divBdr>
            <w:top w:val="none" w:sz="0" w:space="0" w:color="auto"/>
            <w:left w:val="none" w:sz="0" w:space="0" w:color="auto"/>
            <w:bottom w:val="none" w:sz="0" w:space="0" w:color="auto"/>
            <w:right w:val="none" w:sz="0" w:space="0" w:color="auto"/>
          </w:divBdr>
        </w:div>
      </w:divsChild>
    </w:div>
    <w:div w:id="2015103482">
      <w:bodyDiv w:val="1"/>
      <w:marLeft w:val="0"/>
      <w:marRight w:val="0"/>
      <w:marTop w:val="0"/>
      <w:marBottom w:val="0"/>
      <w:divBdr>
        <w:top w:val="none" w:sz="0" w:space="0" w:color="auto"/>
        <w:left w:val="none" w:sz="0" w:space="0" w:color="auto"/>
        <w:bottom w:val="none" w:sz="0" w:space="0" w:color="auto"/>
        <w:right w:val="none" w:sz="0" w:space="0" w:color="auto"/>
      </w:divBdr>
    </w:div>
    <w:div w:id="2029746023">
      <w:bodyDiv w:val="1"/>
      <w:marLeft w:val="0"/>
      <w:marRight w:val="0"/>
      <w:marTop w:val="0"/>
      <w:marBottom w:val="0"/>
      <w:divBdr>
        <w:top w:val="none" w:sz="0" w:space="0" w:color="auto"/>
        <w:left w:val="none" w:sz="0" w:space="0" w:color="auto"/>
        <w:bottom w:val="none" w:sz="0" w:space="0" w:color="auto"/>
        <w:right w:val="none" w:sz="0" w:space="0" w:color="auto"/>
      </w:divBdr>
    </w:div>
    <w:div w:id="206386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B1511-2352-4317-A7BA-B37571C81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3490</Words>
  <Characters>19199</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Sharon Yanelli Lara Medrano</cp:lastModifiedBy>
  <cp:revision>2</cp:revision>
  <cp:lastPrinted>2022-04-07T18:14:00Z</cp:lastPrinted>
  <dcterms:created xsi:type="dcterms:W3CDTF">2022-04-28T21:11:00Z</dcterms:created>
  <dcterms:modified xsi:type="dcterms:W3CDTF">2022-04-28T21:11:00Z</dcterms:modified>
</cp:coreProperties>
</file>