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A65" w:rsidRPr="00CF08D6" w:rsidRDefault="005D0A65" w:rsidP="005D0A65">
      <w:pPr>
        <w:autoSpaceDE w:val="0"/>
        <w:autoSpaceDN w:val="0"/>
        <w:adjustRightInd w:val="0"/>
        <w:spacing w:after="0" w:line="240" w:lineRule="auto"/>
        <w:jc w:val="center"/>
        <w:rPr>
          <w:rFonts w:ascii="Barlow" w:eastAsia="Times New Roman" w:hAnsi="Barlow"/>
          <w:b/>
          <w:sz w:val="20"/>
          <w:szCs w:val="20"/>
          <w:lang w:eastAsia="es-ES"/>
        </w:rPr>
      </w:pPr>
      <w:r w:rsidRPr="00CF08D6">
        <w:rPr>
          <w:rFonts w:ascii="Barlow" w:eastAsia="Times New Roman" w:hAnsi="Barlow"/>
          <w:b/>
          <w:sz w:val="20"/>
          <w:szCs w:val="20"/>
          <w:lang w:eastAsia="es-ES"/>
        </w:rPr>
        <w:t>Notas a los estados financieros</w:t>
      </w:r>
    </w:p>
    <w:p w:rsidR="005D0A65" w:rsidRDefault="005D0A65" w:rsidP="005D0A65">
      <w:pPr>
        <w:autoSpaceDE w:val="0"/>
        <w:autoSpaceDN w:val="0"/>
        <w:adjustRightInd w:val="0"/>
        <w:spacing w:after="0" w:line="240" w:lineRule="auto"/>
        <w:jc w:val="center"/>
        <w:rPr>
          <w:rFonts w:ascii="Barlow" w:eastAsia="Times New Roman" w:hAnsi="Barlow"/>
          <w:b/>
          <w:sz w:val="20"/>
          <w:szCs w:val="20"/>
          <w:lang w:eastAsia="es-ES"/>
        </w:rPr>
      </w:pPr>
      <w:r w:rsidRPr="00CF08D6">
        <w:rPr>
          <w:rFonts w:ascii="Barlow" w:eastAsia="Times New Roman" w:hAnsi="Barlow"/>
          <w:b/>
          <w:sz w:val="20"/>
          <w:szCs w:val="20"/>
          <w:lang w:eastAsia="es-ES"/>
        </w:rPr>
        <w:t xml:space="preserve">Cifras al </w:t>
      </w:r>
      <w:r w:rsidR="00B510C1" w:rsidRPr="00CF08D6">
        <w:rPr>
          <w:rFonts w:ascii="Barlow" w:eastAsia="Times New Roman" w:hAnsi="Barlow"/>
          <w:b/>
          <w:sz w:val="20"/>
          <w:szCs w:val="20"/>
          <w:lang w:eastAsia="es-ES"/>
        </w:rPr>
        <w:t>31</w:t>
      </w:r>
      <w:r w:rsidR="0038598C" w:rsidRPr="00CF08D6">
        <w:rPr>
          <w:rFonts w:ascii="Barlow" w:eastAsia="Times New Roman" w:hAnsi="Barlow"/>
          <w:b/>
          <w:sz w:val="20"/>
          <w:szCs w:val="20"/>
          <w:lang w:eastAsia="es-ES"/>
        </w:rPr>
        <w:t xml:space="preserve"> de </w:t>
      </w:r>
      <w:r w:rsidR="00CF08D6" w:rsidRPr="00CF08D6">
        <w:rPr>
          <w:rFonts w:ascii="Barlow" w:eastAsia="Times New Roman" w:hAnsi="Barlow"/>
          <w:b/>
          <w:sz w:val="20"/>
          <w:szCs w:val="20"/>
          <w:lang w:eastAsia="es-ES"/>
        </w:rPr>
        <w:t>marzo</w:t>
      </w:r>
      <w:r w:rsidRPr="00CF08D6">
        <w:rPr>
          <w:rFonts w:ascii="Barlow" w:eastAsia="Times New Roman" w:hAnsi="Barlow"/>
          <w:b/>
          <w:sz w:val="20"/>
          <w:szCs w:val="20"/>
          <w:lang w:eastAsia="es-ES"/>
        </w:rPr>
        <w:t xml:space="preserve"> del 20</w:t>
      </w:r>
      <w:r w:rsidR="0086693F" w:rsidRPr="00CF08D6">
        <w:rPr>
          <w:rFonts w:ascii="Barlow" w:eastAsia="Times New Roman" w:hAnsi="Barlow"/>
          <w:b/>
          <w:sz w:val="20"/>
          <w:szCs w:val="20"/>
          <w:lang w:eastAsia="es-ES"/>
        </w:rPr>
        <w:t>2</w:t>
      </w:r>
      <w:r w:rsidR="008C70A6" w:rsidRPr="00CF08D6">
        <w:rPr>
          <w:rFonts w:ascii="Barlow" w:eastAsia="Times New Roman" w:hAnsi="Barlow"/>
          <w:b/>
          <w:sz w:val="20"/>
          <w:szCs w:val="20"/>
          <w:lang w:eastAsia="es-ES"/>
        </w:rPr>
        <w:t>1</w:t>
      </w:r>
    </w:p>
    <w:p w:rsidR="00CF08D6" w:rsidRPr="00EF1A2F" w:rsidRDefault="00CF08D6" w:rsidP="00CF08D6">
      <w:pPr>
        <w:spacing w:line="240" w:lineRule="auto"/>
        <w:jc w:val="center"/>
        <w:rPr>
          <w:rFonts w:ascii="Barlow" w:hAnsi="Barlow" w:cs="Arial"/>
          <w:b/>
          <w:sz w:val="20"/>
          <w:szCs w:val="20"/>
        </w:rPr>
      </w:pPr>
      <w:r w:rsidRPr="00EF1A2F">
        <w:rPr>
          <w:rFonts w:ascii="Barlow" w:hAnsi="Barlow" w:cs="Arial"/>
          <w:b/>
          <w:sz w:val="20"/>
          <w:szCs w:val="20"/>
        </w:rPr>
        <w:t>(</w:t>
      </w:r>
      <w:r>
        <w:rPr>
          <w:rFonts w:ascii="Barlow" w:hAnsi="Barlow" w:cs="Arial"/>
          <w:b/>
          <w:sz w:val="20"/>
          <w:szCs w:val="20"/>
        </w:rPr>
        <w:t xml:space="preserve">Cifras en </w:t>
      </w:r>
      <w:r w:rsidRPr="00EF1A2F">
        <w:rPr>
          <w:rFonts w:ascii="Barlow" w:hAnsi="Barlow" w:cs="Arial"/>
          <w:b/>
          <w:sz w:val="20"/>
          <w:szCs w:val="20"/>
        </w:rPr>
        <w:t>Pesos)</w:t>
      </w:r>
    </w:p>
    <w:p w:rsidR="00CF08D6" w:rsidRPr="00EF1A2F" w:rsidRDefault="00CF08D6" w:rsidP="00CF08D6">
      <w:pPr>
        <w:spacing w:line="240" w:lineRule="auto"/>
        <w:jc w:val="center"/>
        <w:rPr>
          <w:rFonts w:ascii="Barlow" w:hAnsi="Barlow" w:cs="Arial"/>
          <w:b/>
          <w:sz w:val="20"/>
          <w:szCs w:val="20"/>
        </w:rPr>
      </w:pPr>
      <w:bookmarkStart w:id="0" w:name="_GoBack"/>
      <w:bookmarkEnd w:id="0"/>
    </w:p>
    <w:p w:rsidR="00CF08D6" w:rsidRDefault="00CF08D6" w:rsidP="00CF08D6">
      <w:pPr>
        <w:spacing w:line="240" w:lineRule="auto"/>
        <w:rPr>
          <w:rFonts w:ascii="Barlow" w:hAnsi="Barlow" w:cs="Arial"/>
          <w:b/>
          <w:sz w:val="20"/>
          <w:szCs w:val="20"/>
        </w:rPr>
      </w:pPr>
      <w:r w:rsidRPr="00EF1A2F">
        <w:rPr>
          <w:rFonts w:ascii="Barlow" w:hAnsi="Barlow" w:cs="Arial"/>
          <w:b/>
          <w:sz w:val="20"/>
          <w:szCs w:val="20"/>
        </w:rPr>
        <w:t>Ente P</w:t>
      </w:r>
      <w:r>
        <w:rPr>
          <w:rFonts w:ascii="Barlow" w:hAnsi="Barlow" w:cs="Arial"/>
          <w:b/>
          <w:sz w:val="20"/>
          <w:szCs w:val="20"/>
        </w:rPr>
        <w:t>úblico:  UNIVERSIDAD DE ORIENTE</w:t>
      </w:r>
    </w:p>
    <w:p w:rsidR="005D0A65" w:rsidRPr="00CF08D6" w:rsidRDefault="005D0A65" w:rsidP="005D0A65">
      <w:pPr>
        <w:autoSpaceDE w:val="0"/>
        <w:autoSpaceDN w:val="0"/>
        <w:adjustRightInd w:val="0"/>
        <w:spacing w:after="0" w:line="240" w:lineRule="auto"/>
        <w:jc w:val="both"/>
        <w:rPr>
          <w:rFonts w:ascii="Barlow" w:eastAsia="Times New Roman" w:hAnsi="Barlow"/>
          <w:sz w:val="20"/>
          <w:szCs w:val="20"/>
          <w:lang w:eastAsia="es-ES"/>
        </w:rPr>
      </w:pPr>
      <w:r w:rsidRPr="00CF08D6">
        <w:rPr>
          <w:rFonts w:ascii="Barlow" w:eastAsia="Times New Roman" w:hAnsi="Barlow"/>
          <w:sz w:val="20"/>
          <w:szCs w:val="20"/>
          <w:lang w:eastAsia="es-ES"/>
        </w:rPr>
        <w:t xml:space="preserve">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w:t>
      </w:r>
      <w:r w:rsidR="00A738E0" w:rsidRPr="00CF08D6">
        <w:rPr>
          <w:rFonts w:ascii="Barlow" w:eastAsia="Times New Roman" w:hAnsi="Barlow"/>
          <w:sz w:val="20"/>
          <w:szCs w:val="20"/>
          <w:lang w:eastAsia="es-ES"/>
        </w:rPr>
        <w:t>la Universidad de Oriente</w:t>
      </w:r>
      <w:r w:rsidRPr="00CF08D6">
        <w:rPr>
          <w:rFonts w:ascii="Barlow" w:eastAsia="Times New Roman" w:hAnsi="Barlow"/>
          <w:sz w:val="20"/>
          <w:szCs w:val="20"/>
          <w:lang w:eastAsia="es-ES"/>
        </w:rPr>
        <w:t>, ha preparado los Estados Financieros incluyendo</w:t>
      </w:r>
      <w:r w:rsidR="00867C2E" w:rsidRPr="00CF08D6">
        <w:rPr>
          <w:rFonts w:ascii="Barlow" w:eastAsia="Times New Roman" w:hAnsi="Barlow"/>
          <w:sz w:val="20"/>
          <w:szCs w:val="20"/>
          <w:lang w:eastAsia="es-ES"/>
        </w:rPr>
        <w:t xml:space="preserve"> las operaciones efectuadas al </w:t>
      </w:r>
      <w:r w:rsidR="00B510C1" w:rsidRPr="00CF08D6">
        <w:rPr>
          <w:rFonts w:ascii="Barlow" w:eastAsia="Times New Roman" w:hAnsi="Barlow"/>
          <w:sz w:val="20"/>
          <w:szCs w:val="20"/>
          <w:lang w:eastAsia="es-ES"/>
        </w:rPr>
        <w:t>31</w:t>
      </w:r>
      <w:r w:rsidR="00867C2E" w:rsidRPr="00CF08D6">
        <w:rPr>
          <w:rFonts w:ascii="Barlow" w:eastAsia="Times New Roman" w:hAnsi="Barlow"/>
          <w:sz w:val="20"/>
          <w:szCs w:val="20"/>
          <w:lang w:eastAsia="es-ES"/>
        </w:rPr>
        <w:t xml:space="preserve"> de </w:t>
      </w:r>
      <w:r w:rsidR="00CF08D6" w:rsidRPr="00CF08D6">
        <w:rPr>
          <w:rFonts w:ascii="Barlow" w:eastAsia="Times New Roman" w:hAnsi="Barlow"/>
          <w:sz w:val="20"/>
          <w:szCs w:val="20"/>
          <w:lang w:eastAsia="es-ES"/>
        </w:rPr>
        <w:t>marzo</w:t>
      </w:r>
      <w:r w:rsidRPr="00CF08D6">
        <w:rPr>
          <w:rFonts w:ascii="Barlow" w:eastAsia="Times New Roman" w:hAnsi="Barlow"/>
          <w:sz w:val="20"/>
          <w:szCs w:val="20"/>
          <w:lang w:eastAsia="es-ES"/>
        </w:rPr>
        <w:t>.</w:t>
      </w:r>
    </w:p>
    <w:p w:rsidR="005D0A65" w:rsidRPr="00CF08D6" w:rsidRDefault="005D0A65" w:rsidP="005D0A65">
      <w:pPr>
        <w:autoSpaceDE w:val="0"/>
        <w:autoSpaceDN w:val="0"/>
        <w:adjustRightInd w:val="0"/>
        <w:spacing w:after="0" w:line="240" w:lineRule="auto"/>
        <w:jc w:val="both"/>
        <w:rPr>
          <w:rFonts w:ascii="Barlow" w:eastAsia="Times New Roman" w:hAnsi="Barlow"/>
          <w:sz w:val="20"/>
          <w:szCs w:val="20"/>
          <w:lang w:eastAsia="es-ES"/>
        </w:rPr>
      </w:pPr>
    </w:p>
    <w:p w:rsidR="005D0A65" w:rsidRPr="00CF08D6" w:rsidRDefault="005D0A65" w:rsidP="005D0A65">
      <w:pPr>
        <w:pStyle w:val="Prrafodelista"/>
        <w:numPr>
          <w:ilvl w:val="0"/>
          <w:numId w:val="25"/>
        </w:numPr>
        <w:autoSpaceDE w:val="0"/>
        <w:autoSpaceDN w:val="0"/>
        <w:adjustRightInd w:val="0"/>
        <w:spacing w:after="0" w:line="240" w:lineRule="auto"/>
        <w:ind w:left="720"/>
        <w:jc w:val="both"/>
        <w:rPr>
          <w:rFonts w:ascii="Barlow" w:eastAsia="Times New Roman" w:hAnsi="Barlow" w:cs="Arial"/>
          <w:b/>
          <w:sz w:val="20"/>
          <w:szCs w:val="20"/>
          <w:lang w:eastAsia="es-ES"/>
        </w:rPr>
      </w:pPr>
      <w:r w:rsidRPr="00CF08D6">
        <w:rPr>
          <w:rFonts w:ascii="Barlow" w:eastAsia="Times New Roman" w:hAnsi="Barlow" w:cs="Arial"/>
          <w:b/>
          <w:sz w:val="20"/>
          <w:szCs w:val="20"/>
          <w:lang w:eastAsia="es-ES"/>
        </w:rPr>
        <w:t>NOTAS DE DESGLOSE</w:t>
      </w:r>
    </w:p>
    <w:p w:rsidR="005D0A65" w:rsidRPr="00CF08D6" w:rsidRDefault="005D0A65" w:rsidP="005D0A65">
      <w:pPr>
        <w:autoSpaceDE w:val="0"/>
        <w:autoSpaceDN w:val="0"/>
        <w:adjustRightInd w:val="0"/>
        <w:spacing w:after="0" w:line="240" w:lineRule="auto"/>
        <w:jc w:val="both"/>
        <w:rPr>
          <w:rFonts w:ascii="Barlow" w:eastAsia="Times New Roman" w:hAnsi="Barlow" w:cs="Arial"/>
          <w:b/>
          <w:sz w:val="20"/>
          <w:szCs w:val="20"/>
          <w:lang w:eastAsia="es-ES"/>
        </w:rPr>
      </w:pP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I) NOTAS AL ESTADO DE SITUACIÓN FINANCIERA.</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Activo</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Efectivo y Equivalentes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1. La cuenta de bancos y la de inversiones</w:t>
      </w:r>
      <w:r w:rsidR="0084153C" w:rsidRPr="00CF08D6">
        <w:rPr>
          <w:rFonts w:ascii="Barlow" w:hAnsi="Barlow" w:cs="Arial"/>
          <w:sz w:val="20"/>
          <w:szCs w:val="20"/>
        </w:rPr>
        <w:t xml:space="preserve"> temporales que integra el 99.00 </w:t>
      </w:r>
      <w:r w:rsidRPr="00CF08D6">
        <w:rPr>
          <w:rFonts w:ascii="Barlow" w:hAnsi="Barlow" w:cs="Arial"/>
          <w:sz w:val="20"/>
          <w:szCs w:val="20"/>
        </w:rPr>
        <w:t>% de la cuenta de efectivo y equivalentes se encuentra integrada por tipo de cuenta bancaria de la siguiente manera:</w:t>
      </w:r>
    </w:p>
    <w:tbl>
      <w:tblPr>
        <w:tblW w:w="5700" w:type="dxa"/>
        <w:jc w:val="center"/>
        <w:tblCellMar>
          <w:left w:w="70" w:type="dxa"/>
          <w:right w:w="70" w:type="dxa"/>
        </w:tblCellMar>
        <w:tblLook w:val="04A0" w:firstRow="1" w:lastRow="0" w:firstColumn="1" w:lastColumn="0" w:noHBand="0" w:noVBand="1"/>
      </w:tblPr>
      <w:tblGrid>
        <w:gridCol w:w="1340"/>
        <w:gridCol w:w="2180"/>
        <w:gridCol w:w="2180"/>
      </w:tblGrid>
      <w:tr w:rsidR="005D0A65" w:rsidRPr="00CF08D6" w:rsidTr="008A23DD">
        <w:trPr>
          <w:trHeight w:val="615"/>
          <w:jc w:val="center"/>
        </w:trPr>
        <w:tc>
          <w:tcPr>
            <w:tcW w:w="134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Tipo de Banco</w:t>
            </w:r>
          </w:p>
        </w:tc>
        <w:tc>
          <w:tcPr>
            <w:tcW w:w="2180" w:type="dxa"/>
            <w:tcBorders>
              <w:top w:val="nil"/>
              <w:left w:val="nil"/>
              <w:bottom w:val="single" w:sz="4" w:space="0" w:color="auto"/>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Banco</w:t>
            </w:r>
          </w:p>
        </w:tc>
        <w:tc>
          <w:tcPr>
            <w:tcW w:w="2180" w:type="dxa"/>
            <w:tcBorders>
              <w:top w:val="nil"/>
              <w:left w:val="nil"/>
              <w:bottom w:val="single" w:sz="4" w:space="0" w:color="auto"/>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Fondo de afectación especifica</w:t>
            </w:r>
          </w:p>
        </w:tc>
      </w:tr>
      <w:tr w:rsidR="005D0A65" w:rsidRPr="00CF08D6" w:rsidTr="008A23DD">
        <w:trPr>
          <w:trHeight w:val="315"/>
          <w:jc w:val="center"/>
        </w:trPr>
        <w:tc>
          <w:tcPr>
            <w:tcW w:w="134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b/>
                <w:color w:val="000000"/>
                <w:sz w:val="20"/>
                <w:szCs w:val="20"/>
                <w:lang w:eastAsia="es-MX"/>
              </w:rPr>
            </w:pPr>
            <w:r w:rsidRPr="00CF08D6">
              <w:rPr>
                <w:rFonts w:ascii="Barlow" w:eastAsia="Times New Roman" w:hAnsi="Barlow" w:cs="Calibri"/>
                <w:b/>
                <w:color w:val="000000"/>
                <w:sz w:val="20"/>
                <w:szCs w:val="20"/>
                <w:lang w:eastAsia="es-MX"/>
              </w:rPr>
              <w:t>Total</w:t>
            </w:r>
          </w:p>
        </w:tc>
        <w:tc>
          <w:tcPr>
            <w:tcW w:w="2180" w:type="dxa"/>
            <w:tcBorders>
              <w:top w:val="nil"/>
              <w:left w:val="nil"/>
              <w:bottom w:val="single" w:sz="4" w:space="0" w:color="auto"/>
              <w:right w:val="nil"/>
            </w:tcBorders>
            <w:shd w:val="clear" w:color="000000" w:fill="FFFFFF"/>
            <w:vAlign w:val="center"/>
            <w:hideMark/>
          </w:tcPr>
          <w:p w:rsidR="005D0A65" w:rsidRPr="00CF08D6" w:rsidRDefault="005D0A65" w:rsidP="00B510C1">
            <w:pPr>
              <w:spacing w:after="0" w:line="240" w:lineRule="auto"/>
              <w:jc w:val="center"/>
              <w:rPr>
                <w:rFonts w:ascii="Barlow" w:eastAsia="Times New Roman" w:hAnsi="Barlow" w:cs="Calibri"/>
                <w:b/>
                <w:color w:val="000000"/>
                <w:sz w:val="20"/>
                <w:szCs w:val="20"/>
                <w:lang w:eastAsia="es-MX"/>
              </w:rPr>
            </w:pPr>
            <w:r w:rsidRPr="00CF08D6">
              <w:rPr>
                <w:rFonts w:ascii="Barlow" w:eastAsia="Times New Roman" w:hAnsi="Barlow" w:cs="Calibri"/>
                <w:b/>
                <w:color w:val="000000"/>
                <w:sz w:val="20"/>
                <w:szCs w:val="20"/>
                <w:lang w:eastAsia="es-MX"/>
              </w:rPr>
              <w:t>$</w:t>
            </w:r>
            <w:r w:rsidR="00B510C1" w:rsidRPr="00CF08D6">
              <w:rPr>
                <w:rFonts w:ascii="Barlow" w:eastAsia="Times New Roman" w:hAnsi="Barlow" w:cs="Calibri"/>
                <w:b/>
                <w:color w:val="000000"/>
                <w:sz w:val="20"/>
                <w:szCs w:val="20"/>
                <w:lang w:eastAsia="es-MX"/>
              </w:rPr>
              <w:t>4,214,861.34</w:t>
            </w:r>
          </w:p>
        </w:tc>
        <w:tc>
          <w:tcPr>
            <w:tcW w:w="2180" w:type="dxa"/>
            <w:tcBorders>
              <w:top w:val="nil"/>
              <w:left w:val="nil"/>
              <w:bottom w:val="single" w:sz="4" w:space="0" w:color="auto"/>
              <w:right w:val="nil"/>
            </w:tcBorders>
            <w:shd w:val="clear" w:color="000000" w:fill="FFFFFF"/>
            <w:vAlign w:val="center"/>
            <w:hideMark/>
          </w:tcPr>
          <w:p w:rsidR="005D0A65" w:rsidRPr="00CF08D6" w:rsidRDefault="005D0A65" w:rsidP="00B12BA2">
            <w:pPr>
              <w:spacing w:after="0" w:line="240" w:lineRule="auto"/>
              <w:jc w:val="center"/>
              <w:rPr>
                <w:rFonts w:ascii="Barlow" w:eastAsia="Times New Roman" w:hAnsi="Barlow" w:cs="Calibri"/>
                <w:b/>
                <w:color w:val="000000"/>
                <w:sz w:val="20"/>
                <w:szCs w:val="20"/>
                <w:lang w:eastAsia="es-MX"/>
              </w:rPr>
            </w:pPr>
            <w:r w:rsidRPr="00CF08D6">
              <w:rPr>
                <w:rFonts w:ascii="Barlow" w:eastAsia="Times New Roman" w:hAnsi="Barlow" w:cs="Calibri"/>
                <w:b/>
                <w:color w:val="000000"/>
                <w:sz w:val="20"/>
                <w:szCs w:val="20"/>
                <w:lang w:eastAsia="es-MX"/>
              </w:rPr>
              <w:t>$</w:t>
            </w:r>
            <w:r w:rsidR="006826C1" w:rsidRPr="00CF08D6">
              <w:rPr>
                <w:rFonts w:ascii="Barlow" w:eastAsia="Times New Roman" w:hAnsi="Barlow" w:cs="Calibri"/>
                <w:b/>
                <w:color w:val="000000"/>
                <w:sz w:val="20"/>
                <w:szCs w:val="20"/>
                <w:lang w:eastAsia="es-MX"/>
              </w:rPr>
              <w:t>1,508,258.53</w:t>
            </w:r>
          </w:p>
        </w:tc>
      </w:tr>
    </w:tbl>
    <w:p w:rsidR="00142D96" w:rsidRPr="00CF08D6" w:rsidRDefault="00142D96" w:rsidP="005D0A65">
      <w:pPr>
        <w:autoSpaceDE w:val="0"/>
        <w:autoSpaceDN w:val="0"/>
        <w:adjustRightInd w:val="0"/>
        <w:spacing w:line="240" w:lineRule="auto"/>
        <w:jc w:val="both"/>
        <w:rPr>
          <w:rFonts w:ascii="Barlow" w:hAnsi="Barlow" w:cs="Arial"/>
          <w:sz w:val="20"/>
          <w:szCs w:val="20"/>
        </w:rPr>
      </w:pPr>
    </w:p>
    <w:p w:rsidR="005D0A65"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Esta información resulta de las operaciones sobre los recursos disponibles en cuentas bancarias, del ente público y que están asociadas a los recursos financieros que la Universidad de Oriente, concentra, custodia y administra principalmente en la Dirección de Administración.</w:t>
      </w:r>
    </w:p>
    <w:p w:rsidR="00CF08D6" w:rsidRPr="00CF08D6" w:rsidRDefault="00CF08D6" w:rsidP="005D0A65">
      <w:pPr>
        <w:autoSpaceDE w:val="0"/>
        <w:autoSpaceDN w:val="0"/>
        <w:adjustRightInd w:val="0"/>
        <w:spacing w:line="240" w:lineRule="auto"/>
        <w:jc w:val="both"/>
        <w:rPr>
          <w:rFonts w:ascii="Barlow" w:hAnsi="Barlow" w:cs="Arial"/>
          <w:sz w:val="20"/>
          <w:szCs w:val="20"/>
        </w:rPr>
      </w:pP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b/>
          <w:sz w:val="20"/>
          <w:szCs w:val="20"/>
        </w:rPr>
        <w:lastRenderedPageBreak/>
        <w:t>Derechos a Recibir Efectivo y Equivalentes y Bienes o Servicios a Recibir</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2. El saldo final de la cuenta 1.1.2.4, es $0.00</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3. La cuenta derechos a recibir efectivo o equivalentes.</w:t>
      </w:r>
    </w:p>
    <w:tbl>
      <w:tblPr>
        <w:tblW w:w="8054" w:type="dxa"/>
        <w:jc w:val="center"/>
        <w:tblCellMar>
          <w:left w:w="70" w:type="dxa"/>
          <w:right w:w="70" w:type="dxa"/>
        </w:tblCellMar>
        <w:tblLook w:val="04A0" w:firstRow="1" w:lastRow="0" w:firstColumn="1" w:lastColumn="0" w:noHBand="0" w:noVBand="1"/>
      </w:tblPr>
      <w:tblGrid>
        <w:gridCol w:w="5210"/>
        <w:gridCol w:w="2844"/>
      </w:tblGrid>
      <w:tr w:rsidR="00C356C0" w:rsidRPr="00CF08D6" w:rsidTr="00C356C0">
        <w:trPr>
          <w:trHeight w:val="300"/>
          <w:jc w:val="center"/>
        </w:trPr>
        <w:tc>
          <w:tcPr>
            <w:tcW w:w="5210" w:type="dxa"/>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Derechos a recibir efectivo y equivalentes</w:t>
            </w:r>
          </w:p>
        </w:tc>
        <w:tc>
          <w:tcPr>
            <w:tcW w:w="2844" w:type="dxa"/>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themeColor="text1"/>
                <w:sz w:val="20"/>
                <w:szCs w:val="20"/>
                <w:lang w:eastAsia="es-MX"/>
              </w:rPr>
              <w:t>Importe</w:t>
            </w:r>
          </w:p>
        </w:tc>
      </w:tr>
      <w:tr w:rsidR="00C356C0" w:rsidRPr="00CF08D6" w:rsidTr="00C356C0">
        <w:trPr>
          <w:trHeight w:val="300"/>
          <w:jc w:val="center"/>
        </w:trPr>
        <w:tc>
          <w:tcPr>
            <w:tcW w:w="5210" w:type="dxa"/>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themeColor="text1"/>
                <w:sz w:val="20"/>
                <w:szCs w:val="20"/>
                <w:lang w:eastAsia="es-MX"/>
              </w:rPr>
              <w:t>Ingresos propios (1)</w:t>
            </w:r>
          </w:p>
        </w:tc>
        <w:tc>
          <w:tcPr>
            <w:tcW w:w="2844" w:type="dxa"/>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themeColor="text1"/>
                <w:sz w:val="20"/>
                <w:szCs w:val="20"/>
                <w:lang w:eastAsia="es-MX"/>
              </w:rPr>
              <w:t>23,000.00</w:t>
            </w:r>
          </w:p>
        </w:tc>
      </w:tr>
      <w:tr w:rsidR="00C356C0" w:rsidRPr="00CF08D6" w:rsidTr="00C356C0">
        <w:trPr>
          <w:trHeight w:val="300"/>
          <w:jc w:val="center"/>
        </w:trPr>
        <w:tc>
          <w:tcPr>
            <w:tcW w:w="5210" w:type="dxa"/>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themeColor="text1"/>
                <w:sz w:val="20"/>
                <w:szCs w:val="20"/>
                <w:lang w:eastAsia="es-MX"/>
              </w:rPr>
              <w:t>Ingresos propios (2)</w:t>
            </w:r>
          </w:p>
        </w:tc>
        <w:tc>
          <w:tcPr>
            <w:tcW w:w="2844" w:type="dxa"/>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themeColor="text1"/>
                <w:sz w:val="20"/>
                <w:szCs w:val="20"/>
                <w:lang w:eastAsia="es-MX"/>
              </w:rPr>
              <w:t>5,333.00</w:t>
            </w:r>
          </w:p>
        </w:tc>
      </w:tr>
      <w:tr w:rsidR="00C356C0" w:rsidRPr="00CF08D6" w:rsidTr="00C356C0">
        <w:trPr>
          <w:trHeight w:val="300"/>
          <w:jc w:val="center"/>
        </w:trPr>
        <w:tc>
          <w:tcPr>
            <w:tcW w:w="5210" w:type="dxa"/>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themeColor="text1"/>
                <w:sz w:val="20"/>
                <w:szCs w:val="20"/>
                <w:lang w:eastAsia="es-MX"/>
              </w:rPr>
              <w:t>Secretaria de administración y finanzas SAF (3)</w:t>
            </w:r>
          </w:p>
        </w:tc>
        <w:tc>
          <w:tcPr>
            <w:tcW w:w="2844" w:type="dxa"/>
            <w:shd w:val="clear" w:color="000000" w:fill="FFFFFF"/>
            <w:vAlign w:val="center"/>
            <w:hideMark/>
          </w:tcPr>
          <w:p w:rsidR="005D0A65" w:rsidRPr="00CF08D6" w:rsidRDefault="00B510C1" w:rsidP="00AA76CC">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themeColor="text1"/>
                <w:sz w:val="20"/>
                <w:szCs w:val="20"/>
                <w:lang w:eastAsia="es-MX"/>
              </w:rPr>
              <w:t>2,129,912.00</w:t>
            </w:r>
          </w:p>
        </w:tc>
      </w:tr>
      <w:tr w:rsidR="00C356C0" w:rsidRPr="00CF08D6" w:rsidTr="00C356C0">
        <w:trPr>
          <w:trHeight w:val="300"/>
          <w:jc w:val="center"/>
        </w:trPr>
        <w:tc>
          <w:tcPr>
            <w:tcW w:w="5210" w:type="dxa"/>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themeColor="text1"/>
                <w:sz w:val="20"/>
                <w:szCs w:val="20"/>
                <w:lang w:eastAsia="es-MX"/>
              </w:rPr>
            </w:pPr>
            <w:r w:rsidRPr="00CF08D6">
              <w:rPr>
                <w:rFonts w:ascii="Barlow" w:eastAsia="Times New Roman" w:hAnsi="Barlow" w:cs="Calibri"/>
                <w:color w:val="000000" w:themeColor="text1"/>
                <w:sz w:val="20"/>
                <w:szCs w:val="20"/>
                <w:lang w:eastAsia="es-MX"/>
              </w:rPr>
              <w:t>Otros</w:t>
            </w:r>
          </w:p>
        </w:tc>
        <w:tc>
          <w:tcPr>
            <w:tcW w:w="2844" w:type="dxa"/>
            <w:shd w:val="clear" w:color="000000" w:fill="FFFFFF"/>
            <w:vAlign w:val="center"/>
            <w:hideMark/>
          </w:tcPr>
          <w:p w:rsidR="00A738E0" w:rsidRPr="00CF08D6" w:rsidRDefault="00A738E0" w:rsidP="00B12BA2">
            <w:pPr>
              <w:spacing w:after="0" w:line="240" w:lineRule="auto"/>
              <w:jc w:val="center"/>
              <w:rPr>
                <w:rFonts w:ascii="Barlow" w:eastAsia="Times New Roman" w:hAnsi="Barlow" w:cs="Calibri"/>
                <w:color w:val="000000" w:themeColor="text1"/>
                <w:sz w:val="20"/>
                <w:szCs w:val="20"/>
                <w:lang w:eastAsia="es-MX"/>
              </w:rPr>
            </w:pPr>
          </w:p>
          <w:p w:rsidR="005D0A65" w:rsidRPr="00CF08D6" w:rsidRDefault="00B510C1" w:rsidP="00AA76CC">
            <w:pPr>
              <w:jc w:val="center"/>
              <w:rPr>
                <w:rFonts w:ascii="Barlow" w:eastAsia="Times New Roman" w:hAnsi="Barlow" w:cs="Calibri"/>
                <w:color w:val="000000" w:themeColor="text1"/>
                <w:sz w:val="20"/>
                <w:szCs w:val="20"/>
                <w:lang w:eastAsia="es-MX"/>
              </w:rPr>
            </w:pPr>
            <w:r w:rsidRPr="00CF08D6">
              <w:rPr>
                <w:rFonts w:ascii="Barlow" w:eastAsia="Times New Roman" w:hAnsi="Barlow" w:cs="Calibri"/>
                <w:color w:val="000000" w:themeColor="text1"/>
                <w:sz w:val="20"/>
                <w:szCs w:val="20"/>
                <w:lang w:eastAsia="es-MX"/>
              </w:rPr>
              <w:t>71,031.53</w:t>
            </w:r>
          </w:p>
        </w:tc>
      </w:tr>
      <w:tr w:rsidR="00C356C0" w:rsidRPr="00CF08D6" w:rsidTr="00C356C0">
        <w:trPr>
          <w:trHeight w:val="300"/>
          <w:jc w:val="center"/>
        </w:trPr>
        <w:tc>
          <w:tcPr>
            <w:tcW w:w="5210" w:type="dxa"/>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b/>
                <w:bCs/>
                <w:color w:val="000000"/>
                <w:sz w:val="20"/>
                <w:szCs w:val="20"/>
                <w:lang w:eastAsia="es-MX"/>
              </w:rPr>
            </w:pPr>
            <w:r w:rsidRPr="00CF08D6">
              <w:rPr>
                <w:rFonts w:ascii="Barlow" w:eastAsia="Times New Roman" w:hAnsi="Barlow" w:cs="Calibri"/>
                <w:b/>
                <w:bCs/>
                <w:color w:val="000000" w:themeColor="text1"/>
                <w:sz w:val="20"/>
                <w:szCs w:val="20"/>
                <w:lang w:eastAsia="es-MX"/>
              </w:rPr>
              <w:t>Total</w:t>
            </w:r>
          </w:p>
        </w:tc>
        <w:tc>
          <w:tcPr>
            <w:tcW w:w="2844" w:type="dxa"/>
            <w:shd w:val="clear" w:color="000000" w:fill="FFFFFF"/>
            <w:vAlign w:val="center"/>
            <w:hideMark/>
          </w:tcPr>
          <w:p w:rsidR="005D0A65" w:rsidRPr="00CF08D6" w:rsidRDefault="005D0A65" w:rsidP="00B510C1">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w:t>
            </w:r>
            <w:r w:rsidR="00B510C1" w:rsidRPr="00CF08D6">
              <w:rPr>
                <w:rFonts w:ascii="Barlow" w:eastAsia="Times New Roman" w:hAnsi="Barlow" w:cs="Calibri"/>
                <w:b/>
                <w:bCs/>
                <w:color w:val="000000"/>
                <w:sz w:val="20"/>
                <w:szCs w:val="20"/>
                <w:lang w:eastAsia="es-MX"/>
              </w:rPr>
              <w:t>2,229,276.53</w:t>
            </w:r>
          </w:p>
        </w:tc>
      </w:tr>
    </w:tbl>
    <w:p w:rsidR="005D0A65" w:rsidRPr="00CF08D6" w:rsidRDefault="005D0A65" w:rsidP="005D0A65">
      <w:pPr>
        <w:pStyle w:val="Sinespaciado"/>
        <w:rPr>
          <w:rFonts w:ascii="Barlow" w:eastAsiaTheme="minorHAnsi" w:hAnsi="Barlow"/>
          <w:sz w:val="20"/>
          <w:szCs w:val="20"/>
        </w:rPr>
      </w:pPr>
      <w:r w:rsidRPr="00CF08D6">
        <w:rPr>
          <w:rFonts w:ascii="Barlow" w:eastAsiaTheme="minorHAnsi" w:hAnsi="Barlow"/>
          <w:sz w:val="20"/>
          <w:szCs w:val="20"/>
        </w:rPr>
        <w:t>(1) Cuota por recuperación cuatrimestral</w:t>
      </w:r>
    </w:p>
    <w:p w:rsidR="005D0A65" w:rsidRPr="00CF08D6" w:rsidRDefault="005D0A65" w:rsidP="005D0A65">
      <w:pPr>
        <w:pStyle w:val="Sinespaciado"/>
        <w:rPr>
          <w:rFonts w:ascii="Barlow" w:eastAsiaTheme="minorHAnsi" w:hAnsi="Barlow"/>
          <w:sz w:val="20"/>
          <w:szCs w:val="20"/>
        </w:rPr>
      </w:pPr>
      <w:r w:rsidRPr="00CF08D6">
        <w:rPr>
          <w:rFonts w:ascii="Barlow" w:eastAsiaTheme="minorHAnsi" w:hAnsi="Barlow"/>
          <w:sz w:val="20"/>
          <w:szCs w:val="20"/>
        </w:rPr>
        <w:t>(2) Cuota anual por expedición de constancias</w:t>
      </w:r>
    </w:p>
    <w:p w:rsidR="005D0A65" w:rsidRPr="00CF08D6" w:rsidRDefault="005D0A65" w:rsidP="005D0A65">
      <w:pPr>
        <w:pStyle w:val="Sinespaciado"/>
        <w:rPr>
          <w:rFonts w:ascii="Barlow" w:eastAsiaTheme="minorHAnsi" w:hAnsi="Barlow"/>
          <w:sz w:val="20"/>
          <w:szCs w:val="20"/>
        </w:rPr>
      </w:pPr>
      <w:r w:rsidRPr="00CF08D6">
        <w:rPr>
          <w:rFonts w:ascii="Barlow" w:eastAsiaTheme="minorHAnsi" w:hAnsi="Barlow"/>
          <w:sz w:val="20"/>
          <w:szCs w:val="20"/>
        </w:rPr>
        <w:t xml:space="preserve">(3) Ingresos Apoyo Financiero Estatal saldo estatal del 2016, programa de apoyo al desarrollo de la educación superior y subsidio estatal, Apoyo Extraordinario Estatal para la Acreditación de las Licenciaturas, Apoyo estatal para el Desarrollo y Difusión de la Investigación. </w:t>
      </w:r>
    </w:p>
    <w:p w:rsidR="005D0A65" w:rsidRPr="00CF08D6" w:rsidRDefault="005D0A65" w:rsidP="005D0A65">
      <w:pPr>
        <w:autoSpaceDE w:val="0"/>
        <w:autoSpaceDN w:val="0"/>
        <w:adjustRightInd w:val="0"/>
        <w:spacing w:line="240" w:lineRule="auto"/>
        <w:jc w:val="both"/>
        <w:rPr>
          <w:rFonts w:ascii="Barlow" w:hAnsi="Barlow" w:cs="Arial"/>
          <w:sz w:val="20"/>
          <w:szCs w:val="20"/>
        </w:rPr>
      </w:pP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Bienes Disponibles para su Transformación o Consumo (inventarios)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4. La Universidad de Oriente no realiza ningún proceso de transformación y/o elaboración de bienes.</w:t>
      </w:r>
    </w:p>
    <w:p w:rsidR="00AD27D2"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5. La Universidad de Oriente no maneja registros, ni bienes en la cuenta de almacén.</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Inversiones Financieras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6. La Universidad de Oriente no maneja registros de los fideicomisos de la cuenta de inversiones financieras.</w:t>
      </w:r>
    </w:p>
    <w:p w:rsidR="00C356C0"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7. El saldo del rubro de Participaciones y Aportaciones de Capital:</w:t>
      </w:r>
    </w:p>
    <w:tbl>
      <w:tblPr>
        <w:tblpPr w:leftFromText="141" w:rightFromText="141" w:vertAnchor="text" w:horzAnchor="page" w:tblpX="3741" w:tblpY="72"/>
        <w:tblW w:w="7725" w:type="dxa"/>
        <w:tblCellMar>
          <w:left w:w="70" w:type="dxa"/>
          <w:right w:w="70" w:type="dxa"/>
        </w:tblCellMar>
        <w:tblLook w:val="04A0" w:firstRow="1" w:lastRow="0" w:firstColumn="1" w:lastColumn="0" w:noHBand="0" w:noVBand="1"/>
      </w:tblPr>
      <w:tblGrid>
        <w:gridCol w:w="5455"/>
        <w:gridCol w:w="2270"/>
      </w:tblGrid>
      <w:tr w:rsidR="00C356C0" w:rsidRPr="00CF08D6" w:rsidTr="00C356C0">
        <w:trPr>
          <w:trHeight w:val="315"/>
        </w:trPr>
        <w:tc>
          <w:tcPr>
            <w:tcW w:w="5455" w:type="dxa"/>
            <w:shd w:val="clear" w:color="000000" w:fill="FFFFFF"/>
            <w:noWrap/>
            <w:vAlign w:val="bottom"/>
            <w:hideMark/>
          </w:tcPr>
          <w:p w:rsidR="00C356C0" w:rsidRPr="00CF08D6" w:rsidRDefault="00C356C0" w:rsidP="00C356C0">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lastRenderedPageBreak/>
              <w:t>Participaciones y Aportaciones de Capital</w:t>
            </w:r>
          </w:p>
        </w:tc>
        <w:tc>
          <w:tcPr>
            <w:tcW w:w="2270" w:type="dxa"/>
            <w:shd w:val="clear" w:color="000000" w:fill="FFFFFF"/>
            <w:noWrap/>
            <w:vAlign w:val="bottom"/>
            <w:hideMark/>
          </w:tcPr>
          <w:p w:rsidR="00C356C0" w:rsidRPr="00CF08D6" w:rsidRDefault="00C356C0" w:rsidP="00DC51B1">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w:t>
            </w:r>
            <w:r w:rsidR="00F90C1A" w:rsidRPr="00CF08D6">
              <w:rPr>
                <w:rFonts w:ascii="Barlow" w:eastAsia="Times New Roman" w:hAnsi="Barlow" w:cs="Calibri"/>
                <w:color w:val="000000"/>
                <w:sz w:val="20"/>
                <w:szCs w:val="20"/>
                <w:lang w:eastAsia="es-MX"/>
              </w:rPr>
              <w:t>1</w:t>
            </w:r>
            <w:r w:rsidR="00DC51B1" w:rsidRPr="00CF08D6">
              <w:rPr>
                <w:rFonts w:ascii="Barlow" w:eastAsia="Times New Roman" w:hAnsi="Barlow" w:cs="Calibri"/>
                <w:color w:val="000000"/>
                <w:sz w:val="20"/>
                <w:szCs w:val="20"/>
                <w:lang w:eastAsia="es-MX"/>
              </w:rPr>
              <w:t>45,322,372.32</w:t>
            </w:r>
          </w:p>
        </w:tc>
      </w:tr>
      <w:tr w:rsidR="00C356C0" w:rsidRPr="00CF08D6" w:rsidTr="00C356C0">
        <w:trPr>
          <w:trHeight w:val="300"/>
        </w:trPr>
        <w:tc>
          <w:tcPr>
            <w:tcW w:w="5455" w:type="dxa"/>
            <w:shd w:val="clear" w:color="000000" w:fill="FFFFFF"/>
            <w:noWrap/>
            <w:vAlign w:val="bottom"/>
            <w:hideMark/>
          </w:tcPr>
          <w:p w:rsidR="00C356C0" w:rsidRPr="00CF08D6" w:rsidRDefault="00C356C0" w:rsidP="00C356C0">
            <w:pPr>
              <w:spacing w:after="0" w:line="240" w:lineRule="auto"/>
              <w:jc w:val="right"/>
              <w:rPr>
                <w:rFonts w:ascii="Barlow" w:eastAsia="Times New Roman" w:hAnsi="Barlow" w:cs="Calibri"/>
                <w:b/>
                <w:color w:val="000000"/>
                <w:sz w:val="20"/>
                <w:szCs w:val="20"/>
                <w:lang w:eastAsia="es-MX"/>
              </w:rPr>
            </w:pPr>
            <w:r w:rsidRPr="00CF08D6">
              <w:rPr>
                <w:rFonts w:ascii="Barlow" w:eastAsia="Times New Roman" w:hAnsi="Barlow" w:cs="Calibri"/>
                <w:b/>
                <w:color w:val="000000"/>
                <w:sz w:val="20"/>
                <w:szCs w:val="20"/>
                <w:lang w:eastAsia="es-MX"/>
              </w:rPr>
              <w:t>Total</w:t>
            </w:r>
            <w:r w:rsidRPr="00CF08D6">
              <w:rPr>
                <w:rFonts w:ascii="Barlow" w:eastAsia="Times New Roman" w:hAnsi="Barlow" w:cs="Calibri"/>
                <w:b/>
                <w:color w:val="FFFFFF" w:themeColor="background1"/>
                <w:sz w:val="20"/>
                <w:szCs w:val="20"/>
                <w:lang w:eastAsia="es-MX"/>
              </w:rPr>
              <w:t>.</w:t>
            </w:r>
          </w:p>
        </w:tc>
        <w:tc>
          <w:tcPr>
            <w:tcW w:w="2270" w:type="dxa"/>
            <w:shd w:val="clear" w:color="000000" w:fill="FFFFFF"/>
            <w:noWrap/>
            <w:vAlign w:val="bottom"/>
            <w:hideMark/>
          </w:tcPr>
          <w:p w:rsidR="00C356C0" w:rsidRPr="00CF08D6" w:rsidRDefault="00C356C0" w:rsidP="00DC51B1">
            <w:pPr>
              <w:spacing w:after="0" w:line="240" w:lineRule="auto"/>
              <w:jc w:val="right"/>
              <w:rPr>
                <w:rFonts w:ascii="Barlow" w:eastAsia="Times New Roman" w:hAnsi="Barlow" w:cs="Calibri"/>
                <w:b/>
                <w:color w:val="000000"/>
                <w:sz w:val="20"/>
                <w:szCs w:val="20"/>
                <w:lang w:eastAsia="es-MX"/>
              </w:rPr>
            </w:pPr>
            <w:r w:rsidRPr="00CF08D6">
              <w:rPr>
                <w:rFonts w:ascii="Barlow" w:eastAsia="Times New Roman" w:hAnsi="Barlow" w:cs="Calibri"/>
                <w:b/>
                <w:color w:val="000000"/>
                <w:sz w:val="20"/>
                <w:szCs w:val="20"/>
                <w:lang w:eastAsia="es-MX"/>
              </w:rPr>
              <w:t>$</w:t>
            </w:r>
            <w:r w:rsidR="00DC51B1" w:rsidRPr="00CF08D6">
              <w:rPr>
                <w:rFonts w:ascii="Barlow" w:eastAsia="Times New Roman" w:hAnsi="Barlow" w:cs="Calibri"/>
                <w:b/>
                <w:color w:val="000000"/>
                <w:sz w:val="20"/>
                <w:szCs w:val="20"/>
                <w:lang w:eastAsia="es-MX"/>
              </w:rPr>
              <w:t>145,322,372.32</w:t>
            </w:r>
          </w:p>
        </w:tc>
      </w:tr>
    </w:tbl>
    <w:p w:rsidR="005D0A65" w:rsidRPr="00CF08D6" w:rsidRDefault="005D0A65" w:rsidP="005D0A65">
      <w:pPr>
        <w:autoSpaceDE w:val="0"/>
        <w:autoSpaceDN w:val="0"/>
        <w:adjustRightInd w:val="0"/>
        <w:spacing w:line="240" w:lineRule="auto"/>
        <w:jc w:val="both"/>
        <w:rPr>
          <w:rFonts w:ascii="Barlow" w:hAnsi="Barlow" w:cs="Arial"/>
          <w:sz w:val="20"/>
          <w:szCs w:val="20"/>
        </w:rPr>
      </w:pPr>
    </w:p>
    <w:p w:rsidR="00C356C0" w:rsidRPr="00CF08D6" w:rsidRDefault="00C356C0" w:rsidP="005D0A65">
      <w:pPr>
        <w:autoSpaceDE w:val="0"/>
        <w:autoSpaceDN w:val="0"/>
        <w:adjustRightInd w:val="0"/>
        <w:spacing w:line="240" w:lineRule="auto"/>
        <w:jc w:val="both"/>
        <w:rPr>
          <w:rFonts w:ascii="Barlow" w:hAnsi="Barlow" w:cs="Arial"/>
          <w:b/>
          <w:sz w:val="20"/>
          <w:szCs w:val="20"/>
        </w:rPr>
      </w:pP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Bienes Muebles, Inmuebles e Intangibles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8. El saldo del rubro de Bienes Muebles e Inmuebles:</w:t>
      </w:r>
    </w:p>
    <w:tbl>
      <w:tblPr>
        <w:tblW w:w="10490" w:type="dxa"/>
        <w:jc w:val="center"/>
        <w:tblCellMar>
          <w:left w:w="70" w:type="dxa"/>
          <w:right w:w="70" w:type="dxa"/>
        </w:tblCellMar>
        <w:tblLook w:val="04A0" w:firstRow="1" w:lastRow="0" w:firstColumn="1" w:lastColumn="0" w:noHBand="0" w:noVBand="1"/>
      </w:tblPr>
      <w:tblGrid>
        <w:gridCol w:w="5529"/>
        <w:gridCol w:w="2403"/>
        <w:gridCol w:w="2558"/>
      </w:tblGrid>
      <w:tr w:rsidR="005D0A65" w:rsidRPr="00CF08D6" w:rsidTr="008A23DD">
        <w:trPr>
          <w:trHeight w:val="300"/>
          <w:jc w:val="center"/>
        </w:trPr>
        <w:tc>
          <w:tcPr>
            <w:tcW w:w="5529" w:type="dxa"/>
            <w:tcBorders>
              <w:top w:val="nil"/>
              <w:left w:val="nil"/>
              <w:bottom w:val="nil"/>
              <w:right w:val="nil"/>
            </w:tcBorders>
            <w:shd w:val="clear" w:color="000000" w:fill="FFFFFF"/>
            <w:noWrap/>
            <w:vAlign w:val="bottom"/>
            <w:hideMark/>
          </w:tcPr>
          <w:p w:rsidR="005D0A65" w:rsidRPr="00CF08D6" w:rsidRDefault="005D0A65" w:rsidP="008A23DD">
            <w:pPr>
              <w:spacing w:after="0" w:line="240" w:lineRule="auto"/>
              <w:rPr>
                <w:rFonts w:ascii="Barlow" w:eastAsia="Times New Roman" w:hAnsi="Barlow" w:cs="Calibri"/>
                <w:b/>
                <w:color w:val="000000"/>
                <w:sz w:val="20"/>
                <w:szCs w:val="20"/>
                <w:lang w:eastAsia="es-MX"/>
              </w:rPr>
            </w:pPr>
            <w:r w:rsidRPr="00CF08D6">
              <w:rPr>
                <w:rFonts w:ascii="Barlow" w:eastAsia="Times New Roman" w:hAnsi="Barlow" w:cs="Calibri"/>
                <w:b/>
                <w:color w:val="000000"/>
                <w:sz w:val="20"/>
                <w:szCs w:val="20"/>
                <w:lang w:eastAsia="es-MX"/>
              </w:rPr>
              <w:t>Bienes Muebles</w:t>
            </w:r>
            <w:r w:rsidR="003C6CAD" w:rsidRPr="00CF08D6">
              <w:rPr>
                <w:rFonts w:ascii="Barlow" w:eastAsia="Times New Roman" w:hAnsi="Barlow" w:cs="Calibri"/>
                <w:b/>
                <w:color w:val="000000"/>
                <w:sz w:val="20"/>
                <w:szCs w:val="20"/>
                <w:lang w:eastAsia="es-MX"/>
              </w:rPr>
              <w:t xml:space="preserve"> e Inmuebles</w:t>
            </w:r>
          </w:p>
        </w:tc>
        <w:tc>
          <w:tcPr>
            <w:tcW w:w="2403" w:type="dxa"/>
            <w:tcBorders>
              <w:top w:val="nil"/>
              <w:left w:val="nil"/>
              <w:bottom w:val="nil"/>
              <w:right w:val="nil"/>
            </w:tcBorders>
            <w:shd w:val="clear" w:color="000000" w:fill="FFFFFF"/>
            <w:noWrap/>
            <w:vAlign w:val="bottom"/>
            <w:hideMark/>
          </w:tcPr>
          <w:p w:rsidR="005D0A65" w:rsidRPr="00CF08D6" w:rsidRDefault="005D0A65" w:rsidP="008A23DD">
            <w:pPr>
              <w:spacing w:after="0" w:line="240" w:lineRule="auto"/>
              <w:jc w:val="center"/>
              <w:rPr>
                <w:rFonts w:ascii="Barlow" w:eastAsia="Times New Roman" w:hAnsi="Barlow" w:cs="Calibri"/>
                <w:b/>
                <w:color w:val="000000"/>
                <w:sz w:val="20"/>
                <w:szCs w:val="20"/>
                <w:lang w:eastAsia="es-MX"/>
              </w:rPr>
            </w:pPr>
            <w:r w:rsidRPr="00CF08D6">
              <w:rPr>
                <w:rFonts w:ascii="Barlow" w:eastAsia="Times New Roman" w:hAnsi="Barlow" w:cs="Calibri"/>
                <w:b/>
                <w:color w:val="000000"/>
                <w:sz w:val="20"/>
                <w:szCs w:val="20"/>
                <w:lang w:eastAsia="es-MX"/>
              </w:rPr>
              <w:t>Tasa de Depreciación Anual</w:t>
            </w:r>
          </w:p>
        </w:tc>
        <w:tc>
          <w:tcPr>
            <w:tcW w:w="2558" w:type="dxa"/>
            <w:tcBorders>
              <w:top w:val="nil"/>
              <w:left w:val="nil"/>
              <w:bottom w:val="nil"/>
              <w:right w:val="nil"/>
            </w:tcBorders>
            <w:shd w:val="clear" w:color="000000" w:fill="FFFFFF"/>
            <w:noWrap/>
            <w:vAlign w:val="bottom"/>
            <w:hideMark/>
          </w:tcPr>
          <w:p w:rsidR="005D0A65" w:rsidRPr="00CF08D6" w:rsidRDefault="005D0A65" w:rsidP="008A23DD">
            <w:pPr>
              <w:spacing w:after="0" w:line="240" w:lineRule="auto"/>
              <w:rPr>
                <w:rFonts w:ascii="Barlow" w:eastAsia="Times New Roman" w:hAnsi="Barlow" w:cs="Calibri"/>
                <w:b/>
                <w:color w:val="000000"/>
                <w:sz w:val="20"/>
                <w:szCs w:val="20"/>
                <w:lang w:eastAsia="es-MX"/>
              </w:rPr>
            </w:pPr>
            <w:r w:rsidRPr="00CF08D6">
              <w:rPr>
                <w:rFonts w:ascii="Barlow" w:eastAsia="Times New Roman" w:hAnsi="Barlow" w:cs="Calibri"/>
                <w:b/>
                <w:color w:val="000000"/>
                <w:sz w:val="20"/>
                <w:szCs w:val="20"/>
                <w:lang w:eastAsia="es-MX"/>
              </w:rPr>
              <w:t>Saldo Acumulado</w:t>
            </w:r>
          </w:p>
        </w:tc>
      </w:tr>
      <w:tr w:rsidR="005D0A65" w:rsidRPr="00CF08D6" w:rsidTr="008A23DD">
        <w:trPr>
          <w:trHeight w:val="300"/>
          <w:jc w:val="center"/>
        </w:trPr>
        <w:tc>
          <w:tcPr>
            <w:tcW w:w="5529"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Terrenos</w:t>
            </w:r>
          </w:p>
        </w:tc>
        <w:tc>
          <w:tcPr>
            <w:tcW w:w="2403"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N/A</w:t>
            </w:r>
          </w:p>
        </w:tc>
        <w:tc>
          <w:tcPr>
            <w:tcW w:w="2558"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$27,348,765.41 </w:t>
            </w:r>
          </w:p>
        </w:tc>
      </w:tr>
      <w:tr w:rsidR="005D0A65" w:rsidRPr="00CF08D6" w:rsidTr="008A23DD">
        <w:trPr>
          <w:trHeight w:val="300"/>
          <w:jc w:val="center"/>
        </w:trPr>
        <w:tc>
          <w:tcPr>
            <w:tcW w:w="5529"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Edificios no Habitacionales</w:t>
            </w:r>
          </w:p>
        </w:tc>
        <w:tc>
          <w:tcPr>
            <w:tcW w:w="2403"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5%, 3.3%</w:t>
            </w:r>
          </w:p>
        </w:tc>
        <w:tc>
          <w:tcPr>
            <w:tcW w:w="2558" w:type="dxa"/>
            <w:tcBorders>
              <w:top w:val="nil"/>
              <w:left w:val="nil"/>
              <w:bottom w:val="nil"/>
              <w:right w:val="nil"/>
            </w:tcBorders>
            <w:shd w:val="clear" w:color="000000" w:fill="FFFFFF"/>
            <w:vAlign w:val="center"/>
            <w:hideMark/>
          </w:tcPr>
          <w:p w:rsidR="005D0A65" w:rsidRPr="00CF08D6" w:rsidRDefault="005D0A65" w:rsidP="00DC51B1">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w:t>
            </w:r>
            <w:r w:rsidR="00DC51B1" w:rsidRPr="00CF08D6">
              <w:rPr>
                <w:rFonts w:ascii="Barlow" w:eastAsia="Times New Roman" w:hAnsi="Barlow" w:cs="Calibri"/>
                <w:color w:val="000000"/>
                <w:sz w:val="20"/>
                <w:szCs w:val="20"/>
                <w:lang w:eastAsia="es-MX"/>
              </w:rPr>
              <w:t>102,444,007.32</w:t>
            </w:r>
          </w:p>
        </w:tc>
      </w:tr>
      <w:tr w:rsidR="005D0A65" w:rsidRPr="00CF08D6" w:rsidTr="008A23DD">
        <w:trPr>
          <w:trHeight w:val="300"/>
          <w:jc w:val="center"/>
        </w:trPr>
        <w:tc>
          <w:tcPr>
            <w:tcW w:w="5529"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Mobiliario y Equipo de administración</w:t>
            </w:r>
          </w:p>
        </w:tc>
        <w:tc>
          <w:tcPr>
            <w:tcW w:w="2403"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10%, 30%, 33.3%</w:t>
            </w:r>
          </w:p>
        </w:tc>
        <w:tc>
          <w:tcPr>
            <w:tcW w:w="2558" w:type="dxa"/>
            <w:tcBorders>
              <w:top w:val="nil"/>
              <w:left w:val="nil"/>
              <w:bottom w:val="nil"/>
              <w:right w:val="nil"/>
            </w:tcBorders>
            <w:shd w:val="clear" w:color="000000" w:fill="FFFFFF"/>
            <w:vAlign w:val="center"/>
            <w:hideMark/>
          </w:tcPr>
          <w:p w:rsidR="005D0A65" w:rsidRPr="00CF08D6" w:rsidRDefault="005D0A65" w:rsidP="00AE606A">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w:t>
            </w:r>
            <w:r w:rsidR="00CA702F" w:rsidRPr="00CF08D6">
              <w:rPr>
                <w:rFonts w:ascii="Barlow" w:eastAsia="Times New Roman" w:hAnsi="Barlow" w:cs="Calibri"/>
                <w:color w:val="000000"/>
                <w:sz w:val="20"/>
                <w:szCs w:val="20"/>
                <w:lang w:eastAsia="es-MX"/>
              </w:rPr>
              <w:t>18,</w:t>
            </w:r>
            <w:r w:rsidR="00952F1D" w:rsidRPr="00CF08D6">
              <w:rPr>
                <w:rFonts w:ascii="Barlow" w:eastAsia="Times New Roman" w:hAnsi="Barlow" w:cs="Calibri"/>
                <w:color w:val="000000"/>
                <w:sz w:val="20"/>
                <w:szCs w:val="20"/>
                <w:lang w:eastAsia="es-MX"/>
              </w:rPr>
              <w:t>741,123.27</w:t>
            </w:r>
          </w:p>
        </w:tc>
      </w:tr>
      <w:tr w:rsidR="005D0A65" w:rsidRPr="00CF08D6" w:rsidTr="008A23DD">
        <w:trPr>
          <w:trHeight w:val="300"/>
          <w:jc w:val="center"/>
        </w:trPr>
        <w:tc>
          <w:tcPr>
            <w:tcW w:w="5529"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Mobiliario y Equipo Educacional y Recreativo</w:t>
            </w:r>
          </w:p>
        </w:tc>
        <w:tc>
          <w:tcPr>
            <w:tcW w:w="2403"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10%, 30%</w:t>
            </w:r>
          </w:p>
        </w:tc>
        <w:tc>
          <w:tcPr>
            <w:tcW w:w="2558" w:type="dxa"/>
            <w:tcBorders>
              <w:top w:val="nil"/>
              <w:left w:val="nil"/>
              <w:bottom w:val="nil"/>
              <w:right w:val="nil"/>
            </w:tcBorders>
            <w:shd w:val="clear" w:color="000000" w:fill="FFFFFF"/>
            <w:vAlign w:val="center"/>
            <w:hideMark/>
          </w:tcPr>
          <w:p w:rsidR="005D0A65" w:rsidRPr="00CF08D6" w:rsidRDefault="005D0A65" w:rsidP="00AE606A">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w:t>
            </w:r>
            <w:r w:rsidR="008B3EFF" w:rsidRPr="00CF08D6">
              <w:rPr>
                <w:rFonts w:ascii="Barlow" w:eastAsia="Times New Roman" w:hAnsi="Barlow" w:cs="Calibri"/>
                <w:color w:val="000000"/>
                <w:sz w:val="20"/>
                <w:szCs w:val="20"/>
                <w:lang w:eastAsia="es-MX"/>
              </w:rPr>
              <w:t>2,</w:t>
            </w:r>
            <w:r w:rsidR="00AE606A" w:rsidRPr="00CF08D6">
              <w:rPr>
                <w:rFonts w:ascii="Barlow" w:eastAsia="Times New Roman" w:hAnsi="Barlow" w:cs="Calibri"/>
                <w:color w:val="000000"/>
                <w:sz w:val="20"/>
                <w:szCs w:val="20"/>
                <w:lang w:eastAsia="es-MX"/>
              </w:rPr>
              <w:t>690,820.59</w:t>
            </w:r>
          </w:p>
        </w:tc>
      </w:tr>
      <w:tr w:rsidR="005D0A65" w:rsidRPr="00CF08D6" w:rsidTr="008A23DD">
        <w:trPr>
          <w:trHeight w:val="300"/>
          <w:jc w:val="center"/>
        </w:trPr>
        <w:tc>
          <w:tcPr>
            <w:tcW w:w="5529"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Equipo e Instrumento Médico y de laboratorio</w:t>
            </w:r>
          </w:p>
        </w:tc>
        <w:tc>
          <w:tcPr>
            <w:tcW w:w="2403"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20%</w:t>
            </w:r>
          </w:p>
        </w:tc>
        <w:tc>
          <w:tcPr>
            <w:tcW w:w="2558"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$13,804.00 </w:t>
            </w:r>
          </w:p>
        </w:tc>
      </w:tr>
      <w:tr w:rsidR="005D0A65" w:rsidRPr="00CF08D6" w:rsidTr="008A23DD">
        <w:trPr>
          <w:trHeight w:val="300"/>
          <w:jc w:val="center"/>
        </w:trPr>
        <w:tc>
          <w:tcPr>
            <w:tcW w:w="5529"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Equipo de Transporte</w:t>
            </w:r>
          </w:p>
        </w:tc>
        <w:tc>
          <w:tcPr>
            <w:tcW w:w="2403"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25%, 20%</w:t>
            </w:r>
          </w:p>
        </w:tc>
        <w:tc>
          <w:tcPr>
            <w:tcW w:w="2558"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$1,063,950.00 </w:t>
            </w:r>
          </w:p>
        </w:tc>
      </w:tr>
      <w:tr w:rsidR="005D0A65" w:rsidRPr="00CF08D6" w:rsidTr="008A23DD">
        <w:trPr>
          <w:trHeight w:val="300"/>
          <w:jc w:val="center"/>
        </w:trPr>
        <w:tc>
          <w:tcPr>
            <w:tcW w:w="5529"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Maquinaria, Otros equipos y Herramientas                                                                                                                                                                                                                                                                                                                                                                                                                                                                                                                                                                                                                                                                                                                                                                                                                                                                                                                                                                                                                                                                                                                                                                                                                                                                                                                                                                                                                                                                                                                                                                                                                                                                                                                                                                                                                                                                                                                                                                                                                                                                                                                                                                                                                                                                                                                                                                                                                                                                                                                                                                                                                                                                                                                                                                                                                                                                                                                                                                                                                                                                                                                                                                                                                                                                                                                                                                                                                                                                                                                                                                                                                                                                                                                                                                                                                                                                                                                                                                                                                                                                                                                                                                                                                                                                                                                                                                                                                                                                                                                                                                                                                                                                                                                                                                                                                                                                                                                                                                                                                                                                                                                                                                                                                                                                                                                                                                                                                                                                                                                                                                                                                                                                                                                                                                                                                                                                                                                                                                                                                                                                                                                                                                                                                                                                                                                                                                                                                                                                                                                                                                                                                                                                                                                                                                                                                                                                                                                                                                                                                                                                                                                                                                                                                                                                                                                                                                                                                                                                                                                                                                                                                                                                                                                                                                                                                                                                                                                                                                                                                                                                                                                                                                                                                                                                                                                                                                                                                                                                                                                                                                                                                                                                                                                                                                                                                                                                                                                                                                                                                                                                                                                                                                                                                                                                                                                                                                                                                                                                                                                                                                                                                                                                                                                                                                                                                                                                                                                                                                                                                                                                                                                                                                                                                                                                                                                                                                                                                                                                                                                                                                                                                                                                                                                                                                                                                                                                                                                                                                                                                                                                                                                                                                                                                                                                                                                                                                                                                                                                                                                                                                                                                                                                                                                                                                                                                                                                                                                                                                                                                                                                                                                                                                                                                                                                                                                                                                                                                                                                                                                                                                                                                                                                                                                                                                                                                                                                                                                                                                                                                                                                                                                                                                                                                                                                                                                                                                                                                                                                                                                                                                                                                                                                                                                                                                                                                                                                                                                                                                                                                                                                                                                                                                                                                                                                                                           </w:t>
            </w:r>
          </w:p>
        </w:tc>
        <w:tc>
          <w:tcPr>
            <w:tcW w:w="2403"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30%</w:t>
            </w:r>
          </w:p>
        </w:tc>
        <w:tc>
          <w:tcPr>
            <w:tcW w:w="2558" w:type="dxa"/>
            <w:tcBorders>
              <w:top w:val="nil"/>
              <w:left w:val="nil"/>
              <w:bottom w:val="nil"/>
              <w:right w:val="nil"/>
            </w:tcBorders>
            <w:shd w:val="clear" w:color="000000" w:fill="FFFFFF"/>
            <w:vAlign w:val="center"/>
            <w:hideMark/>
          </w:tcPr>
          <w:p w:rsidR="005D0A65" w:rsidRPr="00CF08D6" w:rsidRDefault="005D0A65" w:rsidP="000448BF">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$3,</w:t>
            </w:r>
            <w:r w:rsidR="00A738E0" w:rsidRPr="00CF08D6">
              <w:rPr>
                <w:rFonts w:ascii="Barlow" w:eastAsia="Times New Roman" w:hAnsi="Barlow" w:cs="Calibri"/>
                <w:color w:val="000000"/>
                <w:sz w:val="20"/>
                <w:szCs w:val="20"/>
                <w:lang w:eastAsia="es-MX"/>
              </w:rPr>
              <w:t>7</w:t>
            </w:r>
            <w:r w:rsidR="000448BF" w:rsidRPr="00CF08D6">
              <w:rPr>
                <w:rFonts w:ascii="Barlow" w:eastAsia="Times New Roman" w:hAnsi="Barlow" w:cs="Calibri"/>
                <w:color w:val="000000"/>
                <w:sz w:val="20"/>
                <w:szCs w:val="20"/>
                <w:lang w:eastAsia="es-MX"/>
              </w:rPr>
              <w:t>41,035.95</w:t>
            </w:r>
          </w:p>
        </w:tc>
      </w:tr>
      <w:tr w:rsidR="005D0A65" w:rsidRPr="00CF08D6" w:rsidTr="008A23DD">
        <w:trPr>
          <w:trHeight w:val="300"/>
          <w:jc w:val="center"/>
        </w:trPr>
        <w:tc>
          <w:tcPr>
            <w:tcW w:w="5529" w:type="dxa"/>
            <w:tcBorders>
              <w:top w:val="nil"/>
              <w:left w:val="nil"/>
              <w:bottom w:val="nil"/>
              <w:right w:val="nil"/>
            </w:tcBorders>
            <w:shd w:val="clear" w:color="000000" w:fill="FFFFFF"/>
            <w:vAlign w:val="bottom"/>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Total</w:t>
            </w:r>
          </w:p>
        </w:tc>
        <w:tc>
          <w:tcPr>
            <w:tcW w:w="2403" w:type="dxa"/>
            <w:tcBorders>
              <w:top w:val="nil"/>
              <w:left w:val="nil"/>
              <w:bottom w:val="nil"/>
              <w:right w:val="nil"/>
            </w:tcBorders>
            <w:shd w:val="clear" w:color="000000" w:fill="FFFFFF"/>
            <w:noWrap/>
            <w:vAlign w:val="bottom"/>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w:t>
            </w:r>
          </w:p>
        </w:tc>
        <w:tc>
          <w:tcPr>
            <w:tcW w:w="2558" w:type="dxa"/>
            <w:tcBorders>
              <w:top w:val="nil"/>
              <w:left w:val="nil"/>
              <w:bottom w:val="nil"/>
              <w:right w:val="nil"/>
            </w:tcBorders>
            <w:shd w:val="clear" w:color="000000" w:fill="FFFFFF"/>
            <w:noWrap/>
            <w:vAlign w:val="bottom"/>
            <w:hideMark/>
          </w:tcPr>
          <w:p w:rsidR="005D0A65" w:rsidRPr="00CF08D6" w:rsidRDefault="005D0A65" w:rsidP="00AE606A">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w:t>
            </w:r>
            <w:r w:rsidR="0076256F" w:rsidRPr="00CF08D6">
              <w:rPr>
                <w:rFonts w:ascii="Barlow" w:eastAsia="Times New Roman" w:hAnsi="Barlow" w:cs="Calibri"/>
                <w:color w:val="000000"/>
                <w:sz w:val="20"/>
                <w:szCs w:val="20"/>
                <w:lang w:eastAsia="es-MX"/>
              </w:rPr>
              <w:t>156,043,506.54</w:t>
            </w:r>
          </w:p>
        </w:tc>
      </w:tr>
      <w:tr w:rsidR="005D0A65" w:rsidRPr="00CF08D6" w:rsidTr="008A23DD">
        <w:trPr>
          <w:trHeight w:val="300"/>
          <w:jc w:val="center"/>
        </w:trPr>
        <w:tc>
          <w:tcPr>
            <w:tcW w:w="5529" w:type="dxa"/>
            <w:tcBorders>
              <w:top w:val="nil"/>
              <w:left w:val="nil"/>
              <w:bottom w:val="nil"/>
              <w:right w:val="nil"/>
            </w:tcBorders>
            <w:shd w:val="clear" w:color="000000" w:fill="FFFFFF"/>
            <w:vAlign w:val="bottom"/>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Depreciación Acumulada</w:t>
            </w:r>
          </w:p>
        </w:tc>
        <w:tc>
          <w:tcPr>
            <w:tcW w:w="2403" w:type="dxa"/>
            <w:tcBorders>
              <w:top w:val="nil"/>
              <w:left w:val="nil"/>
              <w:bottom w:val="nil"/>
              <w:right w:val="nil"/>
            </w:tcBorders>
            <w:shd w:val="clear" w:color="000000" w:fill="FFFFFF"/>
            <w:noWrap/>
            <w:vAlign w:val="bottom"/>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w:t>
            </w:r>
          </w:p>
        </w:tc>
        <w:tc>
          <w:tcPr>
            <w:tcW w:w="2558" w:type="dxa"/>
            <w:tcBorders>
              <w:top w:val="nil"/>
              <w:left w:val="nil"/>
              <w:bottom w:val="nil"/>
              <w:right w:val="nil"/>
            </w:tcBorders>
            <w:shd w:val="clear" w:color="000000" w:fill="FFFFFF"/>
            <w:noWrap/>
            <w:vAlign w:val="bottom"/>
            <w:hideMark/>
          </w:tcPr>
          <w:p w:rsidR="005D0A65" w:rsidRPr="00CF08D6" w:rsidRDefault="00CE5112" w:rsidP="00B510C1">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-50</w:t>
            </w:r>
            <w:r w:rsidR="00AE606A" w:rsidRPr="00CF08D6">
              <w:rPr>
                <w:rFonts w:ascii="Barlow" w:eastAsia="Times New Roman" w:hAnsi="Barlow" w:cs="Calibri"/>
                <w:color w:val="000000"/>
                <w:sz w:val="20"/>
                <w:szCs w:val="20"/>
                <w:lang w:eastAsia="es-MX"/>
              </w:rPr>
              <w:t>,</w:t>
            </w:r>
            <w:r w:rsidR="00B510C1" w:rsidRPr="00CF08D6">
              <w:rPr>
                <w:rFonts w:ascii="Barlow" w:eastAsia="Times New Roman" w:hAnsi="Barlow" w:cs="Calibri"/>
                <w:color w:val="000000"/>
                <w:sz w:val="20"/>
                <w:szCs w:val="20"/>
                <w:lang w:eastAsia="es-MX"/>
              </w:rPr>
              <w:t>851,931.74</w:t>
            </w:r>
          </w:p>
        </w:tc>
      </w:tr>
      <w:tr w:rsidR="005D0A65" w:rsidRPr="00CF08D6" w:rsidTr="008A23DD">
        <w:trPr>
          <w:trHeight w:val="300"/>
          <w:jc w:val="center"/>
        </w:trPr>
        <w:tc>
          <w:tcPr>
            <w:tcW w:w="5529" w:type="dxa"/>
            <w:tcBorders>
              <w:top w:val="nil"/>
              <w:left w:val="nil"/>
              <w:bottom w:val="nil"/>
              <w:right w:val="nil"/>
            </w:tcBorders>
            <w:shd w:val="clear" w:color="000000" w:fill="FFFFFF"/>
            <w:vAlign w:val="bottom"/>
            <w:hideMark/>
          </w:tcPr>
          <w:p w:rsidR="005D0A65" w:rsidRPr="00CF08D6" w:rsidRDefault="005D0A65" w:rsidP="008A23DD">
            <w:pPr>
              <w:spacing w:after="0" w:line="240" w:lineRule="auto"/>
              <w:jc w:val="right"/>
              <w:rPr>
                <w:rFonts w:ascii="Barlow" w:eastAsia="Times New Roman" w:hAnsi="Barlow" w:cs="Calibri"/>
                <w:b/>
                <w:bCs/>
                <w:color w:val="000000"/>
                <w:sz w:val="20"/>
                <w:szCs w:val="20"/>
                <w:highlight w:val="cyan"/>
                <w:lang w:eastAsia="es-MX"/>
              </w:rPr>
            </w:pPr>
            <w:r w:rsidRPr="00CF08D6">
              <w:rPr>
                <w:rFonts w:ascii="Barlow" w:eastAsia="Times New Roman" w:hAnsi="Barlow" w:cs="Calibri"/>
                <w:b/>
                <w:bCs/>
                <w:color w:val="000000"/>
                <w:sz w:val="20"/>
                <w:szCs w:val="20"/>
                <w:lang w:eastAsia="es-MX"/>
              </w:rPr>
              <w:t>Total de Bienes Muebles</w:t>
            </w:r>
          </w:p>
        </w:tc>
        <w:tc>
          <w:tcPr>
            <w:tcW w:w="2403" w:type="dxa"/>
            <w:tcBorders>
              <w:top w:val="nil"/>
              <w:left w:val="nil"/>
              <w:bottom w:val="nil"/>
              <w:right w:val="nil"/>
            </w:tcBorders>
            <w:shd w:val="clear" w:color="000000" w:fill="FFFFFF"/>
            <w:noWrap/>
            <w:vAlign w:val="bottom"/>
            <w:hideMark/>
          </w:tcPr>
          <w:p w:rsidR="005D0A65" w:rsidRPr="00CF08D6" w:rsidRDefault="005D0A65" w:rsidP="008A23DD">
            <w:pPr>
              <w:spacing w:after="0" w:line="240" w:lineRule="auto"/>
              <w:rPr>
                <w:rFonts w:ascii="Barlow" w:eastAsia="Times New Roman" w:hAnsi="Barlow" w:cs="Calibri"/>
                <w:b/>
                <w:bCs/>
                <w:color w:val="000000"/>
                <w:sz w:val="20"/>
                <w:szCs w:val="20"/>
                <w:highlight w:val="cyan"/>
                <w:lang w:eastAsia="es-MX"/>
              </w:rPr>
            </w:pPr>
          </w:p>
        </w:tc>
        <w:tc>
          <w:tcPr>
            <w:tcW w:w="2558" w:type="dxa"/>
            <w:tcBorders>
              <w:top w:val="nil"/>
              <w:left w:val="nil"/>
              <w:bottom w:val="nil"/>
              <w:right w:val="nil"/>
            </w:tcBorders>
            <w:shd w:val="clear" w:color="000000" w:fill="FFFFFF"/>
            <w:noWrap/>
            <w:vAlign w:val="bottom"/>
            <w:hideMark/>
          </w:tcPr>
          <w:p w:rsidR="005D0A65" w:rsidRPr="00CF08D6" w:rsidRDefault="005D0A65" w:rsidP="00B510C1">
            <w:pPr>
              <w:spacing w:after="0" w:line="240" w:lineRule="auto"/>
              <w:jc w:val="right"/>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 </w:t>
            </w:r>
            <w:r w:rsidR="00AE463C" w:rsidRPr="00CF08D6">
              <w:rPr>
                <w:rFonts w:ascii="Barlow" w:eastAsia="Times New Roman" w:hAnsi="Barlow" w:cs="Calibri"/>
                <w:b/>
                <w:bCs/>
                <w:color w:val="000000"/>
                <w:sz w:val="20"/>
                <w:szCs w:val="20"/>
                <w:lang w:eastAsia="es-MX"/>
              </w:rPr>
              <w:t>$</w:t>
            </w:r>
            <w:r w:rsidR="00CE5112" w:rsidRPr="00CF08D6">
              <w:rPr>
                <w:rFonts w:ascii="Barlow" w:eastAsia="Times New Roman" w:hAnsi="Barlow" w:cs="Calibri"/>
                <w:b/>
                <w:bCs/>
                <w:color w:val="000000"/>
                <w:sz w:val="20"/>
                <w:szCs w:val="20"/>
                <w:lang w:eastAsia="es-MX"/>
              </w:rPr>
              <w:t>105</w:t>
            </w:r>
            <w:r w:rsidR="00AE606A" w:rsidRPr="00CF08D6">
              <w:rPr>
                <w:rFonts w:ascii="Barlow" w:eastAsia="Times New Roman" w:hAnsi="Barlow" w:cs="Calibri"/>
                <w:b/>
                <w:bCs/>
                <w:color w:val="000000"/>
                <w:sz w:val="20"/>
                <w:szCs w:val="20"/>
                <w:lang w:eastAsia="es-MX"/>
              </w:rPr>
              <w:t>,</w:t>
            </w:r>
            <w:r w:rsidR="00B510C1" w:rsidRPr="00CF08D6">
              <w:rPr>
                <w:rFonts w:ascii="Barlow" w:eastAsia="Times New Roman" w:hAnsi="Barlow" w:cs="Calibri"/>
                <w:b/>
                <w:bCs/>
                <w:color w:val="000000"/>
                <w:sz w:val="20"/>
                <w:szCs w:val="20"/>
                <w:lang w:eastAsia="es-MX"/>
              </w:rPr>
              <w:t>191,574.80</w:t>
            </w:r>
          </w:p>
        </w:tc>
      </w:tr>
    </w:tbl>
    <w:p w:rsidR="00666E6B" w:rsidRPr="00CF08D6" w:rsidRDefault="00666E6B" w:rsidP="005D0A65">
      <w:pPr>
        <w:autoSpaceDE w:val="0"/>
        <w:autoSpaceDN w:val="0"/>
        <w:adjustRightInd w:val="0"/>
        <w:spacing w:line="240" w:lineRule="auto"/>
        <w:jc w:val="both"/>
        <w:rPr>
          <w:rFonts w:ascii="Barlow" w:hAnsi="Barlow" w:cs="Arial"/>
          <w:sz w:val="20"/>
          <w:szCs w:val="20"/>
        </w:rPr>
      </w:pP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*El método de depreciación empleado es el lineal</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Los saldos registrados en el rubro de Bienes Muebles e Inmuebles, representan el monto de la inversión realizada por la Universidad de Oriente en Propiedades, Mobiliario y Equipo, para el desempeño de sus actividades administrativas.</w:t>
      </w:r>
    </w:p>
    <w:tbl>
      <w:tblPr>
        <w:tblpPr w:leftFromText="141" w:rightFromText="141" w:vertAnchor="text" w:horzAnchor="margin" w:tblpXSpec="center" w:tblpY="854"/>
        <w:tblW w:w="8292" w:type="dxa"/>
        <w:tblCellMar>
          <w:left w:w="70" w:type="dxa"/>
          <w:right w:w="70" w:type="dxa"/>
        </w:tblCellMar>
        <w:tblLook w:val="04A0" w:firstRow="1" w:lastRow="0" w:firstColumn="1" w:lastColumn="0" w:noHBand="0" w:noVBand="1"/>
      </w:tblPr>
      <w:tblGrid>
        <w:gridCol w:w="3544"/>
        <w:gridCol w:w="2466"/>
        <w:gridCol w:w="2282"/>
      </w:tblGrid>
      <w:tr w:rsidR="005D0A65" w:rsidRPr="00CF08D6" w:rsidTr="006826C1">
        <w:trPr>
          <w:trHeight w:val="300"/>
        </w:trPr>
        <w:tc>
          <w:tcPr>
            <w:tcW w:w="3544" w:type="dxa"/>
            <w:tcBorders>
              <w:top w:val="nil"/>
              <w:left w:val="nil"/>
              <w:bottom w:val="nil"/>
              <w:right w:val="nil"/>
            </w:tcBorders>
            <w:shd w:val="clear" w:color="000000" w:fill="FFFFFF"/>
            <w:noWrap/>
            <w:vAlign w:val="bottom"/>
            <w:hideMark/>
          </w:tcPr>
          <w:p w:rsidR="005D0A65" w:rsidRPr="00CF08D6" w:rsidRDefault="005D0A65" w:rsidP="002D6B92">
            <w:pPr>
              <w:spacing w:after="0" w:line="240" w:lineRule="auto"/>
              <w:rPr>
                <w:rFonts w:ascii="Barlow" w:eastAsia="Times New Roman" w:hAnsi="Barlow" w:cs="Calibri"/>
                <w:b/>
                <w:color w:val="000000"/>
                <w:sz w:val="20"/>
                <w:szCs w:val="20"/>
                <w:lang w:eastAsia="es-MX"/>
              </w:rPr>
            </w:pPr>
            <w:r w:rsidRPr="00CF08D6">
              <w:rPr>
                <w:rFonts w:ascii="Barlow" w:eastAsia="Times New Roman" w:hAnsi="Barlow" w:cs="Calibri"/>
                <w:b/>
                <w:color w:val="000000"/>
                <w:sz w:val="20"/>
                <w:szCs w:val="20"/>
                <w:lang w:eastAsia="es-MX"/>
              </w:rPr>
              <w:lastRenderedPageBreak/>
              <w:t>Activos Intangibles</w:t>
            </w:r>
          </w:p>
        </w:tc>
        <w:tc>
          <w:tcPr>
            <w:tcW w:w="2466" w:type="dxa"/>
            <w:tcBorders>
              <w:top w:val="nil"/>
              <w:left w:val="nil"/>
              <w:bottom w:val="nil"/>
              <w:right w:val="nil"/>
            </w:tcBorders>
            <w:shd w:val="clear" w:color="000000" w:fill="FFFFFF"/>
            <w:noWrap/>
            <w:vAlign w:val="bottom"/>
            <w:hideMark/>
          </w:tcPr>
          <w:p w:rsidR="005D0A65" w:rsidRPr="00CF08D6" w:rsidRDefault="005D0A65" w:rsidP="002D6B92">
            <w:pPr>
              <w:spacing w:after="0" w:line="240" w:lineRule="auto"/>
              <w:jc w:val="center"/>
              <w:rPr>
                <w:rFonts w:ascii="Barlow" w:eastAsia="Times New Roman" w:hAnsi="Barlow" w:cs="Calibri"/>
                <w:b/>
                <w:color w:val="000000"/>
                <w:sz w:val="20"/>
                <w:szCs w:val="20"/>
                <w:lang w:eastAsia="es-MX"/>
              </w:rPr>
            </w:pPr>
            <w:r w:rsidRPr="00CF08D6">
              <w:rPr>
                <w:rFonts w:ascii="Barlow" w:eastAsia="Times New Roman" w:hAnsi="Barlow" w:cs="Calibri"/>
                <w:b/>
                <w:color w:val="000000"/>
                <w:sz w:val="20"/>
                <w:szCs w:val="20"/>
                <w:lang w:eastAsia="es-MX"/>
              </w:rPr>
              <w:t>Tasa de Depreciación Anual</w:t>
            </w:r>
          </w:p>
        </w:tc>
        <w:tc>
          <w:tcPr>
            <w:tcW w:w="2282" w:type="dxa"/>
            <w:tcBorders>
              <w:top w:val="nil"/>
              <w:left w:val="nil"/>
              <w:bottom w:val="nil"/>
              <w:right w:val="nil"/>
            </w:tcBorders>
            <w:shd w:val="clear" w:color="000000" w:fill="FFFFFF"/>
            <w:noWrap/>
            <w:vAlign w:val="bottom"/>
            <w:hideMark/>
          </w:tcPr>
          <w:p w:rsidR="005D0A65" w:rsidRPr="00CF08D6" w:rsidRDefault="005D0A65" w:rsidP="002D6B92">
            <w:pPr>
              <w:spacing w:after="0" w:line="240" w:lineRule="auto"/>
              <w:rPr>
                <w:rFonts w:ascii="Barlow" w:eastAsia="Times New Roman" w:hAnsi="Barlow" w:cs="Calibri"/>
                <w:b/>
                <w:color w:val="000000"/>
                <w:sz w:val="20"/>
                <w:szCs w:val="20"/>
                <w:lang w:eastAsia="es-MX"/>
              </w:rPr>
            </w:pPr>
            <w:r w:rsidRPr="00CF08D6">
              <w:rPr>
                <w:rFonts w:ascii="Barlow" w:eastAsia="Times New Roman" w:hAnsi="Barlow" w:cs="Calibri"/>
                <w:b/>
                <w:color w:val="000000"/>
                <w:sz w:val="20"/>
                <w:szCs w:val="20"/>
                <w:lang w:eastAsia="es-MX"/>
              </w:rPr>
              <w:t>Saldo Acumulado</w:t>
            </w:r>
          </w:p>
        </w:tc>
      </w:tr>
      <w:tr w:rsidR="005D0A65" w:rsidRPr="00CF08D6" w:rsidTr="006826C1">
        <w:trPr>
          <w:trHeight w:val="300"/>
        </w:trPr>
        <w:tc>
          <w:tcPr>
            <w:tcW w:w="3544" w:type="dxa"/>
            <w:tcBorders>
              <w:top w:val="nil"/>
              <w:left w:val="nil"/>
              <w:bottom w:val="nil"/>
              <w:right w:val="nil"/>
            </w:tcBorders>
            <w:shd w:val="clear" w:color="000000" w:fill="FFFFFF"/>
            <w:vAlign w:val="center"/>
            <w:hideMark/>
          </w:tcPr>
          <w:p w:rsidR="005D0A65" w:rsidRPr="00CF08D6" w:rsidRDefault="005D0A65" w:rsidP="002D6B92">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Software</w:t>
            </w:r>
          </w:p>
        </w:tc>
        <w:tc>
          <w:tcPr>
            <w:tcW w:w="2466" w:type="dxa"/>
            <w:tcBorders>
              <w:top w:val="nil"/>
              <w:left w:val="nil"/>
              <w:bottom w:val="nil"/>
              <w:right w:val="nil"/>
            </w:tcBorders>
            <w:shd w:val="clear" w:color="000000" w:fill="FFFFFF"/>
            <w:vAlign w:val="center"/>
            <w:hideMark/>
          </w:tcPr>
          <w:p w:rsidR="005D0A65" w:rsidRPr="00CF08D6" w:rsidRDefault="005D0A65" w:rsidP="002D6B92">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 año</w:t>
            </w:r>
          </w:p>
        </w:tc>
        <w:tc>
          <w:tcPr>
            <w:tcW w:w="2282" w:type="dxa"/>
            <w:tcBorders>
              <w:top w:val="nil"/>
              <w:left w:val="nil"/>
              <w:bottom w:val="nil"/>
              <w:right w:val="nil"/>
            </w:tcBorders>
            <w:shd w:val="clear" w:color="000000" w:fill="FFFFFF"/>
            <w:vAlign w:val="center"/>
            <w:hideMark/>
          </w:tcPr>
          <w:p w:rsidR="005D0A65" w:rsidRPr="00CF08D6" w:rsidRDefault="005D0A65" w:rsidP="00962C8C">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$6</w:t>
            </w:r>
            <w:r w:rsidR="00962C8C" w:rsidRPr="00CF08D6">
              <w:rPr>
                <w:rFonts w:ascii="Barlow" w:eastAsia="Times New Roman" w:hAnsi="Barlow" w:cs="Calibri"/>
                <w:color w:val="000000"/>
                <w:sz w:val="20"/>
                <w:szCs w:val="20"/>
                <w:lang w:eastAsia="es-MX"/>
              </w:rPr>
              <w:t>38,648.40</w:t>
            </w:r>
          </w:p>
        </w:tc>
      </w:tr>
      <w:tr w:rsidR="005D0A65" w:rsidRPr="00CF08D6" w:rsidTr="006826C1">
        <w:trPr>
          <w:trHeight w:val="300"/>
        </w:trPr>
        <w:tc>
          <w:tcPr>
            <w:tcW w:w="3544" w:type="dxa"/>
            <w:tcBorders>
              <w:top w:val="nil"/>
              <w:left w:val="nil"/>
              <w:bottom w:val="nil"/>
              <w:right w:val="nil"/>
            </w:tcBorders>
            <w:shd w:val="clear" w:color="000000" w:fill="FFFFFF"/>
            <w:vAlign w:val="center"/>
            <w:hideMark/>
          </w:tcPr>
          <w:p w:rsidR="005D0A65" w:rsidRPr="00CF08D6" w:rsidRDefault="005D0A65" w:rsidP="002D6B92">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Licencias</w:t>
            </w:r>
          </w:p>
        </w:tc>
        <w:tc>
          <w:tcPr>
            <w:tcW w:w="2466" w:type="dxa"/>
            <w:tcBorders>
              <w:top w:val="nil"/>
              <w:left w:val="nil"/>
              <w:bottom w:val="nil"/>
              <w:right w:val="nil"/>
            </w:tcBorders>
            <w:shd w:val="clear" w:color="000000" w:fill="FFFFFF"/>
            <w:vAlign w:val="center"/>
            <w:hideMark/>
          </w:tcPr>
          <w:p w:rsidR="005D0A65" w:rsidRPr="00CF08D6" w:rsidRDefault="005D0A65" w:rsidP="002D6B92">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 año</w:t>
            </w:r>
          </w:p>
        </w:tc>
        <w:tc>
          <w:tcPr>
            <w:tcW w:w="2282" w:type="dxa"/>
            <w:tcBorders>
              <w:top w:val="nil"/>
              <w:left w:val="nil"/>
              <w:bottom w:val="nil"/>
              <w:right w:val="nil"/>
            </w:tcBorders>
            <w:shd w:val="clear" w:color="000000" w:fill="FFFFFF"/>
            <w:vAlign w:val="center"/>
            <w:hideMark/>
          </w:tcPr>
          <w:p w:rsidR="005D0A65" w:rsidRPr="00CF08D6" w:rsidRDefault="005D0A65" w:rsidP="002D6B92">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w:t>
            </w:r>
            <w:r w:rsidR="006826C1" w:rsidRPr="00CF08D6">
              <w:rPr>
                <w:rFonts w:ascii="Barlow" w:eastAsia="Times New Roman" w:hAnsi="Barlow" w:cs="Calibri"/>
                <w:color w:val="000000"/>
                <w:sz w:val="20"/>
                <w:szCs w:val="20"/>
                <w:lang w:eastAsia="es-MX"/>
              </w:rPr>
              <w:t>407,814.49</w:t>
            </w:r>
          </w:p>
        </w:tc>
      </w:tr>
      <w:tr w:rsidR="005D0A65" w:rsidRPr="00CF08D6" w:rsidTr="006826C1">
        <w:trPr>
          <w:trHeight w:val="300"/>
        </w:trPr>
        <w:tc>
          <w:tcPr>
            <w:tcW w:w="3544" w:type="dxa"/>
            <w:tcBorders>
              <w:top w:val="nil"/>
              <w:left w:val="nil"/>
              <w:bottom w:val="nil"/>
              <w:right w:val="nil"/>
            </w:tcBorders>
            <w:shd w:val="clear" w:color="000000" w:fill="FFFFFF"/>
            <w:noWrap/>
            <w:vAlign w:val="bottom"/>
            <w:hideMark/>
          </w:tcPr>
          <w:p w:rsidR="005D0A65" w:rsidRPr="00CF08D6" w:rsidRDefault="005D0A65" w:rsidP="002D6B92">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Total</w:t>
            </w:r>
          </w:p>
        </w:tc>
        <w:tc>
          <w:tcPr>
            <w:tcW w:w="2466" w:type="dxa"/>
            <w:tcBorders>
              <w:top w:val="nil"/>
              <w:left w:val="nil"/>
              <w:bottom w:val="nil"/>
              <w:right w:val="nil"/>
            </w:tcBorders>
            <w:shd w:val="clear" w:color="000000" w:fill="FFFFFF"/>
            <w:noWrap/>
            <w:vAlign w:val="bottom"/>
            <w:hideMark/>
          </w:tcPr>
          <w:p w:rsidR="005D0A65" w:rsidRPr="00CF08D6" w:rsidRDefault="005D0A65" w:rsidP="002D6B92">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w:t>
            </w:r>
          </w:p>
        </w:tc>
        <w:tc>
          <w:tcPr>
            <w:tcW w:w="2282" w:type="dxa"/>
            <w:tcBorders>
              <w:top w:val="nil"/>
              <w:left w:val="nil"/>
              <w:bottom w:val="nil"/>
              <w:right w:val="nil"/>
            </w:tcBorders>
            <w:shd w:val="clear" w:color="000000" w:fill="FFFFFF"/>
            <w:noWrap/>
            <w:vAlign w:val="bottom"/>
            <w:hideMark/>
          </w:tcPr>
          <w:p w:rsidR="005D0A65" w:rsidRPr="00CF08D6" w:rsidRDefault="005D0A65" w:rsidP="006826C1">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w:t>
            </w:r>
            <w:r w:rsidR="006826C1" w:rsidRPr="00CF08D6">
              <w:rPr>
                <w:rFonts w:ascii="Barlow" w:eastAsia="Times New Roman" w:hAnsi="Barlow" w:cs="Calibri"/>
                <w:color w:val="000000"/>
                <w:sz w:val="20"/>
                <w:szCs w:val="20"/>
                <w:lang w:eastAsia="es-MX"/>
              </w:rPr>
              <w:t>1,046,462.89</w:t>
            </w:r>
          </w:p>
        </w:tc>
      </w:tr>
      <w:tr w:rsidR="005D0A65" w:rsidRPr="00CF08D6" w:rsidTr="006826C1">
        <w:trPr>
          <w:trHeight w:val="300"/>
        </w:trPr>
        <w:tc>
          <w:tcPr>
            <w:tcW w:w="3544" w:type="dxa"/>
            <w:tcBorders>
              <w:top w:val="nil"/>
              <w:left w:val="nil"/>
              <w:bottom w:val="nil"/>
              <w:right w:val="nil"/>
            </w:tcBorders>
            <w:shd w:val="clear" w:color="000000" w:fill="FFFFFF"/>
            <w:noWrap/>
            <w:vAlign w:val="bottom"/>
            <w:hideMark/>
          </w:tcPr>
          <w:p w:rsidR="005D0A65" w:rsidRPr="00CF08D6" w:rsidRDefault="005D0A65" w:rsidP="002D6B92">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Amortización</w:t>
            </w:r>
          </w:p>
        </w:tc>
        <w:tc>
          <w:tcPr>
            <w:tcW w:w="2466" w:type="dxa"/>
            <w:tcBorders>
              <w:top w:val="nil"/>
              <w:left w:val="nil"/>
              <w:bottom w:val="nil"/>
              <w:right w:val="nil"/>
            </w:tcBorders>
            <w:shd w:val="clear" w:color="000000" w:fill="FFFFFF"/>
            <w:noWrap/>
            <w:vAlign w:val="bottom"/>
            <w:hideMark/>
          </w:tcPr>
          <w:p w:rsidR="005D0A65" w:rsidRPr="00CF08D6" w:rsidRDefault="005D0A65" w:rsidP="002D6B92">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w:t>
            </w:r>
          </w:p>
        </w:tc>
        <w:tc>
          <w:tcPr>
            <w:tcW w:w="2282" w:type="dxa"/>
            <w:tcBorders>
              <w:top w:val="nil"/>
              <w:left w:val="nil"/>
              <w:bottom w:val="nil"/>
              <w:right w:val="nil"/>
            </w:tcBorders>
            <w:shd w:val="clear" w:color="000000" w:fill="FFFFFF"/>
            <w:noWrap/>
            <w:vAlign w:val="bottom"/>
            <w:hideMark/>
          </w:tcPr>
          <w:p w:rsidR="005D0A65" w:rsidRPr="00CF08D6" w:rsidRDefault="005D0A65" w:rsidP="00B510C1">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w:t>
            </w:r>
            <w:r w:rsidR="00370683" w:rsidRPr="00CF08D6">
              <w:rPr>
                <w:rFonts w:ascii="Barlow" w:eastAsia="Times New Roman" w:hAnsi="Barlow" w:cs="Calibri"/>
                <w:color w:val="000000"/>
                <w:sz w:val="20"/>
                <w:szCs w:val="20"/>
                <w:lang w:eastAsia="es-MX"/>
              </w:rPr>
              <w:t>-</w:t>
            </w:r>
            <w:r w:rsidR="00750984" w:rsidRPr="00CF08D6">
              <w:rPr>
                <w:rFonts w:ascii="Barlow" w:eastAsia="Times New Roman" w:hAnsi="Barlow" w:cs="Calibri"/>
                <w:color w:val="000000"/>
                <w:sz w:val="20"/>
                <w:szCs w:val="20"/>
                <w:lang w:eastAsia="es-MX"/>
              </w:rPr>
              <w:t>1,</w:t>
            </w:r>
            <w:r w:rsidR="00B510C1" w:rsidRPr="00CF08D6">
              <w:rPr>
                <w:rFonts w:ascii="Barlow" w:eastAsia="Times New Roman" w:hAnsi="Barlow" w:cs="Calibri"/>
                <w:color w:val="000000"/>
                <w:sz w:val="20"/>
                <w:szCs w:val="20"/>
                <w:lang w:eastAsia="es-MX"/>
              </w:rPr>
              <w:t>006,094.87</w:t>
            </w:r>
          </w:p>
        </w:tc>
      </w:tr>
      <w:tr w:rsidR="005D0A65" w:rsidRPr="00CF08D6" w:rsidTr="006826C1">
        <w:trPr>
          <w:trHeight w:val="300"/>
        </w:trPr>
        <w:tc>
          <w:tcPr>
            <w:tcW w:w="3544" w:type="dxa"/>
            <w:tcBorders>
              <w:top w:val="nil"/>
              <w:left w:val="nil"/>
              <w:bottom w:val="nil"/>
              <w:right w:val="nil"/>
            </w:tcBorders>
            <w:shd w:val="clear" w:color="000000" w:fill="FFFFFF"/>
            <w:noWrap/>
            <w:vAlign w:val="bottom"/>
            <w:hideMark/>
          </w:tcPr>
          <w:p w:rsidR="005D0A65" w:rsidRPr="00CF08D6" w:rsidRDefault="005D0A65" w:rsidP="002D6B92">
            <w:pPr>
              <w:spacing w:after="0" w:line="240" w:lineRule="auto"/>
              <w:jc w:val="right"/>
              <w:rPr>
                <w:rFonts w:ascii="Barlow" w:eastAsia="Times New Roman" w:hAnsi="Barlow" w:cs="Calibri"/>
                <w:b/>
                <w:bCs/>
                <w:color w:val="000000"/>
                <w:sz w:val="20"/>
                <w:szCs w:val="20"/>
                <w:highlight w:val="cyan"/>
                <w:lang w:eastAsia="es-MX"/>
              </w:rPr>
            </w:pPr>
            <w:r w:rsidRPr="00CF08D6">
              <w:rPr>
                <w:rFonts w:ascii="Barlow" w:eastAsia="Times New Roman" w:hAnsi="Barlow" w:cs="Calibri"/>
                <w:b/>
                <w:bCs/>
                <w:color w:val="000000"/>
                <w:sz w:val="20"/>
                <w:szCs w:val="20"/>
                <w:lang w:eastAsia="es-MX"/>
              </w:rPr>
              <w:t>Total de Activos Intangibles</w:t>
            </w:r>
          </w:p>
        </w:tc>
        <w:tc>
          <w:tcPr>
            <w:tcW w:w="2466" w:type="dxa"/>
            <w:tcBorders>
              <w:top w:val="nil"/>
              <w:left w:val="nil"/>
              <w:bottom w:val="nil"/>
              <w:right w:val="nil"/>
            </w:tcBorders>
            <w:shd w:val="clear" w:color="000000" w:fill="FFFFFF"/>
            <w:noWrap/>
            <w:vAlign w:val="bottom"/>
            <w:hideMark/>
          </w:tcPr>
          <w:p w:rsidR="005D0A65" w:rsidRPr="00CF08D6" w:rsidRDefault="005D0A65" w:rsidP="002D6B92">
            <w:pPr>
              <w:spacing w:after="0" w:line="240" w:lineRule="auto"/>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 </w:t>
            </w:r>
          </w:p>
        </w:tc>
        <w:tc>
          <w:tcPr>
            <w:tcW w:w="2282" w:type="dxa"/>
            <w:tcBorders>
              <w:top w:val="nil"/>
              <w:left w:val="nil"/>
              <w:bottom w:val="nil"/>
              <w:right w:val="nil"/>
            </w:tcBorders>
            <w:shd w:val="clear" w:color="000000" w:fill="FFFFFF"/>
            <w:noWrap/>
            <w:vAlign w:val="bottom"/>
            <w:hideMark/>
          </w:tcPr>
          <w:p w:rsidR="005D0A65" w:rsidRPr="00CF08D6" w:rsidRDefault="005D0A65" w:rsidP="00B510C1">
            <w:pPr>
              <w:spacing w:after="0" w:line="240" w:lineRule="auto"/>
              <w:jc w:val="right"/>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 </w:t>
            </w:r>
            <w:r w:rsidR="006B61FA" w:rsidRPr="00CF08D6">
              <w:rPr>
                <w:rFonts w:ascii="Barlow" w:eastAsia="Times New Roman" w:hAnsi="Barlow" w:cs="Calibri"/>
                <w:b/>
                <w:bCs/>
                <w:color w:val="000000"/>
                <w:sz w:val="20"/>
                <w:szCs w:val="20"/>
                <w:lang w:eastAsia="es-MX"/>
              </w:rPr>
              <w:t>$</w:t>
            </w:r>
            <w:r w:rsidR="00B510C1" w:rsidRPr="00CF08D6">
              <w:rPr>
                <w:rFonts w:ascii="Barlow" w:eastAsia="Times New Roman" w:hAnsi="Barlow" w:cs="Calibri"/>
                <w:b/>
                <w:bCs/>
                <w:color w:val="000000"/>
                <w:sz w:val="20"/>
                <w:szCs w:val="20"/>
                <w:lang w:eastAsia="es-MX"/>
              </w:rPr>
              <w:t>40,368.02</w:t>
            </w:r>
          </w:p>
        </w:tc>
      </w:tr>
    </w:tbl>
    <w:p w:rsidR="00073203"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9. El saldo del rubro de Activos Intangibles y Diferidos:</w:t>
      </w:r>
    </w:p>
    <w:p w:rsidR="00B44FB1" w:rsidRPr="00CF08D6" w:rsidRDefault="00B44FB1" w:rsidP="005D0A65">
      <w:pPr>
        <w:autoSpaceDE w:val="0"/>
        <w:autoSpaceDN w:val="0"/>
        <w:adjustRightInd w:val="0"/>
        <w:spacing w:line="240" w:lineRule="auto"/>
        <w:jc w:val="both"/>
        <w:rPr>
          <w:rFonts w:ascii="Barlow" w:hAnsi="Barlow" w:cs="Arial"/>
          <w:sz w:val="20"/>
          <w:szCs w:val="20"/>
        </w:rPr>
      </w:pPr>
    </w:p>
    <w:p w:rsidR="005D0A65" w:rsidRPr="00CF08D6" w:rsidRDefault="005D0A65" w:rsidP="005D0A65">
      <w:pPr>
        <w:autoSpaceDE w:val="0"/>
        <w:autoSpaceDN w:val="0"/>
        <w:adjustRightInd w:val="0"/>
        <w:spacing w:line="240" w:lineRule="auto"/>
        <w:jc w:val="both"/>
        <w:rPr>
          <w:rFonts w:ascii="Barlow" w:hAnsi="Barlow" w:cs="Arial"/>
          <w:sz w:val="20"/>
          <w:szCs w:val="20"/>
        </w:rPr>
      </w:pPr>
    </w:p>
    <w:p w:rsidR="005D0A65" w:rsidRPr="00CF08D6" w:rsidRDefault="005D0A65" w:rsidP="005D0A65">
      <w:pPr>
        <w:autoSpaceDE w:val="0"/>
        <w:autoSpaceDN w:val="0"/>
        <w:adjustRightInd w:val="0"/>
        <w:spacing w:line="240" w:lineRule="auto"/>
        <w:jc w:val="both"/>
        <w:rPr>
          <w:rFonts w:ascii="Barlow" w:hAnsi="Barlow" w:cs="Arial"/>
          <w:sz w:val="20"/>
          <w:szCs w:val="20"/>
        </w:rPr>
      </w:pPr>
    </w:p>
    <w:p w:rsidR="005D0A65" w:rsidRPr="00CF08D6" w:rsidRDefault="005D0A65" w:rsidP="005D0A65">
      <w:pPr>
        <w:autoSpaceDE w:val="0"/>
        <w:autoSpaceDN w:val="0"/>
        <w:adjustRightInd w:val="0"/>
        <w:spacing w:line="240" w:lineRule="auto"/>
        <w:jc w:val="both"/>
        <w:rPr>
          <w:rFonts w:ascii="Barlow" w:hAnsi="Barlow" w:cs="Arial"/>
          <w:sz w:val="20"/>
          <w:szCs w:val="20"/>
        </w:rPr>
      </w:pPr>
    </w:p>
    <w:p w:rsidR="005D0A65" w:rsidRPr="00CF08D6" w:rsidRDefault="005D0A65" w:rsidP="005D0A65">
      <w:pPr>
        <w:autoSpaceDE w:val="0"/>
        <w:autoSpaceDN w:val="0"/>
        <w:adjustRightInd w:val="0"/>
        <w:spacing w:line="240" w:lineRule="auto"/>
        <w:jc w:val="both"/>
        <w:rPr>
          <w:rFonts w:ascii="Barlow" w:hAnsi="Barlow" w:cs="Arial"/>
          <w:sz w:val="20"/>
          <w:szCs w:val="20"/>
        </w:rPr>
      </w:pPr>
    </w:p>
    <w:p w:rsidR="005D0A65" w:rsidRPr="00CF08D6" w:rsidRDefault="005D0A65" w:rsidP="005D0A65">
      <w:pPr>
        <w:autoSpaceDE w:val="0"/>
        <w:autoSpaceDN w:val="0"/>
        <w:adjustRightInd w:val="0"/>
        <w:spacing w:line="240" w:lineRule="auto"/>
        <w:jc w:val="both"/>
        <w:rPr>
          <w:rFonts w:ascii="Barlow" w:hAnsi="Barlow" w:cs="Arial"/>
          <w:sz w:val="20"/>
          <w:szCs w:val="20"/>
        </w:rPr>
      </w:pPr>
    </w:p>
    <w:p w:rsidR="00073203"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*El método de depreciación empleado es el lineal</w:t>
      </w:r>
    </w:p>
    <w:p w:rsidR="0038598C"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Estimaciones y Deterioros</w:t>
      </w:r>
    </w:p>
    <w:p w:rsidR="00FC39E1"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10. La Universidad de Oriente no</w:t>
      </w:r>
      <w:r w:rsidR="00A24CA6" w:rsidRPr="00CF08D6">
        <w:rPr>
          <w:rFonts w:ascii="Barlow" w:hAnsi="Barlow" w:cs="Arial"/>
          <w:sz w:val="20"/>
          <w:szCs w:val="20"/>
        </w:rPr>
        <w:t xml:space="preserve"> cuenta con Estimaciones de cuen</w:t>
      </w:r>
      <w:r w:rsidRPr="00CF08D6">
        <w:rPr>
          <w:rFonts w:ascii="Barlow" w:hAnsi="Barlow" w:cs="Arial"/>
          <w:sz w:val="20"/>
          <w:szCs w:val="20"/>
        </w:rPr>
        <w:t>tas Incobrables, ni Deterioros.</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Otros Activos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11. La Universidad de Oriente no cuenta con la cuenta de Otros Activos.</w:t>
      </w:r>
    </w:p>
    <w:p w:rsidR="0038598C"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Pasivo</w:t>
      </w:r>
    </w:p>
    <w:p w:rsidR="00073203" w:rsidRPr="00CF08D6" w:rsidRDefault="00073203" w:rsidP="0038598C">
      <w:pPr>
        <w:pStyle w:val="Prrafodelista"/>
        <w:numPr>
          <w:ilvl w:val="0"/>
          <w:numId w:val="36"/>
        </w:num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Rubro de las Cuentas y Documentos por Pagar:</w:t>
      </w:r>
    </w:p>
    <w:p w:rsidR="0038598C" w:rsidRDefault="0038598C" w:rsidP="00CF08D6">
      <w:pPr>
        <w:pStyle w:val="Prrafodelista"/>
        <w:autoSpaceDE w:val="0"/>
        <w:autoSpaceDN w:val="0"/>
        <w:adjustRightInd w:val="0"/>
        <w:spacing w:line="240" w:lineRule="auto"/>
        <w:jc w:val="both"/>
        <w:rPr>
          <w:rFonts w:ascii="Barlow" w:hAnsi="Barlow" w:cs="Arial"/>
          <w:sz w:val="20"/>
          <w:szCs w:val="20"/>
        </w:rPr>
      </w:pPr>
    </w:p>
    <w:p w:rsidR="00CF08D6" w:rsidRDefault="00CF08D6" w:rsidP="00CF08D6">
      <w:pPr>
        <w:pStyle w:val="Prrafodelista"/>
        <w:autoSpaceDE w:val="0"/>
        <w:autoSpaceDN w:val="0"/>
        <w:adjustRightInd w:val="0"/>
        <w:spacing w:line="240" w:lineRule="auto"/>
        <w:jc w:val="both"/>
        <w:rPr>
          <w:rFonts w:ascii="Barlow" w:hAnsi="Barlow" w:cs="Arial"/>
          <w:sz w:val="20"/>
          <w:szCs w:val="20"/>
        </w:rPr>
      </w:pPr>
    </w:p>
    <w:p w:rsidR="00CF08D6" w:rsidRDefault="00CF08D6" w:rsidP="00CF08D6">
      <w:pPr>
        <w:pStyle w:val="Prrafodelista"/>
        <w:autoSpaceDE w:val="0"/>
        <w:autoSpaceDN w:val="0"/>
        <w:adjustRightInd w:val="0"/>
        <w:spacing w:line="240" w:lineRule="auto"/>
        <w:jc w:val="both"/>
        <w:rPr>
          <w:rFonts w:ascii="Barlow" w:hAnsi="Barlow" w:cs="Arial"/>
          <w:sz w:val="20"/>
          <w:szCs w:val="20"/>
        </w:rPr>
      </w:pPr>
    </w:p>
    <w:p w:rsidR="00CF08D6" w:rsidRDefault="00CF08D6" w:rsidP="00CF08D6">
      <w:pPr>
        <w:pStyle w:val="Prrafodelista"/>
        <w:autoSpaceDE w:val="0"/>
        <w:autoSpaceDN w:val="0"/>
        <w:adjustRightInd w:val="0"/>
        <w:spacing w:line="240" w:lineRule="auto"/>
        <w:jc w:val="both"/>
        <w:rPr>
          <w:rFonts w:ascii="Barlow" w:hAnsi="Barlow" w:cs="Arial"/>
          <w:sz w:val="20"/>
          <w:szCs w:val="20"/>
        </w:rPr>
      </w:pPr>
    </w:p>
    <w:p w:rsidR="00CF08D6" w:rsidRDefault="00CF08D6" w:rsidP="00CF08D6">
      <w:pPr>
        <w:pStyle w:val="Prrafodelista"/>
        <w:autoSpaceDE w:val="0"/>
        <w:autoSpaceDN w:val="0"/>
        <w:adjustRightInd w:val="0"/>
        <w:spacing w:line="240" w:lineRule="auto"/>
        <w:jc w:val="both"/>
        <w:rPr>
          <w:rFonts w:ascii="Barlow" w:hAnsi="Barlow" w:cs="Arial"/>
          <w:sz w:val="20"/>
          <w:szCs w:val="20"/>
        </w:rPr>
      </w:pPr>
    </w:p>
    <w:p w:rsidR="00CF08D6" w:rsidRPr="00CF08D6" w:rsidRDefault="00CF08D6" w:rsidP="00CF08D6">
      <w:pPr>
        <w:pStyle w:val="Prrafodelista"/>
        <w:autoSpaceDE w:val="0"/>
        <w:autoSpaceDN w:val="0"/>
        <w:adjustRightInd w:val="0"/>
        <w:spacing w:line="240" w:lineRule="auto"/>
        <w:jc w:val="both"/>
        <w:rPr>
          <w:rFonts w:ascii="Barlow" w:hAnsi="Barlow" w:cs="Arial"/>
          <w:sz w:val="20"/>
          <w:szCs w:val="20"/>
        </w:rPr>
      </w:pPr>
    </w:p>
    <w:tbl>
      <w:tblPr>
        <w:tblW w:w="10726" w:type="dxa"/>
        <w:jc w:val="center"/>
        <w:tblCellMar>
          <w:left w:w="70" w:type="dxa"/>
          <w:right w:w="70" w:type="dxa"/>
        </w:tblCellMar>
        <w:tblLook w:val="04A0" w:firstRow="1" w:lastRow="0" w:firstColumn="1" w:lastColumn="0" w:noHBand="0" w:noVBand="1"/>
      </w:tblPr>
      <w:tblGrid>
        <w:gridCol w:w="5387"/>
        <w:gridCol w:w="1978"/>
        <w:gridCol w:w="1636"/>
        <w:gridCol w:w="1725"/>
      </w:tblGrid>
      <w:tr w:rsidR="00073203" w:rsidRPr="00CF08D6" w:rsidTr="006E0F7E">
        <w:trPr>
          <w:trHeight w:val="300"/>
          <w:jc w:val="center"/>
        </w:trPr>
        <w:tc>
          <w:tcPr>
            <w:tcW w:w="10726" w:type="dxa"/>
            <w:gridSpan w:val="4"/>
            <w:shd w:val="clear" w:color="000000" w:fill="FFFFFF"/>
            <w:noWrap/>
            <w:vAlign w:val="bottom"/>
            <w:hideMark/>
          </w:tcPr>
          <w:p w:rsidR="00073203" w:rsidRPr="00CF08D6" w:rsidRDefault="00073203" w:rsidP="008C70A6">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lastRenderedPageBreak/>
              <w:t>Corto Plazo</w:t>
            </w:r>
          </w:p>
        </w:tc>
      </w:tr>
      <w:tr w:rsidR="00073203" w:rsidRPr="00CF08D6" w:rsidTr="006E0F7E">
        <w:trPr>
          <w:trHeight w:val="600"/>
          <w:jc w:val="center"/>
        </w:trPr>
        <w:tc>
          <w:tcPr>
            <w:tcW w:w="5387" w:type="dxa"/>
            <w:shd w:val="clear" w:color="000000" w:fill="FFFFFF"/>
            <w:noWrap/>
            <w:hideMark/>
          </w:tcPr>
          <w:p w:rsidR="00073203" w:rsidRPr="00CF08D6" w:rsidRDefault="00073203" w:rsidP="008C70A6">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Concepto</w:t>
            </w:r>
          </w:p>
        </w:tc>
        <w:tc>
          <w:tcPr>
            <w:tcW w:w="1978" w:type="dxa"/>
            <w:shd w:val="clear" w:color="000000" w:fill="FFFFFF"/>
            <w:noWrap/>
            <w:hideMark/>
          </w:tcPr>
          <w:p w:rsidR="00073203" w:rsidRPr="00CF08D6" w:rsidRDefault="00073203" w:rsidP="008C70A6">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Importe</w:t>
            </w:r>
          </w:p>
        </w:tc>
        <w:tc>
          <w:tcPr>
            <w:tcW w:w="1636" w:type="dxa"/>
            <w:shd w:val="clear" w:color="000000" w:fill="FFFFFF"/>
            <w:noWrap/>
            <w:hideMark/>
          </w:tcPr>
          <w:p w:rsidR="00073203" w:rsidRPr="00CF08D6" w:rsidRDefault="00073203" w:rsidP="008C70A6">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Vencimiento</w:t>
            </w:r>
          </w:p>
        </w:tc>
        <w:tc>
          <w:tcPr>
            <w:tcW w:w="1725" w:type="dxa"/>
            <w:shd w:val="clear" w:color="000000" w:fill="FFFFFF"/>
            <w:hideMark/>
          </w:tcPr>
          <w:p w:rsidR="00073203" w:rsidRPr="00CF08D6" w:rsidRDefault="00073203" w:rsidP="008C70A6">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Factibilidad de pago</w:t>
            </w:r>
          </w:p>
        </w:tc>
      </w:tr>
      <w:tr w:rsidR="00073203" w:rsidRPr="00CF08D6" w:rsidTr="006E0F7E">
        <w:trPr>
          <w:trHeight w:val="300"/>
          <w:jc w:val="center"/>
        </w:trPr>
        <w:tc>
          <w:tcPr>
            <w:tcW w:w="5387" w:type="dxa"/>
            <w:shd w:val="clear" w:color="000000" w:fill="FFFFFF"/>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Servicio de Administración tributaria (1) </w:t>
            </w:r>
          </w:p>
        </w:tc>
        <w:tc>
          <w:tcPr>
            <w:tcW w:w="1978" w:type="dxa"/>
            <w:shd w:val="clear" w:color="000000" w:fill="FFFFFF"/>
            <w:vAlign w:val="center"/>
            <w:hideMark/>
          </w:tcPr>
          <w:p w:rsidR="00073203" w:rsidRPr="00CF08D6" w:rsidRDefault="00073203" w:rsidP="004B0E0E">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w:t>
            </w:r>
            <w:r w:rsidR="004B0E0E" w:rsidRPr="00CF08D6">
              <w:rPr>
                <w:rFonts w:ascii="Barlow" w:eastAsia="Times New Roman" w:hAnsi="Barlow" w:cs="Calibri"/>
                <w:color w:val="000000"/>
                <w:sz w:val="20"/>
                <w:szCs w:val="20"/>
                <w:lang w:eastAsia="es-MX"/>
              </w:rPr>
              <w:t>153,725.58</w:t>
            </w:r>
          </w:p>
        </w:tc>
        <w:tc>
          <w:tcPr>
            <w:tcW w:w="1636" w:type="dxa"/>
            <w:vMerge w:val="restart"/>
            <w:shd w:val="clear" w:color="000000" w:fill="FFFFFF"/>
            <w:vAlign w:val="center"/>
            <w:hideMark/>
          </w:tcPr>
          <w:p w:rsidR="00073203" w:rsidRPr="00CF08D6" w:rsidRDefault="00073203" w:rsidP="008C70A6">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MENOR A 90 DÍAS</w:t>
            </w:r>
          </w:p>
        </w:tc>
        <w:tc>
          <w:tcPr>
            <w:tcW w:w="1725" w:type="dxa"/>
            <w:vMerge w:val="restart"/>
            <w:shd w:val="clear" w:color="000000" w:fill="FFFFFF"/>
            <w:vAlign w:val="center"/>
            <w:hideMark/>
          </w:tcPr>
          <w:p w:rsidR="00073203" w:rsidRPr="00CF08D6" w:rsidRDefault="00073203" w:rsidP="008C70A6">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Si es factible el pago</w:t>
            </w:r>
          </w:p>
        </w:tc>
      </w:tr>
      <w:tr w:rsidR="00073203" w:rsidRPr="00CF08D6" w:rsidTr="006E0F7E">
        <w:trPr>
          <w:trHeight w:val="300"/>
          <w:jc w:val="center"/>
        </w:trPr>
        <w:tc>
          <w:tcPr>
            <w:tcW w:w="5387" w:type="dxa"/>
            <w:shd w:val="clear" w:color="000000" w:fill="FFFFFF"/>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Servicio de Administración tributaria (2)</w:t>
            </w:r>
          </w:p>
        </w:tc>
        <w:tc>
          <w:tcPr>
            <w:tcW w:w="1978" w:type="dxa"/>
            <w:shd w:val="clear" w:color="000000" w:fill="FFFFFF"/>
            <w:vAlign w:val="center"/>
            <w:hideMark/>
          </w:tcPr>
          <w:p w:rsidR="00073203" w:rsidRPr="00CF08D6" w:rsidRDefault="00073203" w:rsidP="004B0E0E">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w:t>
            </w:r>
            <w:r w:rsidR="004B0E0E" w:rsidRPr="00CF08D6">
              <w:rPr>
                <w:rFonts w:ascii="Barlow" w:eastAsia="Times New Roman" w:hAnsi="Barlow" w:cs="Calibri"/>
                <w:color w:val="000000"/>
                <w:sz w:val="20"/>
                <w:szCs w:val="20"/>
                <w:lang w:eastAsia="es-MX"/>
              </w:rPr>
              <w:t>5,935.31</w:t>
            </w:r>
          </w:p>
        </w:tc>
        <w:tc>
          <w:tcPr>
            <w:tcW w:w="1636" w:type="dxa"/>
            <w:vMerge/>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p>
        </w:tc>
      </w:tr>
      <w:tr w:rsidR="00073203" w:rsidRPr="00CF08D6" w:rsidTr="006E0F7E">
        <w:trPr>
          <w:trHeight w:val="300"/>
          <w:jc w:val="center"/>
        </w:trPr>
        <w:tc>
          <w:tcPr>
            <w:tcW w:w="5387" w:type="dxa"/>
            <w:shd w:val="clear" w:color="000000" w:fill="FFFFFF"/>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Servicio de Administración tributaria (3)</w:t>
            </w:r>
          </w:p>
        </w:tc>
        <w:tc>
          <w:tcPr>
            <w:tcW w:w="1978" w:type="dxa"/>
            <w:shd w:val="clear" w:color="000000" w:fill="FFFFFF"/>
            <w:vAlign w:val="center"/>
            <w:hideMark/>
          </w:tcPr>
          <w:p w:rsidR="00073203" w:rsidRPr="00CF08D6" w:rsidRDefault="00073203" w:rsidP="004B0E0E">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w:t>
            </w:r>
            <w:r w:rsidR="004B0E0E" w:rsidRPr="00CF08D6">
              <w:rPr>
                <w:rFonts w:ascii="Barlow" w:eastAsia="Times New Roman" w:hAnsi="Barlow" w:cs="Calibri"/>
                <w:color w:val="000000"/>
                <w:sz w:val="20"/>
                <w:szCs w:val="20"/>
                <w:lang w:eastAsia="es-MX"/>
              </w:rPr>
              <w:t>6,560.74</w:t>
            </w:r>
          </w:p>
        </w:tc>
        <w:tc>
          <w:tcPr>
            <w:tcW w:w="1636" w:type="dxa"/>
            <w:vMerge/>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p>
        </w:tc>
      </w:tr>
      <w:tr w:rsidR="00073203" w:rsidRPr="00CF08D6" w:rsidTr="006E0F7E">
        <w:trPr>
          <w:trHeight w:val="300"/>
          <w:jc w:val="center"/>
        </w:trPr>
        <w:tc>
          <w:tcPr>
            <w:tcW w:w="5387" w:type="dxa"/>
            <w:shd w:val="clear" w:color="000000" w:fill="FFFFFF"/>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Secretaria de Administración y Finanzas (4) </w:t>
            </w:r>
          </w:p>
        </w:tc>
        <w:tc>
          <w:tcPr>
            <w:tcW w:w="1978" w:type="dxa"/>
            <w:shd w:val="clear" w:color="000000" w:fill="FFFFFF"/>
            <w:vAlign w:val="center"/>
            <w:hideMark/>
          </w:tcPr>
          <w:p w:rsidR="00073203" w:rsidRPr="00CF08D6" w:rsidRDefault="00073203" w:rsidP="004B0E0E">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w:t>
            </w:r>
            <w:r w:rsidR="004B0E0E" w:rsidRPr="00CF08D6">
              <w:rPr>
                <w:rFonts w:ascii="Barlow" w:eastAsia="Times New Roman" w:hAnsi="Barlow" w:cs="Calibri"/>
                <w:color w:val="000000"/>
                <w:sz w:val="20"/>
                <w:szCs w:val="20"/>
                <w:lang w:eastAsia="es-MX"/>
              </w:rPr>
              <w:t>59,623.00</w:t>
            </w:r>
          </w:p>
        </w:tc>
        <w:tc>
          <w:tcPr>
            <w:tcW w:w="1636" w:type="dxa"/>
            <w:vMerge/>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p>
        </w:tc>
      </w:tr>
      <w:tr w:rsidR="00073203" w:rsidRPr="00CF08D6" w:rsidTr="006E0F7E">
        <w:trPr>
          <w:trHeight w:val="300"/>
          <w:jc w:val="center"/>
        </w:trPr>
        <w:tc>
          <w:tcPr>
            <w:tcW w:w="5387" w:type="dxa"/>
            <w:shd w:val="clear" w:color="000000" w:fill="FFFFFF"/>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Seguridad Social (5)</w:t>
            </w:r>
          </w:p>
        </w:tc>
        <w:tc>
          <w:tcPr>
            <w:tcW w:w="1978" w:type="dxa"/>
            <w:shd w:val="clear" w:color="000000" w:fill="FFFFFF"/>
            <w:vAlign w:val="center"/>
            <w:hideMark/>
          </w:tcPr>
          <w:p w:rsidR="00073203" w:rsidRPr="00CF08D6" w:rsidRDefault="00073203" w:rsidP="004B0E0E">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w:t>
            </w:r>
            <w:r w:rsidR="004B0E0E" w:rsidRPr="00CF08D6">
              <w:rPr>
                <w:rFonts w:ascii="Barlow" w:eastAsia="Times New Roman" w:hAnsi="Barlow" w:cs="Calibri"/>
                <w:color w:val="000000"/>
                <w:sz w:val="20"/>
                <w:szCs w:val="20"/>
                <w:lang w:eastAsia="es-MX"/>
              </w:rPr>
              <w:t>204,570.73</w:t>
            </w:r>
          </w:p>
        </w:tc>
        <w:tc>
          <w:tcPr>
            <w:tcW w:w="1636" w:type="dxa"/>
            <w:vMerge/>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p>
        </w:tc>
      </w:tr>
      <w:tr w:rsidR="00073203" w:rsidRPr="00CF08D6" w:rsidTr="006E0F7E">
        <w:trPr>
          <w:trHeight w:val="300"/>
          <w:jc w:val="center"/>
        </w:trPr>
        <w:tc>
          <w:tcPr>
            <w:tcW w:w="5387" w:type="dxa"/>
            <w:shd w:val="clear" w:color="000000" w:fill="FFFFFF"/>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Remuneraciones al personal permanente</w:t>
            </w:r>
          </w:p>
        </w:tc>
        <w:tc>
          <w:tcPr>
            <w:tcW w:w="1978" w:type="dxa"/>
            <w:shd w:val="clear" w:color="000000" w:fill="FFFFFF"/>
            <w:vAlign w:val="center"/>
            <w:hideMark/>
          </w:tcPr>
          <w:p w:rsidR="00073203" w:rsidRPr="00CF08D6" w:rsidRDefault="00073203" w:rsidP="008C70A6">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$15,901.43 </w:t>
            </w:r>
          </w:p>
        </w:tc>
        <w:tc>
          <w:tcPr>
            <w:tcW w:w="1636" w:type="dxa"/>
            <w:vMerge/>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p>
        </w:tc>
      </w:tr>
      <w:tr w:rsidR="00073203" w:rsidRPr="00CF08D6" w:rsidTr="006E0F7E">
        <w:trPr>
          <w:trHeight w:val="300"/>
          <w:jc w:val="center"/>
        </w:trPr>
        <w:tc>
          <w:tcPr>
            <w:tcW w:w="5387" w:type="dxa"/>
            <w:shd w:val="clear" w:color="000000" w:fill="FFFFFF"/>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Remuneraciones al personal transitorio</w:t>
            </w:r>
          </w:p>
        </w:tc>
        <w:tc>
          <w:tcPr>
            <w:tcW w:w="1978" w:type="dxa"/>
            <w:shd w:val="clear" w:color="000000" w:fill="FFFFFF"/>
            <w:vAlign w:val="center"/>
            <w:hideMark/>
          </w:tcPr>
          <w:p w:rsidR="00073203" w:rsidRPr="00CF08D6" w:rsidRDefault="00073203" w:rsidP="008C70A6">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$2,630.02 </w:t>
            </w:r>
          </w:p>
        </w:tc>
        <w:tc>
          <w:tcPr>
            <w:tcW w:w="1636" w:type="dxa"/>
            <w:vMerge w:val="restart"/>
            <w:shd w:val="clear" w:color="000000" w:fill="FFFFFF"/>
            <w:vAlign w:val="center"/>
            <w:hideMark/>
          </w:tcPr>
          <w:p w:rsidR="00073203" w:rsidRPr="00CF08D6" w:rsidRDefault="00073203" w:rsidP="008C70A6">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MENOR A UN AÑO</w:t>
            </w:r>
          </w:p>
        </w:tc>
        <w:tc>
          <w:tcPr>
            <w:tcW w:w="1725" w:type="dxa"/>
            <w:vMerge w:val="restart"/>
            <w:shd w:val="clear" w:color="000000" w:fill="FFFFFF"/>
            <w:vAlign w:val="center"/>
            <w:hideMark/>
          </w:tcPr>
          <w:p w:rsidR="00073203" w:rsidRPr="00CF08D6" w:rsidRDefault="00073203" w:rsidP="008C70A6">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Si es factible el pago</w:t>
            </w:r>
          </w:p>
        </w:tc>
      </w:tr>
      <w:tr w:rsidR="00073203" w:rsidRPr="00CF08D6" w:rsidTr="006E0F7E">
        <w:trPr>
          <w:trHeight w:val="300"/>
          <w:jc w:val="center"/>
        </w:trPr>
        <w:tc>
          <w:tcPr>
            <w:tcW w:w="5387" w:type="dxa"/>
            <w:shd w:val="clear" w:color="000000" w:fill="FFFFFF"/>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Otros pasivos</w:t>
            </w:r>
          </w:p>
        </w:tc>
        <w:tc>
          <w:tcPr>
            <w:tcW w:w="1978" w:type="dxa"/>
            <w:shd w:val="clear" w:color="000000" w:fill="FFFFFF"/>
            <w:vAlign w:val="center"/>
            <w:hideMark/>
          </w:tcPr>
          <w:p w:rsidR="00073203" w:rsidRPr="00CF08D6" w:rsidRDefault="00073203" w:rsidP="008C70A6">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$1.96 </w:t>
            </w:r>
          </w:p>
        </w:tc>
        <w:tc>
          <w:tcPr>
            <w:tcW w:w="1636" w:type="dxa"/>
            <w:vMerge/>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p>
        </w:tc>
      </w:tr>
      <w:tr w:rsidR="00073203" w:rsidRPr="00CF08D6" w:rsidTr="006E0F7E">
        <w:trPr>
          <w:trHeight w:val="300"/>
          <w:jc w:val="center"/>
        </w:trPr>
        <w:tc>
          <w:tcPr>
            <w:tcW w:w="5387" w:type="dxa"/>
            <w:shd w:val="clear" w:color="000000" w:fill="FFFFFF"/>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Otros Acreedores </w:t>
            </w:r>
          </w:p>
        </w:tc>
        <w:tc>
          <w:tcPr>
            <w:tcW w:w="1978" w:type="dxa"/>
            <w:shd w:val="clear" w:color="000000" w:fill="FFFFFF"/>
            <w:vAlign w:val="center"/>
            <w:hideMark/>
          </w:tcPr>
          <w:p w:rsidR="00073203" w:rsidRPr="00CF08D6" w:rsidRDefault="00073203" w:rsidP="004B0E0E">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 $</w:t>
            </w:r>
            <w:r w:rsidR="00BA426E" w:rsidRPr="00CF08D6">
              <w:rPr>
                <w:rFonts w:ascii="Barlow" w:eastAsia="Times New Roman" w:hAnsi="Barlow" w:cs="Calibri"/>
                <w:color w:val="000000"/>
                <w:sz w:val="20"/>
                <w:szCs w:val="20"/>
                <w:lang w:eastAsia="es-MX"/>
              </w:rPr>
              <w:t>36,</w:t>
            </w:r>
            <w:r w:rsidR="004B0E0E" w:rsidRPr="00CF08D6">
              <w:rPr>
                <w:rFonts w:ascii="Barlow" w:eastAsia="Times New Roman" w:hAnsi="Barlow" w:cs="Calibri"/>
                <w:color w:val="000000"/>
                <w:sz w:val="20"/>
                <w:szCs w:val="20"/>
                <w:lang w:eastAsia="es-MX"/>
              </w:rPr>
              <w:t>365.55</w:t>
            </w:r>
          </w:p>
        </w:tc>
        <w:tc>
          <w:tcPr>
            <w:tcW w:w="1636" w:type="dxa"/>
            <w:vMerge/>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p>
        </w:tc>
      </w:tr>
      <w:tr w:rsidR="00073203" w:rsidRPr="00CF08D6" w:rsidTr="006E0F7E">
        <w:trPr>
          <w:trHeight w:val="300"/>
          <w:jc w:val="center"/>
        </w:trPr>
        <w:tc>
          <w:tcPr>
            <w:tcW w:w="5387" w:type="dxa"/>
            <w:shd w:val="clear" w:color="000000" w:fill="FFFFFF"/>
            <w:vAlign w:val="center"/>
            <w:hideMark/>
          </w:tcPr>
          <w:p w:rsidR="00073203" w:rsidRPr="00CF08D6" w:rsidRDefault="00073203" w:rsidP="008C70A6">
            <w:pPr>
              <w:spacing w:after="0" w:line="240" w:lineRule="auto"/>
              <w:jc w:val="right"/>
              <w:rPr>
                <w:rFonts w:ascii="Barlow" w:eastAsia="Times New Roman" w:hAnsi="Barlow" w:cs="Calibri"/>
                <w:b/>
                <w:bCs/>
                <w:color w:val="000000"/>
                <w:sz w:val="20"/>
                <w:szCs w:val="20"/>
                <w:lang w:eastAsia="es-MX"/>
              </w:rPr>
            </w:pPr>
          </w:p>
        </w:tc>
        <w:tc>
          <w:tcPr>
            <w:tcW w:w="1978" w:type="dxa"/>
            <w:shd w:val="clear" w:color="000000" w:fill="FFFFFF"/>
            <w:vAlign w:val="center"/>
            <w:hideMark/>
          </w:tcPr>
          <w:p w:rsidR="00073203" w:rsidRPr="00CF08D6" w:rsidRDefault="00073203" w:rsidP="008C70A6">
            <w:pPr>
              <w:spacing w:after="0" w:line="240" w:lineRule="auto"/>
              <w:jc w:val="right"/>
              <w:rPr>
                <w:rFonts w:ascii="Barlow" w:eastAsia="Times New Roman" w:hAnsi="Barlow" w:cs="Calibri"/>
                <w:b/>
                <w:bCs/>
                <w:color w:val="000000"/>
                <w:sz w:val="20"/>
                <w:szCs w:val="20"/>
                <w:lang w:eastAsia="es-MX"/>
              </w:rPr>
            </w:pPr>
          </w:p>
        </w:tc>
        <w:tc>
          <w:tcPr>
            <w:tcW w:w="1636" w:type="dxa"/>
            <w:vMerge/>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p>
        </w:tc>
        <w:tc>
          <w:tcPr>
            <w:tcW w:w="1725" w:type="dxa"/>
            <w:vMerge/>
            <w:vAlign w:val="center"/>
            <w:hideMark/>
          </w:tcPr>
          <w:p w:rsidR="00073203" w:rsidRPr="00CF08D6" w:rsidRDefault="00073203" w:rsidP="008C70A6">
            <w:pPr>
              <w:spacing w:after="0" w:line="240" w:lineRule="auto"/>
              <w:rPr>
                <w:rFonts w:ascii="Barlow" w:eastAsia="Times New Roman" w:hAnsi="Barlow" w:cs="Calibri"/>
                <w:color w:val="000000"/>
                <w:sz w:val="20"/>
                <w:szCs w:val="20"/>
                <w:lang w:eastAsia="es-MX"/>
              </w:rPr>
            </w:pPr>
          </w:p>
        </w:tc>
      </w:tr>
      <w:tr w:rsidR="00073203" w:rsidRPr="00CF08D6" w:rsidTr="006E0F7E">
        <w:trPr>
          <w:trHeight w:val="300"/>
          <w:jc w:val="center"/>
        </w:trPr>
        <w:tc>
          <w:tcPr>
            <w:tcW w:w="5387" w:type="dxa"/>
            <w:shd w:val="clear" w:color="000000" w:fill="FFFFFF"/>
            <w:vAlign w:val="center"/>
            <w:hideMark/>
          </w:tcPr>
          <w:p w:rsidR="00073203" w:rsidRPr="00CF08D6" w:rsidRDefault="00CF08D6" w:rsidP="008C70A6">
            <w:pPr>
              <w:spacing w:after="0" w:line="240" w:lineRule="auto"/>
              <w:jc w:val="right"/>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t xml:space="preserve">                 </w:t>
            </w:r>
            <w:r w:rsidR="00073203" w:rsidRPr="00CF08D6">
              <w:rPr>
                <w:rFonts w:ascii="Barlow" w:eastAsia="Times New Roman" w:hAnsi="Barlow" w:cs="Calibri"/>
                <w:b/>
                <w:bCs/>
                <w:color w:val="000000"/>
                <w:sz w:val="20"/>
                <w:szCs w:val="20"/>
                <w:lang w:eastAsia="es-MX"/>
              </w:rPr>
              <w:t>Total</w:t>
            </w:r>
          </w:p>
        </w:tc>
        <w:tc>
          <w:tcPr>
            <w:tcW w:w="1978" w:type="dxa"/>
            <w:shd w:val="clear" w:color="000000" w:fill="FFFFFF"/>
            <w:vAlign w:val="center"/>
            <w:hideMark/>
          </w:tcPr>
          <w:p w:rsidR="00073203" w:rsidRPr="00CF08D6" w:rsidRDefault="00073203" w:rsidP="004B0E0E">
            <w:pPr>
              <w:spacing w:after="0" w:line="240" w:lineRule="auto"/>
              <w:jc w:val="right"/>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 xml:space="preserve"> $</w:t>
            </w:r>
            <w:r w:rsidR="004B0E0E" w:rsidRPr="00CF08D6">
              <w:rPr>
                <w:rFonts w:ascii="Barlow" w:eastAsia="Times New Roman" w:hAnsi="Barlow" w:cs="Calibri"/>
                <w:b/>
                <w:bCs/>
                <w:color w:val="000000"/>
                <w:sz w:val="20"/>
                <w:szCs w:val="20"/>
                <w:lang w:eastAsia="es-MX"/>
              </w:rPr>
              <w:t>485,314.32</w:t>
            </w:r>
          </w:p>
        </w:tc>
        <w:tc>
          <w:tcPr>
            <w:tcW w:w="1636" w:type="dxa"/>
            <w:shd w:val="clear" w:color="000000" w:fill="FFFFFF"/>
            <w:vAlign w:val="center"/>
            <w:hideMark/>
          </w:tcPr>
          <w:p w:rsidR="00073203" w:rsidRPr="00CF08D6" w:rsidRDefault="00073203" w:rsidP="008C70A6">
            <w:pPr>
              <w:spacing w:after="0" w:line="240" w:lineRule="auto"/>
              <w:jc w:val="right"/>
              <w:rPr>
                <w:rFonts w:ascii="Barlow" w:eastAsia="Times New Roman" w:hAnsi="Barlow" w:cs="Calibri"/>
                <w:b/>
                <w:bCs/>
                <w:color w:val="FF0000"/>
                <w:sz w:val="20"/>
                <w:szCs w:val="20"/>
                <w:lang w:eastAsia="es-MX"/>
              </w:rPr>
            </w:pPr>
            <w:r w:rsidRPr="00CF08D6">
              <w:rPr>
                <w:rFonts w:ascii="Barlow" w:eastAsia="Times New Roman" w:hAnsi="Barlow" w:cs="Calibri"/>
                <w:b/>
                <w:bCs/>
                <w:color w:val="FF0000"/>
                <w:sz w:val="20"/>
                <w:szCs w:val="20"/>
                <w:lang w:eastAsia="es-MX"/>
              </w:rPr>
              <w:t> </w:t>
            </w:r>
          </w:p>
        </w:tc>
        <w:tc>
          <w:tcPr>
            <w:tcW w:w="1725" w:type="dxa"/>
            <w:shd w:val="clear" w:color="000000" w:fill="FFFFFF"/>
            <w:vAlign w:val="center"/>
            <w:hideMark/>
          </w:tcPr>
          <w:p w:rsidR="00073203" w:rsidRPr="00CF08D6" w:rsidRDefault="00073203" w:rsidP="008C70A6">
            <w:pPr>
              <w:spacing w:after="0" w:line="240" w:lineRule="auto"/>
              <w:jc w:val="right"/>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 </w:t>
            </w:r>
          </w:p>
        </w:tc>
      </w:tr>
    </w:tbl>
    <w:p w:rsidR="0038598C" w:rsidRPr="00CF08D6" w:rsidRDefault="0038598C" w:rsidP="00073203">
      <w:pPr>
        <w:pStyle w:val="Sinespaciado"/>
        <w:rPr>
          <w:rFonts w:ascii="Barlow" w:hAnsi="Barlow"/>
          <w:sz w:val="20"/>
          <w:szCs w:val="20"/>
        </w:rPr>
      </w:pPr>
    </w:p>
    <w:p w:rsidR="00073203" w:rsidRPr="00CF08D6" w:rsidRDefault="00073203" w:rsidP="00073203">
      <w:pPr>
        <w:pStyle w:val="Sinespaciado"/>
        <w:rPr>
          <w:rFonts w:ascii="Barlow" w:hAnsi="Barlow"/>
          <w:sz w:val="20"/>
          <w:szCs w:val="20"/>
        </w:rPr>
      </w:pPr>
      <w:r w:rsidRPr="00CF08D6">
        <w:rPr>
          <w:rFonts w:ascii="Barlow" w:hAnsi="Barlow"/>
          <w:sz w:val="20"/>
          <w:szCs w:val="20"/>
        </w:rPr>
        <w:t>(1) Impuestos retenidos a los trabajadores</w:t>
      </w:r>
    </w:p>
    <w:p w:rsidR="00073203" w:rsidRPr="00CF08D6" w:rsidRDefault="00073203" w:rsidP="00073203">
      <w:pPr>
        <w:pStyle w:val="Sinespaciado"/>
        <w:rPr>
          <w:rFonts w:ascii="Barlow" w:hAnsi="Barlow"/>
          <w:sz w:val="20"/>
          <w:szCs w:val="20"/>
        </w:rPr>
      </w:pPr>
      <w:r w:rsidRPr="00CF08D6">
        <w:rPr>
          <w:rFonts w:ascii="Barlow" w:hAnsi="Barlow"/>
          <w:sz w:val="20"/>
          <w:szCs w:val="20"/>
        </w:rPr>
        <w:t>(2) Impuestos retenidos a los asimilados</w:t>
      </w:r>
    </w:p>
    <w:p w:rsidR="00073203" w:rsidRPr="00CF08D6" w:rsidRDefault="00073203" w:rsidP="00073203">
      <w:pPr>
        <w:pStyle w:val="Sinespaciado"/>
        <w:rPr>
          <w:rFonts w:ascii="Barlow" w:hAnsi="Barlow"/>
          <w:sz w:val="20"/>
          <w:szCs w:val="20"/>
        </w:rPr>
      </w:pPr>
      <w:r w:rsidRPr="00CF08D6">
        <w:rPr>
          <w:rFonts w:ascii="Barlow" w:hAnsi="Barlow"/>
          <w:sz w:val="20"/>
          <w:szCs w:val="20"/>
        </w:rPr>
        <w:t>(3) Impuestos retenidos a los profesionales</w:t>
      </w:r>
    </w:p>
    <w:p w:rsidR="00073203" w:rsidRPr="00CF08D6" w:rsidRDefault="00073203" w:rsidP="00073203">
      <w:pPr>
        <w:pStyle w:val="Sinespaciado"/>
        <w:rPr>
          <w:rFonts w:ascii="Barlow" w:hAnsi="Barlow"/>
          <w:sz w:val="20"/>
          <w:szCs w:val="20"/>
        </w:rPr>
      </w:pPr>
      <w:r w:rsidRPr="00CF08D6">
        <w:rPr>
          <w:rFonts w:ascii="Barlow" w:hAnsi="Barlow"/>
          <w:sz w:val="20"/>
          <w:szCs w:val="20"/>
        </w:rPr>
        <w:t>(4) Impuestos sobre Nominas</w:t>
      </w:r>
    </w:p>
    <w:p w:rsidR="0038598C" w:rsidRDefault="00073203" w:rsidP="00CF08D6">
      <w:pPr>
        <w:pStyle w:val="Sinespaciado"/>
        <w:rPr>
          <w:rFonts w:ascii="Barlow" w:hAnsi="Barlow"/>
          <w:sz w:val="20"/>
          <w:szCs w:val="20"/>
        </w:rPr>
      </w:pPr>
      <w:r w:rsidRPr="00CF08D6">
        <w:rPr>
          <w:rFonts w:ascii="Barlow" w:hAnsi="Barlow"/>
          <w:sz w:val="20"/>
          <w:szCs w:val="20"/>
        </w:rPr>
        <w:t>(5) Cuotas y Aportaciones al ISSTEY</w:t>
      </w:r>
    </w:p>
    <w:p w:rsidR="00CF08D6" w:rsidRPr="00CF08D6" w:rsidRDefault="00CF08D6" w:rsidP="00CF08D6">
      <w:pPr>
        <w:pStyle w:val="Sinespaciado"/>
        <w:rPr>
          <w:rFonts w:ascii="Barlow" w:hAnsi="Barlow"/>
          <w:sz w:val="20"/>
          <w:szCs w:val="20"/>
        </w:rPr>
      </w:pPr>
    </w:p>
    <w:p w:rsidR="00B44FB1"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Se cuenta con Provisiones a Largo Plazo para Contingencias por primas de antigüedad y por indemnización legal:</w:t>
      </w:r>
    </w:p>
    <w:tbl>
      <w:tblPr>
        <w:tblW w:w="8364" w:type="dxa"/>
        <w:jc w:val="center"/>
        <w:tblCellMar>
          <w:left w:w="70" w:type="dxa"/>
          <w:right w:w="70" w:type="dxa"/>
        </w:tblCellMar>
        <w:tblLook w:val="04A0" w:firstRow="1" w:lastRow="0" w:firstColumn="1" w:lastColumn="0" w:noHBand="0" w:noVBand="1"/>
      </w:tblPr>
      <w:tblGrid>
        <w:gridCol w:w="6843"/>
        <w:gridCol w:w="1521"/>
      </w:tblGrid>
      <w:tr w:rsidR="005D0A65" w:rsidRPr="00CF08D6" w:rsidTr="008A23DD">
        <w:trPr>
          <w:trHeight w:val="304"/>
          <w:jc w:val="center"/>
        </w:trPr>
        <w:tc>
          <w:tcPr>
            <w:tcW w:w="8364" w:type="dxa"/>
            <w:gridSpan w:val="2"/>
            <w:tcBorders>
              <w:top w:val="nil"/>
              <w:left w:val="nil"/>
              <w:bottom w:val="nil"/>
              <w:right w:val="nil"/>
            </w:tcBorders>
            <w:shd w:val="clear" w:color="000000" w:fill="FFFFFF"/>
            <w:vAlign w:val="center"/>
            <w:hideMark/>
          </w:tcPr>
          <w:p w:rsidR="00F67124" w:rsidRDefault="00F67124" w:rsidP="008A23DD">
            <w:pPr>
              <w:spacing w:after="0" w:line="240" w:lineRule="auto"/>
              <w:jc w:val="center"/>
              <w:rPr>
                <w:rFonts w:ascii="Barlow" w:eastAsia="Times New Roman" w:hAnsi="Barlow" w:cs="Calibri"/>
                <w:b/>
                <w:bCs/>
                <w:color w:val="000000"/>
                <w:sz w:val="20"/>
                <w:szCs w:val="20"/>
                <w:lang w:eastAsia="es-MX"/>
              </w:rPr>
            </w:pPr>
          </w:p>
          <w:p w:rsidR="00CF08D6" w:rsidRDefault="00CF08D6" w:rsidP="008A23DD">
            <w:pPr>
              <w:spacing w:after="0" w:line="240" w:lineRule="auto"/>
              <w:jc w:val="center"/>
              <w:rPr>
                <w:rFonts w:ascii="Barlow" w:eastAsia="Times New Roman" w:hAnsi="Barlow" w:cs="Calibri"/>
                <w:b/>
                <w:bCs/>
                <w:color w:val="000000"/>
                <w:sz w:val="20"/>
                <w:szCs w:val="20"/>
                <w:lang w:eastAsia="es-MX"/>
              </w:rPr>
            </w:pPr>
          </w:p>
          <w:p w:rsidR="00CF08D6" w:rsidRDefault="00CF08D6" w:rsidP="008A23DD">
            <w:pPr>
              <w:spacing w:after="0" w:line="240" w:lineRule="auto"/>
              <w:jc w:val="center"/>
              <w:rPr>
                <w:rFonts w:ascii="Barlow" w:eastAsia="Times New Roman" w:hAnsi="Barlow" w:cs="Calibri"/>
                <w:b/>
                <w:bCs/>
                <w:color w:val="000000"/>
                <w:sz w:val="20"/>
                <w:szCs w:val="20"/>
                <w:lang w:eastAsia="es-MX"/>
              </w:rPr>
            </w:pPr>
          </w:p>
          <w:p w:rsidR="00CF08D6" w:rsidRDefault="00CF08D6" w:rsidP="008A23DD">
            <w:pPr>
              <w:spacing w:after="0" w:line="240" w:lineRule="auto"/>
              <w:jc w:val="center"/>
              <w:rPr>
                <w:rFonts w:ascii="Barlow" w:eastAsia="Times New Roman" w:hAnsi="Barlow" w:cs="Calibri"/>
                <w:b/>
                <w:bCs/>
                <w:color w:val="000000"/>
                <w:sz w:val="20"/>
                <w:szCs w:val="20"/>
                <w:lang w:eastAsia="es-MX"/>
              </w:rPr>
            </w:pPr>
          </w:p>
          <w:p w:rsidR="00CF08D6" w:rsidRPr="00CF08D6" w:rsidRDefault="00CF08D6" w:rsidP="008A23DD">
            <w:pPr>
              <w:spacing w:after="0" w:line="240" w:lineRule="auto"/>
              <w:jc w:val="center"/>
              <w:rPr>
                <w:rFonts w:ascii="Barlow" w:eastAsia="Times New Roman" w:hAnsi="Barlow" w:cs="Calibri"/>
                <w:b/>
                <w:bCs/>
                <w:color w:val="000000"/>
                <w:sz w:val="20"/>
                <w:szCs w:val="20"/>
                <w:lang w:eastAsia="es-MX"/>
              </w:rPr>
            </w:pPr>
          </w:p>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lastRenderedPageBreak/>
              <w:t>Provisiones a Largo Plazo</w:t>
            </w:r>
          </w:p>
        </w:tc>
      </w:tr>
      <w:tr w:rsidR="005D0A65" w:rsidRPr="00CF08D6" w:rsidTr="008A23DD">
        <w:trPr>
          <w:trHeight w:val="304"/>
          <w:jc w:val="center"/>
        </w:trPr>
        <w:tc>
          <w:tcPr>
            <w:tcW w:w="6843"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lastRenderedPageBreak/>
              <w:t>Descripción</w:t>
            </w:r>
          </w:p>
        </w:tc>
        <w:tc>
          <w:tcPr>
            <w:tcW w:w="1521"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Importe</w:t>
            </w:r>
          </w:p>
        </w:tc>
      </w:tr>
      <w:tr w:rsidR="005D0A65" w:rsidRPr="00CF08D6" w:rsidTr="008A23DD">
        <w:trPr>
          <w:trHeight w:val="304"/>
          <w:jc w:val="center"/>
        </w:trPr>
        <w:tc>
          <w:tcPr>
            <w:tcW w:w="6843"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Prov. </w:t>
            </w:r>
            <w:r w:rsidR="00200C9C" w:rsidRPr="00CF08D6">
              <w:rPr>
                <w:rFonts w:ascii="Barlow" w:eastAsia="Times New Roman" w:hAnsi="Barlow" w:cs="Calibri"/>
                <w:color w:val="000000"/>
                <w:sz w:val="20"/>
                <w:szCs w:val="20"/>
                <w:lang w:eastAsia="es-MX"/>
              </w:rPr>
              <w:t>P</w:t>
            </w:r>
            <w:r w:rsidRPr="00CF08D6">
              <w:rPr>
                <w:rFonts w:ascii="Barlow" w:eastAsia="Times New Roman" w:hAnsi="Barlow" w:cs="Calibri"/>
                <w:color w:val="000000"/>
                <w:sz w:val="20"/>
                <w:szCs w:val="20"/>
                <w:lang w:eastAsia="es-MX"/>
              </w:rPr>
              <w:t>rima de antigüedad (Terminación)</w:t>
            </w:r>
          </w:p>
        </w:tc>
        <w:tc>
          <w:tcPr>
            <w:tcW w:w="1521"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$20,901.98</w:t>
            </w:r>
          </w:p>
        </w:tc>
      </w:tr>
      <w:tr w:rsidR="005D0A65" w:rsidRPr="00CF08D6" w:rsidTr="008A23DD">
        <w:trPr>
          <w:trHeight w:val="304"/>
          <w:jc w:val="center"/>
        </w:trPr>
        <w:tc>
          <w:tcPr>
            <w:tcW w:w="6843"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Prov. </w:t>
            </w:r>
            <w:r w:rsidR="00200C9C" w:rsidRPr="00CF08D6">
              <w:rPr>
                <w:rFonts w:ascii="Barlow" w:eastAsia="Times New Roman" w:hAnsi="Barlow" w:cs="Calibri"/>
                <w:color w:val="000000"/>
                <w:sz w:val="20"/>
                <w:szCs w:val="20"/>
                <w:lang w:eastAsia="es-MX"/>
              </w:rPr>
              <w:t>P</w:t>
            </w:r>
            <w:r w:rsidRPr="00CF08D6">
              <w:rPr>
                <w:rFonts w:ascii="Barlow" w:eastAsia="Times New Roman" w:hAnsi="Barlow" w:cs="Calibri"/>
                <w:color w:val="000000"/>
                <w:sz w:val="20"/>
                <w:szCs w:val="20"/>
                <w:lang w:eastAsia="es-MX"/>
              </w:rPr>
              <w:t>rima de antigüedad (Retiro)</w:t>
            </w:r>
          </w:p>
        </w:tc>
        <w:tc>
          <w:tcPr>
            <w:tcW w:w="1521"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$26,625.98</w:t>
            </w:r>
          </w:p>
        </w:tc>
      </w:tr>
      <w:tr w:rsidR="005D0A65" w:rsidRPr="00CF08D6" w:rsidTr="008A23DD">
        <w:trPr>
          <w:trHeight w:val="285"/>
          <w:jc w:val="center"/>
        </w:trPr>
        <w:tc>
          <w:tcPr>
            <w:tcW w:w="6843"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Prov. </w:t>
            </w:r>
            <w:r w:rsidR="00200C9C" w:rsidRPr="00CF08D6">
              <w:rPr>
                <w:rFonts w:ascii="Barlow" w:eastAsia="Times New Roman" w:hAnsi="Barlow" w:cs="Calibri"/>
                <w:color w:val="000000"/>
                <w:sz w:val="20"/>
                <w:szCs w:val="20"/>
                <w:lang w:eastAsia="es-MX"/>
              </w:rPr>
              <w:t>I</w:t>
            </w:r>
            <w:r w:rsidRPr="00CF08D6">
              <w:rPr>
                <w:rFonts w:ascii="Barlow" w:eastAsia="Times New Roman" w:hAnsi="Barlow" w:cs="Calibri"/>
                <w:color w:val="000000"/>
                <w:sz w:val="20"/>
                <w:szCs w:val="20"/>
                <w:lang w:eastAsia="es-MX"/>
              </w:rPr>
              <w:t>ndemnización legal (Beneficios por terminación)</w:t>
            </w:r>
          </w:p>
        </w:tc>
        <w:tc>
          <w:tcPr>
            <w:tcW w:w="1521"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$5,227.42</w:t>
            </w:r>
          </w:p>
        </w:tc>
      </w:tr>
      <w:tr w:rsidR="005D0A65" w:rsidRPr="00CF08D6" w:rsidTr="008A23DD">
        <w:trPr>
          <w:trHeight w:val="304"/>
          <w:jc w:val="center"/>
        </w:trPr>
        <w:tc>
          <w:tcPr>
            <w:tcW w:w="6843"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Prov. Indemnización legal (Retiro)</w:t>
            </w:r>
          </w:p>
        </w:tc>
        <w:tc>
          <w:tcPr>
            <w:tcW w:w="1521"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$124,559.29</w:t>
            </w:r>
          </w:p>
        </w:tc>
      </w:tr>
      <w:tr w:rsidR="005D0A65" w:rsidRPr="00CF08D6" w:rsidTr="008A23DD">
        <w:trPr>
          <w:trHeight w:val="304"/>
          <w:jc w:val="center"/>
        </w:trPr>
        <w:tc>
          <w:tcPr>
            <w:tcW w:w="6843"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Provisión para contingencias</w:t>
            </w:r>
          </w:p>
        </w:tc>
        <w:tc>
          <w:tcPr>
            <w:tcW w:w="1521"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$177,314.67</w:t>
            </w:r>
          </w:p>
        </w:tc>
      </w:tr>
    </w:tbl>
    <w:p w:rsidR="005D0A65" w:rsidRPr="00CF08D6" w:rsidRDefault="005D0A65" w:rsidP="005D0A65">
      <w:pPr>
        <w:autoSpaceDE w:val="0"/>
        <w:autoSpaceDN w:val="0"/>
        <w:adjustRightInd w:val="0"/>
        <w:spacing w:line="240" w:lineRule="auto"/>
        <w:jc w:val="both"/>
        <w:rPr>
          <w:rFonts w:ascii="Barlow" w:hAnsi="Barlow" w:cs="Arial"/>
          <w:sz w:val="20"/>
          <w:szCs w:val="20"/>
        </w:rPr>
      </w:pP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2. La universidad de Oriente no cuenta con registros del rubro de los Recursos localizados en Fondos de Bienes de Terceros.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3. La Universidad de Oriente no cuenta con registros del rubro de las Cuentas de los Pasivos Diferidos y Otros.</w:t>
      </w:r>
    </w:p>
    <w:p w:rsidR="005D0A65" w:rsidRPr="00CF08D6" w:rsidRDefault="005D0A65" w:rsidP="005D0A65">
      <w:pPr>
        <w:pStyle w:val="Sinespaciado"/>
        <w:rPr>
          <w:rFonts w:ascii="Barlow" w:hAnsi="Barlow"/>
          <w:b/>
          <w:sz w:val="20"/>
          <w:szCs w:val="20"/>
        </w:rPr>
      </w:pPr>
      <w:r w:rsidRPr="00CF08D6">
        <w:rPr>
          <w:rFonts w:ascii="Barlow" w:hAnsi="Barlow"/>
          <w:b/>
          <w:sz w:val="20"/>
          <w:szCs w:val="20"/>
        </w:rPr>
        <w:t>II)</w:t>
      </w:r>
      <w:r w:rsidRPr="00CF08D6">
        <w:rPr>
          <w:rFonts w:ascii="Barlow" w:hAnsi="Barlow"/>
          <w:b/>
          <w:sz w:val="20"/>
          <w:szCs w:val="20"/>
        </w:rPr>
        <w:tab/>
        <w:t>NOTAS AL ESTADO DE ACTIVIDADES</w:t>
      </w:r>
    </w:p>
    <w:p w:rsidR="005D0A65" w:rsidRPr="00CF08D6" w:rsidRDefault="005D0A65" w:rsidP="005D0A65">
      <w:pPr>
        <w:pStyle w:val="Sinespaciado"/>
        <w:rPr>
          <w:rFonts w:ascii="Barlow" w:hAnsi="Barlow" w:cs="Arial"/>
          <w:b/>
          <w:sz w:val="20"/>
          <w:szCs w:val="20"/>
          <w:lang w:val="es-MX"/>
        </w:rPr>
      </w:pPr>
    </w:p>
    <w:p w:rsidR="005D0A65" w:rsidRPr="00CF08D6" w:rsidRDefault="005D0A65" w:rsidP="005D0A65">
      <w:pPr>
        <w:pStyle w:val="Sinespaciado"/>
        <w:rPr>
          <w:rFonts w:ascii="Barlow" w:hAnsi="Barlow" w:cs="Arial"/>
          <w:b/>
          <w:sz w:val="20"/>
          <w:szCs w:val="20"/>
          <w:lang w:val="es-MX"/>
        </w:rPr>
      </w:pPr>
      <w:r w:rsidRPr="00CF08D6">
        <w:rPr>
          <w:rFonts w:ascii="Barlow" w:hAnsi="Barlow" w:cs="Arial"/>
          <w:b/>
          <w:sz w:val="20"/>
          <w:szCs w:val="20"/>
          <w:lang w:val="es-MX"/>
        </w:rPr>
        <w:t>Ingresos de Gestión</w:t>
      </w:r>
    </w:p>
    <w:p w:rsidR="005D0A65" w:rsidRPr="00CF08D6" w:rsidRDefault="005D0A65" w:rsidP="005D0A65">
      <w:pPr>
        <w:autoSpaceDE w:val="0"/>
        <w:autoSpaceDN w:val="0"/>
        <w:adjustRightInd w:val="0"/>
        <w:spacing w:line="240" w:lineRule="auto"/>
        <w:jc w:val="both"/>
        <w:rPr>
          <w:rFonts w:ascii="Barlow" w:hAnsi="Barlow" w:cs="Arial"/>
          <w:sz w:val="20"/>
          <w:szCs w:val="20"/>
        </w:rPr>
      </w:pPr>
    </w:p>
    <w:p w:rsidR="005D0A65" w:rsidRPr="00CF08D6" w:rsidRDefault="005D0A65" w:rsidP="00200C9C">
      <w:pPr>
        <w:pStyle w:val="Prrafodelista"/>
        <w:numPr>
          <w:ilvl w:val="0"/>
          <w:numId w:val="35"/>
        </w:num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Los ingresos por venta de bienes y prestaciones de servicios se integra como sigue:</w:t>
      </w:r>
    </w:p>
    <w:tbl>
      <w:tblPr>
        <w:tblW w:w="8521" w:type="dxa"/>
        <w:jc w:val="center"/>
        <w:tblCellMar>
          <w:left w:w="70" w:type="dxa"/>
          <w:right w:w="70" w:type="dxa"/>
        </w:tblCellMar>
        <w:tblLook w:val="04A0" w:firstRow="1" w:lastRow="0" w:firstColumn="1" w:lastColumn="0" w:noHBand="0" w:noVBand="1"/>
      </w:tblPr>
      <w:tblGrid>
        <w:gridCol w:w="7060"/>
        <w:gridCol w:w="1461"/>
      </w:tblGrid>
      <w:tr w:rsidR="00B90AC9" w:rsidRPr="00CF08D6" w:rsidTr="00B90AC9">
        <w:trPr>
          <w:trHeight w:val="300"/>
          <w:jc w:val="center"/>
        </w:trPr>
        <w:tc>
          <w:tcPr>
            <w:tcW w:w="8521" w:type="dxa"/>
            <w:gridSpan w:val="2"/>
            <w:tcBorders>
              <w:top w:val="nil"/>
              <w:left w:val="nil"/>
              <w:bottom w:val="nil"/>
              <w:right w:val="nil"/>
            </w:tcBorders>
            <w:shd w:val="clear" w:color="000000" w:fill="FFFFFF"/>
            <w:vAlign w:val="bottom"/>
            <w:hideMark/>
          </w:tcPr>
          <w:p w:rsidR="00B90AC9" w:rsidRPr="00CF08D6" w:rsidRDefault="00B90AC9" w:rsidP="00B90AC9">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Ingresos por ventas</w:t>
            </w:r>
          </w:p>
        </w:tc>
      </w:tr>
      <w:tr w:rsidR="00B90AC9" w:rsidRPr="00CF08D6" w:rsidTr="00B90AC9">
        <w:trPr>
          <w:trHeight w:val="300"/>
          <w:jc w:val="center"/>
        </w:trPr>
        <w:tc>
          <w:tcPr>
            <w:tcW w:w="7060" w:type="dxa"/>
            <w:tcBorders>
              <w:top w:val="nil"/>
              <w:left w:val="nil"/>
              <w:bottom w:val="nil"/>
              <w:right w:val="nil"/>
            </w:tcBorders>
            <w:shd w:val="clear" w:color="000000" w:fill="FFFFFF"/>
            <w:vAlign w:val="bottom"/>
            <w:hideMark/>
          </w:tcPr>
          <w:p w:rsidR="00B90AC9" w:rsidRPr="00CF08D6" w:rsidRDefault="00B90AC9" w:rsidP="00B90AC9">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Concepto</w:t>
            </w:r>
          </w:p>
        </w:tc>
        <w:tc>
          <w:tcPr>
            <w:tcW w:w="1461" w:type="dxa"/>
            <w:tcBorders>
              <w:top w:val="nil"/>
              <w:left w:val="nil"/>
              <w:bottom w:val="nil"/>
              <w:right w:val="nil"/>
            </w:tcBorders>
            <w:shd w:val="clear" w:color="000000" w:fill="FFFFFF"/>
            <w:vAlign w:val="bottom"/>
            <w:hideMark/>
          </w:tcPr>
          <w:p w:rsidR="00B90AC9" w:rsidRPr="00CF08D6" w:rsidRDefault="00B90AC9" w:rsidP="00B90AC9">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Importe</w:t>
            </w:r>
          </w:p>
        </w:tc>
      </w:tr>
      <w:tr w:rsidR="00B90AC9" w:rsidRPr="00CF08D6" w:rsidTr="00B90AC9">
        <w:trPr>
          <w:trHeight w:val="300"/>
          <w:jc w:val="center"/>
        </w:trPr>
        <w:tc>
          <w:tcPr>
            <w:tcW w:w="7060" w:type="dxa"/>
            <w:tcBorders>
              <w:top w:val="nil"/>
              <w:left w:val="nil"/>
              <w:bottom w:val="nil"/>
              <w:right w:val="nil"/>
            </w:tcBorders>
            <w:shd w:val="clear" w:color="000000" w:fill="FFFFFF"/>
            <w:hideMark/>
          </w:tcPr>
          <w:p w:rsidR="00B90AC9" w:rsidRPr="00CF08D6" w:rsidRDefault="00B90AC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Cuota por recuperación cuatrimestral</w:t>
            </w:r>
          </w:p>
        </w:tc>
        <w:tc>
          <w:tcPr>
            <w:tcW w:w="1461" w:type="dxa"/>
            <w:tcBorders>
              <w:top w:val="nil"/>
              <w:left w:val="nil"/>
              <w:bottom w:val="nil"/>
              <w:right w:val="nil"/>
            </w:tcBorders>
            <w:shd w:val="clear" w:color="000000" w:fill="FFFFFF"/>
            <w:hideMark/>
          </w:tcPr>
          <w:p w:rsidR="00B90AC9" w:rsidRPr="00CF08D6" w:rsidRDefault="00B90AC9"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$25,212.00</w:t>
            </w:r>
          </w:p>
        </w:tc>
      </w:tr>
      <w:tr w:rsidR="00B90AC9" w:rsidRPr="00CF08D6" w:rsidTr="00B90AC9">
        <w:trPr>
          <w:trHeight w:val="300"/>
          <w:jc w:val="center"/>
        </w:trPr>
        <w:tc>
          <w:tcPr>
            <w:tcW w:w="7060" w:type="dxa"/>
            <w:tcBorders>
              <w:top w:val="nil"/>
              <w:left w:val="nil"/>
              <w:bottom w:val="nil"/>
              <w:right w:val="nil"/>
            </w:tcBorders>
            <w:shd w:val="clear" w:color="000000" w:fill="FFFFFF"/>
            <w:hideMark/>
          </w:tcPr>
          <w:p w:rsidR="00B90AC9" w:rsidRPr="00CF08D6" w:rsidRDefault="00B90AC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Cuota anual por expedición de constancias</w:t>
            </w:r>
          </w:p>
        </w:tc>
        <w:tc>
          <w:tcPr>
            <w:tcW w:w="1461" w:type="dxa"/>
            <w:tcBorders>
              <w:top w:val="nil"/>
              <w:left w:val="nil"/>
              <w:bottom w:val="nil"/>
              <w:right w:val="nil"/>
            </w:tcBorders>
            <w:shd w:val="clear" w:color="000000" w:fill="FFFFFF"/>
            <w:hideMark/>
          </w:tcPr>
          <w:p w:rsidR="00B90AC9" w:rsidRPr="00CF08D6" w:rsidRDefault="00B90AC9"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$365.00</w:t>
            </w:r>
          </w:p>
        </w:tc>
      </w:tr>
      <w:tr w:rsidR="00B90AC9" w:rsidRPr="00CF08D6" w:rsidTr="00B90AC9">
        <w:trPr>
          <w:trHeight w:val="300"/>
          <w:jc w:val="center"/>
        </w:trPr>
        <w:tc>
          <w:tcPr>
            <w:tcW w:w="7060" w:type="dxa"/>
            <w:tcBorders>
              <w:top w:val="nil"/>
              <w:left w:val="nil"/>
              <w:bottom w:val="nil"/>
              <w:right w:val="nil"/>
            </w:tcBorders>
            <w:shd w:val="clear" w:color="000000" w:fill="FFFFFF"/>
            <w:hideMark/>
          </w:tcPr>
          <w:p w:rsidR="00B90AC9" w:rsidRPr="00CF08D6" w:rsidRDefault="00B90AC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Cuota por Curso de opción a titulación</w:t>
            </w:r>
          </w:p>
        </w:tc>
        <w:tc>
          <w:tcPr>
            <w:tcW w:w="1461" w:type="dxa"/>
            <w:tcBorders>
              <w:top w:val="nil"/>
              <w:left w:val="nil"/>
              <w:bottom w:val="nil"/>
              <w:right w:val="nil"/>
            </w:tcBorders>
            <w:shd w:val="clear" w:color="000000" w:fill="FFFFFF"/>
            <w:hideMark/>
          </w:tcPr>
          <w:p w:rsidR="00B90AC9" w:rsidRPr="00CF08D6" w:rsidRDefault="00B90AC9"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$28,118.00</w:t>
            </w:r>
          </w:p>
        </w:tc>
      </w:tr>
      <w:tr w:rsidR="00B90AC9" w:rsidRPr="00CF08D6" w:rsidTr="00B90AC9">
        <w:trPr>
          <w:trHeight w:val="300"/>
          <w:jc w:val="center"/>
        </w:trPr>
        <w:tc>
          <w:tcPr>
            <w:tcW w:w="7060" w:type="dxa"/>
            <w:tcBorders>
              <w:top w:val="nil"/>
              <w:left w:val="nil"/>
              <w:bottom w:val="nil"/>
              <w:right w:val="nil"/>
            </w:tcBorders>
            <w:shd w:val="clear" w:color="000000" w:fill="FFFFFF"/>
            <w:hideMark/>
          </w:tcPr>
          <w:p w:rsidR="00B90AC9" w:rsidRPr="00CF08D6" w:rsidRDefault="00B90AC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Cuota por proceso de egreso licenciatura</w:t>
            </w:r>
          </w:p>
        </w:tc>
        <w:tc>
          <w:tcPr>
            <w:tcW w:w="1461" w:type="dxa"/>
            <w:tcBorders>
              <w:top w:val="nil"/>
              <w:left w:val="nil"/>
              <w:bottom w:val="nil"/>
              <w:right w:val="nil"/>
            </w:tcBorders>
            <w:shd w:val="clear" w:color="000000" w:fill="FFFFFF"/>
            <w:hideMark/>
          </w:tcPr>
          <w:p w:rsidR="00B90AC9" w:rsidRPr="00CF08D6" w:rsidRDefault="00B90AC9"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$4,605.00</w:t>
            </w:r>
          </w:p>
        </w:tc>
      </w:tr>
      <w:tr w:rsidR="00B90AC9" w:rsidRPr="00CF08D6" w:rsidTr="00B90AC9">
        <w:trPr>
          <w:trHeight w:val="300"/>
          <w:jc w:val="center"/>
        </w:trPr>
        <w:tc>
          <w:tcPr>
            <w:tcW w:w="7060" w:type="dxa"/>
            <w:tcBorders>
              <w:top w:val="nil"/>
              <w:left w:val="nil"/>
              <w:bottom w:val="nil"/>
              <w:right w:val="nil"/>
            </w:tcBorders>
            <w:shd w:val="clear" w:color="000000" w:fill="FFFFFF"/>
            <w:hideMark/>
          </w:tcPr>
          <w:p w:rsidR="00B90AC9" w:rsidRPr="00CF08D6" w:rsidRDefault="00B90AC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Cuota por exámenes extraordinarios</w:t>
            </w:r>
          </w:p>
        </w:tc>
        <w:tc>
          <w:tcPr>
            <w:tcW w:w="1461" w:type="dxa"/>
            <w:tcBorders>
              <w:top w:val="nil"/>
              <w:left w:val="nil"/>
              <w:bottom w:val="nil"/>
              <w:right w:val="nil"/>
            </w:tcBorders>
            <w:shd w:val="clear" w:color="000000" w:fill="FFFFFF"/>
            <w:hideMark/>
          </w:tcPr>
          <w:p w:rsidR="00B90AC9" w:rsidRPr="00CF08D6" w:rsidRDefault="00B90AC9"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$695.00</w:t>
            </w:r>
          </w:p>
        </w:tc>
      </w:tr>
      <w:tr w:rsidR="00B90AC9" w:rsidRPr="00CF08D6" w:rsidTr="00B90AC9">
        <w:trPr>
          <w:trHeight w:val="300"/>
          <w:jc w:val="center"/>
        </w:trPr>
        <w:tc>
          <w:tcPr>
            <w:tcW w:w="7060" w:type="dxa"/>
            <w:tcBorders>
              <w:top w:val="nil"/>
              <w:left w:val="nil"/>
              <w:bottom w:val="nil"/>
              <w:right w:val="nil"/>
            </w:tcBorders>
            <w:shd w:val="clear" w:color="000000" w:fill="FFFFFF"/>
            <w:hideMark/>
          </w:tcPr>
          <w:p w:rsidR="00B90AC9" w:rsidRPr="00CF08D6" w:rsidRDefault="00B90AC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Cuota por inscripción por examen de selección</w:t>
            </w:r>
          </w:p>
        </w:tc>
        <w:tc>
          <w:tcPr>
            <w:tcW w:w="1461" w:type="dxa"/>
            <w:tcBorders>
              <w:top w:val="nil"/>
              <w:left w:val="nil"/>
              <w:bottom w:val="nil"/>
              <w:right w:val="nil"/>
            </w:tcBorders>
            <w:shd w:val="clear" w:color="000000" w:fill="FFFFFF"/>
            <w:hideMark/>
          </w:tcPr>
          <w:p w:rsidR="00B90AC9" w:rsidRPr="00CF08D6" w:rsidRDefault="00B90AC9"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$75,545.00</w:t>
            </w:r>
          </w:p>
        </w:tc>
      </w:tr>
      <w:tr w:rsidR="00B90AC9" w:rsidRPr="00CF08D6" w:rsidTr="00B90AC9">
        <w:trPr>
          <w:trHeight w:val="300"/>
          <w:jc w:val="center"/>
        </w:trPr>
        <w:tc>
          <w:tcPr>
            <w:tcW w:w="7060" w:type="dxa"/>
            <w:tcBorders>
              <w:top w:val="nil"/>
              <w:left w:val="nil"/>
              <w:bottom w:val="nil"/>
              <w:right w:val="nil"/>
            </w:tcBorders>
            <w:shd w:val="clear" w:color="000000" w:fill="FFFFFF"/>
            <w:hideMark/>
          </w:tcPr>
          <w:p w:rsidR="00B90AC9" w:rsidRPr="00CF08D6" w:rsidRDefault="00B90AC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lastRenderedPageBreak/>
              <w:t>Cuota por proceso de titulación</w:t>
            </w:r>
          </w:p>
        </w:tc>
        <w:tc>
          <w:tcPr>
            <w:tcW w:w="1461" w:type="dxa"/>
            <w:tcBorders>
              <w:top w:val="nil"/>
              <w:left w:val="nil"/>
              <w:bottom w:val="nil"/>
              <w:right w:val="nil"/>
            </w:tcBorders>
            <w:shd w:val="clear" w:color="000000" w:fill="FFFFFF"/>
            <w:hideMark/>
          </w:tcPr>
          <w:p w:rsidR="00B90AC9" w:rsidRPr="00CF08D6" w:rsidRDefault="00B90AC9"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$12,303.00</w:t>
            </w:r>
          </w:p>
        </w:tc>
      </w:tr>
      <w:tr w:rsidR="00B90AC9" w:rsidRPr="00CF08D6" w:rsidTr="00B90AC9">
        <w:trPr>
          <w:trHeight w:val="300"/>
          <w:jc w:val="center"/>
        </w:trPr>
        <w:tc>
          <w:tcPr>
            <w:tcW w:w="7060" w:type="dxa"/>
            <w:tcBorders>
              <w:top w:val="nil"/>
              <w:left w:val="nil"/>
              <w:bottom w:val="nil"/>
              <w:right w:val="nil"/>
            </w:tcBorders>
            <w:shd w:val="clear" w:color="000000" w:fill="FFFFFF"/>
            <w:hideMark/>
          </w:tcPr>
          <w:p w:rsidR="00B90AC9" w:rsidRPr="00CF08D6" w:rsidRDefault="00B90AC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Cuota recuperación cuatrimestral maestría</w:t>
            </w:r>
          </w:p>
        </w:tc>
        <w:tc>
          <w:tcPr>
            <w:tcW w:w="1461" w:type="dxa"/>
            <w:tcBorders>
              <w:top w:val="nil"/>
              <w:left w:val="nil"/>
              <w:bottom w:val="nil"/>
              <w:right w:val="nil"/>
            </w:tcBorders>
            <w:shd w:val="clear" w:color="000000" w:fill="FFFFFF"/>
            <w:hideMark/>
          </w:tcPr>
          <w:p w:rsidR="00B90AC9" w:rsidRPr="00CF08D6" w:rsidRDefault="00B90AC9"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$59,000.00</w:t>
            </w:r>
          </w:p>
        </w:tc>
      </w:tr>
      <w:tr w:rsidR="00B90AC9" w:rsidRPr="00CF08D6" w:rsidTr="00B90AC9">
        <w:trPr>
          <w:trHeight w:val="300"/>
          <w:jc w:val="center"/>
        </w:trPr>
        <w:tc>
          <w:tcPr>
            <w:tcW w:w="7060" w:type="dxa"/>
            <w:tcBorders>
              <w:top w:val="nil"/>
              <w:left w:val="nil"/>
              <w:bottom w:val="nil"/>
              <w:right w:val="nil"/>
            </w:tcBorders>
            <w:shd w:val="clear" w:color="000000" w:fill="FFFFFF"/>
            <w:hideMark/>
          </w:tcPr>
          <w:p w:rsidR="00B90AC9" w:rsidRPr="00CF08D6" w:rsidRDefault="00B90AC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Cuota por proceso de Egreso Maestría</w:t>
            </w:r>
          </w:p>
        </w:tc>
        <w:tc>
          <w:tcPr>
            <w:tcW w:w="1461" w:type="dxa"/>
            <w:tcBorders>
              <w:top w:val="nil"/>
              <w:left w:val="nil"/>
              <w:bottom w:val="nil"/>
              <w:right w:val="nil"/>
            </w:tcBorders>
            <w:shd w:val="clear" w:color="000000" w:fill="FFFFFF"/>
            <w:hideMark/>
          </w:tcPr>
          <w:p w:rsidR="00B90AC9" w:rsidRPr="00CF08D6" w:rsidRDefault="00B90AC9"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$10,946.00</w:t>
            </w:r>
          </w:p>
        </w:tc>
      </w:tr>
      <w:tr w:rsidR="00B90AC9" w:rsidRPr="00CF08D6" w:rsidTr="00B90AC9">
        <w:trPr>
          <w:trHeight w:val="300"/>
          <w:jc w:val="center"/>
        </w:trPr>
        <w:tc>
          <w:tcPr>
            <w:tcW w:w="7060" w:type="dxa"/>
            <w:tcBorders>
              <w:top w:val="nil"/>
              <w:left w:val="nil"/>
              <w:bottom w:val="nil"/>
              <w:right w:val="nil"/>
            </w:tcBorders>
            <w:shd w:val="clear" w:color="000000" w:fill="FFFFFF"/>
            <w:hideMark/>
          </w:tcPr>
          <w:p w:rsidR="00B90AC9" w:rsidRPr="00CF08D6" w:rsidRDefault="00B90AC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Reexpedición de comprobante de pago</w:t>
            </w:r>
          </w:p>
        </w:tc>
        <w:tc>
          <w:tcPr>
            <w:tcW w:w="1461" w:type="dxa"/>
            <w:tcBorders>
              <w:top w:val="nil"/>
              <w:left w:val="nil"/>
              <w:bottom w:val="nil"/>
              <w:right w:val="nil"/>
            </w:tcBorders>
            <w:shd w:val="clear" w:color="000000" w:fill="FFFFFF"/>
            <w:hideMark/>
          </w:tcPr>
          <w:p w:rsidR="00B90AC9" w:rsidRPr="00CF08D6" w:rsidRDefault="00B90AC9"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$672.00</w:t>
            </w:r>
          </w:p>
        </w:tc>
      </w:tr>
      <w:tr w:rsidR="00B90AC9" w:rsidRPr="00CF08D6" w:rsidTr="00B90AC9">
        <w:trPr>
          <w:trHeight w:val="300"/>
          <w:jc w:val="center"/>
        </w:trPr>
        <w:tc>
          <w:tcPr>
            <w:tcW w:w="7060" w:type="dxa"/>
            <w:tcBorders>
              <w:top w:val="nil"/>
              <w:left w:val="nil"/>
              <w:bottom w:val="nil"/>
              <w:right w:val="nil"/>
            </w:tcBorders>
            <w:shd w:val="clear" w:color="000000" w:fill="FFFFFF"/>
            <w:hideMark/>
          </w:tcPr>
          <w:p w:rsidR="00B90AC9" w:rsidRPr="00CF08D6" w:rsidRDefault="00B90AC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Otros ingresos propios varios</w:t>
            </w:r>
          </w:p>
        </w:tc>
        <w:tc>
          <w:tcPr>
            <w:tcW w:w="1461" w:type="dxa"/>
            <w:tcBorders>
              <w:top w:val="nil"/>
              <w:left w:val="nil"/>
              <w:bottom w:val="nil"/>
              <w:right w:val="nil"/>
            </w:tcBorders>
            <w:shd w:val="clear" w:color="000000" w:fill="FFFFFF"/>
            <w:hideMark/>
          </w:tcPr>
          <w:p w:rsidR="00B90AC9" w:rsidRPr="00CF08D6" w:rsidRDefault="00B90AC9"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$8,470.00</w:t>
            </w:r>
          </w:p>
        </w:tc>
      </w:tr>
      <w:tr w:rsidR="00B90AC9" w:rsidRPr="00CF08D6" w:rsidTr="00B90AC9">
        <w:trPr>
          <w:trHeight w:val="300"/>
          <w:jc w:val="center"/>
        </w:trPr>
        <w:tc>
          <w:tcPr>
            <w:tcW w:w="7060" w:type="dxa"/>
            <w:tcBorders>
              <w:top w:val="nil"/>
              <w:left w:val="nil"/>
              <w:bottom w:val="nil"/>
              <w:right w:val="nil"/>
            </w:tcBorders>
            <w:shd w:val="clear" w:color="000000" w:fill="FFFFFF"/>
            <w:hideMark/>
          </w:tcPr>
          <w:p w:rsidR="00B90AC9" w:rsidRPr="00CF08D6" w:rsidRDefault="00B90AC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Cuota por Cursos de Titulación para Maestrías</w:t>
            </w:r>
          </w:p>
        </w:tc>
        <w:tc>
          <w:tcPr>
            <w:tcW w:w="1461" w:type="dxa"/>
            <w:tcBorders>
              <w:top w:val="nil"/>
              <w:left w:val="nil"/>
              <w:bottom w:val="nil"/>
              <w:right w:val="nil"/>
            </w:tcBorders>
            <w:shd w:val="clear" w:color="000000" w:fill="FFFFFF"/>
            <w:hideMark/>
          </w:tcPr>
          <w:p w:rsidR="00B90AC9" w:rsidRPr="00CF08D6" w:rsidRDefault="00B90AC9"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$23,695.00</w:t>
            </w:r>
          </w:p>
        </w:tc>
      </w:tr>
      <w:tr w:rsidR="00B90AC9" w:rsidRPr="00CF08D6" w:rsidTr="00B90AC9">
        <w:trPr>
          <w:trHeight w:val="300"/>
          <w:jc w:val="center"/>
        </w:trPr>
        <w:tc>
          <w:tcPr>
            <w:tcW w:w="7060" w:type="dxa"/>
            <w:tcBorders>
              <w:top w:val="nil"/>
              <w:left w:val="nil"/>
              <w:bottom w:val="nil"/>
              <w:right w:val="nil"/>
            </w:tcBorders>
            <w:shd w:val="clear" w:color="000000" w:fill="FFFFFF"/>
            <w:hideMark/>
          </w:tcPr>
          <w:p w:rsidR="00B90AC9" w:rsidRPr="00CF08D6" w:rsidRDefault="00B90AC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Cuota por examen profesional</w:t>
            </w:r>
          </w:p>
        </w:tc>
        <w:tc>
          <w:tcPr>
            <w:tcW w:w="1461" w:type="dxa"/>
            <w:tcBorders>
              <w:top w:val="nil"/>
              <w:left w:val="nil"/>
              <w:bottom w:val="nil"/>
              <w:right w:val="nil"/>
            </w:tcBorders>
            <w:shd w:val="clear" w:color="000000" w:fill="FFFFFF"/>
            <w:hideMark/>
          </w:tcPr>
          <w:p w:rsidR="00B90AC9" w:rsidRPr="00CF08D6" w:rsidRDefault="00B90AC9"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$1,840.00</w:t>
            </w:r>
          </w:p>
        </w:tc>
      </w:tr>
      <w:tr w:rsidR="00B90AC9" w:rsidRPr="00CF08D6" w:rsidTr="00B90AC9">
        <w:trPr>
          <w:trHeight w:val="300"/>
          <w:jc w:val="center"/>
        </w:trPr>
        <w:tc>
          <w:tcPr>
            <w:tcW w:w="7060" w:type="dxa"/>
            <w:tcBorders>
              <w:top w:val="nil"/>
              <w:left w:val="nil"/>
              <w:bottom w:val="nil"/>
              <w:right w:val="nil"/>
            </w:tcBorders>
            <w:shd w:val="clear" w:color="000000" w:fill="FFFFFF"/>
            <w:hideMark/>
          </w:tcPr>
          <w:p w:rsidR="00B90AC9" w:rsidRPr="00CF08D6" w:rsidRDefault="00B90AC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Cuota por examen de grado</w:t>
            </w:r>
          </w:p>
        </w:tc>
        <w:tc>
          <w:tcPr>
            <w:tcW w:w="1461" w:type="dxa"/>
            <w:tcBorders>
              <w:top w:val="nil"/>
              <w:left w:val="nil"/>
              <w:bottom w:val="nil"/>
              <w:right w:val="nil"/>
            </w:tcBorders>
            <w:shd w:val="clear" w:color="000000" w:fill="FFFFFF"/>
            <w:hideMark/>
          </w:tcPr>
          <w:p w:rsidR="00B90AC9" w:rsidRPr="00CF08D6" w:rsidRDefault="00B90AC9"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$869.00</w:t>
            </w:r>
          </w:p>
        </w:tc>
      </w:tr>
      <w:tr w:rsidR="00B90AC9" w:rsidRPr="00CF08D6" w:rsidTr="00B90AC9">
        <w:trPr>
          <w:trHeight w:val="300"/>
          <w:jc w:val="center"/>
        </w:trPr>
        <w:tc>
          <w:tcPr>
            <w:tcW w:w="7060" w:type="dxa"/>
            <w:tcBorders>
              <w:top w:val="nil"/>
              <w:left w:val="nil"/>
              <w:bottom w:val="nil"/>
              <w:right w:val="nil"/>
            </w:tcBorders>
            <w:shd w:val="clear" w:color="000000" w:fill="FFFFFF"/>
            <w:hideMark/>
          </w:tcPr>
          <w:p w:rsidR="00B90AC9" w:rsidRPr="00CF08D6" w:rsidRDefault="00B90AC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Cuota por Costos Operativos Cuatrimestrales</w:t>
            </w:r>
          </w:p>
        </w:tc>
        <w:tc>
          <w:tcPr>
            <w:tcW w:w="1461" w:type="dxa"/>
            <w:tcBorders>
              <w:top w:val="nil"/>
              <w:left w:val="nil"/>
              <w:bottom w:val="nil"/>
              <w:right w:val="nil"/>
            </w:tcBorders>
            <w:shd w:val="clear" w:color="000000" w:fill="FFFFFF"/>
            <w:hideMark/>
          </w:tcPr>
          <w:p w:rsidR="00B90AC9" w:rsidRPr="00CF08D6" w:rsidRDefault="00B90AC9"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$7,656.00</w:t>
            </w:r>
          </w:p>
        </w:tc>
      </w:tr>
      <w:tr w:rsidR="00B90AC9" w:rsidRPr="00CF08D6" w:rsidTr="00B90AC9">
        <w:trPr>
          <w:trHeight w:val="300"/>
          <w:jc w:val="center"/>
        </w:trPr>
        <w:tc>
          <w:tcPr>
            <w:tcW w:w="7060" w:type="dxa"/>
            <w:tcBorders>
              <w:top w:val="nil"/>
              <w:left w:val="nil"/>
              <w:bottom w:val="nil"/>
              <w:right w:val="nil"/>
            </w:tcBorders>
            <w:shd w:val="clear" w:color="000000" w:fill="FFFFFF"/>
            <w:hideMark/>
          </w:tcPr>
          <w:p w:rsidR="00B90AC9" w:rsidRPr="00CF08D6" w:rsidRDefault="00B90AC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Cuota de inscripción del Doctorado en Gestión Educativa</w:t>
            </w:r>
          </w:p>
        </w:tc>
        <w:tc>
          <w:tcPr>
            <w:tcW w:w="1461" w:type="dxa"/>
            <w:tcBorders>
              <w:top w:val="nil"/>
              <w:left w:val="nil"/>
              <w:bottom w:val="nil"/>
              <w:right w:val="nil"/>
            </w:tcBorders>
            <w:shd w:val="clear" w:color="000000" w:fill="FFFFFF"/>
            <w:hideMark/>
          </w:tcPr>
          <w:p w:rsidR="00B90AC9" w:rsidRPr="00CF08D6" w:rsidRDefault="00B90AC9"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$31,875.00</w:t>
            </w:r>
          </w:p>
        </w:tc>
      </w:tr>
      <w:tr w:rsidR="00B90AC9" w:rsidRPr="00CF08D6" w:rsidTr="00B90AC9">
        <w:trPr>
          <w:trHeight w:val="315"/>
          <w:jc w:val="center"/>
        </w:trPr>
        <w:tc>
          <w:tcPr>
            <w:tcW w:w="7060" w:type="dxa"/>
            <w:tcBorders>
              <w:top w:val="nil"/>
              <w:left w:val="nil"/>
              <w:bottom w:val="nil"/>
              <w:right w:val="nil"/>
            </w:tcBorders>
            <w:shd w:val="clear" w:color="000000" w:fill="FFFFFF"/>
            <w:hideMark/>
          </w:tcPr>
          <w:p w:rsidR="00B90AC9" w:rsidRPr="00CF08D6" w:rsidRDefault="00B90AC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Cuota Mensual del Doctorado en Gestión educativa</w:t>
            </w:r>
          </w:p>
        </w:tc>
        <w:tc>
          <w:tcPr>
            <w:tcW w:w="1461" w:type="dxa"/>
            <w:tcBorders>
              <w:top w:val="nil"/>
              <w:left w:val="nil"/>
              <w:bottom w:val="nil"/>
              <w:right w:val="nil"/>
            </w:tcBorders>
            <w:shd w:val="clear" w:color="000000" w:fill="FFFFFF"/>
            <w:hideMark/>
          </w:tcPr>
          <w:p w:rsidR="00B90AC9" w:rsidRPr="00CF08D6" w:rsidRDefault="00B90AC9"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$85,400.00</w:t>
            </w:r>
          </w:p>
        </w:tc>
      </w:tr>
      <w:tr w:rsidR="00B90AC9" w:rsidRPr="00CF08D6" w:rsidTr="00B90AC9">
        <w:trPr>
          <w:trHeight w:val="300"/>
          <w:jc w:val="center"/>
        </w:trPr>
        <w:tc>
          <w:tcPr>
            <w:tcW w:w="7060" w:type="dxa"/>
            <w:tcBorders>
              <w:top w:val="nil"/>
              <w:left w:val="nil"/>
              <w:bottom w:val="nil"/>
              <w:right w:val="nil"/>
            </w:tcBorders>
            <w:shd w:val="clear" w:color="000000" w:fill="FFFFFF"/>
            <w:vAlign w:val="bottom"/>
            <w:hideMark/>
          </w:tcPr>
          <w:p w:rsidR="00B90AC9" w:rsidRPr="00CF08D6" w:rsidRDefault="00B90AC9" w:rsidP="00B90AC9">
            <w:pPr>
              <w:spacing w:after="0" w:line="240" w:lineRule="auto"/>
              <w:jc w:val="right"/>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Total</w:t>
            </w:r>
          </w:p>
        </w:tc>
        <w:tc>
          <w:tcPr>
            <w:tcW w:w="1461" w:type="dxa"/>
            <w:tcBorders>
              <w:top w:val="single" w:sz="8" w:space="0" w:color="auto"/>
              <w:left w:val="nil"/>
              <w:bottom w:val="nil"/>
              <w:right w:val="nil"/>
            </w:tcBorders>
            <w:shd w:val="clear" w:color="000000" w:fill="FFFFFF"/>
            <w:vAlign w:val="bottom"/>
            <w:hideMark/>
          </w:tcPr>
          <w:p w:rsidR="00B90AC9" w:rsidRPr="00CF08D6" w:rsidRDefault="00B90AC9" w:rsidP="00B90AC9">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$377,266.00</w:t>
            </w:r>
          </w:p>
        </w:tc>
      </w:tr>
    </w:tbl>
    <w:p w:rsidR="00B90AC9" w:rsidRPr="00CF08D6" w:rsidRDefault="00B90AC9" w:rsidP="00B90AC9">
      <w:pPr>
        <w:autoSpaceDE w:val="0"/>
        <w:autoSpaceDN w:val="0"/>
        <w:adjustRightInd w:val="0"/>
        <w:spacing w:line="240" w:lineRule="auto"/>
        <w:jc w:val="both"/>
        <w:rPr>
          <w:rFonts w:ascii="Barlow" w:hAnsi="Barlow" w:cs="Arial"/>
          <w:sz w:val="20"/>
          <w:szCs w:val="20"/>
        </w:rPr>
      </w:pP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2. Las participaciones y aportaciones se integran como sigue:</w:t>
      </w:r>
    </w:p>
    <w:tbl>
      <w:tblPr>
        <w:tblW w:w="4962" w:type="dxa"/>
        <w:jc w:val="center"/>
        <w:tblCellMar>
          <w:left w:w="70" w:type="dxa"/>
          <w:right w:w="70" w:type="dxa"/>
        </w:tblCellMar>
        <w:tblLook w:val="04A0" w:firstRow="1" w:lastRow="0" w:firstColumn="1" w:lastColumn="0" w:noHBand="0" w:noVBand="1"/>
      </w:tblPr>
      <w:tblGrid>
        <w:gridCol w:w="2385"/>
        <w:gridCol w:w="2577"/>
      </w:tblGrid>
      <w:tr w:rsidR="005D0A65" w:rsidRPr="00CF08D6" w:rsidTr="008A23DD">
        <w:trPr>
          <w:trHeight w:val="300"/>
          <w:jc w:val="center"/>
        </w:trPr>
        <w:tc>
          <w:tcPr>
            <w:tcW w:w="4962" w:type="dxa"/>
            <w:gridSpan w:val="2"/>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Participaciones y aportaciones</w:t>
            </w:r>
          </w:p>
        </w:tc>
      </w:tr>
      <w:tr w:rsidR="005D0A65" w:rsidRPr="00CF08D6" w:rsidTr="008A23DD">
        <w:trPr>
          <w:trHeight w:val="300"/>
          <w:jc w:val="center"/>
        </w:trPr>
        <w:tc>
          <w:tcPr>
            <w:tcW w:w="2385"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Concepto</w:t>
            </w:r>
          </w:p>
        </w:tc>
        <w:tc>
          <w:tcPr>
            <w:tcW w:w="2577"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Importe</w:t>
            </w:r>
          </w:p>
        </w:tc>
      </w:tr>
      <w:tr w:rsidR="005D0A65" w:rsidRPr="00CF08D6" w:rsidTr="008A23DD">
        <w:trPr>
          <w:trHeight w:val="300"/>
          <w:jc w:val="center"/>
        </w:trPr>
        <w:tc>
          <w:tcPr>
            <w:tcW w:w="2385"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Ingresos Federales</w:t>
            </w:r>
          </w:p>
        </w:tc>
        <w:tc>
          <w:tcPr>
            <w:tcW w:w="2577" w:type="dxa"/>
            <w:tcBorders>
              <w:top w:val="nil"/>
              <w:left w:val="nil"/>
              <w:bottom w:val="nil"/>
              <w:right w:val="nil"/>
            </w:tcBorders>
            <w:shd w:val="clear" w:color="000000" w:fill="FFFFFF"/>
            <w:vAlign w:val="center"/>
            <w:hideMark/>
          </w:tcPr>
          <w:p w:rsidR="005D0A65" w:rsidRPr="00CF08D6" w:rsidRDefault="00EC1B39" w:rsidP="00B90AC9">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w:t>
            </w:r>
            <w:r w:rsidR="00B90AC9" w:rsidRPr="00CF08D6">
              <w:rPr>
                <w:rFonts w:ascii="Barlow" w:eastAsia="Times New Roman" w:hAnsi="Barlow" w:cs="Calibri"/>
                <w:color w:val="000000"/>
                <w:sz w:val="20"/>
                <w:szCs w:val="20"/>
                <w:lang w:eastAsia="es-MX"/>
              </w:rPr>
              <w:t>3,580,000.00</w:t>
            </w:r>
          </w:p>
        </w:tc>
      </w:tr>
      <w:tr w:rsidR="005D0A65" w:rsidRPr="00CF08D6" w:rsidTr="008A23DD">
        <w:trPr>
          <w:trHeight w:val="300"/>
          <w:jc w:val="center"/>
        </w:trPr>
        <w:tc>
          <w:tcPr>
            <w:tcW w:w="2385"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Ingresos Estatales</w:t>
            </w:r>
          </w:p>
        </w:tc>
        <w:tc>
          <w:tcPr>
            <w:tcW w:w="2577" w:type="dxa"/>
            <w:tcBorders>
              <w:top w:val="nil"/>
              <w:left w:val="nil"/>
              <w:bottom w:val="nil"/>
              <w:right w:val="nil"/>
            </w:tcBorders>
            <w:shd w:val="clear" w:color="000000" w:fill="FFFFFF"/>
            <w:vAlign w:val="center"/>
            <w:hideMark/>
          </w:tcPr>
          <w:p w:rsidR="005D0A65" w:rsidRPr="00CF08D6" w:rsidRDefault="00EC1B39" w:rsidP="00B90AC9">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val="es-ES" w:eastAsia="es-MX"/>
              </w:rPr>
              <w:t>$</w:t>
            </w:r>
            <w:r w:rsidR="00B90AC9" w:rsidRPr="00CF08D6">
              <w:rPr>
                <w:rFonts w:ascii="Barlow" w:eastAsia="Times New Roman" w:hAnsi="Barlow" w:cs="Calibri"/>
                <w:color w:val="000000"/>
                <w:sz w:val="20"/>
                <w:szCs w:val="20"/>
                <w:lang w:eastAsia="es-MX"/>
              </w:rPr>
              <w:t>1,918,413.00</w:t>
            </w:r>
          </w:p>
        </w:tc>
      </w:tr>
      <w:tr w:rsidR="005D0A65" w:rsidRPr="00CF08D6" w:rsidTr="008A23DD">
        <w:trPr>
          <w:trHeight w:val="300"/>
          <w:jc w:val="center"/>
        </w:trPr>
        <w:tc>
          <w:tcPr>
            <w:tcW w:w="2385"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Total</w:t>
            </w:r>
          </w:p>
        </w:tc>
        <w:tc>
          <w:tcPr>
            <w:tcW w:w="2577" w:type="dxa"/>
            <w:tcBorders>
              <w:top w:val="single" w:sz="4" w:space="0" w:color="auto"/>
              <w:left w:val="nil"/>
              <w:bottom w:val="nil"/>
              <w:right w:val="nil"/>
            </w:tcBorders>
            <w:shd w:val="clear" w:color="000000" w:fill="FFFFFF"/>
            <w:vAlign w:val="center"/>
            <w:hideMark/>
          </w:tcPr>
          <w:p w:rsidR="005D0A65" w:rsidRPr="00CF08D6" w:rsidRDefault="005D0A65" w:rsidP="00B90AC9">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w:t>
            </w:r>
            <w:r w:rsidR="00B90AC9" w:rsidRPr="00CF08D6">
              <w:rPr>
                <w:rFonts w:ascii="Barlow" w:eastAsia="Times New Roman" w:hAnsi="Barlow" w:cs="Calibri"/>
                <w:b/>
                <w:bCs/>
                <w:color w:val="000000"/>
                <w:sz w:val="20"/>
                <w:szCs w:val="20"/>
                <w:lang w:eastAsia="es-MX"/>
              </w:rPr>
              <w:t>5,498,413.00</w:t>
            </w:r>
          </w:p>
        </w:tc>
      </w:tr>
    </w:tbl>
    <w:p w:rsidR="00112289" w:rsidRDefault="00112289" w:rsidP="005D0A65">
      <w:pPr>
        <w:autoSpaceDE w:val="0"/>
        <w:autoSpaceDN w:val="0"/>
        <w:adjustRightInd w:val="0"/>
        <w:spacing w:line="240" w:lineRule="auto"/>
        <w:jc w:val="both"/>
        <w:rPr>
          <w:rFonts w:ascii="Barlow" w:hAnsi="Barlow" w:cs="Arial"/>
          <w:b/>
          <w:sz w:val="20"/>
          <w:szCs w:val="20"/>
        </w:rPr>
      </w:pPr>
    </w:p>
    <w:p w:rsidR="00CF08D6" w:rsidRDefault="00CF08D6" w:rsidP="005D0A65">
      <w:pPr>
        <w:autoSpaceDE w:val="0"/>
        <w:autoSpaceDN w:val="0"/>
        <w:adjustRightInd w:val="0"/>
        <w:spacing w:line="240" w:lineRule="auto"/>
        <w:jc w:val="both"/>
        <w:rPr>
          <w:rFonts w:ascii="Barlow" w:hAnsi="Barlow" w:cs="Arial"/>
          <w:b/>
          <w:sz w:val="20"/>
          <w:szCs w:val="20"/>
        </w:rPr>
      </w:pPr>
    </w:p>
    <w:p w:rsidR="00CF08D6" w:rsidRDefault="00CF08D6" w:rsidP="005D0A65">
      <w:pPr>
        <w:autoSpaceDE w:val="0"/>
        <w:autoSpaceDN w:val="0"/>
        <w:adjustRightInd w:val="0"/>
        <w:spacing w:line="240" w:lineRule="auto"/>
        <w:jc w:val="both"/>
        <w:rPr>
          <w:rFonts w:ascii="Barlow" w:hAnsi="Barlow" w:cs="Arial"/>
          <w:b/>
          <w:sz w:val="20"/>
          <w:szCs w:val="20"/>
        </w:rPr>
      </w:pPr>
    </w:p>
    <w:p w:rsidR="00CF08D6" w:rsidRPr="00CF08D6" w:rsidRDefault="00CF08D6" w:rsidP="005D0A65">
      <w:pPr>
        <w:autoSpaceDE w:val="0"/>
        <w:autoSpaceDN w:val="0"/>
        <w:adjustRightInd w:val="0"/>
        <w:spacing w:line="240" w:lineRule="auto"/>
        <w:jc w:val="both"/>
        <w:rPr>
          <w:rFonts w:ascii="Barlow" w:hAnsi="Barlow" w:cs="Arial"/>
          <w:b/>
          <w:sz w:val="20"/>
          <w:szCs w:val="20"/>
        </w:rPr>
      </w:pP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lastRenderedPageBreak/>
        <w:t>Otros Ingresos y Beneficios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3. La cuenta de Ingresos de gestión contempla lo siguiente:</w:t>
      </w:r>
    </w:p>
    <w:tbl>
      <w:tblPr>
        <w:tblW w:w="4820" w:type="dxa"/>
        <w:jc w:val="center"/>
        <w:tblCellMar>
          <w:left w:w="70" w:type="dxa"/>
          <w:right w:w="70" w:type="dxa"/>
        </w:tblCellMar>
        <w:tblLook w:val="04A0" w:firstRow="1" w:lastRow="0" w:firstColumn="1" w:lastColumn="0" w:noHBand="0" w:noVBand="1"/>
      </w:tblPr>
      <w:tblGrid>
        <w:gridCol w:w="3211"/>
        <w:gridCol w:w="1609"/>
      </w:tblGrid>
      <w:tr w:rsidR="005D0A65" w:rsidRPr="00CF08D6" w:rsidTr="008A23DD">
        <w:trPr>
          <w:trHeight w:val="300"/>
          <w:jc w:val="center"/>
        </w:trPr>
        <w:tc>
          <w:tcPr>
            <w:tcW w:w="4820" w:type="dxa"/>
            <w:gridSpan w:val="2"/>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INGRESOS Y OTROS BENEFICIOS</w:t>
            </w:r>
          </w:p>
        </w:tc>
      </w:tr>
      <w:tr w:rsidR="005D0A65" w:rsidRPr="00CF08D6" w:rsidTr="008A23DD">
        <w:trPr>
          <w:trHeight w:val="300"/>
          <w:jc w:val="center"/>
        </w:trPr>
        <w:tc>
          <w:tcPr>
            <w:tcW w:w="3211"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CONCEPTO</w:t>
            </w:r>
          </w:p>
        </w:tc>
        <w:tc>
          <w:tcPr>
            <w:tcW w:w="1609"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IMPORTE</w:t>
            </w:r>
          </w:p>
        </w:tc>
      </w:tr>
      <w:tr w:rsidR="005D0A65" w:rsidRPr="00CF08D6" w:rsidTr="008A23DD">
        <w:trPr>
          <w:trHeight w:val="300"/>
          <w:jc w:val="center"/>
        </w:trPr>
        <w:tc>
          <w:tcPr>
            <w:tcW w:w="3211"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Intereses Ganados (1)</w:t>
            </w:r>
          </w:p>
        </w:tc>
        <w:tc>
          <w:tcPr>
            <w:tcW w:w="1609" w:type="dxa"/>
            <w:tcBorders>
              <w:top w:val="nil"/>
              <w:left w:val="nil"/>
              <w:bottom w:val="nil"/>
              <w:right w:val="nil"/>
            </w:tcBorders>
            <w:shd w:val="clear" w:color="000000" w:fill="FFFFFF"/>
            <w:vAlign w:val="center"/>
            <w:hideMark/>
          </w:tcPr>
          <w:p w:rsidR="005D0A65" w:rsidRPr="00CF08D6" w:rsidRDefault="005D0A65"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val="es-ES" w:eastAsia="es-MX"/>
              </w:rPr>
              <w:t>$</w:t>
            </w:r>
            <w:r w:rsidR="00EC1B39" w:rsidRPr="00CF08D6">
              <w:rPr>
                <w:rFonts w:ascii="Barlow" w:eastAsia="Times New Roman" w:hAnsi="Barlow" w:cs="Calibri"/>
                <w:color w:val="000000"/>
                <w:sz w:val="20"/>
                <w:szCs w:val="20"/>
                <w:lang w:eastAsia="es-MX"/>
              </w:rPr>
              <w:t>4</w:t>
            </w:r>
            <w:r w:rsidR="00B90AC9" w:rsidRPr="00CF08D6">
              <w:rPr>
                <w:rFonts w:ascii="Barlow" w:eastAsia="Times New Roman" w:hAnsi="Barlow" w:cs="Calibri"/>
                <w:color w:val="000000"/>
                <w:sz w:val="20"/>
                <w:szCs w:val="20"/>
                <w:lang w:eastAsia="es-MX"/>
              </w:rPr>
              <w:t>8.03</w:t>
            </w:r>
          </w:p>
        </w:tc>
      </w:tr>
      <w:tr w:rsidR="005D0A65" w:rsidRPr="00CF08D6" w:rsidTr="008A23DD">
        <w:trPr>
          <w:trHeight w:val="300"/>
          <w:jc w:val="center"/>
        </w:trPr>
        <w:tc>
          <w:tcPr>
            <w:tcW w:w="3211"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Productos  Financieros(2)</w:t>
            </w:r>
          </w:p>
        </w:tc>
        <w:tc>
          <w:tcPr>
            <w:tcW w:w="1609" w:type="dxa"/>
            <w:tcBorders>
              <w:top w:val="nil"/>
              <w:left w:val="nil"/>
              <w:bottom w:val="nil"/>
              <w:right w:val="nil"/>
            </w:tcBorders>
            <w:shd w:val="clear" w:color="000000" w:fill="FFFFFF"/>
            <w:vAlign w:val="center"/>
            <w:hideMark/>
          </w:tcPr>
          <w:p w:rsidR="005D0A65" w:rsidRPr="00CF08D6" w:rsidRDefault="00EC1B39" w:rsidP="00B90AC9">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val="es-ES" w:eastAsia="es-MX"/>
              </w:rPr>
              <w:t>$1</w:t>
            </w:r>
            <w:r w:rsidR="00B90AC9" w:rsidRPr="00CF08D6">
              <w:rPr>
                <w:rFonts w:ascii="Barlow" w:eastAsia="Times New Roman" w:hAnsi="Barlow" w:cs="Calibri"/>
                <w:color w:val="000000"/>
                <w:sz w:val="20"/>
                <w:szCs w:val="20"/>
                <w:lang w:val="es-ES" w:eastAsia="es-MX"/>
              </w:rPr>
              <w:t>6,636.30</w:t>
            </w:r>
          </w:p>
        </w:tc>
      </w:tr>
      <w:tr w:rsidR="005D0A65" w:rsidRPr="00CF08D6" w:rsidTr="008A23DD">
        <w:trPr>
          <w:trHeight w:val="300"/>
          <w:jc w:val="center"/>
        </w:trPr>
        <w:tc>
          <w:tcPr>
            <w:tcW w:w="3211" w:type="dxa"/>
            <w:tcBorders>
              <w:top w:val="nil"/>
              <w:left w:val="nil"/>
              <w:bottom w:val="nil"/>
              <w:right w:val="nil"/>
            </w:tcBorders>
            <w:shd w:val="clear" w:color="000000" w:fill="FFFFFF"/>
            <w:vAlign w:val="center"/>
            <w:hideMark/>
          </w:tcPr>
          <w:p w:rsidR="005D0A65" w:rsidRPr="00CF08D6" w:rsidRDefault="005D0A65" w:rsidP="000768E3">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Total Ingresos Financieros</w:t>
            </w:r>
          </w:p>
        </w:tc>
        <w:tc>
          <w:tcPr>
            <w:tcW w:w="1609" w:type="dxa"/>
            <w:tcBorders>
              <w:top w:val="single" w:sz="4" w:space="0" w:color="auto"/>
              <w:left w:val="nil"/>
              <w:bottom w:val="nil"/>
              <w:right w:val="nil"/>
            </w:tcBorders>
            <w:shd w:val="clear" w:color="000000" w:fill="FFFFFF"/>
            <w:vAlign w:val="center"/>
            <w:hideMark/>
          </w:tcPr>
          <w:p w:rsidR="005D0A65" w:rsidRPr="00CF08D6" w:rsidRDefault="005D0A65" w:rsidP="00B90AC9">
            <w:pPr>
              <w:spacing w:after="0" w:line="240" w:lineRule="auto"/>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val="es-ES" w:eastAsia="es-MX"/>
              </w:rPr>
              <w:t>$</w:t>
            </w:r>
            <w:r w:rsidR="00B90AC9" w:rsidRPr="00CF08D6">
              <w:rPr>
                <w:rFonts w:ascii="Barlow" w:eastAsia="Times New Roman" w:hAnsi="Barlow" w:cs="Calibri"/>
                <w:b/>
                <w:bCs/>
                <w:color w:val="000000"/>
                <w:sz w:val="20"/>
                <w:szCs w:val="20"/>
                <w:lang w:val="es-ES" w:eastAsia="es-MX"/>
              </w:rPr>
              <w:t>16,684.33</w:t>
            </w:r>
          </w:p>
        </w:tc>
      </w:tr>
    </w:tbl>
    <w:p w:rsidR="0038598C" w:rsidRPr="00CF08D6" w:rsidRDefault="0038598C" w:rsidP="005D0A65">
      <w:pPr>
        <w:autoSpaceDE w:val="0"/>
        <w:autoSpaceDN w:val="0"/>
        <w:adjustRightInd w:val="0"/>
        <w:spacing w:line="240" w:lineRule="auto"/>
        <w:jc w:val="both"/>
        <w:rPr>
          <w:rFonts w:ascii="Barlow" w:hAnsi="Barlow" w:cs="Arial"/>
          <w:sz w:val="20"/>
          <w:szCs w:val="20"/>
        </w:rPr>
      </w:pP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(1) Ingresos bancarios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(2) Rendimientos bancarios</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 xml:space="preserve">Gastos y Otras </w:t>
      </w:r>
      <w:r w:rsidR="00EB3622" w:rsidRPr="00CF08D6">
        <w:rPr>
          <w:rFonts w:ascii="Barlow" w:hAnsi="Barlow" w:cs="Arial"/>
          <w:b/>
          <w:sz w:val="20"/>
          <w:szCs w:val="20"/>
        </w:rPr>
        <w:t>Pérdidas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1. Los rubros que representan más del 10% del importe del gasto, son los siguientes:</w:t>
      </w:r>
    </w:p>
    <w:tbl>
      <w:tblPr>
        <w:tblW w:w="7023" w:type="dxa"/>
        <w:jc w:val="center"/>
        <w:tblCellMar>
          <w:left w:w="70" w:type="dxa"/>
          <w:right w:w="70" w:type="dxa"/>
        </w:tblCellMar>
        <w:tblLook w:val="04A0" w:firstRow="1" w:lastRow="0" w:firstColumn="1" w:lastColumn="0" w:noHBand="0" w:noVBand="1"/>
      </w:tblPr>
      <w:tblGrid>
        <w:gridCol w:w="5202"/>
        <w:gridCol w:w="1821"/>
      </w:tblGrid>
      <w:tr w:rsidR="00234F6B" w:rsidRPr="00CF08D6" w:rsidTr="00B962A8">
        <w:trPr>
          <w:trHeight w:val="300"/>
          <w:jc w:val="center"/>
        </w:trPr>
        <w:tc>
          <w:tcPr>
            <w:tcW w:w="5202"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Concepto</w:t>
            </w:r>
          </w:p>
        </w:tc>
        <w:tc>
          <w:tcPr>
            <w:tcW w:w="1821"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Importe</w:t>
            </w:r>
          </w:p>
        </w:tc>
      </w:tr>
      <w:tr w:rsidR="00234F6B" w:rsidRPr="00CF08D6" w:rsidTr="00B962A8">
        <w:trPr>
          <w:trHeight w:val="300"/>
          <w:jc w:val="center"/>
        </w:trPr>
        <w:tc>
          <w:tcPr>
            <w:tcW w:w="5202"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Gastos de funcionamiento (1)</w:t>
            </w:r>
          </w:p>
        </w:tc>
        <w:tc>
          <w:tcPr>
            <w:tcW w:w="1821" w:type="dxa"/>
            <w:tcBorders>
              <w:top w:val="nil"/>
              <w:left w:val="nil"/>
              <w:bottom w:val="nil"/>
              <w:right w:val="nil"/>
            </w:tcBorders>
            <w:shd w:val="clear" w:color="000000" w:fill="FFFFFF"/>
            <w:vAlign w:val="center"/>
            <w:hideMark/>
          </w:tcPr>
          <w:p w:rsidR="005D0A65" w:rsidRPr="00CF08D6" w:rsidRDefault="005D0A65"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bCs/>
                <w:color w:val="000000"/>
                <w:sz w:val="20"/>
                <w:szCs w:val="20"/>
                <w:lang w:eastAsia="es-MX"/>
              </w:rPr>
              <w:t>$</w:t>
            </w:r>
            <w:r w:rsidR="00B90AC9" w:rsidRPr="00CF08D6">
              <w:rPr>
                <w:rFonts w:ascii="Barlow" w:eastAsia="Times New Roman" w:hAnsi="Barlow" w:cs="Calibri"/>
                <w:bCs/>
                <w:color w:val="000000"/>
                <w:sz w:val="20"/>
                <w:szCs w:val="20"/>
                <w:lang w:eastAsia="es-MX"/>
              </w:rPr>
              <w:t>6,323,126.44</w:t>
            </w:r>
          </w:p>
        </w:tc>
      </w:tr>
      <w:tr w:rsidR="00234F6B" w:rsidRPr="00CF08D6" w:rsidTr="00B962A8">
        <w:trPr>
          <w:trHeight w:val="510"/>
          <w:jc w:val="center"/>
        </w:trPr>
        <w:tc>
          <w:tcPr>
            <w:tcW w:w="5202"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Otros gastos y pérdidas extraordinarias (2)</w:t>
            </w:r>
          </w:p>
        </w:tc>
        <w:tc>
          <w:tcPr>
            <w:tcW w:w="1821" w:type="dxa"/>
            <w:tcBorders>
              <w:top w:val="nil"/>
              <w:left w:val="nil"/>
              <w:bottom w:val="nil"/>
              <w:right w:val="nil"/>
            </w:tcBorders>
            <w:shd w:val="clear" w:color="000000" w:fill="FFFFFF"/>
            <w:vAlign w:val="center"/>
            <w:hideMark/>
          </w:tcPr>
          <w:p w:rsidR="005D0A65" w:rsidRPr="00CF08D6" w:rsidRDefault="005D0A65"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bCs/>
                <w:color w:val="000000"/>
                <w:sz w:val="20"/>
                <w:szCs w:val="20"/>
                <w:lang w:eastAsia="es-MX"/>
              </w:rPr>
              <w:t>$</w:t>
            </w:r>
            <w:r w:rsidR="00B90AC9" w:rsidRPr="00CF08D6">
              <w:rPr>
                <w:rFonts w:ascii="Barlow" w:eastAsia="Times New Roman" w:hAnsi="Barlow" w:cs="Calibri"/>
                <w:bCs/>
                <w:color w:val="000000"/>
                <w:sz w:val="20"/>
                <w:szCs w:val="20"/>
                <w:lang w:eastAsia="es-MX"/>
              </w:rPr>
              <w:t>1,385,609.41</w:t>
            </w:r>
          </w:p>
        </w:tc>
      </w:tr>
      <w:tr w:rsidR="00234F6B" w:rsidRPr="00CF08D6" w:rsidTr="00B962A8">
        <w:trPr>
          <w:trHeight w:val="300"/>
          <w:jc w:val="center"/>
        </w:trPr>
        <w:tc>
          <w:tcPr>
            <w:tcW w:w="5202"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Total Gastos</w:t>
            </w:r>
          </w:p>
        </w:tc>
        <w:tc>
          <w:tcPr>
            <w:tcW w:w="1821" w:type="dxa"/>
            <w:tcBorders>
              <w:top w:val="single" w:sz="4" w:space="0" w:color="auto"/>
              <w:left w:val="nil"/>
              <w:bottom w:val="nil"/>
              <w:right w:val="nil"/>
            </w:tcBorders>
            <w:shd w:val="clear" w:color="000000" w:fill="FFFFFF"/>
            <w:vAlign w:val="center"/>
            <w:hideMark/>
          </w:tcPr>
          <w:p w:rsidR="009D50A9" w:rsidRPr="00CF08D6" w:rsidRDefault="005D0A65" w:rsidP="00B90AC9">
            <w:pPr>
              <w:spacing w:after="0" w:line="240" w:lineRule="auto"/>
              <w:jc w:val="right"/>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w:t>
            </w:r>
            <w:r w:rsidR="00B90AC9" w:rsidRPr="00CF08D6">
              <w:rPr>
                <w:rFonts w:ascii="Barlow" w:eastAsia="Times New Roman" w:hAnsi="Barlow" w:cs="Calibri"/>
                <w:b/>
                <w:bCs/>
                <w:color w:val="000000"/>
                <w:sz w:val="20"/>
                <w:szCs w:val="20"/>
                <w:lang w:eastAsia="es-MX"/>
              </w:rPr>
              <w:t>7,708,735.85</w:t>
            </w:r>
          </w:p>
        </w:tc>
      </w:tr>
    </w:tbl>
    <w:p w:rsidR="009D50A9" w:rsidRPr="00CF08D6" w:rsidRDefault="009D50A9" w:rsidP="009D50A9">
      <w:pPr>
        <w:pStyle w:val="Prrafodelista"/>
        <w:autoSpaceDE w:val="0"/>
        <w:autoSpaceDN w:val="0"/>
        <w:adjustRightInd w:val="0"/>
        <w:spacing w:after="160" w:line="240" w:lineRule="auto"/>
        <w:ind w:left="885"/>
        <w:jc w:val="both"/>
        <w:rPr>
          <w:rFonts w:ascii="Barlow" w:hAnsi="Barlow" w:cs="Arial"/>
          <w:sz w:val="20"/>
          <w:szCs w:val="20"/>
        </w:rPr>
      </w:pPr>
    </w:p>
    <w:p w:rsidR="00FC39E1" w:rsidRPr="00CF08D6" w:rsidRDefault="00FC39E1" w:rsidP="009D50A9">
      <w:pPr>
        <w:pStyle w:val="Prrafodelista"/>
        <w:autoSpaceDE w:val="0"/>
        <w:autoSpaceDN w:val="0"/>
        <w:adjustRightInd w:val="0"/>
        <w:spacing w:after="160" w:line="240" w:lineRule="auto"/>
        <w:ind w:left="885"/>
        <w:jc w:val="both"/>
        <w:rPr>
          <w:rFonts w:ascii="Barlow" w:hAnsi="Barlow" w:cs="Arial"/>
          <w:sz w:val="20"/>
          <w:szCs w:val="20"/>
        </w:rPr>
      </w:pPr>
    </w:p>
    <w:p w:rsidR="005D0A65" w:rsidRPr="00CF08D6" w:rsidRDefault="0077307C" w:rsidP="005D0A65">
      <w:pPr>
        <w:pStyle w:val="Prrafodelista"/>
        <w:numPr>
          <w:ilvl w:val="0"/>
          <w:numId w:val="30"/>
        </w:numPr>
        <w:autoSpaceDE w:val="0"/>
        <w:autoSpaceDN w:val="0"/>
        <w:adjustRightInd w:val="0"/>
        <w:spacing w:after="160" w:line="240" w:lineRule="auto"/>
        <w:jc w:val="both"/>
        <w:rPr>
          <w:rFonts w:ascii="Barlow" w:hAnsi="Barlow" w:cs="Arial"/>
          <w:sz w:val="20"/>
          <w:szCs w:val="20"/>
        </w:rPr>
      </w:pPr>
      <w:r w:rsidRPr="00CF08D6">
        <w:rPr>
          <w:rFonts w:ascii="Barlow" w:hAnsi="Barlow" w:cs="Arial"/>
          <w:sz w:val="20"/>
          <w:szCs w:val="20"/>
        </w:rPr>
        <w:t>Representa el 8</w:t>
      </w:r>
      <w:r w:rsidR="004560A9" w:rsidRPr="00CF08D6">
        <w:rPr>
          <w:rFonts w:ascii="Barlow" w:hAnsi="Barlow" w:cs="Arial"/>
          <w:sz w:val="20"/>
          <w:szCs w:val="20"/>
        </w:rPr>
        <w:t>2</w:t>
      </w:r>
      <w:r w:rsidR="005D0A65" w:rsidRPr="00CF08D6">
        <w:rPr>
          <w:rFonts w:ascii="Barlow" w:hAnsi="Barlow" w:cs="Arial"/>
          <w:sz w:val="20"/>
          <w:szCs w:val="20"/>
        </w:rPr>
        <w:t>% del total de gastos, mismos que se emplean para el pago de servicios personales, materiales y servicios en el cumplimiento de nuestra actividad primordial: Educación.</w:t>
      </w:r>
    </w:p>
    <w:p w:rsidR="005D0A65" w:rsidRPr="00CF08D6" w:rsidRDefault="00D246FE" w:rsidP="005D0A65">
      <w:pPr>
        <w:pStyle w:val="Prrafodelista"/>
        <w:numPr>
          <w:ilvl w:val="0"/>
          <w:numId w:val="30"/>
        </w:numPr>
        <w:autoSpaceDE w:val="0"/>
        <w:autoSpaceDN w:val="0"/>
        <w:adjustRightInd w:val="0"/>
        <w:spacing w:after="160" w:line="240" w:lineRule="auto"/>
        <w:jc w:val="both"/>
        <w:rPr>
          <w:rFonts w:ascii="Barlow" w:hAnsi="Barlow" w:cs="Arial"/>
          <w:sz w:val="20"/>
          <w:szCs w:val="20"/>
        </w:rPr>
      </w:pPr>
      <w:r w:rsidRPr="00CF08D6">
        <w:rPr>
          <w:rFonts w:ascii="Barlow" w:hAnsi="Barlow" w:cs="Arial"/>
          <w:sz w:val="20"/>
          <w:szCs w:val="20"/>
        </w:rPr>
        <w:t>Representa el</w:t>
      </w:r>
      <w:r w:rsidR="004A25C5" w:rsidRPr="00CF08D6">
        <w:rPr>
          <w:rFonts w:ascii="Barlow" w:hAnsi="Barlow" w:cs="Arial"/>
          <w:sz w:val="20"/>
          <w:szCs w:val="20"/>
        </w:rPr>
        <w:t xml:space="preserve"> 1</w:t>
      </w:r>
      <w:r w:rsidR="004560A9" w:rsidRPr="00CF08D6">
        <w:rPr>
          <w:rFonts w:ascii="Barlow" w:hAnsi="Barlow" w:cs="Arial"/>
          <w:sz w:val="20"/>
          <w:szCs w:val="20"/>
        </w:rPr>
        <w:t>8</w:t>
      </w:r>
      <w:r w:rsidR="005D0A65" w:rsidRPr="00CF08D6">
        <w:rPr>
          <w:rFonts w:ascii="Barlow" w:hAnsi="Barlow" w:cs="Arial"/>
          <w:sz w:val="20"/>
          <w:szCs w:val="20"/>
        </w:rPr>
        <w:t>% del total de gastos como parte de las depreciaciones y amortizaciones de los bienes muebles e inmuebles, e intangibles.</w:t>
      </w:r>
    </w:p>
    <w:p w:rsidR="005D0A65" w:rsidRPr="00CF08D6" w:rsidRDefault="005D0A65" w:rsidP="005D0A65">
      <w:pPr>
        <w:autoSpaceDE w:val="0"/>
        <w:autoSpaceDN w:val="0"/>
        <w:adjustRightInd w:val="0"/>
        <w:spacing w:line="240" w:lineRule="auto"/>
        <w:jc w:val="both"/>
        <w:rPr>
          <w:rFonts w:ascii="Barlow" w:hAnsi="Barlow" w:cs="Arial"/>
          <w:b/>
          <w:sz w:val="20"/>
          <w:szCs w:val="20"/>
        </w:rPr>
      </w:pP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lastRenderedPageBreak/>
        <w:t>III) NOTAS AL ESTADO DE VARIACIÓN EN LA HACIENDA PÚBLICA</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1. La Universidad de Oriente no tiene registro del rubro de modificaciones al patrimonio contribuido.</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2. El rubro de modificaciones al patrimonio generado, contempla lo siguiente:</w:t>
      </w:r>
    </w:p>
    <w:tbl>
      <w:tblPr>
        <w:tblW w:w="5670" w:type="dxa"/>
        <w:jc w:val="center"/>
        <w:tblCellMar>
          <w:left w:w="70" w:type="dxa"/>
          <w:right w:w="70" w:type="dxa"/>
        </w:tblCellMar>
        <w:tblLook w:val="04A0" w:firstRow="1" w:lastRow="0" w:firstColumn="1" w:lastColumn="0" w:noHBand="0" w:noVBand="1"/>
      </w:tblPr>
      <w:tblGrid>
        <w:gridCol w:w="3577"/>
        <w:gridCol w:w="2093"/>
      </w:tblGrid>
      <w:tr w:rsidR="005D0A65" w:rsidRPr="00CF08D6" w:rsidTr="008A23DD">
        <w:trPr>
          <w:trHeight w:val="510"/>
          <w:jc w:val="center"/>
        </w:trPr>
        <w:tc>
          <w:tcPr>
            <w:tcW w:w="3577"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Modificaciones al Patrimonio</w:t>
            </w:r>
          </w:p>
        </w:tc>
        <w:tc>
          <w:tcPr>
            <w:tcW w:w="2093"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Importe</w:t>
            </w:r>
          </w:p>
        </w:tc>
      </w:tr>
      <w:tr w:rsidR="005D0A65" w:rsidRPr="00CF08D6" w:rsidTr="008A23DD">
        <w:trPr>
          <w:trHeight w:val="300"/>
          <w:jc w:val="center"/>
        </w:trPr>
        <w:tc>
          <w:tcPr>
            <w:tcW w:w="3577"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Patrimonio Generado (1)</w:t>
            </w:r>
          </w:p>
        </w:tc>
        <w:tc>
          <w:tcPr>
            <w:tcW w:w="2093" w:type="dxa"/>
            <w:tcBorders>
              <w:top w:val="nil"/>
              <w:left w:val="nil"/>
              <w:bottom w:val="nil"/>
              <w:right w:val="nil"/>
            </w:tcBorders>
            <w:shd w:val="clear" w:color="000000" w:fill="FFFFFF"/>
            <w:vAlign w:val="center"/>
            <w:hideMark/>
          </w:tcPr>
          <w:p w:rsidR="005D0A65" w:rsidRPr="00CF08D6" w:rsidRDefault="005D0A65" w:rsidP="00B962A8">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w:t>
            </w:r>
            <w:r w:rsidR="00B962A8" w:rsidRPr="00CF08D6">
              <w:rPr>
                <w:rFonts w:ascii="Barlow" w:eastAsia="Times New Roman" w:hAnsi="Barlow" w:cs="Calibri"/>
                <w:color w:val="000000"/>
                <w:sz w:val="20"/>
                <w:szCs w:val="20"/>
                <w:lang w:eastAsia="es-MX"/>
              </w:rPr>
              <w:t>30,908,444.16</w:t>
            </w:r>
          </w:p>
        </w:tc>
      </w:tr>
      <w:tr w:rsidR="005D0A65" w:rsidRPr="00CF08D6" w:rsidTr="008A23DD">
        <w:trPr>
          <w:trHeight w:val="300"/>
          <w:jc w:val="center"/>
        </w:trPr>
        <w:tc>
          <w:tcPr>
            <w:tcW w:w="3577" w:type="dxa"/>
            <w:tcBorders>
              <w:top w:val="nil"/>
              <w:left w:val="nil"/>
              <w:bottom w:val="nil"/>
              <w:right w:val="nil"/>
            </w:tcBorders>
            <w:shd w:val="clear" w:color="000000" w:fill="FFFFFF"/>
            <w:vAlign w:val="center"/>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p>
        </w:tc>
        <w:tc>
          <w:tcPr>
            <w:tcW w:w="2093" w:type="dxa"/>
            <w:tcBorders>
              <w:top w:val="nil"/>
              <w:left w:val="nil"/>
              <w:bottom w:val="nil"/>
              <w:right w:val="nil"/>
            </w:tcBorders>
            <w:shd w:val="clear" w:color="000000" w:fill="FFFFFF"/>
            <w:vAlign w:val="center"/>
          </w:tcPr>
          <w:p w:rsidR="005D0A65" w:rsidRPr="00CF08D6" w:rsidRDefault="005D0A65" w:rsidP="008A23DD">
            <w:pPr>
              <w:spacing w:after="0" w:line="240" w:lineRule="auto"/>
              <w:rPr>
                <w:rFonts w:ascii="Barlow" w:eastAsia="Times New Roman" w:hAnsi="Barlow" w:cs="Calibri"/>
                <w:color w:val="000000"/>
                <w:sz w:val="20"/>
                <w:szCs w:val="20"/>
                <w:lang w:eastAsia="es-MX"/>
              </w:rPr>
            </w:pPr>
          </w:p>
        </w:tc>
      </w:tr>
    </w:tbl>
    <w:p w:rsidR="005D0A65" w:rsidRPr="00CF08D6" w:rsidRDefault="005D0A65" w:rsidP="005D0A65">
      <w:pPr>
        <w:pStyle w:val="Prrafodelista"/>
        <w:numPr>
          <w:ilvl w:val="0"/>
          <w:numId w:val="32"/>
        </w:numPr>
        <w:autoSpaceDE w:val="0"/>
        <w:autoSpaceDN w:val="0"/>
        <w:adjustRightInd w:val="0"/>
        <w:spacing w:after="160" w:line="240" w:lineRule="auto"/>
        <w:jc w:val="both"/>
        <w:rPr>
          <w:rFonts w:ascii="Barlow" w:hAnsi="Barlow" w:cs="Arial"/>
          <w:sz w:val="20"/>
          <w:szCs w:val="20"/>
        </w:rPr>
      </w:pPr>
      <w:r w:rsidRPr="00CF08D6">
        <w:rPr>
          <w:rFonts w:ascii="Barlow" w:hAnsi="Barlow" w:cs="Arial"/>
          <w:sz w:val="20"/>
          <w:szCs w:val="20"/>
        </w:rPr>
        <w:t>Son movimientos al resultado de ejercicios anteriores por</w:t>
      </w:r>
      <w:r w:rsidR="00076403" w:rsidRPr="00CF08D6">
        <w:rPr>
          <w:rFonts w:ascii="Barlow" w:hAnsi="Barlow" w:cs="Arial"/>
          <w:sz w:val="20"/>
          <w:szCs w:val="20"/>
        </w:rPr>
        <w:t xml:space="preserve"> el resultado del ejercicio 20</w:t>
      </w:r>
      <w:r w:rsidR="00B962A8" w:rsidRPr="00CF08D6">
        <w:rPr>
          <w:rFonts w:ascii="Barlow" w:hAnsi="Barlow" w:cs="Arial"/>
          <w:sz w:val="20"/>
          <w:szCs w:val="20"/>
        </w:rPr>
        <w:t>20</w:t>
      </w:r>
    </w:p>
    <w:p w:rsidR="005D0A65" w:rsidRPr="00CF08D6" w:rsidRDefault="005D0A65" w:rsidP="005D0A65">
      <w:pPr>
        <w:autoSpaceDE w:val="0"/>
        <w:autoSpaceDN w:val="0"/>
        <w:adjustRightInd w:val="0"/>
        <w:spacing w:line="240" w:lineRule="auto"/>
        <w:jc w:val="both"/>
        <w:rPr>
          <w:rFonts w:ascii="Barlow" w:hAnsi="Barlow" w:cs="Arial"/>
          <w:b/>
          <w:sz w:val="20"/>
          <w:szCs w:val="20"/>
        </w:rPr>
      </w:pP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IV) NOTAS AL ESTADO DE FLUJOS DE EFECTIVO</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Efectivo y equivalentes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1. El análisis de los saldos inicial y final que figuran en la última parte del Estad</w:t>
      </w:r>
      <w:r w:rsidR="00D163BE" w:rsidRPr="00CF08D6">
        <w:rPr>
          <w:rFonts w:ascii="Barlow" w:hAnsi="Barlow" w:cs="Arial"/>
          <w:sz w:val="20"/>
          <w:szCs w:val="20"/>
        </w:rPr>
        <w:t>o</w:t>
      </w:r>
      <w:r w:rsidRPr="00CF08D6">
        <w:rPr>
          <w:rFonts w:ascii="Barlow" w:hAnsi="Barlow" w:cs="Arial"/>
          <w:sz w:val="20"/>
          <w:szCs w:val="20"/>
        </w:rPr>
        <w:t xml:space="preserve"> de Flujos de Efectivo en la cuenta de efectivo y equivalentes es como sigue:</w:t>
      </w:r>
    </w:p>
    <w:tbl>
      <w:tblPr>
        <w:tblW w:w="8683" w:type="dxa"/>
        <w:jc w:val="center"/>
        <w:tblCellMar>
          <w:left w:w="70" w:type="dxa"/>
          <w:right w:w="70" w:type="dxa"/>
        </w:tblCellMar>
        <w:tblLook w:val="04A0" w:firstRow="1" w:lastRow="0" w:firstColumn="1" w:lastColumn="0" w:noHBand="0" w:noVBand="1"/>
      </w:tblPr>
      <w:tblGrid>
        <w:gridCol w:w="4510"/>
        <w:gridCol w:w="2041"/>
        <w:gridCol w:w="2132"/>
      </w:tblGrid>
      <w:tr w:rsidR="005D0A65" w:rsidRPr="00CF08D6" w:rsidTr="004031C6">
        <w:trPr>
          <w:trHeight w:val="300"/>
          <w:jc w:val="center"/>
        </w:trPr>
        <w:tc>
          <w:tcPr>
            <w:tcW w:w="451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Concepto</w:t>
            </w:r>
          </w:p>
        </w:tc>
        <w:tc>
          <w:tcPr>
            <w:tcW w:w="2041" w:type="dxa"/>
            <w:tcBorders>
              <w:top w:val="nil"/>
              <w:left w:val="nil"/>
              <w:bottom w:val="nil"/>
              <w:right w:val="nil"/>
            </w:tcBorders>
            <w:shd w:val="clear" w:color="000000" w:fill="FFFFFF"/>
            <w:vAlign w:val="center"/>
            <w:hideMark/>
          </w:tcPr>
          <w:p w:rsidR="005D0A65" w:rsidRPr="00CF08D6" w:rsidRDefault="005D0A65" w:rsidP="00251762">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20</w:t>
            </w:r>
            <w:r w:rsidR="00076403" w:rsidRPr="00CF08D6">
              <w:rPr>
                <w:rFonts w:ascii="Barlow" w:eastAsia="Times New Roman" w:hAnsi="Barlow" w:cs="Calibri"/>
                <w:b/>
                <w:bCs/>
                <w:color w:val="000000"/>
                <w:sz w:val="20"/>
                <w:szCs w:val="20"/>
                <w:lang w:eastAsia="es-MX"/>
              </w:rPr>
              <w:t>2</w:t>
            </w:r>
            <w:r w:rsidR="00B962A8" w:rsidRPr="00CF08D6">
              <w:rPr>
                <w:rFonts w:ascii="Barlow" w:eastAsia="Times New Roman" w:hAnsi="Barlow" w:cs="Calibri"/>
                <w:b/>
                <w:bCs/>
                <w:color w:val="000000"/>
                <w:sz w:val="20"/>
                <w:szCs w:val="20"/>
                <w:lang w:eastAsia="es-MX"/>
              </w:rPr>
              <w:t>1</w:t>
            </w:r>
          </w:p>
        </w:tc>
        <w:tc>
          <w:tcPr>
            <w:tcW w:w="2132" w:type="dxa"/>
            <w:tcBorders>
              <w:top w:val="nil"/>
              <w:left w:val="nil"/>
              <w:bottom w:val="nil"/>
              <w:right w:val="nil"/>
            </w:tcBorders>
            <w:shd w:val="clear" w:color="auto" w:fill="auto"/>
            <w:vAlign w:val="center"/>
            <w:hideMark/>
          </w:tcPr>
          <w:p w:rsidR="005D0A65" w:rsidRPr="00CF08D6" w:rsidRDefault="005D0A65" w:rsidP="00251762">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20</w:t>
            </w:r>
            <w:r w:rsidR="00B962A8" w:rsidRPr="00CF08D6">
              <w:rPr>
                <w:rFonts w:ascii="Barlow" w:eastAsia="Times New Roman" w:hAnsi="Barlow" w:cs="Calibri"/>
                <w:b/>
                <w:bCs/>
                <w:color w:val="000000"/>
                <w:sz w:val="20"/>
                <w:szCs w:val="20"/>
                <w:lang w:eastAsia="es-MX"/>
              </w:rPr>
              <w:t>20</w:t>
            </w:r>
          </w:p>
        </w:tc>
      </w:tr>
      <w:tr w:rsidR="005D0A65" w:rsidRPr="00CF08D6" w:rsidTr="004031C6">
        <w:trPr>
          <w:cantSplit/>
          <w:trHeight w:val="300"/>
          <w:jc w:val="center"/>
        </w:trPr>
        <w:tc>
          <w:tcPr>
            <w:tcW w:w="451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Efectivo</w:t>
            </w:r>
          </w:p>
        </w:tc>
        <w:tc>
          <w:tcPr>
            <w:tcW w:w="2041" w:type="dxa"/>
            <w:tcBorders>
              <w:top w:val="nil"/>
              <w:left w:val="nil"/>
              <w:bottom w:val="nil"/>
              <w:right w:val="nil"/>
            </w:tcBorders>
            <w:shd w:val="clear" w:color="000000" w:fill="FFFFFF"/>
            <w:vAlign w:val="center"/>
            <w:hideMark/>
          </w:tcPr>
          <w:p w:rsidR="005D0A65" w:rsidRPr="00CF08D6" w:rsidRDefault="004A75D9" w:rsidP="00B962A8">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val="es-ES" w:eastAsia="es-MX"/>
              </w:rPr>
              <w:t>$</w:t>
            </w:r>
            <w:r w:rsidR="00B962A8" w:rsidRPr="00CF08D6">
              <w:rPr>
                <w:rFonts w:ascii="Barlow" w:eastAsia="Times New Roman" w:hAnsi="Barlow" w:cs="Calibri"/>
                <w:color w:val="000000"/>
                <w:sz w:val="20"/>
                <w:szCs w:val="20"/>
                <w:lang w:val="es-ES" w:eastAsia="es-MX"/>
              </w:rPr>
              <w:t>36,000.00</w:t>
            </w:r>
          </w:p>
        </w:tc>
        <w:tc>
          <w:tcPr>
            <w:tcW w:w="2132" w:type="dxa"/>
            <w:tcBorders>
              <w:top w:val="nil"/>
              <w:left w:val="nil"/>
              <w:bottom w:val="nil"/>
              <w:right w:val="nil"/>
            </w:tcBorders>
            <w:shd w:val="clear" w:color="auto" w:fill="auto"/>
            <w:vAlign w:val="center"/>
            <w:hideMark/>
          </w:tcPr>
          <w:p w:rsidR="005D0A65" w:rsidRPr="00CF08D6" w:rsidRDefault="0077307C" w:rsidP="004A75D9">
            <w:pPr>
              <w:spacing w:after="0" w:line="240" w:lineRule="auto"/>
              <w:jc w:val="right"/>
              <w:rPr>
                <w:rFonts w:ascii="Barlow" w:eastAsia="Times New Roman" w:hAnsi="Barlow" w:cs="Calibri"/>
                <w:color w:val="000000"/>
                <w:sz w:val="20"/>
                <w:szCs w:val="20"/>
                <w:lang w:val="es-ES" w:eastAsia="es-MX"/>
              </w:rPr>
            </w:pPr>
            <w:r w:rsidRPr="00CF08D6">
              <w:rPr>
                <w:rFonts w:ascii="Barlow" w:eastAsia="Times New Roman" w:hAnsi="Barlow" w:cs="Calibri"/>
                <w:color w:val="000000"/>
                <w:sz w:val="20"/>
                <w:szCs w:val="20"/>
                <w:lang w:val="es-ES" w:eastAsia="es-MX"/>
              </w:rPr>
              <w:t>$</w:t>
            </w:r>
            <w:r w:rsidR="004F605A" w:rsidRPr="00CF08D6">
              <w:rPr>
                <w:rFonts w:ascii="Barlow" w:eastAsia="Times New Roman" w:hAnsi="Barlow" w:cs="Calibri"/>
                <w:color w:val="000000"/>
                <w:sz w:val="20"/>
                <w:szCs w:val="20"/>
                <w:lang w:val="es-ES" w:eastAsia="es-MX"/>
              </w:rPr>
              <w:t>31</w:t>
            </w:r>
            <w:r w:rsidR="003116A7" w:rsidRPr="00CF08D6">
              <w:rPr>
                <w:rFonts w:ascii="Barlow" w:eastAsia="Times New Roman" w:hAnsi="Barlow" w:cs="Calibri"/>
                <w:color w:val="000000"/>
                <w:sz w:val="20"/>
                <w:szCs w:val="20"/>
                <w:lang w:val="es-ES" w:eastAsia="es-MX"/>
              </w:rPr>
              <w:t>,</w:t>
            </w:r>
            <w:r w:rsidR="004A75D9" w:rsidRPr="00CF08D6">
              <w:rPr>
                <w:rFonts w:ascii="Barlow" w:eastAsia="Times New Roman" w:hAnsi="Barlow" w:cs="Calibri"/>
                <w:color w:val="000000"/>
                <w:sz w:val="20"/>
                <w:szCs w:val="20"/>
                <w:lang w:val="es-ES" w:eastAsia="es-MX"/>
              </w:rPr>
              <w:t>0</w:t>
            </w:r>
            <w:r w:rsidR="003116A7" w:rsidRPr="00CF08D6">
              <w:rPr>
                <w:rFonts w:ascii="Barlow" w:eastAsia="Times New Roman" w:hAnsi="Barlow" w:cs="Calibri"/>
                <w:color w:val="000000"/>
                <w:sz w:val="20"/>
                <w:szCs w:val="20"/>
                <w:lang w:val="es-ES" w:eastAsia="es-MX"/>
              </w:rPr>
              <w:t>00</w:t>
            </w:r>
            <w:r w:rsidR="004A75D9" w:rsidRPr="00CF08D6">
              <w:rPr>
                <w:rFonts w:ascii="Barlow" w:eastAsia="Times New Roman" w:hAnsi="Barlow" w:cs="Calibri"/>
                <w:color w:val="000000"/>
                <w:sz w:val="20"/>
                <w:szCs w:val="20"/>
                <w:lang w:val="es-ES" w:eastAsia="es-MX"/>
              </w:rPr>
              <w:t>.00</w:t>
            </w:r>
          </w:p>
        </w:tc>
      </w:tr>
      <w:tr w:rsidR="005D0A65" w:rsidRPr="00CF08D6" w:rsidTr="004031C6">
        <w:trPr>
          <w:cantSplit/>
          <w:trHeight w:val="300"/>
          <w:jc w:val="center"/>
        </w:trPr>
        <w:tc>
          <w:tcPr>
            <w:tcW w:w="451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Efectivo en Bancos- Dependencias</w:t>
            </w:r>
          </w:p>
        </w:tc>
        <w:tc>
          <w:tcPr>
            <w:tcW w:w="2041" w:type="dxa"/>
            <w:tcBorders>
              <w:top w:val="nil"/>
              <w:left w:val="nil"/>
              <w:bottom w:val="nil"/>
              <w:right w:val="nil"/>
            </w:tcBorders>
            <w:shd w:val="clear" w:color="000000" w:fill="FFFFFF"/>
            <w:vAlign w:val="center"/>
            <w:hideMark/>
          </w:tcPr>
          <w:p w:rsidR="005D0A65" w:rsidRPr="00CF08D6" w:rsidRDefault="00560518" w:rsidP="00B90AC9">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w:t>
            </w:r>
            <w:r w:rsidR="00B90AC9" w:rsidRPr="00CF08D6">
              <w:rPr>
                <w:rFonts w:ascii="Barlow" w:eastAsia="Times New Roman" w:hAnsi="Barlow" w:cs="Calibri"/>
                <w:color w:val="000000"/>
                <w:sz w:val="20"/>
                <w:szCs w:val="20"/>
                <w:lang w:eastAsia="es-MX"/>
              </w:rPr>
              <w:t>4,214,861.34</w:t>
            </w:r>
          </w:p>
        </w:tc>
        <w:tc>
          <w:tcPr>
            <w:tcW w:w="2132" w:type="dxa"/>
            <w:tcBorders>
              <w:top w:val="nil"/>
              <w:left w:val="nil"/>
              <w:bottom w:val="nil"/>
              <w:right w:val="nil"/>
            </w:tcBorders>
            <w:shd w:val="clear" w:color="auto" w:fill="auto"/>
            <w:vAlign w:val="center"/>
            <w:hideMark/>
          </w:tcPr>
          <w:p w:rsidR="005D0A65" w:rsidRPr="00CF08D6" w:rsidRDefault="003116A7" w:rsidP="00234F6B">
            <w:pPr>
              <w:spacing w:after="0" w:line="240" w:lineRule="auto"/>
              <w:jc w:val="right"/>
              <w:rPr>
                <w:rFonts w:ascii="Barlow" w:eastAsia="Times New Roman" w:hAnsi="Barlow" w:cs="Calibri"/>
                <w:color w:val="000000"/>
                <w:sz w:val="20"/>
                <w:szCs w:val="20"/>
                <w:lang w:val="es-ES" w:eastAsia="es-MX"/>
              </w:rPr>
            </w:pPr>
            <w:r w:rsidRPr="00CF08D6">
              <w:rPr>
                <w:rFonts w:ascii="Barlow" w:eastAsia="Times New Roman" w:hAnsi="Barlow" w:cs="Calibri"/>
                <w:color w:val="000000"/>
                <w:sz w:val="20"/>
                <w:szCs w:val="20"/>
                <w:lang w:val="es-ES" w:eastAsia="es-MX"/>
              </w:rPr>
              <w:t>$</w:t>
            </w:r>
            <w:r w:rsidR="00B90AC9" w:rsidRPr="00CF08D6">
              <w:rPr>
                <w:rFonts w:ascii="Barlow" w:eastAsia="Times New Roman" w:hAnsi="Barlow" w:cs="Calibri"/>
                <w:color w:val="000000"/>
                <w:sz w:val="20"/>
                <w:szCs w:val="20"/>
                <w:lang w:val="es-ES" w:eastAsia="es-MX"/>
              </w:rPr>
              <w:t>1,677,803.83</w:t>
            </w:r>
          </w:p>
        </w:tc>
      </w:tr>
      <w:tr w:rsidR="005D0A65" w:rsidRPr="00CF08D6" w:rsidTr="004031C6">
        <w:trPr>
          <w:cantSplit/>
          <w:trHeight w:val="300"/>
          <w:jc w:val="center"/>
        </w:trPr>
        <w:tc>
          <w:tcPr>
            <w:tcW w:w="451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Fondos con afectación específica</w:t>
            </w:r>
          </w:p>
        </w:tc>
        <w:tc>
          <w:tcPr>
            <w:tcW w:w="2041" w:type="dxa"/>
            <w:tcBorders>
              <w:top w:val="nil"/>
              <w:left w:val="nil"/>
              <w:bottom w:val="nil"/>
              <w:right w:val="nil"/>
            </w:tcBorders>
            <w:shd w:val="clear" w:color="000000" w:fill="FFFFFF"/>
            <w:vAlign w:val="center"/>
            <w:hideMark/>
          </w:tcPr>
          <w:p w:rsidR="005D0A65" w:rsidRPr="00CF08D6" w:rsidRDefault="00560518" w:rsidP="00232165">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w:t>
            </w:r>
            <w:r w:rsidR="00232165" w:rsidRPr="00CF08D6">
              <w:rPr>
                <w:rFonts w:ascii="Barlow" w:eastAsia="Times New Roman" w:hAnsi="Barlow" w:cs="Calibri"/>
                <w:color w:val="000000"/>
                <w:sz w:val="20"/>
                <w:szCs w:val="20"/>
                <w:lang w:eastAsia="es-MX"/>
              </w:rPr>
              <w:t>1,508,258.53</w:t>
            </w:r>
          </w:p>
        </w:tc>
        <w:tc>
          <w:tcPr>
            <w:tcW w:w="2132" w:type="dxa"/>
            <w:tcBorders>
              <w:top w:val="nil"/>
              <w:left w:val="nil"/>
              <w:bottom w:val="nil"/>
              <w:right w:val="nil"/>
            </w:tcBorders>
            <w:shd w:val="clear" w:color="auto" w:fill="auto"/>
            <w:vAlign w:val="center"/>
            <w:hideMark/>
          </w:tcPr>
          <w:p w:rsidR="005D0A65" w:rsidRPr="00CF08D6" w:rsidRDefault="004F605A" w:rsidP="00FC39E1">
            <w:pPr>
              <w:spacing w:after="0" w:line="240" w:lineRule="auto"/>
              <w:jc w:val="right"/>
              <w:rPr>
                <w:rFonts w:ascii="Barlow" w:eastAsia="Times New Roman" w:hAnsi="Barlow" w:cs="Calibri"/>
                <w:color w:val="000000"/>
                <w:sz w:val="20"/>
                <w:szCs w:val="20"/>
                <w:lang w:val="es-ES" w:eastAsia="es-MX"/>
              </w:rPr>
            </w:pPr>
            <w:r w:rsidRPr="00CF08D6">
              <w:rPr>
                <w:rFonts w:ascii="Barlow" w:eastAsia="Times New Roman" w:hAnsi="Barlow" w:cs="Calibri"/>
                <w:color w:val="000000"/>
                <w:sz w:val="20"/>
                <w:szCs w:val="20"/>
                <w:lang w:val="es-ES" w:eastAsia="es-MX"/>
              </w:rPr>
              <w:t>$</w:t>
            </w:r>
            <w:r w:rsidR="00B90AC9" w:rsidRPr="00CF08D6">
              <w:rPr>
                <w:rFonts w:ascii="Barlow" w:eastAsia="Times New Roman" w:hAnsi="Barlow" w:cs="Calibri"/>
                <w:color w:val="000000"/>
                <w:sz w:val="20"/>
                <w:szCs w:val="20"/>
                <w:lang w:val="es-ES" w:eastAsia="es-MX"/>
              </w:rPr>
              <w:t>11,264.41</w:t>
            </w:r>
          </w:p>
        </w:tc>
      </w:tr>
      <w:tr w:rsidR="005D0A65" w:rsidRPr="00CF08D6" w:rsidTr="004031C6">
        <w:trPr>
          <w:cantSplit/>
          <w:trHeight w:val="300"/>
          <w:jc w:val="center"/>
        </w:trPr>
        <w:tc>
          <w:tcPr>
            <w:tcW w:w="451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Total de Efectivo y Equivalentes</w:t>
            </w:r>
          </w:p>
        </w:tc>
        <w:tc>
          <w:tcPr>
            <w:tcW w:w="2041" w:type="dxa"/>
            <w:tcBorders>
              <w:top w:val="single" w:sz="4" w:space="0" w:color="auto"/>
              <w:left w:val="nil"/>
              <w:bottom w:val="nil"/>
              <w:right w:val="nil"/>
            </w:tcBorders>
            <w:shd w:val="clear" w:color="000000" w:fill="FFFFFF"/>
            <w:vAlign w:val="center"/>
            <w:hideMark/>
          </w:tcPr>
          <w:p w:rsidR="005D0A65" w:rsidRPr="00CF08D6" w:rsidRDefault="005D0A65" w:rsidP="00B90AC9">
            <w:pPr>
              <w:spacing w:after="0" w:line="240" w:lineRule="auto"/>
              <w:jc w:val="right"/>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 xml:space="preserve"> $</w:t>
            </w:r>
            <w:r w:rsidR="00B90AC9" w:rsidRPr="00CF08D6">
              <w:rPr>
                <w:rFonts w:ascii="Barlow" w:eastAsia="Times New Roman" w:hAnsi="Barlow" w:cs="Calibri"/>
                <w:b/>
                <w:bCs/>
                <w:color w:val="000000"/>
                <w:sz w:val="20"/>
                <w:szCs w:val="20"/>
                <w:lang w:eastAsia="es-MX"/>
              </w:rPr>
              <w:t>5,759,119.87</w:t>
            </w:r>
          </w:p>
        </w:tc>
        <w:tc>
          <w:tcPr>
            <w:tcW w:w="2132" w:type="dxa"/>
            <w:tcBorders>
              <w:top w:val="single" w:sz="4" w:space="0" w:color="auto"/>
              <w:left w:val="nil"/>
              <w:bottom w:val="nil"/>
              <w:right w:val="nil"/>
            </w:tcBorders>
            <w:shd w:val="clear" w:color="auto" w:fill="auto"/>
            <w:vAlign w:val="center"/>
            <w:hideMark/>
          </w:tcPr>
          <w:p w:rsidR="00E14D98" w:rsidRPr="00CF08D6" w:rsidRDefault="00E14D98" w:rsidP="0077307C">
            <w:pPr>
              <w:spacing w:after="0" w:line="240" w:lineRule="auto"/>
              <w:jc w:val="right"/>
              <w:rPr>
                <w:rFonts w:ascii="Barlow" w:eastAsia="Times New Roman" w:hAnsi="Barlow" w:cs="Calibri"/>
                <w:b/>
                <w:bCs/>
                <w:color w:val="000000"/>
                <w:sz w:val="20"/>
                <w:szCs w:val="20"/>
                <w:lang w:eastAsia="es-MX"/>
              </w:rPr>
            </w:pPr>
          </w:p>
          <w:p w:rsidR="0077307C" w:rsidRPr="00CF08D6" w:rsidRDefault="00E14D98" w:rsidP="0077307C">
            <w:pPr>
              <w:spacing w:after="0" w:line="240" w:lineRule="auto"/>
              <w:jc w:val="right"/>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w:t>
            </w:r>
            <w:r w:rsidR="00B90AC9" w:rsidRPr="00CF08D6">
              <w:rPr>
                <w:rFonts w:ascii="Barlow" w:eastAsia="Times New Roman" w:hAnsi="Barlow" w:cs="Calibri"/>
                <w:b/>
                <w:bCs/>
                <w:color w:val="000000"/>
                <w:sz w:val="20"/>
                <w:szCs w:val="20"/>
                <w:lang w:eastAsia="es-MX"/>
              </w:rPr>
              <w:t>1,720,068.24</w:t>
            </w:r>
          </w:p>
          <w:p w:rsidR="005D0A65" w:rsidRPr="00CF08D6" w:rsidRDefault="005D0A65" w:rsidP="00234F6B">
            <w:pPr>
              <w:spacing w:after="0" w:line="240" w:lineRule="auto"/>
              <w:jc w:val="right"/>
              <w:rPr>
                <w:rFonts w:ascii="Barlow" w:eastAsia="Times New Roman" w:hAnsi="Barlow" w:cs="Calibri"/>
                <w:b/>
                <w:bCs/>
                <w:color w:val="000000"/>
                <w:sz w:val="20"/>
                <w:szCs w:val="20"/>
                <w:lang w:eastAsia="es-MX"/>
              </w:rPr>
            </w:pPr>
          </w:p>
        </w:tc>
      </w:tr>
    </w:tbl>
    <w:p w:rsidR="005D0A65" w:rsidRPr="00CF08D6" w:rsidRDefault="005D0A65" w:rsidP="005D0A65">
      <w:pPr>
        <w:autoSpaceDE w:val="0"/>
        <w:autoSpaceDN w:val="0"/>
        <w:adjustRightInd w:val="0"/>
        <w:spacing w:line="240" w:lineRule="auto"/>
        <w:jc w:val="both"/>
        <w:rPr>
          <w:rFonts w:ascii="Barlow" w:hAnsi="Barlow" w:cs="Arial"/>
          <w:sz w:val="20"/>
          <w:szCs w:val="20"/>
        </w:rPr>
      </w:pPr>
    </w:p>
    <w:p w:rsidR="004031C6" w:rsidRDefault="004031C6" w:rsidP="005D0A65">
      <w:pPr>
        <w:autoSpaceDE w:val="0"/>
        <w:autoSpaceDN w:val="0"/>
        <w:adjustRightInd w:val="0"/>
        <w:spacing w:line="240" w:lineRule="auto"/>
        <w:jc w:val="both"/>
        <w:rPr>
          <w:rFonts w:ascii="Barlow" w:hAnsi="Barlow" w:cs="Arial"/>
          <w:sz w:val="20"/>
          <w:szCs w:val="20"/>
        </w:rPr>
      </w:pPr>
    </w:p>
    <w:p w:rsidR="00CF08D6" w:rsidRPr="00CF08D6" w:rsidRDefault="00CF08D6" w:rsidP="005D0A65">
      <w:pPr>
        <w:autoSpaceDE w:val="0"/>
        <w:autoSpaceDN w:val="0"/>
        <w:adjustRightInd w:val="0"/>
        <w:spacing w:line="240" w:lineRule="auto"/>
        <w:jc w:val="both"/>
        <w:rPr>
          <w:rFonts w:ascii="Barlow" w:hAnsi="Barlow" w:cs="Arial"/>
          <w:sz w:val="20"/>
          <w:szCs w:val="20"/>
        </w:rPr>
      </w:pP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lastRenderedPageBreak/>
        <w:t>2. La Universidad de Oriente, no cuenta con registros del rubro de adquisición de bienes muebles e inmuebles.</w:t>
      </w:r>
    </w:p>
    <w:p w:rsidR="005D0A65" w:rsidRPr="00CF08D6" w:rsidRDefault="002E05AC"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 xml:space="preserve">3. </w:t>
      </w:r>
      <w:r w:rsidR="0084153C" w:rsidRPr="00CF08D6">
        <w:rPr>
          <w:rFonts w:ascii="Barlow" w:hAnsi="Barlow" w:cs="Arial"/>
          <w:sz w:val="20"/>
          <w:szCs w:val="20"/>
        </w:rPr>
        <w:t>Conciliación</w:t>
      </w:r>
      <w:r w:rsidR="005D0A65" w:rsidRPr="00CF08D6">
        <w:rPr>
          <w:rFonts w:ascii="Barlow" w:hAnsi="Barlow" w:cs="Arial"/>
          <w:sz w:val="20"/>
          <w:szCs w:val="20"/>
        </w:rPr>
        <w:t xml:space="preserve"> de los Flujos de Efectivo Netos de las Actividades de Operación y la cuenta de Ahorro/Desahorro antes de Rubros Extraordinarios:</w:t>
      </w:r>
    </w:p>
    <w:tbl>
      <w:tblPr>
        <w:tblW w:w="10263" w:type="dxa"/>
        <w:jc w:val="center"/>
        <w:tblCellMar>
          <w:left w:w="70" w:type="dxa"/>
          <w:right w:w="70" w:type="dxa"/>
        </w:tblCellMar>
        <w:tblLook w:val="04A0" w:firstRow="1" w:lastRow="0" w:firstColumn="1" w:lastColumn="0" w:noHBand="0" w:noVBand="1"/>
      </w:tblPr>
      <w:tblGrid>
        <w:gridCol w:w="6235"/>
        <w:gridCol w:w="2133"/>
        <w:gridCol w:w="1895"/>
      </w:tblGrid>
      <w:tr w:rsidR="005D0A65" w:rsidRPr="00CF08D6" w:rsidTr="006E1857">
        <w:trPr>
          <w:trHeight w:val="319"/>
          <w:jc w:val="center"/>
        </w:trPr>
        <w:tc>
          <w:tcPr>
            <w:tcW w:w="6235" w:type="dxa"/>
            <w:tcBorders>
              <w:top w:val="nil"/>
              <w:left w:val="nil"/>
              <w:bottom w:val="nil"/>
              <w:right w:val="nil"/>
            </w:tcBorders>
            <w:shd w:val="clear" w:color="000000" w:fill="FFFFFF"/>
            <w:noWrap/>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w:t>
            </w:r>
          </w:p>
        </w:tc>
        <w:tc>
          <w:tcPr>
            <w:tcW w:w="2133" w:type="dxa"/>
            <w:tcBorders>
              <w:top w:val="nil"/>
              <w:left w:val="nil"/>
              <w:bottom w:val="nil"/>
              <w:right w:val="nil"/>
            </w:tcBorders>
            <w:shd w:val="clear" w:color="000000" w:fill="FFFFFF"/>
            <w:noWrap/>
            <w:vAlign w:val="center"/>
            <w:hideMark/>
          </w:tcPr>
          <w:p w:rsidR="005D0A65" w:rsidRPr="00CF08D6" w:rsidRDefault="0084153C" w:rsidP="003116A7">
            <w:pPr>
              <w:spacing w:after="0" w:line="240" w:lineRule="auto"/>
              <w:jc w:val="center"/>
              <w:rPr>
                <w:rFonts w:ascii="Barlow" w:eastAsia="Times New Roman" w:hAnsi="Barlow" w:cs="Calibri"/>
                <w:b/>
                <w:color w:val="000000"/>
                <w:sz w:val="20"/>
                <w:szCs w:val="20"/>
                <w:lang w:eastAsia="es-MX"/>
              </w:rPr>
            </w:pPr>
            <w:r w:rsidRPr="00CF08D6">
              <w:rPr>
                <w:rFonts w:ascii="Barlow" w:eastAsia="Times New Roman" w:hAnsi="Barlow" w:cs="Calibri"/>
                <w:b/>
                <w:color w:val="000000"/>
                <w:sz w:val="20"/>
                <w:szCs w:val="20"/>
                <w:lang w:eastAsia="es-MX"/>
              </w:rPr>
              <w:t>202</w:t>
            </w:r>
            <w:r w:rsidR="003116A7" w:rsidRPr="00CF08D6">
              <w:rPr>
                <w:rFonts w:ascii="Barlow" w:eastAsia="Times New Roman" w:hAnsi="Barlow" w:cs="Calibri"/>
                <w:b/>
                <w:color w:val="000000"/>
                <w:sz w:val="20"/>
                <w:szCs w:val="20"/>
                <w:lang w:eastAsia="es-MX"/>
              </w:rPr>
              <w:t>1</w:t>
            </w:r>
          </w:p>
        </w:tc>
        <w:tc>
          <w:tcPr>
            <w:tcW w:w="1895" w:type="dxa"/>
            <w:tcBorders>
              <w:top w:val="nil"/>
              <w:left w:val="nil"/>
              <w:bottom w:val="nil"/>
              <w:right w:val="nil"/>
            </w:tcBorders>
            <w:shd w:val="clear" w:color="000000" w:fill="FFFFFF"/>
            <w:noWrap/>
            <w:vAlign w:val="center"/>
            <w:hideMark/>
          </w:tcPr>
          <w:p w:rsidR="005D0A65" w:rsidRPr="00CF08D6" w:rsidRDefault="0084153C" w:rsidP="003116A7">
            <w:pPr>
              <w:spacing w:after="0" w:line="240" w:lineRule="auto"/>
              <w:jc w:val="center"/>
              <w:rPr>
                <w:rFonts w:ascii="Barlow" w:eastAsia="Times New Roman" w:hAnsi="Barlow" w:cs="Calibri"/>
                <w:b/>
                <w:color w:val="000000"/>
                <w:sz w:val="20"/>
                <w:szCs w:val="20"/>
                <w:lang w:eastAsia="es-MX"/>
              </w:rPr>
            </w:pPr>
            <w:r w:rsidRPr="00CF08D6">
              <w:rPr>
                <w:rFonts w:ascii="Barlow" w:eastAsia="Times New Roman" w:hAnsi="Barlow" w:cs="Calibri"/>
                <w:b/>
                <w:color w:val="000000"/>
                <w:sz w:val="20"/>
                <w:szCs w:val="20"/>
                <w:lang w:eastAsia="es-MX"/>
              </w:rPr>
              <w:t>20</w:t>
            </w:r>
            <w:r w:rsidR="003116A7" w:rsidRPr="00CF08D6">
              <w:rPr>
                <w:rFonts w:ascii="Barlow" w:eastAsia="Times New Roman" w:hAnsi="Barlow" w:cs="Calibri"/>
                <w:b/>
                <w:color w:val="000000"/>
                <w:sz w:val="20"/>
                <w:szCs w:val="20"/>
                <w:lang w:eastAsia="es-MX"/>
              </w:rPr>
              <w:t>20</w:t>
            </w:r>
          </w:p>
        </w:tc>
      </w:tr>
      <w:tr w:rsidR="005D0A65" w:rsidRPr="00CF08D6" w:rsidTr="006E1857">
        <w:trPr>
          <w:cantSplit/>
          <w:trHeight w:val="319"/>
          <w:jc w:val="center"/>
        </w:trPr>
        <w:tc>
          <w:tcPr>
            <w:tcW w:w="6235" w:type="dxa"/>
            <w:tcBorders>
              <w:top w:val="nil"/>
              <w:left w:val="nil"/>
              <w:bottom w:val="nil"/>
              <w:right w:val="nil"/>
            </w:tcBorders>
            <w:shd w:val="clear" w:color="000000" w:fill="FFFFFF"/>
            <w:noWrap/>
            <w:vAlign w:val="center"/>
            <w:hideMark/>
          </w:tcPr>
          <w:p w:rsidR="005D0A65" w:rsidRPr="00CF08D6" w:rsidRDefault="005D0A65" w:rsidP="008A23DD">
            <w:pPr>
              <w:spacing w:after="0" w:line="240" w:lineRule="auto"/>
              <w:jc w:val="both"/>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Ahorro/Desahorro antes de rubros Extraordinarios</w:t>
            </w:r>
          </w:p>
        </w:tc>
        <w:tc>
          <w:tcPr>
            <w:tcW w:w="2133" w:type="dxa"/>
            <w:tcBorders>
              <w:top w:val="nil"/>
              <w:left w:val="nil"/>
              <w:bottom w:val="nil"/>
              <w:right w:val="nil"/>
            </w:tcBorders>
            <w:shd w:val="clear" w:color="000000" w:fill="FFFFFF"/>
            <w:noWrap/>
            <w:vAlign w:val="center"/>
            <w:hideMark/>
          </w:tcPr>
          <w:p w:rsidR="005D0A65" w:rsidRPr="00CF08D6" w:rsidRDefault="00112289" w:rsidP="00B90AC9">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Cs/>
                <w:color w:val="000000"/>
                <w:sz w:val="20"/>
                <w:szCs w:val="20"/>
                <w:lang w:eastAsia="es-MX"/>
              </w:rPr>
              <w:t>$</w:t>
            </w:r>
            <w:r w:rsidR="006E1857" w:rsidRPr="00CF08D6">
              <w:rPr>
                <w:rFonts w:ascii="Barlow" w:eastAsia="Times New Roman" w:hAnsi="Barlow" w:cs="Calibri"/>
                <w:bCs/>
                <w:color w:val="000000"/>
                <w:sz w:val="20"/>
                <w:szCs w:val="20"/>
                <w:lang w:eastAsia="es-MX"/>
              </w:rPr>
              <w:t>-</w:t>
            </w:r>
            <w:r w:rsidR="00B90AC9" w:rsidRPr="00CF08D6">
              <w:rPr>
                <w:rFonts w:ascii="Barlow" w:eastAsia="Times New Roman" w:hAnsi="Barlow" w:cs="Calibri"/>
                <w:bCs/>
                <w:color w:val="000000"/>
                <w:sz w:val="20"/>
                <w:szCs w:val="20"/>
                <w:lang w:eastAsia="es-MX"/>
              </w:rPr>
              <w:t>430,763.00</w:t>
            </w:r>
          </w:p>
        </w:tc>
        <w:tc>
          <w:tcPr>
            <w:tcW w:w="1895" w:type="dxa"/>
            <w:tcBorders>
              <w:top w:val="nil"/>
              <w:left w:val="nil"/>
              <w:bottom w:val="nil"/>
              <w:right w:val="nil"/>
            </w:tcBorders>
            <w:shd w:val="clear" w:color="000000" w:fill="FFFFFF"/>
            <w:noWrap/>
            <w:vAlign w:val="center"/>
            <w:hideMark/>
          </w:tcPr>
          <w:p w:rsidR="003116A7" w:rsidRPr="00CF08D6" w:rsidRDefault="008A14E8" w:rsidP="00B90AC9">
            <w:pPr>
              <w:spacing w:after="0" w:line="240" w:lineRule="auto"/>
              <w:jc w:val="center"/>
              <w:rPr>
                <w:rFonts w:ascii="Barlow" w:eastAsia="Times New Roman" w:hAnsi="Barlow" w:cs="Calibri"/>
                <w:bCs/>
                <w:color w:val="000000"/>
                <w:sz w:val="20"/>
                <w:szCs w:val="20"/>
                <w:lang w:eastAsia="es-MX"/>
              </w:rPr>
            </w:pPr>
            <w:r w:rsidRPr="00CF08D6">
              <w:rPr>
                <w:rFonts w:ascii="Barlow" w:eastAsia="Times New Roman" w:hAnsi="Barlow" w:cs="Calibri"/>
                <w:bCs/>
                <w:color w:val="000000"/>
                <w:sz w:val="20"/>
                <w:szCs w:val="20"/>
                <w:lang w:eastAsia="es-MX"/>
              </w:rPr>
              <w:t>$</w:t>
            </w:r>
            <w:r w:rsidR="00B90AC9" w:rsidRPr="00CF08D6">
              <w:rPr>
                <w:rFonts w:ascii="Barlow" w:eastAsia="Times New Roman" w:hAnsi="Barlow" w:cs="Calibri"/>
                <w:bCs/>
                <w:color w:val="000000"/>
                <w:sz w:val="20"/>
                <w:szCs w:val="20"/>
                <w:lang w:eastAsia="es-MX"/>
              </w:rPr>
              <w:t>108,485.42</w:t>
            </w:r>
          </w:p>
        </w:tc>
      </w:tr>
      <w:tr w:rsidR="005D0A65" w:rsidRPr="00CF08D6" w:rsidTr="006E1857">
        <w:trPr>
          <w:cantSplit/>
          <w:trHeight w:val="543"/>
          <w:jc w:val="center"/>
        </w:trPr>
        <w:tc>
          <w:tcPr>
            <w:tcW w:w="6235" w:type="dxa"/>
            <w:tcBorders>
              <w:top w:val="nil"/>
              <w:left w:val="nil"/>
              <w:bottom w:val="nil"/>
              <w:right w:val="nil"/>
            </w:tcBorders>
            <w:shd w:val="clear" w:color="000000" w:fill="FFFFFF"/>
            <w:noWrap/>
            <w:vAlign w:val="center"/>
            <w:hideMark/>
          </w:tcPr>
          <w:p w:rsidR="005D0A65" w:rsidRPr="00CF08D6" w:rsidRDefault="005D0A65" w:rsidP="008A23DD">
            <w:pPr>
              <w:spacing w:after="0" w:line="240" w:lineRule="auto"/>
              <w:jc w:val="both"/>
              <w:rPr>
                <w:rFonts w:ascii="Barlow" w:eastAsia="Times New Roman" w:hAnsi="Barlow" w:cs="Calibri"/>
                <w:iCs/>
                <w:color w:val="000000"/>
                <w:sz w:val="20"/>
                <w:szCs w:val="20"/>
                <w:lang w:eastAsia="es-MX"/>
              </w:rPr>
            </w:pPr>
            <w:r w:rsidRPr="00CF08D6">
              <w:rPr>
                <w:rFonts w:ascii="Barlow" w:eastAsia="Times New Roman" w:hAnsi="Barlow" w:cs="Calibri"/>
                <w:iCs/>
                <w:color w:val="000000"/>
                <w:sz w:val="20"/>
                <w:szCs w:val="20"/>
                <w:lang w:eastAsia="es-MX"/>
              </w:rPr>
              <w:t>Movimientos de partidas (o rubros) que no afectan al efectivo.</w:t>
            </w:r>
          </w:p>
        </w:tc>
        <w:tc>
          <w:tcPr>
            <w:tcW w:w="2133" w:type="dxa"/>
            <w:tcBorders>
              <w:top w:val="nil"/>
              <w:left w:val="nil"/>
              <w:bottom w:val="nil"/>
              <w:right w:val="nil"/>
            </w:tcBorders>
            <w:shd w:val="clear" w:color="000000" w:fill="FFFFFF"/>
            <w:noWrap/>
            <w:vAlign w:val="center"/>
            <w:hideMark/>
          </w:tcPr>
          <w:p w:rsidR="005D0A65" w:rsidRPr="00CF08D6" w:rsidRDefault="005D0A65" w:rsidP="008A23DD">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w:t>
            </w:r>
          </w:p>
        </w:tc>
        <w:tc>
          <w:tcPr>
            <w:tcW w:w="1895" w:type="dxa"/>
            <w:tcBorders>
              <w:top w:val="nil"/>
              <w:left w:val="nil"/>
              <w:bottom w:val="nil"/>
              <w:right w:val="nil"/>
            </w:tcBorders>
            <w:shd w:val="clear" w:color="000000" w:fill="FFFFFF"/>
            <w:noWrap/>
            <w:vAlign w:val="center"/>
            <w:hideMark/>
          </w:tcPr>
          <w:p w:rsidR="005D0A65" w:rsidRPr="00CF08D6" w:rsidRDefault="005D0A65" w:rsidP="008A23DD">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w:t>
            </w:r>
          </w:p>
        </w:tc>
      </w:tr>
      <w:tr w:rsidR="005D0A65" w:rsidRPr="00CF08D6" w:rsidTr="006E1857">
        <w:trPr>
          <w:cantSplit/>
          <w:trHeight w:val="319"/>
          <w:jc w:val="center"/>
        </w:trPr>
        <w:tc>
          <w:tcPr>
            <w:tcW w:w="6235" w:type="dxa"/>
            <w:tcBorders>
              <w:top w:val="nil"/>
              <w:left w:val="nil"/>
              <w:bottom w:val="nil"/>
              <w:right w:val="nil"/>
            </w:tcBorders>
            <w:shd w:val="clear" w:color="000000" w:fill="FFFFFF"/>
            <w:noWrap/>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Depreciación y amortización</w:t>
            </w:r>
          </w:p>
        </w:tc>
        <w:tc>
          <w:tcPr>
            <w:tcW w:w="2133" w:type="dxa"/>
            <w:tcBorders>
              <w:top w:val="nil"/>
              <w:left w:val="nil"/>
              <w:bottom w:val="nil"/>
              <w:right w:val="nil"/>
            </w:tcBorders>
            <w:shd w:val="clear" w:color="000000" w:fill="FFFFFF"/>
            <w:noWrap/>
            <w:vAlign w:val="center"/>
            <w:hideMark/>
          </w:tcPr>
          <w:p w:rsidR="00560518" w:rsidRPr="00CF08D6" w:rsidRDefault="005D0A65" w:rsidP="00B90AC9">
            <w:pPr>
              <w:spacing w:after="0" w:line="240" w:lineRule="auto"/>
              <w:jc w:val="right"/>
              <w:rPr>
                <w:rFonts w:ascii="Barlow" w:eastAsia="Times New Roman" w:hAnsi="Barlow" w:cs="Calibri"/>
                <w:bCs/>
                <w:color w:val="000000"/>
                <w:sz w:val="20"/>
                <w:szCs w:val="20"/>
                <w:lang w:eastAsia="es-MX"/>
              </w:rPr>
            </w:pPr>
            <w:r w:rsidRPr="00CF08D6">
              <w:rPr>
                <w:rFonts w:ascii="Barlow" w:eastAsia="Times New Roman" w:hAnsi="Barlow" w:cs="Calibri"/>
                <w:bCs/>
                <w:color w:val="000000"/>
                <w:sz w:val="20"/>
                <w:szCs w:val="20"/>
                <w:lang w:eastAsia="es-MX"/>
              </w:rPr>
              <w:t>$</w:t>
            </w:r>
            <w:r w:rsidR="00B90AC9" w:rsidRPr="00CF08D6">
              <w:rPr>
                <w:rFonts w:ascii="Barlow" w:eastAsia="Times New Roman" w:hAnsi="Barlow" w:cs="Calibri"/>
                <w:bCs/>
                <w:color w:val="000000"/>
                <w:sz w:val="20"/>
                <w:szCs w:val="20"/>
                <w:lang w:eastAsia="es-MX"/>
              </w:rPr>
              <w:t>1,377,747.83</w:t>
            </w:r>
          </w:p>
        </w:tc>
        <w:tc>
          <w:tcPr>
            <w:tcW w:w="1895" w:type="dxa"/>
            <w:tcBorders>
              <w:top w:val="nil"/>
              <w:left w:val="nil"/>
              <w:bottom w:val="nil"/>
              <w:right w:val="nil"/>
            </w:tcBorders>
            <w:shd w:val="clear" w:color="000000" w:fill="FFFFFF"/>
            <w:noWrap/>
            <w:vAlign w:val="center"/>
            <w:hideMark/>
          </w:tcPr>
          <w:p w:rsidR="005D0A65" w:rsidRPr="00CF08D6" w:rsidRDefault="003116A7" w:rsidP="00B90AC9">
            <w:pPr>
              <w:spacing w:after="0" w:line="240" w:lineRule="auto"/>
              <w:jc w:val="right"/>
              <w:rPr>
                <w:rFonts w:ascii="Barlow" w:eastAsia="Times New Roman" w:hAnsi="Barlow" w:cs="Calibri"/>
                <w:bCs/>
                <w:color w:val="000000"/>
                <w:sz w:val="20"/>
                <w:szCs w:val="20"/>
                <w:lang w:eastAsia="es-MX"/>
              </w:rPr>
            </w:pPr>
            <w:r w:rsidRPr="00CF08D6">
              <w:rPr>
                <w:rFonts w:ascii="Barlow" w:eastAsia="Times New Roman" w:hAnsi="Barlow" w:cs="Calibri"/>
                <w:bCs/>
                <w:color w:val="000000"/>
                <w:sz w:val="20"/>
                <w:szCs w:val="20"/>
                <w:lang w:eastAsia="es-MX"/>
              </w:rPr>
              <w:t>$</w:t>
            </w:r>
            <w:r w:rsidR="00B90AC9" w:rsidRPr="00CF08D6">
              <w:rPr>
                <w:rFonts w:ascii="Barlow" w:eastAsia="Times New Roman" w:hAnsi="Barlow" w:cs="Calibri"/>
                <w:bCs/>
                <w:color w:val="000000"/>
                <w:sz w:val="20"/>
                <w:szCs w:val="20"/>
                <w:lang w:eastAsia="es-MX"/>
              </w:rPr>
              <w:t>1,225,282.85</w:t>
            </w:r>
          </w:p>
        </w:tc>
      </w:tr>
    </w:tbl>
    <w:p w:rsidR="005D0A65" w:rsidRPr="00CF08D6" w:rsidRDefault="005D0A65" w:rsidP="005D0A65">
      <w:pPr>
        <w:autoSpaceDE w:val="0"/>
        <w:autoSpaceDN w:val="0"/>
        <w:adjustRightInd w:val="0"/>
        <w:spacing w:line="240" w:lineRule="auto"/>
        <w:jc w:val="both"/>
        <w:rPr>
          <w:rFonts w:ascii="Barlow" w:hAnsi="Barlow" w:cs="Arial"/>
          <w:sz w:val="20"/>
          <w:szCs w:val="20"/>
        </w:rPr>
      </w:pPr>
    </w:p>
    <w:p w:rsidR="00E80EF2"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V) CONCILIACIÓN ENTRE LOS INGRESOS PRESUPUESTALES Y CONTABLES, ASI COMO ENTRE LOS EGRESOS PRESUPUESTARIOS Y LOS GASTOS CONTABLES</w:t>
      </w:r>
    </w:p>
    <w:tbl>
      <w:tblPr>
        <w:tblW w:w="9600" w:type="dxa"/>
        <w:jc w:val="center"/>
        <w:tblCellMar>
          <w:left w:w="70" w:type="dxa"/>
          <w:right w:w="70" w:type="dxa"/>
        </w:tblCellMar>
        <w:tblLook w:val="04A0" w:firstRow="1" w:lastRow="0" w:firstColumn="1" w:lastColumn="0" w:noHBand="0" w:noVBand="1"/>
      </w:tblPr>
      <w:tblGrid>
        <w:gridCol w:w="460"/>
        <w:gridCol w:w="4758"/>
        <w:gridCol w:w="1941"/>
        <w:gridCol w:w="2441"/>
      </w:tblGrid>
      <w:tr w:rsidR="00746520" w:rsidRPr="00CF08D6" w:rsidTr="00746520">
        <w:trPr>
          <w:trHeight w:val="240"/>
          <w:jc w:val="center"/>
        </w:trPr>
        <w:tc>
          <w:tcPr>
            <w:tcW w:w="9600"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746520" w:rsidRPr="00CF08D6" w:rsidRDefault="00746520" w:rsidP="00746520">
            <w:pPr>
              <w:spacing w:after="0" w:line="240" w:lineRule="auto"/>
              <w:jc w:val="center"/>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Universidad de Oriente</w:t>
            </w:r>
          </w:p>
        </w:tc>
      </w:tr>
      <w:tr w:rsidR="00746520" w:rsidRPr="00CF08D6" w:rsidTr="00746520">
        <w:trPr>
          <w:trHeight w:val="240"/>
          <w:jc w:val="center"/>
        </w:trPr>
        <w:tc>
          <w:tcPr>
            <w:tcW w:w="9600" w:type="dxa"/>
            <w:gridSpan w:val="4"/>
            <w:tcBorders>
              <w:top w:val="nil"/>
              <w:left w:val="single" w:sz="4" w:space="0" w:color="auto"/>
              <w:bottom w:val="nil"/>
              <w:right w:val="single" w:sz="4" w:space="0" w:color="000000"/>
            </w:tcBorders>
            <w:shd w:val="clear" w:color="000000" w:fill="BFBFBF"/>
            <w:vAlign w:val="center"/>
            <w:hideMark/>
          </w:tcPr>
          <w:p w:rsidR="00746520" w:rsidRPr="00CF08D6" w:rsidRDefault="00746520" w:rsidP="00746520">
            <w:pPr>
              <w:spacing w:after="0" w:line="240" w:lineRule="auto"/>
              <w:jc w:val="center"/>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Conciliación entre los Ingresos Presupuestarios y Contables</w:t>
            </w:r>
          </w:p>
        </w:tc>
      </w:tr>
      <w:tr w:rsidR="00746520" w:rsidRPr="00CF08D6" w:rsidTr="00746520">
        <w:trPr>
          <w:trHeight w:val="240"/>
          <w:jc w:val="center"/>
        </w:trPr>
        <w:tc>
          <w:tcPr>
            <w:tcW w:w="9600" w:type="dxa"/>
            <w:gridSpan w:val="4"/>
            <w:tcBorders>
              <w:top w:val="nil"/>
              <w:left w:val="single" w:sz="4" w:space="0" w:color="auto"/>
              <w:bottom w:val="nil"/>
              <w:right w:val="single" w:sz="4" w:space="0" w:color="000000"/>
            </w:tcBorders>
            <w:shd w:val="clear" w:color="000000" w:fill="BFBFBF"/>
            <w:noWrap/>
            <w:vAlign w:val="center"/>
            <w:hideMark/>
          </w:tcPr>
          <w:p w:rsidR="00746520" w:rsidRPr="00CF08D6" w:rsidRDefault="00746520" w:rsidP="00746520">
            <w:pPr>
              <w:spacing w:after="0" w:line="240" w:lineRule="auto"/>
              <w:jc w:val="center"/>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Correspondiente del 1 de Enero al 31 de Marzo de 2021</w:t>
            </w:r>
          </w:p>
        </w:tc>
      </w:tr>
      <w:tr w:rsidR="00746520" w:rsidRPr="00CF08D6" w:rsidTr="00746520">
        <w:trPr>
          <w:trHeight w:val="240"/>
          <w:jc w:val="center"/>
        </w:trPr>
        <w:tc>
          <w:tcPr>
            <w:tcW w:w="9600" w:type="dxa"/>
            <w:gridSpan w:val="4"/>
            <w:tcBorders>
              <w:top w:val="nil"/>
              <w:left w:val="single" w:sz="4" w:space="0" w:color="auto"/>
              <w:bottom w:val="single" w:sz="4" w:space="0" w:color="auto"/>
              <w:right w:val="single" w:sz="4" w:space="0" w:color="000000"/>
            </w:tcBorders>
            <w:shd w:val="clear" w:color="000000" w:fill="BFBFBF"/>
            <w:noWrap/>
            <w:vAlign w:val="center"/>
            <w:hideMark/>
          </w:tcPr>
          <w:p w:rsidR="00746520" w:rsidRPr="00CF08D6" w:rsidRDefault="00746520" w:rsidP="00746520">
            <w:pPr>
              <w:spacing w:after="0" w:line="240" w:lineRule="auto"/>
              <w:jc w:val="center"/>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(Cifras en pesos)</w:t>
            </w:r>
          </w:p>
        </w:tc>
      </w:tr>
      <w:tr w:rsidR="00746520" w:rsidRPr="00CF08D6" w:rsidTr="00746520">
        <w:trPr>
          <w:trHeight w:val="240"/>
          <w:jc w:val="center"/>
        </w:trPr>
        <w:tc>
          <w:tcPr>
            <w:tcW w:w="5218" w:type="dxa"/>
            <w:gridSpan w:val="2"/>
            <w:tcBorders>
              <w:top w:val="single" w:sz="4" w:space="0" w:color="auto"/>
              <w:left w:val="single" w:sz="4" w:space="0" w:color="auto"/>
              <w:bottom w:val="single" w:sz="4" w:space="0" w:color="auto"/>
              <w:right w:val="nil"/>
            </w:tcBorders>
            <w:shd w:val="clear" w:color="000000" w:fill="BFBFBF"/>
            <w:noWrap/>
            <w:vAlign w:val="center"/>
            <w:hideMark/>
          </w:tcPr>
          <w:p w:rsidR="00746520" w:rsidRPr="00CF08D6" w:rsidRDefault="00746520" w:rsidP="00746520">
            <w:pPr>
              <w:spacing w:after="0" w:line="240" w:lineRule="auto"/>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1. Ingresos Presupuestarios</w:t>
            </w:r>
          </w:p>
        </w:tc>
        <w:tc>
          <w:tcPr>
            <w:tcW w:w="1941" w:type="dxa"/>
            <w:tcBorders>
              <w:top w:val="nil"/>
              <w:left w:val="single" w:sz="4" w:space="0" w:color="auto"/>
              <w:bottom w:val="single" w:sz="4" w:space="0" w:color="auto"/>
              <w:right w:val="single" w:sz="4" w:space="0" w:color="auto"/>
            </w:tcBorders>
            <w:shd w:val="clear" w:color="auto" w:fill="auto"/>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441" w:type="dxa"/>
            <w:tcBorders>
              <w:top w:val="nil"/>
              <w:left w:val="nil"/>
              <w:bottom w:val="single" w:sz="4" w:space="0" w:color="auto"/>
              <w:right w:val="single" w:sz="4" w:space="0" w:color="auto"/>
            </w:tcBorders>
            <w:shd w:val="clear" w:color="000000" w:fill="BFBFBF"/>
            <w:noWrap/>
            <w:vAlign w:val="center"/>
            <w:hideMark/>
          </w:tcPr>
          <w:p w:rsidR="00746520" w:rsidRPr="00CF08D6" w:rsidRDefault="00746520" w:rsidP="00746520">
            <w:pPr>
              <w:spacing w:after="0" w:line="240" w:lineRule="auto"/>
              <w:jc w:val="right"/>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 xml:space="preserve">                          5,892,363.33 </w:t>
            </w:r>
          </w:p>
        </w:tc>
      </w:tr>
      <w:tr w:rsidR="00746520" w:rsidRPr="00CF08D6" w:rsidTr="00746520">
        <w:trPr>
          <w:trHeight w:val="240"/>
          <w:jc w:val="center"/>
        </w:trPr>
        <w:tc>
          <w:tcPr>
            <w:tcW w:w="5218" w:type="dxa"/>
            <w:gridSpan w:val="2"/>
            <w:tcBorders>
              <w:top w:val="nil"/>
              <w:left w:val="nil"/>
              <w:bottom w:val="nil"/>
              <w:right w:val="nil"/>
            </w:tcBorders>
            <w:shd w:val="clear" w:color="000000" w:fill="FFFFFF"/>
            <w:noWrap/>
            <w:vAlign w:val="bottom"/>
            <w:hideMark/>
          </w:tcPr>
          <w:p w:rsidR="00746520" w:rsidRPr="00CF08D6" w:rsidRDefault="00746520" w:rsidP="00746520">
            <w:pPr>
              <w:spacing w:after="0" w:line="240" w:lineRule="auto"/>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1941" w:type="dxa"/>
            <w:tcBorders>
              <w:top w:val="nil"/>
              <w:left w:val="single" w:sz="4" w:space="0" w:color="auto"/>
              <w:bottom w:val="single" w:sz="4" w:space="0" w:color="auto"/>
              <w:right w:val="single" w:sz="4" w:space="0" w:color="auto"/>
            </w:tcBorders>
            <w:shd w:val="clear" w:color="000000" w:fill="FFFFFF"/>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441" w:type="dxa"/>
            <w:tcBorders>
              <w:top w:val="nil"/>
              <w:left w:val="nil"/>
              <w:bottom w:val="single" w:sz="4" w:space="0" w:color="auto"/>
              <w:right w:val="single" w:sz="4" w:space="0" w:color="auto"/>
            </w:tcBorders>
            <w:shd w:val="clear" w:color="000000" w:fill="FFFFFF"/>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52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46520" w:rsidRPr="00CF08D6" w:rsidRDefault="00746520" w:rsidP="00746520">
            <w:pPr>
              <w:spacing w:after="0" w:line="240" w:lineRule="auto"/>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2. Más ingresos contables no presupuestarios</w:t>
            </w:r>
          </w:p>
        </w:tc>
        <w:tc>
          <w:tcPr>
            <w:tcW w:w="1941" w:type="dxa"/>
            <w:tcBorders>
              <w:top w:val="nil"/>
              <w:left w:val="single" w:sz="4" w:space="0" w:color="auto"/>
              <w:bottom w:val="single" w:sz="4" w:space="0" w:color="auto"/>
              <w:right w:val="single" w:sz="4" w:space="0" w:color="auto"/>
            </w:tcBorders>
            <w:shd w:val="clear" w:color="000000" w:fill="FFFFFF"/>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441" w:type="dxa"/>
            <w:tcBorders>
              <w:top w:val="nil"/>
              <w:left w:val="nil"/>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r>
      <w:tr w:rsidR="00746520" w:rsidRPr="00CF08D6" w:rsidTr="00746520">
        <w:trPr>
          <w:trHeight w:val="240"/>
          <w:jc w:val="center"/>
        </w:trPr>
        <w:tc>
          <w:tcPr>
            <w:tcW w:w="460" w:type="dxa"/>
            <w:tcBorders>
              <w:top w:val="nil"/>
              <w:left w:val="single" w:sz="4" w:space="0" w:color="auto"/>
              <w:bottom w:val="single" w:sz="4" w:space="0" w:color="auto"/>
              <w:right w:val="nil"/>
            </w:tcBorders>
            <w:shd w:val="clear" w:color="000000" w:fill="FFFFFF"/>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4758" w:type="dxa"/>
            <w:tcBorders>
              <w:top w:val="nil"/>
              <w:left w:val="nil"/>
              <w:bottom w:val="single" w:sz="4" w:space="0" w:color="auto"/>
              <w:right w:val="nil"/>
            </w:tcBorders>
            <w:shd w:val="clear" w:color="000000" w:fill="FFFFFF"/>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2.1 Ingresos Financieros </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441" w:type="dxa"/>
            <w:tcBorders>
              <w:top w:val="nil"/>
              <w:left w:val="nil"/>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460" w:type="dxa"/>
            <w:tcBorders>
              <w:top w:val="nil"/>
              <w:left w:val="single" w:sz="4" w:space="0" w:color="auto"/>
              <w:bottom w:val="single" w:sz="4" w:space="0" w:color="auto"/>
              <w:right w:val="nil"/>
            </w:tcBorders>
            <w:shd w:val="clear" w:color="000000" w:fill="FFFFFF"/>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4758" w:type="dxa"/>
            <w:tcBorders>
              <w:top w:val="nil"/>
              <w:left w:val="nil"/>
              <w:bottom w:val="single" w:sz="4" w:space="0" w:color="auto"/>
              <w:right w:val="nil"/>
            </w:tcBorders>
            <w:shd w:val="clear" w:color="000000" w:fill="FFFFFF"/>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2.2 Incremento por Variación de Inventarios</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441" w:type="dxa"/>
            <w:tcBorders>
              <w:top w:val="nil"/>
              <w:left w:val="nil"/>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480"/>
          <w:jc w:val="center"/>
        </w:trPr>
        <w:tc>
          <w:tcPr>
            <w:tcW w:w="460" w:type="dxa"/>
            <w:tcBorders>
              <w:top w:val="nil"/>
              <w:left w:val="single" w:sz="4" w:space="0" w:color="auto"/>
              <w:bottom w:val="single" w:sz="4" w:space="0" w:color="auto"/>
              <w:right w:val="nil"/>
            </w:tcBorders>
            <w:shd w:val="clear" w:color="000000" w:fill="FFFFFF"/>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4758" w:type="dxa"/>
            <w:tcBorders>
              <w:top w:val="nil"/>
              <w:left w:val="nil"/>
              <w:bottom w:val="single" w:sz="4" w:space="0" w:color="auto"/>
              <w:right w:val="nil"/>
            </w:tcBorders>
            <w:shd w:val="clear" w:color="000000" w:fill="FFFFFF"/>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2.3 Disminución del exceso de estimaciones por pérdida o deterioro u obsolescencia</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441" w:type="dxa"/>
            <w:tcBorders>
              <w:top w:val="nil"/>
              <w:left w:val="nil"/>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460" w:type="dxa"/>
            <w:tcBorders>
              <w:top w:val="nil"/>
              <w:left w:val="single" w:sz="4" w:space="0" w:color="auto"/>
              <w:bottom w:val="single" w:sz="4" w:space="0" w:color="auto"/>
              <w:right w:val="nil"/>
            </w:tcBorders>
            <w:shd w:val="clear" w:color="000000" w:fill="FFFFFF"/>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4758" w:type="dxa"/>
            <w:tcBorders>
              <w:top w:val="nil"/>
              <w:left w:val="nil"/>
              <w:bottom w:val="single" w:sz="4" w:space="0" w:color="auto"/>
              <w:right w:val="nil"/>
            </w:tcBorders>
            <w:shd w:val="clear" w:color="000000" w:fill="FFFFFF"/>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2.4 Disminución del exceso de provisiones</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441" w:type="dxa"/>
            <w:tcBorders>
              <w:top w:val="nil"/>
              <w:left w:val="nil"/>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460" w:type="dxa"/>
            <w:tcBorders>
              <w:top w:val="nil"/>
              <w:left w:val="single" w:sz="4" w:space="0" w:color="auto"/>
              <w:bottom w:val="single" w:sz="4" w:space="0" w:color="auto"/>
              <w:right w:val="nil"/>
            </w:tcBorders>
            <w:shd w:val="clear" w:color="000000" w:fill="FFFFFF"/>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4758" w:type="dxa"/>
            <w:tcBorders>
              <w:top w:val="nil"/>
              <w:left w:val="nil"/>
              <w:bottom w:val="single" w:sz="4" w:space="0" w:color="auto"/>
              <w:right w:val="nil"/>
            </w:tcBorders>
            <w:shd w:val="clear" w:color="000000" w:fill="FFFFFF"/>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2.5 Otros ingresos y beneficios varios</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441" w:type="dxa"/>
            <w:tcBorders>
              <w:top w:val="nil"/>
              <w:left w:val="nil"/>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52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2.6 Otros ingresos contables no presupuestarios</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441" w:type="dxa"/>
            <w:tcBorders>
              <w:top w:val="nil"/>
              <w:left w:val="nil"/>
              <w:bottom w:val="single" w:sz="4" w:space="0" w:color="auto"/>
              <w:right w:val="single" w:sz="4" w:space="0" w:color="auto"/>
            </w:tcBorders>
            <w:shd w:val="clear" w:color="000000" w:fill="FFFFFF"/>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5218" w:type="dxa"/>
            <w:gridSpan w:val="2"/>
            <w:tcBorders>
              <w:top w:val="nil"/>
              <w:left w:val="nil"/>
              <w:bottom w:val="nil"/>
              <w:right w:val="nil"/>
            </w:tcBorders>
            <w:shd w:val="clear" w:color="000000" w:fill="FFFFFF"/>
            <w:noWrap/>
            <w:vAlign w:val="bottom"/>
            <w:hideMark/>
          </w:tcPr>
          <w:p w:rsidR="00746520" w:rsidRPr="00CF08D6" w:rsidRDefault="00746520" w:rsidP="00746520">
            <w:pPr>
              <w:spacing w:after="0" w:line="240" w:lineRule="auto"/>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1941" w:type="dxa"/>
            <w:tcBorders>
              <w:top w:val="nil"/>
              <w:left w:val="single" w:sz="4" w:space="0" w:color="auto"/>
              <w:bottom w:val="single" w:sz="4" w:space="0" w:color="auto"/>
              <w:right w:val="single" w:sz="4" w:space="0" w:color="auto"/>
            </w:tcBorders>
            <w:shd w:val="clear" w:color="000000" w:fill="FFFFFF"/>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441" w:type="dxa"/>
            <w:tcBorders>
              <w:top w:val="nil"/>
              <w:left w:val="nil"/>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r>
      <w:tr w:rsidR="00746520" w:rsidRPr="00CF08D6" w:rsidTr="00746520">
        <w:trPr>
          <w:trHeight w:val="240"/>
          <w:jc w:val="center"/>
        </w:trPr>
        <w:tc>
          <w:tcPr>
            <w:tcW w:w="52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46520" w:rsidRPr="00CF08D6" w:rsidRDefault="00746520" w:rsidP="00746520">
            <w:pPr>
              <w:spacing w:after="0" w:line="240" w:lineRule="auto"/>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3. Menos ingresos presupuestarios no contables</w:t>
            </w:r>
          </w:p>
        </w:tc>
        <w:tc>
          <w:tcPr>
            <w:tcW w:w="1941" w:type="dxa"/>
            <w:tcBorders>
              <w:top w:val="nil"/>
              <w:left w:val="single" w:sz="4" w:space="0" w:color="auto"/>
              <w:bottom w:val="single" w:sz="4" w:space="0" w:color="auto"/>
              <w:right w:val="single" w:sz="4" w:space="0" w:color="auto"/>
            </w:tcBorders>
            <w:shd w:val="clear" w:color="000000" w:fill="FFFFFF"/>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441" w:type="dxa"/>
            <w:tcBorders>
              <w:top w:val="nil"/>
              <w:left w:val="nil"/>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460" w:type="dxa"/>
            <w:tcBorders>
              <w:top w:val="nil"/>
              <w:left w:val="single" w:sz="4" w:space="0" w:color="auto"/>
              <w:bottom w:val="single" w:sz="4" w:space="0" w:color="auto"/>
              <w:right w:val="nil"/>
            </w:tcBorders>
            <w:shd w:val="clear" w:color="000000" w:fill="FFFFFF"/>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4758" w:type="dxa"/>
            <w:tcBorders>
              <w:top w:val="nil"/>
              <w:left w:val="nil"/>
              <w:bottom w:val="single" w:sz="4" w:space="0" w:color="auto"/>
              <w:right w:val="nil"/>
            </w:tcBorders>
            <w:shd w:val="clear" w:color="000000" w:fill="FFFFFF"/>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3.1 Aprovechamientos Patrimoniales</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441" w:type="dxa"/>
            <w:tcBorders>
              <w:top w:val="nil"/>
              <w:left w:val="nil"/>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460" w:type="dxa"/>
            <w:tcBorders>
              <w:top w:val="nil"/>
              <w:left w:val="single" w:sz="4" w:space="0" w:color="auto"/>
              <w:bottom w:val="single" w:sz="4" w:space="0" w:color="auto"/>
              <w:right w:val="nil"/>
            </w:tcBorders>
            <w:shd w:val="clear" w:color="000000" w:fill="FFFFFF"/>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lastRenderedPageBreak/>
              <w:t> </w:t>
            </w:r>
          </w:p>
        </w:tc>
        <w:tc>
          <w:tcPr>
            <w:tcW w:w="4758" w:type="dxa"/>
            <w:tcBorders>
              <w:top w:val="nil"/>
              <w:left w:val="nil"/>
              <w:bottom w:val="single" w:sz="4" w:space="0" w:color="auto"/>
              <w:right w:val="nil"/>
            </w:tcBorders>
            <w:shd w:val="clear" w:color="000000" w:fill="FFFFFF"/>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3.2 Ingresos derivados de financiamientos</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441" w:type="dxa"/>
            <w:tcBorders>
              <w:top w:val="nil"/>
              <w:left w:val="nil"/>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521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3.3 Otros Ingresos presupuestarios no contables</w:t>
            </w:r>
          </w:p>
        </w:tc>
        <w:tc>
          <w:tcPr>
            <w:tcW w:w="1941" w:type="dxa"/>
            <w:tcBorders>
              <w:top w:val="nil"/>
              <w:left w:val="single" w:sz="4" w:space="0" w:color="auto"/>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441" w:type="dxa"/>
            <w:tcBorders>
              <w:top w:val="nil"/>
              <w:left w:val="nil"/>
              <w:bottom w:val="single" w:sz="4" w:space="0" w:color="auto"/>
              <w:right w:val="single" w:sz="4" w:space="0" w:color="auto"/>
            </w:tcBorders>
            <w:shd w:val="clear" w:color="000000" w:fill="FFFFFF"/>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5218" w:type="dxa"/>
            <w:gridSpan w:val="2"/>
            <w:tcBorders>
              <w:top w:val="nil"/>
              <w:left w:val="nil"/>
              <w:bottom w:val="nil"/>
              <w:right w:val="nil"/>
            </w:tcBorders>
            <w:shd w:val="clear" w:color="000000" w:fill="FFFFFF"/>
            <w:noWrap/>
            <w:vAlign w:val="bottom"/>
            <w:hideMark/>
          </w:tcPr>
          <w:p w:rsidR="00746520" w:rsidRPr="00CF08D6" w:rsidRDefault="00746520" w:rsidP="00746520">
            <w:pPr>
              <w:spacing w:after="0" w:line="240" w:lineRule="auto"/>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1941" w:type="dxa"/>
            <w:tcBorders>
              <w:top w:val="nil"/>
              <w:left w:val="single" w:sz="4" w:space="0" w:color="auto"/>
              <w:bottom w:val="single" w:sz="4" w:space="0" w:color="auto"/>
              <w:right w:val="single" w:sz="4" w:space="0" w:color="auto"/>
            </w:tcBorders>
            <w:shd w:val="clear" w:color="000000" w:fill="FFFFFF"/>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441" w:type="dxa"/>
            <w:tcBorders>
              <w:top w:val="nil"/>
              <w:left w:val="nil"/>
              <w:bottom w:val="single" w:sz="4" w:space="0" w:color="auto"/>
              <w:right w:val="single" w:sz="4" w:space="0" w:color="auto"/>
            </w:tcBorders>
            <w:shd w:val="clear" w:color="000000" w:fill="FFFFFF"/>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5218" w:type="dxa"/>
            <w:gridSpan w:val="2"/>
            <w:tcBorders>
              <w:top w:val="single" w:sz="4" w:space="0" w:color="auto"/>
              <w:left w:val="single" w:sz="4" w:space="0" w:color="auto"/>
              <w:bottom w:val="single" w:sz="4" w:space="0" w:color="auto"/>
              <w:right w:val="nil"/>
            </w:tcBorders>
            <w:shd w:val="clear" w:color="000000" w:fill="BFBFBF"/>
            <w:noWrap/>
            <w:vAlign w:val="center"/>
            <w:hideMark/>
          </w:tcPr>
          <w:p w:rsidR="00746520" w:rsidRPr="00CF08D6" w:rsidRDefault="00746520" w:rsidP="00746520">
            <w:pPr>
              <w:spacing w:after="0" w:line="240" w:lineRule="auto"/>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4. Ingresos Contables (4 = 1 + 2 - 3)</w:t>
            </w:r>
          </w:p>
        </w:tc>
        <w:tc>
          <w:tcPr>
            <w:tcW w:w="1941" w:type="dxa"/>
            <w:tcBorders>
              <w:top w:val="nil"/>
              <w:left w:val="single" w:sz="4" w:space="0" w:color="auto"/>
              <w:bottom w:val="single" w:sz="4" w:space="0" w:color="auto"/>
              <w:right w:val="single" w:sz="4" w:space="0" w:color="auto"/>
            </w:tcBorders>
            <w:shd w:val="clear" w:color="auto" w:fill="auto"/>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441" w:type="dxa"/>
            <w:tcBorders>
              <w:top w:val="nil"/>
              <w:left w:val="nil"/>
              <w:bottom w:val="single" w:sz="4" w:space="0" w:color="auto"/>
              <w:right w:val="single" w:sz="4" w:space="0" w:color="auto"/>
            </w:tcBorders>
            <w:shd w:val="clear" w:color="000000" w:fill="BFBFBF"/>
            <w:noWrap/>
            <w:vAlign w:val="center"/>
            <w:hideMark/>
          </w:tcPr>
          <w:p w:rsidR="00746520" w:rsidRPr="00CF08D6" w:rsidRDefault="00746520" w:rsidP="00746520">
            <w:pPr>
              <w:spacing w:after="0" w:line="240" w:lineRule="auto"/>
              <w:jc w:val="right"/>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 xml:space="preserve">                          5,892,363.33 </w:t>
            </w:r>
          </w:p>
        </w:tc>
      </w:tr>
    </w:tbl>
    <w:p w:rsidR="00746520" w:rsidRPr="00CF08D6" w:rsidRDefault="00746520" w:rsidP="005D0A65">
      <w:pPr>
        <w:autoSpaceDE w:val="0"/>
        <w:autoSpaceDN w:val="0"/>
        <w:adjustRightInd w:val="0"/>
        <w:spacing w:line="240" w:lineRule="auto"/>
        <w:jc w:val="both"/>
        <w:rPr>
          <w:rFonts w:ascii="Barlow" w:hAnsi="Barlow" w:cs="Arial"/>
          <w:b/>
          <w:sz w:val="20"/>
          <w:szCs w:val="20"/>
        </w:rPr>
      </w:pPr>
    </w:p>
    <w:p w:rsidR="00DF1607" w:rsidRPr="00CF08D6" w:rsidRDefault="00DF1607" w:rsidP="005D0A65">
      <w:pPr>
        <w:autoSpaceDE w:val="0"/>
        <w:autoSpaceDN w:val="0"/>
        <w:adjustRightInd w:val="0"/>
        <w:spacing w:line="240" w:lineRule="auto"/>
        <w:jc w:val="both"/>
        <w:rPr>
          <w:rFonts w:ascii="Barlow" w:hAnsi="Barlow" w:cs="Arial"/>
          <w:b/>
          <w:sz w:val="20"/>
          <w:szCs w:val="20"/>
        </w:rPr>
      </w:pPr>
    </w:p>
    <w:tbl>
      <w:tblPr>
        <w:tblW w:w="12001" w:type="dxa"/>
        <w:jc w:val="center"/>
        <w:tblCellMar>
          <w:left w:w="70" w:type="dxa"/>
          <w:right w:w="70" w:type="dxa"/>
        </w:tblCellMar>
        <w:tblLook w:val="04A0" w:firstRow="1" w:lastRow="0" w:firstColumn="1" w:lastColumn="0" w:noHBand="0" w:noVBand="1"/>
      </w:tblPr>
      <w:tblGrid>
        <w:gridCol w:w="380"/>
        <w:gridCol w:w="5666"/>
        <w:gridCol w:w="3050"/>
        <w:gridCol w:w="2905"/>
      </w:tblGrid>
      <w:tr w:rsidR="00746520" w:rsidRPr="00CF08D6" w:rsidTr="00746520">
        <w:trPr>
          <w:trHeight w:val="240"/>
          <w:jc w:val="center"/>
        </w:trPr>
        <w:tc>
          <w:tcPr>
            <w:tcW w:w="12001"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746520" w:rsidRPr="00CF08D6" w:rsidRDefault="00746520" w:rsidP="00746520">
            <w:pPr>
              <w:spacing w:after="0" w:line="240" w:lineRule="auto"/>
              <w:jc w:val="center"/>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Universidad de Oriente</w:t>
            </w:r>
          </w:p>
        </w:tc>
      </w:tr>
      <w:tr w:rsidR="00746520" w:rsidRPr="00CF08D6" w:rsidTr="00746520">
        <w:trPr>
          <w:trHeight w:val="240"/>
          <w:jc w:val="center"/>
        </w:trPr>
        <w:tc>
          <w:tcPr>
            <w:tcW w:w="12001" w:type="dxa"/>
            <w:gridSpan w:val="4"/>
            <w:tcBorders>
              <w:top w:val="nil"/>
              <w:left w:val="single" w:sz="4" w:space="0" w:color="auto"/>
              <w:bottom w:val="nil"/>
              <w:right w:val="single" w:sz="4" w:space="0" w:color="000000"/>
            </w:tcBorders>
            <w:shd w:val="clear" w:color="000000" w:fill="BFBFBF"/>
            <w:vAlign w:val="center"/>
            <w:hideMark/>
          </w:tcPr>
          <w:p w:rsidR="00746520" w:rsidRPr="00CF08D6" w:rsidRDefault="00746520" w:rsidP="00746520">
            <w:pPr>
              <w:spacing w:after="0" w:line="240" w:lineRule="auto"/>
              <w:jc w:val="center"/>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Conciliación entre los Egresos Presupuestarios y los Gastos Contables</w:t>
            </w:r>
          </w:p>
        </w:tc>
      </w:tr>
      <w:tr w:rsidR="00746520" w:rsidRPr="00CF08D6" w:rsidTr="00746520">
        <w:trPr>
          <w:trHeight w:val="240"/>
          <w:jc w:val="center"/>
        </w:trPr>
        <w:tc>
          <w:tcPr>
            <w:tcW w:w="12001" w:type="dxa"/>
            <w:gridSpan w:val="4"/>
            <w:tcBorders>
              <w:top w:val="nil"/>
              <w:left w:val="single" w:sz="4" w:space="0" w:color="auto"/>
              <w:bottom w:val="single" w:sz="4" w:space="0" w:color="auto"/>
              <w:right w:val="single" w:sz="4" w:space="0" w:color="000000"/>
            </w:tcBorders>
            <w:shd w:val="clear" w:color="000000" w:fill="BFBFBF"/>
            <w:noWrap/>
            <w:vAlign w:val="center"/>
            <w:hideMark/>
          </w:tcPr>
          <w:p w:rsidR="00746520" w:rsidRPr="00CF08D6" w:rsidRDefault="00746520" w:rsidP="00746520">
            <w:pPr>
              <w:spacing w:after="0" w:line="240" w:lineRule="auto"/>
              <w:jc w:val="center"/>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Correspondiente del 1 de Enero al 31 de Marzo de 2021</w:t>
            </w:r>
          </w:p>
        </w:tc>
      </w:tr>
      <w:tr w:rsidR="00746520" w:rsidRPr="00CF08D6" w:rsidTr="00746520">
        <w:trPr>
          <w:trHeight w:val="240"/>
          <w:jc w:val="center"/>
        </w:trPr>
        <w:tc>
          <w:tcPr>
            <w:tcW w:w="6046" w:type="dxa"/>
            <w:gridSpan w:val="2"/>
            <w:tcBorders>
              <w:top w:val="single" w:sz="4" w:space="0" w:color="auto"/>
              <w:left w:val="single" w:sz="4" w:space="0" w:color="auto"/>
              <w:bottom w:val="single" w:sz="4" w:space="0" w:color="auto"/>
              <w:right w:val="nil"/>
            </w:tcBorders>
            <w:shd w:val="clear" w:color="000000" w:fill="BFBFBF"/>
            <w:noWrap/>
            <w:vAlign w:val="center"/>
            <w:hideMark/>
          </w:tcPr>
          <w:p w:rsidR="00746520" w:rsidRPr="00CF08D6" w:rsidRDefault="00746520" w:rsidP="00746520">
            <w:pPr>
              <w:spacing w:after="0" w:line="240" w:lineRule="auto"/>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1. Total de egresos presupuestarios</w:t>
            </w:r>
          </w:p>
        </w:tc>
        <w:tc>
          <w:tcPr>
            <w:tcW w:w="3050" w:type="dxa"/>
            <w:tcBorders>
              <w:top w:val="nil"/>
              <w:left w:val="single" w:sz="4" w:space="0" w:color="auto"/>
              <w:bottom w:val="single" w:sz="4" w:space="0" w:color="auto"/>
              <w:right w:val="single" w:sz="4" w:space="0" w:color="auto"/>
            </w:tcBorders>
            <w:shd w:val="clear" w:color="auto" w:fill="auto"/>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905" w:type="dxa"/>
            <w:tcBorders>
              <w:top w:val="nil"/>
              <w:left w:val="nil"/>
              <w:bottom w:val="single" w:sz="4" w:space="0" w:color="auto"/>
              <w:right w:val="single" w:sz="4" w:space="0" w:color="auto"/>
            </w:tcBorders>
            <w:shd w:val="clear" w:color="000000" w:fill="BFBFBF"/>
            <w:noWrap/>
            <w:vAlign w:val="center"/>
            <w:hideMark/>
          </w:tcPr>
          <w:p w:rsidR="00746520" w:rsidRPr="00CF08D6" w:rsidRDefault="00746520" w:rsidP="00746520">
            <w:pPr>
              <w:spacing w:after="0" w:line="240" w:lineRule="auto"/>
              <w:jc w:val="right"/>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 xml:space="preserve">                     6,351,350.49 </w:t>
            </w:r>
          </w:p>
        </w:tc>
      </w:tr>
      <w:tr w:rsidR="00746520" w:rsidRPr="00CF08D6" w:rsidTr="00746520">
        <w:trPr>
          <w:trHeight w:val="240"/>
          <w:jc w:val="center"/>
        </w:trPr>
        <w:tc>
          <w:tcPr>
            <w:tcW w:w="6046" w:type="dxa"/>
            <w:gridSpan w:val="2"/>
            <w:tcBorders>
              <w:top w:val="nil"/>
              <w:left w:val="nil"/>
              <w:bottom w:val="nil"/>
              <w:right w:val="nil"/>
            </w:tcBorders>
            <w:shd w:val="clear" w:color="auto" w:fill="auto"/>
            <w:noWrap/>
            <w:vAlign w:val="bottom"/>
            <w:hideMark/>
          </w:tcPr>
          <w:p w:rsidR="00746520" w:rsidRPr="00CF08D6" w:rsidRDefault="00746520" w:rsidP="00746520">
            <w:pPr>
              <w:spacing w:after="0" w:line="240" w:lineRule="auto"/>
              <w:rPr>
                <w:rFonts w:ascii="Barlow" w:eastAsia="Times New Roman" w:hAnsi="Barlow" w:cs="Arial"/>
                <w:color w:val="000000"/>
                <w:sz w:val="20"/>
                <w:szCs w:val="20"/>
                <w:lang w:eastAsia="es-MX"/>
              </w:rPr>
            </w:pPr>
          </w:p>
        </w:tc>
        <w:tc>
          <w:tcPr>
            <w:tcW w:w="3050" w:type="dxa"/>
            <w:tcBorders>
              <w:top w:val="nil"/>
              <w:left w:val="single" w:sz="4" w:space="0" w:color="auto"/>
              <w:bottom w:val="single" w:sz="4" w:space="0" w:color="auto"/>
              <w:right w:val="single" w:sz="4" w:space="0" w:color="auto"/>
            </w:tcBorders>
            <w:shd w:val="clear" w:color="auto" w:fill="auto"/>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905" w:type="dxa"/>
            <w:tcBorders>
              <w:top w:val="nil"/>
              <w:left w:val="nil"/>
              <w:bottom w:val="single" w:sz="4" w:space="0" w:color="auto"/>
              <w:right w:val="single" w:sz="4" w:space="0" w:color="auto"/>
            </w:tcBorders>
            <w:shd w:val="clear" w:color="auto" w:fill="auto"/>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60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2. Menos egresos presupuestarios no contables</w:t>
            </w:r>
          </w:p>
        </w:tc>
        <w:tc>
          <w:tcPr>
            <w:tcW w:w="3050" w:type="dxa"/>
            <w:tcBorders>
              <w:top w:val="nil"/>
              <w:left w:val="single" w:sz="4" w:space="0" w:color="auto"/>
              <w:bottom w:val="single" w:sz="4" w:space="0" w:color="auto"/>
              <w:right w:val="single" w:sz="4" w:space="0" w:color="auto"/>
            </w:tcBorders>
            <w:shd w:val="clear" w:color="auto" w:fill="auto"/>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905" w:type="dxa"/>
            <w:tcBorders>
              <w:top w:val="nil"/>
              <w:left w:val="nil"/>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 xml:space="preserve">                           28,224.05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2.1 Materias Primas y Materiales de Producción y Comercialización </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2.2 Materiales y Suministros</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2.3 Mobiliario y Equipo de Administración</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28,224.05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2.4 Mobiliario y Equipo Educacional y Recreativo </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2.5 Equipo e Instrumental Médico y de Laboratorio </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2.6 Vehículos y Equipo de Transporte </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2.7 Equipo de Defensa y Seguridad </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2.8 Maquinaria, Otros Equipos y Herramientas </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2.9 Activos Biológicos </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2.10 Bienes Inmuebles </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2.11 Activos Intangibles </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2.12 Obra Pública en Bienes de Dominio Público</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2.13 Obra Pública en Bienes Propios </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2.14 Acciones y Participaciones de Capital </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2.15 Compra de Títulos y Valores </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2.16 Concesión de Préstamos </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lastRenderedPageBreak/>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2.17 Inversiones en Fideicomisos, Mandatos y Otros Análogos </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2.18 Provisiones para Contingencias y Otras Erogaciones Especiales </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2.19 Amortización de la Deuda Pública </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2.20 Adeudos de Ejercicios Fiscales Anteriores (ADEFAS) </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2.21 Otros Egresos Presupuestales No Contables</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6046" w:type="dxa"/>
            <w:gridSpan w:val="2"/>
            <w:tcBorders>
              <w:top w:val="nil"/>
              <w:left w:val="nil"/>
              <w:bottom w:val="nil"/>
              <w:right w:val="nil"/>
            </w:tcBorders>
            <w:shd w:val="clear" w:color="auto" w:fill="auto"/>
            <w:noWrap/>
            <w:vAlign w:val="bottom"/>
            <w:hideMark/>
          </w:tcPr>
          <w:p w:rsidR="00746520" w:rsidRPr="00CF08D6" w:rsidRDefault="00746520" w:rsidP="00746520">
            <w:pPr>
              <w:spacing w:after="0" w:line="240" w:lineRule="auto"/>
              <w:rPr>
                <w:rFonts w:ascii="Barlow" w:eastAsia="Times New Roman" w:hAnsi="Barlow" w:cs="Arial"/>
                <w:color w:val="000000"/>
                <w:sz w:val="20"/>
                <w:szCs w:val="20"/>
                <w:lang w:eastAsia="es-MX"/>
              </w:rPr>
            </w:pPr>
          </w:p>
        </w:tc>
        <w:tc>
          <w:tcPr>
            <w:tcW w:w="3050" w:type="dxa"/>
            <w:tcBorders>
              <w:top w:val="nil"/>
              <w:left w:val="single" w:sz="4" w:space="0" w:color="auto"/>
              <w:bottom w:val="single" w:sz="4" w:space="0" w:color="auto"/>
              <w:right w:val="single" w:sz="4" w:space="0" w:color="auto"/>
            </w:tcBorders>
            <w:shd w:val="clear" w:color="auto" w:fill="auto"/>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905" w:type="dxa"/>
            <w:tcBorders>
              <w:top w:val="nil"/>
              <w:left w:val="nil"/>
              <w:bottom w:val="single" w:sz="4" w:space="0" w:color="auto"/>
              <w:right w:val="single" w:sz="4" w:space="0" w:color="auto"/>
            </w:tcBorders>
            <w:shd w:val="clear" w:color="auto" w:fill="auto"/>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60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3. Más Gastos Contables No Presupuestarios</w:t>
            </w:r>
          </w:p>
        </w:tc>
        <w:tc>
          <w:tcPr>
            <w:tcW w:w="3050" w:type="dxa"/>
            <w:tcBorders>
              <w:top w:val="nil"/>
              <w:left w:val="single" w:sz="4" w:space="0" w:color="auto"/>
              <w:bottom w:val="single" w:sz="4" w:space="0" w:color="auto"/>
              <w:right w:val="single" w:sz="4" w:space="0" w:color="auto"/>
            </w:tcBorders>
            <w:shd w:val="clear" w:color="auto" w:fill="auto"/>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905" w:type="dxa"/>
            <w:tcBorders>
              <w:top w:val="nil"/>
              <w:left w:val="nil"/>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 xml:space="preserve">                     1,385,609.41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3.1 Estimaciones, Depreciaciones, Deterioros, Obsolescencia y Amortizaciones</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1,377,747.83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3.2 Provisiones</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3.3 Disminución de inventarios</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48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3.4 Aumento por insuficiencia de estimaciones por pérdida o deterioro u obsolescencia</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3.5 Aumento por insuficiencia de provisiones</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3.6 Otros Gastos</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7,861.58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268" w:type="dxa"/>
            <w:tcBorders>
              <w:top w:val="nil"/>
              <w:left w:val="single" w:sz="4" w:space="0" w:color="auto"/>
              <w:bottom w:val="single" w:sz="4" w:space="0" w:color="auto"/>
              <w:right w:val="nil"/>
            </w:tcBorders>
            <w:shd w:val="clear" w:color="auto" w:fill="auto"/>
            <w:noWrap/>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5778" w:type="dxa"/>
            <w:tcBorders>
              <w:top w:val="nil"/>
              <w:left w:val="nil"/>
              <w:bottom w:val="single" w:sz="4" w:space="0" w:color="auto"/>
              <w:right w:val="nil"/>
            </w:tcBorders>
            <w:shd w:val="clear" w:color="auto" w:fill="auto"/>
            <w:vAlign w:val="center"/>
            <w:hideMark/>
          </w:tcPr>
          <w:p w:rsidR="00746520" w:rsidRPr="00CF08D6" w:rsidRDefault="00746520" w:rsidP="00746520">
            <w:pPr>
              <w:spacing w:after="0" w:line="240" w:lineRule="auto"/>
              <w:ind w:firstLineChars="100" w:firstLine="200"/>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3.7 Otros Gastos Contables No Presupuestales</w:t>
            </w:r>
          </w:p>
        </w:tc>
        <w:tc>
          <w:tcPr>
            <w:tcW w:w="3050" w:type="dxa"/>
            <w:tcBorders>
              <w:top w:val="nil"/>
              <w:left w:val="single" w:sz="4" w:space="0" w:color="auto"/>
              <w:bottom w:val="single" w:sz="4" w:space="0" w:color="auto"/>
              <w:right w:val="single" w:sz="4" w:space="0" w:color="auto"/>
            </w:tcBorders>
            <w:shd w:val="clear" w:color="auto" w:fill="auto"/>
            <w:noWrap/>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xml:space="preserve">                                            -   </w:t>
            </w:r>
          </w:p>
        </w:tc>
        <w:tc>
          <w:tcPr>
            <w:tcW w:w="2905" w:type="dxa"/>
            <w:tcBorders>
              <w:top w:val="nil"/>
              <w:left w:val="nil"/>
              <w:bottom w:val="single" w:sz="4" w:space="0" w:color="auto"/>
              <w:right w:val="single" w:sz="4" w:space="0" w:color="auto"/>
            </w:tcBorders>
            <w:shd w:val="clear" w:color="auto" w:fill="auto"/>
            <w:vAlign w:val="center"/>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6046" w:type="dxa"/>
            <w:gridSpan w:val="2"/>
            <w:tcBorders>
              <w:top w:val="nil"/>
              <w:left w:val="nil"/>
              <w:bottom w:val="nil"/>
              <w:right w:val="nil"/>
            </w:tcBorders>
            <w:shd w:val="clear" w:color="auto" w:fill="auto"/>
            <w:noWrap/>
            <w:vAlign w:val="bottom"/>
            <w:hideMark/>
          </w:tcPr>
          <w:p w:rsidR="00746520" w:rsidRPr="00CF08D6" w:rsidRDefault="00746520" w:rsidP="00746520">
            <w:pPr>
              <w:spacing w:after="0" w:line="240" w:lineRule="auto"/>
              <w:rPr>
                <w:rFonts w:ascii="Barlow" w:eastAsia="Times New Roman" w:hAnsi="Barlow" w:cs="Arial"/>
                <w:color w:val="000000"/>
                <w:sz w:val="20"/>
                <w:szCs w:val="20"/>
                <w:lang w:eastAsia="es-MX"/>
              </w:rPr>
            </w:pPr>
          </w:p>
        </w:tc>
        <w:tc>
          <w:tcPr>
            <w:tcW w:w="3050" w:type="dxa"/>
            <w:tcBorders>
              <w:top w:val="nil"/>
              <w:left w:val="single" w:sz="4" w:space="0" w:color="auto"/>
              <w:bottom w:val="single" w:sz="4" w:space="0" w:color="auto"/>
              <w:right w:val="single" w:sz="4" w:space="0" w:color="auto"/>
            </w:tcBorders>
            <w:shd w:val="clear" w:color="auto" w:fill="auto"/>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905" w:type="dxa"/>
            <w:tcBorders>
              <w:top w:val="nil"/>
              <w:left w:val="nil"/>
              <w:bottom w:val="single" w:sz="4" w:space="0" w:color="auto"/>
              <w:right w:val="single" w:sz="4" w:space="0" w:color="auto"/>
            </w:tcBorders>
            <w:shd w:val="clear" w:color="auto" w:fill="auto"/>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r>
      <w:tr w:rsidR="00746520" w:rsidRPr="00CF08D6" w:rsidTr="00746520">
        <w:trPr>
          <w:trHeight w:val="240"/>
          <w:jc w:val="center"/>
        </w:trPr>
        <w:tc>
          <w:tcPr>
            <w:tcW w:w="6046" w:type="dxa"/>
            <w:gridSpan w:val="2"/>
            <w:tcBorders>
              <w:top w:val="single" w:sz="4" w:space="0" w:color="auto"/>
              <w:left w:val="single" w:sz="4" w:space="0" w:color="auto"/>
              <w:bottom w:val="single" w:sz="4" w:space="0" w:color="auto"/>
              <w:right w:val="nil"/>
            </w:tcBorders>
            <w:shd w:val="clear" w:color="000000" w:fill="BFBFBF"/>
            <w:noWrap/>
            <w:vAlign w:val="center"/>
            <w:hideMark/>
          </w:tcPr>
          <w:p w:rsidR="00746520" w:rsidRPr="00CF08D6" w:rsidRDefault="00746520" w:rsidP="00746520">
            <w:pPr>
              <w:spacing w:after="0" w:line="240" w:lineRule="auto"/>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4. Total de Gasto Contable</w:t>
            </w:r>
          </w:p>
        </w:tc>
        <w:tc>
          <w:tcPr>
            <w:tcW w:w="3050" w:type="dxa"/>
            <w:tcBorders>
              <w:top w:val="nil"/>
              <w:left w:val="single" w:sz="4" w:space="0" w:color="auto"/>
              <w:bottom w:val="single" w:sz="4" w:space="0" w:color="auto"/>
              <w:right w:val="single" w:sz="4" w:space="0" w:color="auto"/>
            </w:tcBorders>
            <w:shd w:val="clear" w:color="auto" w:fill="auto"/>
            <w:noWrap/>
            <w:vAlign w:val="bottom"/>
            <w:hideMark/>
          </w:tcPr>
          <w:p w:rsidR="00746520" w:rsidRPr="00CF08D6" w:rsidRDefault="00746520" w:rsidP="00746520">
            <w:pPr>
              <w:spacing w:after="0" w:line="240" w:lineRule="auto"/>
              <w:jc w:val="right"/>
              <w:rPr>
                <w:rFonts w:ascii="Barlow" w:eastAsia="Times New Roman" w:hAnsi="Barlow" w:cs="Arial"/>
                <w:color w:val="000000"/>
                <w:sz w:val="20"/>
                <w:szCs w:val="20"/>
                <w:lang w:eastAsia="es-MX"/>
              </w:rPr>
            </w:pPr>
            <w:r w:rsidRPr="00CF08D6">
              <w:rPr>
                <w:rFonts w:ascii="Barlow" w:eastAsia="Times New Roman" w:hAnsi="Barlow" w:cs="Arial"/>
                <w:color w:val="000000"/>
                <w:sz w:val="20"/>
                <w:szCs w:val="20"/>
                <w:lang w:eastAsia="es-MX"/>
              </w:rPr>
              <w:t> </w:t>
            </w:r>
          </w:p>
        </w:tc>
        <w:tc>
          <w:tcPr>
            <w:tcW w:w="2905" w:type="dxa"/>
            <w:tcBorders>
              <w:top w:val="nil"/>
              <w:left w:val="nil"/>
              <w:bottom w:val="single" w:sz="4" w:space="0" w:color="auto"/>
              <w:right w:val="single" w:sz="4" w:space="0" w:color="auto"/>
            </w:tcBorders>
            <w:shd w:val="clear" w:color="000000" w:fill="BFBFBF"/>
            <w:noWrap/>
            <w:vAlign w:val="center"/>
            <w:hideMark/>
          </w:tcPr>
          <w:p w:rsidR="00746520" w:rsidRPr="00CF08D6" w:rsidRDefault="00746520" w:rsidP="00746520">
            <w:pPr>
              <w:spacing w:after="0" w:line="240" w:lineRule="auto"/>
              <w:jc w:val="right"/>
              <w:rPr>
                <w:rFonts w:ascii="Barlow" w:eastAsia="Times New Roman" w:hAnsi="Barlow" w:cs="Arial"/>
                <w:b/>
                <w:bCs/>
                <w:color w:val="000000"/>
                <w:sz w:val="20"/>
                <w:szCs w:val="20"/>
                <w:lang w:eastAsia="es-MX"/>
              </w:rPr>
            </w:pPr>
            <w:r w:rsidRPr="00CF08D6">
              <w:rPr>
                <w:rFonts w:ascii="Barlow" w:eastAsia="Times New Roman" w:hAnsi="Barlow" w:cs="Arial"/>
                <w:b/>
                <w:bCs/>
                <w:color w:val="000000"/>
                <w:sz w:val="20"/>
                <w:szCs w:val="20"/>
                <w:lang w:eastAsia="es-MX"/>
              </w:rPr>
              <w:t xml:space="preserve">                     7,708,735.85 </w:t>
            </w:r>
          </w:p>
        </w:tc>
      </w:tr>
    </w:tbl>
    <w:p w:rsidR="0084153C" w:rsidRPr="00CF08D6" w:rsidRDefault="0084153C" w:rsidP="005D0A65">
      <w:pPr>
        <w:autoSpaceDE w:val="0"/>
        <w:autoSpaceDN w:val="0"/>
        <w:adjustRightInd w:val="0"/>
        <w:spacing w:line="240" w:lineRule="auto"/>
        <w:jc w:val="both"/>
        <w:rPr>
          <w:rFonts w:ascii="Barlow" w:hAnsi="Barlow" w:cs="Arial"/>
          <w:b/>
          <w:sz w:val="20"/>
          <w:szCs w:val="20"/>
        </w:rPr>
      </w:pPr>
    </w:p>
    <w:p w:rsidR="005D0A65" w:rsidRPr="00CF08D6" w:rsidRDefault="005D0A65" w:rsidP="005D0A65">
      <w:pPr>
        <w:pStyle w:val="Prrafodelista"/>
        <w:numPr>
          <w:ilvl w:val="0"/>
          <w:numId w:val="25"/>
        </w:numPr>
        <w:autoSpaceDE w:val="0"/>
        <w:autoSpaceDN w:val="0"/>
        <w:adjustRightInd w:val="0"/>
        <w:spacing w:after="160" w:line="240" w:lineRule="auto"/>
        <w:jc w:val="both"/>
        <w:rPr>
          <w:rFonts w:ascii="Barlow" w:hAnsi="Barlow" w:cs="Arial"/>
          <w:b/>
          <w:sz w:val="20"/>
          <w:szCs w:val="20"/>
        </w:rPr>
      </w:pPr>
      <w:r w:rsidRPr="00CF08D6">
        <w:rPr>
          <w:rFonts w:ascii="Barlow" w:hAnsi="Barlow" w:cs="Arial"/>
          <w:b/>
          <w:sz w:val="20"/>
          <w:szCs w:val="20"/>
        </w:rPr>
        <w:t>CUENTAS DE MEMORIA (CUENTAS DE ORDEN)</w:t>
      </w:r>
    </w:p>
    <w:p w:rsidR="0038598C" w:rsidRPr="00CF08D6" w:rsidRDefault="0038598C" w:rsidP="005D0A65">
      <w:pPr>
        <w:autoSpaceDE w:val="0"/>
        <w:autoSpaceDN w:val="0"/>
        <w:adjustRightInd w:val="0"/>
        <w:spacing w:line="240" w:lineRule="auto"/>
        <w:jc w:val="both"/>
        <w:rPr>
          <w:rFonts w:ascii="Barlow" w:hAnsi="Barlow" w:cs="Arial"/>
          <w:b/>
          <w:sz w:val="20"/>
          <w:szCs w:val="20"/>
        </w:rPr>
      </w:pP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FONDOS DE DESARROLLO INSTITUCIONAL</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 xml:space="preserve">Se creó el Fondo de Desarrollo Institucional 2012, provenientes de remanentes obtenidos de recursos propios por la prestación de servicios por la impartición del Diplomado en Lengua Maya Yucatán y del diplomado en liderazgo educativo para el personal docente, directivo y supervisión, así como del convenio CEPHCIS “Centro Peninsular de Humanidades y Ciencias Sociales de la Universidad Nacional Autónoma de México. Lo anterior para fomentar el crecimiento y el desarrollo de la Universidad a través de la Certificación de la Norma ISO 9001, el mejoramiento continuo de la infraestructura, y las actividades institucionales con relevancia académica que no puedan ser cubiertas con el presupuesto ordinario. </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lastRenderedPageBreak/>
        <w:t xml:space="preserve">De acuerdo al acta de la Primera Sesión Extraordinaria de la Junta de Gobierno de fecha 13 de agosto del ejercicio 2013, se autoriza ejercer los recursos del Fondo de Desarrollo Institucional por lo que se refleja contablemente en las Reservas, afectado los resultados de ejercicios anteriores. </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La información financiera referente al fondo se encuentra desglosada en el siguiente recuadro:</w:t>
      </w:r>
    </w:p>
    <w:tbl>
      <w:tblPr>
        <w:tblW w:w="12258" w:type="dxa"/>
        <w:jc w:val="center"/>
        <w:tblCellMar>
          <w:left w:w="70" w:type="dxa"/>
          <w:right w:w="70" w:type="dxa"/>
        </w:tblCellMar>
        <w:tblLook w:val="04A0" w:firstRow="1" w:lastRow="0" w:firstColumn="1" w:lastColumn="0" w:noHBand="0" w:noVBand="1"/>
      </w:tblPr>
      <w:tblGrid>
        <w:gridCol w:w="6898"/>
        <w:gridCol w:w="1760"/>
        <w:gridCol w:w="1940"/>
        <w:gridCol w:w="1660"/>
      </w:tblGrid>
      <w:tr w:rsidR="005D0A65" w:rsidRPr="00CF08D6" w:rsidTr="008A23DD">
        <w:trPr>
          <w:trHeight w:val="300"/>
          <w:jc w:val="center"/>
        </w:trPr>
        <w:tc>
          <w:tcPr>
            <w:tcW w:w="6898"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Saldo Inicial del Fondo de Desarrollo Institucional 2012</w:t>
            </w:r>
          </w:p>
        </w:tc>
        <w:tc>
          <w:tcPr>
            <w:tcW w:w="17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rPr>
                <w:rFonts w:ascii="Barlow" w:eastAsia="Times New Roman" w:hAnsi="Barlow" w:cs="Calibri"/>
                <w:b/>
                <w:bCs/>
                <w:color w:val="000000"/>
                <w:sz w:val="20"/>
                <w:szCs w:val="20"/>
                <w:lang w:eastAsia="es-MX"/>
              </w:rPr>
            </w:pPr>
          </w:p>
        </w:tc>
        <w:tc>
          <w:tcPr>
            <w:tcW w:w="194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rPr>
                <w:rFonts w:ascii="Barlow" w:eastAsia="Times New Roman" w:hAnsi="Barlow"/>
                <w:sz w:val="20"/>
                <w:szCs w:val="20"/>
                <w:lang w:eastAsia="es-MX"/>
              </w:rPr>
            </w:pPr>
          </w:p>
        </w:tc>
        <w:tc>
          <w:tcPr>
            <w:tcW w:w="16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right"/>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$559,602.83</w:t>
            </w:r>
          </w:p>
        </w:tc>
      </w:tr>
      <w:tr w:rsidR="005D0A65" w:rsidRPr="00CF08D6" w:rsidTr="008A23DD">
        <w:trPr>
          <w:trHeight w:val="300"/>
          <w:jc w:val="center"/>
        </w:trPr>
        <w:tc>
          <w:tcPr>
            <w:tcW w:w="6898"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Conceptos</w:t>
            </w:r>
          </w:p>
        </w:tc>
        <w:tc>
          <w:tcPr>
            <w:tcW w:w="17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Acumulado Inicio</w:t>
            </w:r>
          </w:p>
        </w:tc>
        <w:tc>
          <w:tcPr>
            <w:tcW w:w="194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Gastos del Periodo</w:t>
            </w:r>
          </w:p>
        </w:tc>
        <w:tc>
          <w:tcPr>
            <w:tcW w:w="16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Acumulado Final</w:t>
            </w:r>
          </w:p>
        </w:tc>
      </w:tr>
      <w:tr w:rsidR="005D0A65" w:rsidRPr="00CF08D6" w:rsidTr="008A23DD">
        <w:trPr>
          <w:trHeight w:val="300"/>
          <w:jc w:val="center"/>
        </w:trPr>
        <w:tc>
          <w:tcPr>
            <w:tcW w:w="6898"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Certificación de procesos bajo la norma ISO 9001</w:t>
            </w:r>
          </w:p>
        </w:tc>
        <w:tc>
          <w:tcPr>
            <w:tcW w:w="17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83984</w:t>
            </w:r>
          </w:p>
        </w:tc>
        <w:tc>
          <w:tcPr>
            <w:tcW w:w="1940" w:type="dxa"/>
            <w:tcBorders>
              <w:top w:val="nil"/>
              <w:left w:val="nil"/>
              <w:bottom w:val="nil"/>
              <w:right w:val="nil"/>
            </w:tcBorders>
            <w:shd w:val="clear" w:color="auto" w:fill="auto"/>
            <w:noWrap/>
            <w:vAlign w:val="bottom"/>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p>
        </w:tc>
        <w:tc>
          <w:tcPr>
            <w:tcW w:w="16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83984</w:t>
            </w:r>
          </w:p>
        </w:tc>
      </w:tr>
      <w:tr w:rsidR="005D0A65" w:rsidRPr="00CF08D6" w:rsidTr="008A23DD">
        <w:trPr>
          <w:trHeight w:val="510"/>
          <w:jc w:val="center"/>
        </w:trPr>
        <w:tc>
          <w:tcPr>
            <w:tcW w:w="6898" w:type="dxa"/>
            <w:tcBorders>
              <w:top w:val="nil"/>
              <w:left w:val="nil"/>
              <w:bottom w:val="nil"/>
              <w:right w:val="nil"/>
            </w:tcBorders>
            <w:shd w:val="clear" w:color="auto" w:fill="auto"/>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Mejoras extraordinarias en la infraestructura y equipamiento del laboratorio de gastronomía</w:t>
            </w:r>
          </w:p>
        </w:tc>
        <w:tc>
          <w:tcPr>
            <w:tcW w:w="17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42663.62</w:t>
            </w:r>
          </w:p>
        </w:tc>
        <w:tc>
          <w:tcPr>
            <w:tcW w:w="1940" w:type="dxa"/>
            <w:tcBorders>
              <w:top w:val="nil"/>
              <w:left w:val="nil"/>
              <w:bottom w:val="nil"/>
              <w:right w:val="nil"/>
            </w:tcBorders>
            <w:shd w:val="clear" w:color="auto" w:fill="auto"/>
            <w:noWrap/>
            <w:vAlign w:val="bottom"/>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p>
        </w:tc>
        <w:tc>
          <w:tcPr>
            <w:tcW w:w="16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42663.62</w:t>
            </w:r>
          </w:p>
        </w:tc>
      </w:tr>
      <w:tr w:rsidR="005D0A65" w:rsidRPr="00CF08D6" w:rsidTr="008A23DD">
        <w:trPr>
          <w:trHeight w:val="510"/>
          <w:jc w:val="center"/>
        </w:trPr>
        <w:tc>
          <w:tcPr>
            <w:tcW w:w="6898" w:type="dxa"/>
            <w:tcBorders>
              <w:top w:val="nil"/>
              <w:left w:val="nil"/>
              <w:bottom w:val="nil"/>
              <w:right w:val="nil"/>
            </w:tcBorders>
            <w:shd w:val="clear" w:color="auto" w:fill="auto"/>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Mejoras extraordinarias en la infraestructura y equipamiento del laboratorio de idiomas</w:t>
            </w:r>
          </w:p>
        </w:tc>
        <w:tc>
          <w:tcPr>
            <w:tcW w:w="17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47163</w:t>
            </w:r>
          </w:p>
        </w:tc>
        <w:tc>
          <w:tcPr>
            <w:tcW w:w="1940" w:type="dxa"/>
            <w:tcBorders>
              <w:top w:val="nil"/>
              <w:left w:val="nil"/>
              <w:bottom w:val="nil"/>
              <w:right w:val="nil"/>
            </w:tcBorders>
            <w:shd w:val="clear" w:color="auto" w:fill="auto"/>
            <w:noWrap/>
            <w:vAlign w:val="bottom"/>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p>
        </w:tc>
        <w:tc>
          <w:tcPr>
            <w:tcW w:w="16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47163</w:t>
            </w:r>
          </w:p>
        </w:tc>
      </w:tr>
      <w:tr w:rsidR="005D0A65" w:rsidRPr="00CF08D6" w:rsidTr="008A23DD">
        <w:trPr>
          <w:trHeight w:val="300"/>
          <w:jc w:val="center"/>
        </w:trPr>
        <w:tc>
          <w:tcPr>
            <w:tcW w:w="6898"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Mantenimiento preventivo de la universidad</w:t>
            </w:r>
          </w:p>
        </w:tc>
        <w:tc>
          <w:tcPr>
            <w:tcW w:w="17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67344.28</w:t>
            </w:r>
          </w:p>
        </w:tc>
        <w:tc>
          <w:tcPr>
            <w:tcW w:w="1940" w:type="dxa"/>
            <w:tcBorders>
              <w:top w:val="nil"/>
              <w:left w:val="nil"/>
              <w:bottom w:val="nil"/>
              <w:right w:val="nil"/>
            </w:tcBorders>
            <w:shd w:val="clear" w:color="auto" w:fill="auto"/>
            <w:noWrap/>
            <w:vAlign w:val="bottom"/>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p>
        </w:tc>
        <w:tc>
          <w:tcPr>
            <w:tcW w:w="16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67344.28</w:t>
            </w:r>
          </w:p>
        </w:tc>
      </w:tr>
      <w:tr w:rsidR="005D0A65" w:rsidRPr="00CF08D6" w:rsidTr="008A23DD">
        <w:trPr>
          <w:trHeight w:val="300"/>
          <w:jc w:val="center"/>
        </w:trPr>
        <w:tc>
          <w:tcPr>
            <w:tcW w:w="6898"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Otros gastos autorizados por la rectoría de la universidad</w:t>
            </w:r>
          </w:p>
        </w:tc>
        <w:tc>
          <w:tcPr>
            <w:tcW w:w="17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318447.93</w:t>
            </w:r>
          </w:p>
        </w:tc>
        <w:tc>
          <w:tcPr>
            <w:tcW w:w="1940" w:type="dxa"/>
            <w:tcBorders>
              <w:top w:val="nil"/>
              <w:left w:val="nil"/>
              <w:bottom w:val="nil"/>
              <w:right w:val="nil"/>
            </w:tcBorders>
            <w:shd w:val="clear" w:color="auto" w:fill="auto"/>
            <w:noWrap/>
            <w:vAlign w:val="bottom"/>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p>
        </w:tc>
        <w:tc>
          <w:tcPr>
            <w:tcW w:w="16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318447.93</w:t>
            </w:r>
          </w:p>
        </w:tc>
      </w:tr>
      <w:tr w:rsidR="005D0A65" w:rsidRPr="00CF08D6" w:rsidTr="008A23DD">
        <w:trPr>
          <w:trHeight w:val="300"/>
          <w:jc w:val="center"/>
        </w:trPr>
        <w:tc>
          <w:tcPr>
            <w:tcW w:w="6898"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Gastos acumulados</w:t>
            </w:r>
          </w:p>
        </w:tc>
        <w:tc>
          <w:tcPr>
            <w:tcW w:w="17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rPr>
                <w:rFonts w:ascii="Barlow" w:eastAsia="Times New Roman" w:hAnsi="Barlow" w:cs="Calibri"/>
                <w:b/>
                <w:bCs/>
                <w:color w:val="000000"/>
                <w:sz w:val="20"/>
                <w:szCs w:val="20"/>
                <w:lang w:eastAsia="es-MX"/>
              </w:rPr>
            </w:pPr>
          </w:p>
        </w:tc>
        <w:tc>
          <w:tcPr>
            <w:tcW w:w="194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rPr>
                <w:rFonts w:ascii="Barlow" w:eastAsia="Times New Roman" w:hAnsi="Barlow"/>
                <w:sz w:val="20"/>
                <w:szCs w:val="20"/>
                <w:lang w:eastAsia="es-MX"/>
              </w:rPr>
            </w:pPr>
          </w:p>
        </w:tc>
        <w:tc>
          <w:tcPr>
            <w:tcW w:w="16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right"/>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559,602.83</w:t>
            </w:r>
          </w:p>
        </w:tc>
      </w:tr>
      <w:tr w:rsidR="005D0A65" w:rsidRPr="00CF08D6" w:rsidTr="008A23DD">
        <w:trPr>
          <w:trHeight w:val="300"/>
          <w:jc w:val="center"/>
        </w:trPr>
        <w:tc>
          <w:tcPr>
            <w:tcW w:w="6898" w:type="dxa"/>
            <w:tcBorders>
              <w:top w:val="nil"/>
              <w:left w:val="nil"/>
              <w:bottom w:val="nil"/>
              <w:right w:val="nil"/>
            </w:tcBorders>
            <w:shd w:val="clear" w:color="auto" w:fill="auto"/>
            <w:noWrap/>
            <w:vAlign w:val="bottom"/>
            <w:hideMark/>
          </w:tcPr>
          <w:p w:rsidR="005D0A65" w:rsidRPr="00CF08D6" w:rsidRDefault="005D0A65" w:rsidP="008A23DD">
            <w:pPr>
              <w:spacing w:after="0" w:line="240" w:lineRule="auto"/>
              <w:jc w:val="right"/>
              <w:rPr>
                <w:rFonts w:ascii="Barlow" w:eastAsia="Times New Roman" w:hAnsi="Barlow" w:cs="Calibri"/>
                <w:b/>
                <w:bCs/>
                <w:color w:val="000000"/>
                <w:sz w:val="20"/>
                <w:szCs w:val="20"/>
                <w:lang w:eastAsia="es-MX"/>
              </w:rPr>
            </w:pPr>
          </w:p>
        </w:tc>
        <w:tc>
          <w:tcPr>
            <w:tcW w:w="1760" w:type="dxa"/>
            <w:tcBorders>
              <w:top w:val="nil"/>
              <w:left w:val="nil"/>
              <w:bottom w:val="nil"/>
              <w:right w:val="nil"/>
            </w:tcBorders>
            <w:shd w:val="clear" w:color="auto" w:fill="auto"/>
            <w:noWrap/>
            <w:vAlign w:val="bottom"/>
            <w:hideMark/>
          </w:tcPr>
          <w:p w:rsidR="005D0A65" w:rsidRPr="00CF08D6" w:rsidRDefault="005D0A65" w:rsidP="008A23DD">
            <w:pPr>
              <w:spacing w:after="0" w:line="240" w:lineRule="auto"/>
              <w:rPr>
                <w:rFonts w:ascii="Barlow" w:eastAsia="Times New Roman" w:hAnsi="Barlow"/>
                <w:sz w:val="20"/>
                <w:szCs w:val="20"/>
                <w:lang w:eastAsia="es-MX"/>
              </w:rPr>
            </w:pPr>
          </w:p>
        </w:tc>
        <w:tc>
          <w:tcPr>
            <w:tcW w:w="1940" w:type="dxa"/>
            <w:tcBorders>
              <w:top w:val="nil"/>
              <w:left w:val="nil"/>
              <w:bottom w:val="nil"/>
              <w:right w:val="nil"/>
            </w:tcBorders>
            <w:shd w:val="clear" w:color="auto" w:fill="auto"/>
            <w:noWrap/>
            <w:vAlign w:val="bottom"/>
            <w:hideMark/>
          </w:tcPr>
          <w:p w:rsidR="005D0A65" w:rsidRPr="00CF08D6" w:rsidRDefault="005D0A65" w:rsidP="008A23DD">
            <w:pPr>
              <w:spacing w:after="0" w:line="240" w:lineRule="auto"/>
              <w:rPr>
                <w:rFonts w:ascii="Barlow" w:eastAsia="Times New Roman" w:hAnsi="Barlow"/>
                <w:sz w:val="20"/>
                <w:szCs w:val="20"/>
                <w:lang w:eastAsia="es-MX"/>
              </w:rPr>
            </w:pPr>
          </w:p>
        </w:tc>
        <w:tc>
          <w:tcPr>
            <w:tcW w:w="1660" w:type="dxa"/>
            <w:tcBorders>
              <w:top w:val="nil"/>
              <w:left w:val="nil"/>
              <w:bottom w:val="nil"/>
              <w:right w:val="nil"/>
            </w:tcBorders>
            <w:shd w:val="clear" w:color="auto" w:fill="auto"/>
            <w:noWrap/>
            <w:vAlign w:val="bottom"/>
            <w:hideMark/>
          </w:tcPr>
          <w:p w:rsidR="005D0A65" w:rsidRPr="00CF08D6" w:rsidRDefault="005D0A65" w:rsidP="008A23DD">
            <w:pPr>
              <w:spacing w:after="0" w:line="240" w:lineRule="auto"/>
              <w:rPr>
                <w:rFonts w:ascii="Barlow" w:eastAsia="Times New Roman" w:hAnsi="Barlow"/>
                <w:sz w:val="20"/>
                <w:szCs w:val="20"/>
                <w:lang w:eastAsia="es-MX"/>
              </w:rPr>
            </w:pPr>
          </w:p>
        </w:tc>
      </w:tr>
      <w:tr w:rsidR="005D0A65" w:rsidRPr="00CF08D6" w:rsidTr="008A23DD">
        <w:trPr>
          <w:trHeight w:val="300"/>
          <w:jc w:val="center"/>
        </w:trPr>
        <w:tc>
          <w:tcPr>
            <w:tcW w:w="6898"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Saldo Final del Fondo de Desarrollo Institucional 2012</w:t>
            </w:r>
          </w:p>
        </w:tc>
        <w:tc>
          <w:tcPr>
            <w:tcW w:w="17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rPr>
                <w:rFonts w:ascii="Barlow" w:eastAsia="Times New Roman" w:hAnsi="Barlow" w:cs="Calibri"/>
                <w:b/>
                <w:bCs/>
                <w:color w:val="000000"/>
                <w:sz w:val="20"/>
                <w:szCs w:val="20"/>
                <w:lang w:eastAsia="es-MX"/>
              </w:rPr>
            </w:pPr>
          </w:p>
        </w:tc>
        <w:tc>
          <w:tcPr>
            <w:tcW w:w="194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right"/>
              <w:rPr>
                <w:rFonts w:ascii="Barlow" w:eastAsia="Times New Roman" w:hAnsi="Barlow"/>
                <w:sz w:val="20"/>
                <w:szCs w:val="20"/>
                <w:lang w:eastAsia="es-MX"/>
              </w:rPr>
            </w:pPr>
          </w:p>
        </w:tc>
        <w:tc>
          <w:tcPr>
            <w:tcW w:w="1660" w:type="dxa"/>
            <w:tcBorders>
              <w:top w:val="nil"/>
              <w:left w:val="nil"/>
              <w:bottom w:val="nil"/>
              <w:right w:val="nil"/>
            </w:tcBorders>
            <w:shd w:val="clear" w:color="auto" w:fill="auto"/>
            <w:noWrap/>
            <w:vAlign w:val="center"/>
            <w:hideMark/>
          </w:tcPr>
          <w:p w:rsidR="005D0A65" w:rsidRPr="00CF08D6" w:rsidRDefault="005D0A65" w:rsidP="008A23DD">
            <w:pPr>
              <w:spacing w:after="0" w:line="240" w:lineRule="auto"/>
              <w:jc w:val="right"/>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$0.00</w:t>
            </w:r>
          </w:p>
        </w:tc>
      </w:tr>
    </w:tbl>
    <w:p w:rsidR="005D0A65" w:rsidRPr="00CF08D6" w:rsidRDefault="005D0A65" w:rsidP="005D0A65">
      <w:pPr>
        <w:autoSpaceDE w:val="0"/>
        <w:autoSpaceDN w:val="0"/>
        <w:adjustRightInd w:val="0"/>
        <w:spacing w:line="240" w:lineRule="auto"/>
        <w:jc w:val="both"/>
        <w:rPr>
          <w:rFonts w:ascii="Barlow" w:hAnsi="Barlow" w:cs="Arial"/>
          <w:sz w:val="20"/>
          <w:szCs w:val="20"/>
        </w:rPr>
      </w:pP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 xml:space="preserve">Se creó el Fondo de Desarrollo Institucional 2015, proveniente de remanentes de ejercicios anteriores 2013 y 2014 derivados de la recaudación de recursos propios y que al 18 de noviembre del presente ejercicio se cuenta con un remanente del fondo por 2,654,941.31 los cuales se irán ejerciendo conforme se realizan las actividades para lo que fue destinado por la Junta Directiva en su cuarta sección ordinaria de fecha 18 de noviembre del presente. </w:t>
      </w:r>
    </w:p>
    <w:p w:rsidR="005D0A65"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La información financiera referente al fondo se encuentra desglosada en el siguiente recuadro:</w:t>
      </w:r>
    </w:p>
    <w:p w:rsidR="00CF08D6" w:rsidRDefault="00CF08D6" w:rsidP="005D0A65">
      <w:pPr>
        <w:autoSpaceDE w:val="0"/>
        <w:autoSpaceDN w:val="0"/>
        <w:adjustRightInd w:val="0"/>
        <w:spacing w:line="240" w:lineRule="auto"/>
        <w:jc w:val="both"/>
        <w:rPr>
          <w:rFonts w:ascii="Barlow" w:hAnsi="Barlow" w:cs="Arial"/>
          <w:sz w:val="20"/>
          <w:szCs w:val="20"/>
        </w:rPr>
      </w:pPr>
    </w:p>
    <w:p w:rsidR="00CF08D6" w:rsidRDefault="00CF08D6" w:rsidP="005D0A65">
      <w:pPr>
        <w:autoSpaceDE w:val="0"/>
        <w:autoSpaceDN w:val="0"/>
        <w:adjustRightInd w:val="0"/>
        <w:spacing w:line="240" w:lineRule="auto"/>
        <w:jc w:val="both"/>
        <w:rPr>
          <w:rFonts w:ascii="Barlow" w:hAnsi="Barlow" w:cs="Arial"/>
          <w:sz w:val="20"/>
          <w:szCs w:val="20"/>
        </w:rPr>
      </w:pPr>
    </w:p>
    <w:p w:rsidR="00CF08D6" w:rsidRPr="00CF08D6" w:rsidRDefault="00CF08D6" w:rsidP="005D0A65">
      <w:pPr>
        <w:autoSpaceDE w:val="0"/>
        <w:autoSpaceDN w:val="0"/>
        <w:adjustRightInd w:val="0"/>
        <w:spacing w:line="240" w:lineRule="auto"/>
        <w:jc w:val="both"/>
        <w:rPr>
          <w:rFonts w:ascii="Barlow" w:hAnsi="Barlow" w:cs="Arial"/>
          <w:sz w:val="20"/>
          <w:szCs w:val="20"/>
        </w:rPr>
      </w:pPr>
    </w:p>
    <w:tbl>
      <w:tblPr>
        <w:tblW w:w="15062" w:type="dxa"/>
        <w:jc w:val="center"/>
        <w:tblCellMar>
          <w:left w:w="70" w:type="dxa"/>
          <w:right w:w="70" w:type="dxa"/>
        </w:tblCellMar>
        <w:tblLook w:val="04A0" w:firstRow="1" w:lastRow="0" w:firstColumn="1" w:lastColumn="0" w:noHBand="0" w:noVBand="1"/>
      </w:tblPr>
      <w:tblGrid>
        <w:gridCol w:w="5240"/>
        <w:gridCol w:w="2954"/>
        <w:gridCol w:w="2022"/>
        <w:gridCol w:w="1804"/>
        <w:gridCol w:w="1581"/>
        <w:gridCol w:w="1461"/>
      </w:tblGrid>
      <w:tr w:rsidR="005D0A65" w:rsidRPr="00CF08D6" w:rsidTr="008A23DD">
        <w:trPr>
          <w:trHeight w:val="300"/>
          <w:jc w:val="center"/>
        </w:trPr>
        <w:tc>
          <w:tcPr>
            <w:tcW w:w="5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lastRenderedPageBreak/>
              <w:t>Eje de acción de la miscelánea o mejoras en los servicios administrativos (ADM)</w:t>
            </w:r>
          </w:p>
        </w:tc>
        <w:tc>
          <w:tcPr>
            <w:tcW w:w="2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Acción específica</w:t>
            </w:r>
          </w:p>
        </w:tc>
        <w:tc>
          <w:tcPr>
            <w:tcW w:w="2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Referencia</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Monto autorizado</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Ejercido</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POR EJERCER</w:t>
            </w:r>
          </w:p>
        </w:tc>
      </w:tr>
      <w:tr w:rsidR="005D0A65" w:rsidRPr="00CF08D6" w:rsidTr="008A23DD">
        <w:trPr>
          <w:trHeight w:val="480"/>
          <w:jc w:val="center"/>
        </w:trPr>
        <w:tc>
          <w:tcPr>
            <w:tcW w:w="5240" w:type="dxa"/>
            <w:vMerge/>
            <w:tcBorders>
              <w:top w:val="single" w:sz="4" w:space="0" w:color="auto"/>
              <w:left w:val="single" w:sz="4" w:space="0" w:color="auto"/>
              <w:bottom w:val="single" w:sz="4" w:space="0" w:color="auto"/>
              <w:right w:val="single" w:sz="4" w:space="0" w:color="auto"/>
            </w:tcBorders>
            <w:vAlign w:val="center"/>
            <w:hideMark/>
          </w:tcPr>
          <w:p w:rsidR="005D0A65" w:rsidRPr="00CF08D6" w:rsidRDefault="005D0A65" w:rsidP="008A23DD">
            <w:pPr>
              <w:spacing w:after="0" w:line="240" w:lineRule="auto"/>
              <w:rPr>
                <w:rFonts w:ascii="Barlow" w:eastAsia="Times New Roman" w:hAnsi="Barlow" w:cs="Calibri"/>
                <w:b/>
                <w:bCs/>
                <w:color w:val="000000"/>
                <w:sz w:val="20"/>
                <w:szCs w:val="20"/>
                <w:lang w:eastAsia="es-MX"/>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5D0A65" w:rsidRPr="00CF08D6" w:rsidRDefault="005D0A65" w:rsidP="008A23DD">
            <w:pPr>
              <w:spacing w:after="0" w:line="240" w:lineRule="auto"/>
              <w:rPr>
                <w:rFonts w:ascii="Barlow" w:eastAsia="Times New Roman" w:hAnsi="Barlow" w:cs="Calibri"/>
                <w:b/>
                <w:bCs/>
                <w:color w:val="000000"/>
                <w:sz w:val="20"/>
                <w:szCs w:val="20"/>
                <w:lang w:eastAsia="es-MX"/>
              </w:rPr>
            </w:pPr>
          </w:p>
        </w:tc>
        <w:tc>
          <w:tcPr>
            <w:tcW w:w="2022" w:type="dxa"/>
            <w:vMerge/>
            <w:tcBorders>
              <w:top w:val="single" w:sz="4" w:space="0" w:color="auto"/>
              <w:left w:val="single" w:sz="4" w:space="0" w:color="auto"/>
              <w:bottom w:val="single" w:sz="4" w:space="0" w:color="auto"/>
              <w:right w:val="single" w:sz="4" w:space="0" w:color="auto"/>
            </w:tcBorders>
            <w:vAlign w:val="center"/>
            <w:hideMark/>
          </w:tcPr>
          <w:p w:rsidR="005D0A65" w:rsidRPr="00CF08D6" w:rsidRDefault="005D0A65" w:rsidP="008A23DD">
            <w:pPr>
              <w:spacing w:after="0" w:line="240" w:lineRule="auto"/>
              <w:rPr>
                <w:rFonts w:ascii="Barlow" w:eastAsia="Times New Roman" w:hAnsi="Barlow" w:cs="Calibri"/>
                <w:b/>
                <w:bCs/>
                <w:color w:val="000000"/>
                <w:sz w:val="20"/>
                <w:szCs w:val="20"/>
                <w:lang w:eastAsia="es-MX"/>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5D0A65" w:rsidRPr="00CF08D6" w:rsidRDefault="005D0A65" w:rsidP="008A23DD">
            <w:pPr>
              <w:spacing w:after="0" w:line="240" w:lineRule="auto"/>
              <w:rPr>
                <w:rFonts w:ascii="Barlow" w:eastAsia="Times New Roman" w:hAnsi="Barlow" w:cs="Calibri"/>
                <w:b/>
                <w:bCs/>
                <w:color w:val="000000"/>
                <w:sz w:val="20"/>
                <w:szCs w:val="20"/>
                <w:lang w:eastAsia="es-MX"/>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rsidR="005D0A65" w:rsidRPr="00CF08D6" w:rsidRDefault="005D0A65" w:rsidP="008A23DD">
            <w:pPr>
              <w:spacing w:after="0" w:line="240" w:lineRule="auto"/>
              <w:rPr>
                <w:rFonts w:ascii="Barlow" w:eastAsia="Times New Roman" w:hAnsi="Barlow" w:cs="Calibri"/>
                <w:b/>
                <w:bCs/>
                <w:color w:val="000000"/>
                <w:sz w:val="20"/>
                <w:szCs w:val="20"/>
                <w:lang w:eastAsia="es-MX"/>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rsidR="005D0A65" w:rsidRPr="00CF08D6" w:rsidRDefault="005D0A65" w:rsidP="008A23DD">
            <w:pPr>
              <w:spacing w:after="0" w:line="240" w:lineRule="auto"/>
              <w:rPr>
                <w:rFonts w:ascii="Barlow" w:eastAsia="Times New Roman" w:hAnsi="Barlow" w:cs="Calibri"/>
                <w:b/>
                <w:bCs/>
                <w:color w:val="000000"/>
                <w:sz w:val="20"/>
                <w:szCs w:val="20"/>
                <w:lang w:eastAsia="es-MX"/>
              </w:rPr>
            </w:pPr>
          </w:p>
        </w:tc>
      </w:tr>
      <w:tr w:rsidR="005D0A65" w:rsidRPr="00CF08D6" w:rsidTr="008A23DD">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ADM- Renovación del equipo de Transporte para diligencias académicas y  administrativas.</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Adquisición de vehículo marca Nissan</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Cotización autosur</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$155,916.24</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$155,916.24</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$0.00</w:t>
            </w:r>
          </w:p>
        </w:tc>
      </w:tr>
      <w:tr w:rsidR="005D0A65" w:rsidRPr="00CF08D6" w:rsidTr="008A23DD">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4 Mantenimiento y actualización de máquinas de cómputo.</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Renovación de 40 computadoras en laboratorio de cómputo. </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$785,424.08</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$659,386.10</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$136,037.98</w:t>
            </w:r>
          </w:p>
        </w:tc>
      </w:tr>
      <w:tr w:rsidR="005D0A65" w:rsidRPr="00CF08D6" w:rsidTr="008A23DD">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4 Mantenimiento y actualización de máquinas de cómputo.</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No breaks para aulas </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$57,037.20</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$57,037.20</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$0.00</w:t>
            </w:r>
          </w:p>
        </w:tc>
      </w:tr>
      <w:tr w:rsidR="005D0A65" w:rsidRPr="00CF08D6" w:rsidTr="008A23DD">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4 Mantenimiento y actualización de máquinas de cómputo.</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Renovación de Video proyectores.</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$64,190.22</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$64,190.22</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$0.00</w:t>
            </w:r>
          </w:p>
        </w:tc>
      </w:tr>
      <w:tr w:rsidR="005D0A65" w:rsidRPr="00CF08D6" w:rsidTr="008A23DD">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ADM- Habilitación de nuevo espacio.</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Señalética de protección civil para laboratorio,</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$7,169.96</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$7,169.96</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$0.00</w:t>
            </w:r>
          </w:p>
        </w:tc>
      </w:tr>
      <w:tr w:rsidR="005D0A65" w:rsidRPr="00CF08D6" w:rsidTr="008A23DD">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ADM- mejoras al Laboratorio de Gastronomía.</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Mantenimiento correctivo a biodigestor</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$14,511.60</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$14,511.60</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$0.00</w:t>
            </w:r>
          </w:p>
        </w:tc>
      </w:tr>
      <w:tr w:rsidR="005D0A65" w:rsidRPr="00CF08D6" w:rsidTr="008A23DD">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ADM- Mantenimiento de equipos, inmuebles, reparaciones y mejoras</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Mantenimiento a fachada principal</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$21,552.80</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$21,552.80</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$0.00</w:t>
            </w:r>
          </w:p>
        </w:tc>
      </w:tr>
      <w:tr w:rsidR="005D0A65" w:rsidRPr="00CF08D6" w:rsidTr="008A23DD">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26 – Iluminación de la Plaza Cívica y la avenida de la Universidad</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Poste y lámpara en cancha de usos múltiples</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$31,372.20</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$31,372.20</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$0.00</w:t>
            </w:r>
          </w:p>
        </w:tc>
      </w:tr>
      <w:tr w:rsidR="005D0A65" w:rsidRPr="00CF08D6" w:rsidTr="008A23DD">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ADM- Mantenimiento de equipos, inmuebles, reparaciones y mejoras</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Impermeabilización edificio docencia</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$248,062.86</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$248,062.86</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$0.00</w:t>
            </w:r>
          </w:p>
        </w:tc>
      </w:tr>
      <w:tr w:rsidR="005D0A65" w:rsidRPr="00CF08D6" w:rsidTr="008A23DD">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ADM- Mantenimiento de equipos, inmuebles, reparaciones y mejoras</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Construcción de bodega archivo muerto</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$134,207.86</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$134,207.86</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$0.00</w:t>
            </w:r>
          </w:p>
        </w:tc>
      </w:tr>
      <w:tr w:rsidR="005D0A65" w:rsidRPr="00CF08D6" w:rsidTr="008A23DD">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lastRenderedPageBreak/>
              <w:t>ADM- Mantenimiento de equipos, inmuebles, reparaciones y mejoras</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Rampas para personas con capacidades diferentes</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$205,001.42</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$10,159.37</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$194,842.05</w:t>
            </w:r>
          </w:p>
        </w:tc>
      </w:tr>
      <w:tr w:rsidR="005D0A65" w:rsidRPr="00CF08D6" w:rsidTr="008A23DD">
        <w:trPr>
          <w:trHeight w:val="127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ADM- mejoras al Laboratorio de Gastronomía.</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Taller de mantenimiento a aires acondicionados y equipos especiales de Laboratorio de Gastronomía.</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Oficio RM045/2015</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$137,735.20</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$137,735.20</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$0.00</w:t>
            </w:r>
          </w:p>
        </w:tc>
      </w:tr>
      <w:tr w:rsidR="005D0A65" w:rsidRPr="00CF08D6" w:rsidTr="008A23DD">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ADM- Observaciones de Auditoria al ejercicio del 2014.</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Facturación electrónica timbrado de nóminas</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Cotización CONTPAQ</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$23,915.08</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$12,000.00</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$5,915.08</w:t>
            </w:r>
          </w:p>
        </w:tc>
      </w:tr>
      <w:tr w:rsidR="005D0A65" w:rsidRPr="00CF08D6" w:rsidTr="008A23DD">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ADM- Habilitación de nuevo espacio.</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Para el área de Laboratorio Bromatología.</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Cotización extinguidores América</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$7,169.96</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$0.00</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$7,169.96</w:t>
            </w:r>
          </w:p>
        </w:tc>
      </w:tr>
      <w:tr w:rsidR="005D0A65" w:rsidRPr="00CF08D6" w:rsidTr="008A23DD">
        <w:trPr>
          <w:trHeight w:val="102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ADM- mejoras al Laboratorio de Gastronomía.</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Renovación manteles, copas, ollas, tablones, platos, vasos, tablas. 100 piezas nuevas.</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Estimado</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$100,000.00</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$100,000.00</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$0.00</w:t>
            </w:r>
          </w:p>
        </w:tc>
      </w:tr>
      <w:tr w:rsidR="005D0A65" w:rsidRPr="00CF08D6" w:rsidTr="008A23DD">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14 Habilitar el espacio de prácticas profesionales en Lic. Desarrollo Turístico.</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Remodelación cuarto de hotel</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Estimado</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$50,000.00</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$17,449.69</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$23,793.33</w:t>
            </w:r>
          </w:p>
        </w:tc>
      </w:tr>
      <w:tr w:rsidR="005D0A65" w:rsidRPr="00CF08D6" w:rsidTr="008A23DD">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ADM- Habilitación de nuevo espacio.</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Equipamiento Laboratorio de Bromatología.</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Estimado</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$100,000.00</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$0.00</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$100,000.00</w:t>
            </w:r>
          </w:p>
        </w:tc>
      </w:tr>
      <w:tr w:rsidR="005D0A65" w:rsidRPr="00CF08D6" w:rsidTr="008A23DD">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6 Mantenimiento de ventiladores (ruido).</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Capacitores de todos los abanicos de aulas.</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Estimado</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$70,000.00</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$70,000.00</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$0.00</w:t>
            </w:r>
          </w:p>
        </w:tc>
      </w:tr>
      <w:tr w:rsidR="005D0A65" w:rsidRPr="00CF08D6" w:rsidTr="008A23DD">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4 Mantenimiento y actualización de máquinas de cómputo (LAS MAC).</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Reparación o adquisición de 2 computadoras MAC</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Estimado</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$20,000.00</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$20,000.00</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$0.00</w:t>
            </w:r>
          </w:p>
        </w:tc>
      </w:tr>
      <w:tr w:rsidR="005D0A65" w:rsidRPr="00CF08D6" w:rsidTr="008A23DD">
        <w:trPr>
          <w:trHeight w:val="31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Total monto a autorizar</w:t>
            </w:r>
          </w:p>
        </w:tc>
        <w:tc>
          <w:tcPr>
            <w:tcW w:w="295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 </w:t>
            </w:r>
          </w:p>
        </w:tc>
        <w:tc>
          <w:tcPr>
            <w:tcW w:w="2022"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w:t>
            </w:r>
          </w:p>
        </w:tc>
        <w:tc>
          <w:tcPr>
            <w:tcW w:w="1804"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2,233,266.68</w:t>
            </w:r>
          </w:p>
        </w:tc>
        <w:tc>
          <w:tcPr>
            <w:tcW w:w="158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1,763,751.30</w:t>
            </w:r>
          </w:p>
        </w:tc>
        <w:tc>
          <w:tcPr>
            <w:tcW w:w="1461" w:type="dxa"/>
            <w:tcBorders>
              <w:top w:val="nil"/>
              <w:left w:val="nil"/>
              <w:bottom w:val="single" w:sz="4" w:space="0" w:color="auto"/>
              <w:right w:val="single" w:sz="4" w:space="0" w:color="auto"/>
            </w:tcBorders>
            <w:shd w:val="clear" w:color="auto" w:fill="auto"/>
            <w:vAlign w:val="center"/>
            <w:hideMark/>
          </w:tcPr>
          <w:p w:rsidR="005D0A65" w:rsidRPr="00CF08D6" w:rsidRDefault="005D0A65" w:rsidP="008A23DD">
            <w:pPr>
              <w:spacing w:after="0" w:line="240" w:lineRule="auto"/>
              <w:jc w:val="both"/>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457,758.40</w:t>
            </w:r>
          </w:p>
        </w:tc>
      </w:tr>
    </w:tbl>
    <w:p w:rsidR="005D0A65" w:rsidRPr="00CF08D6" w:rsidRDefault="005D0A65" w:rsidP="005D0A65">
      <w:pPr>
        <w:autoSpaceDE w:val="0"/>
        <w:autoSpaceDN w:val="0"/>
        <w:adjustRightInd w:val="0"/>
        <w:spacing w:line="240" w:lineRule="auto"/>
        <w:jc w:val="both"/>
        <w:rPr>
          <w:rFonts w:ascii="Barlow" w:hAnsi="Barlow" w:cs="Arial"/>
          <w:sz w:val="20"/>
          <w:szCs w:val="20"/>
        </w:rPr>
      </w:pPr>
    </w:p>
    <w:p w:rsidR="00B44FB1" w:rsidRPr="00CF08D6" w:rsidRDefault="00B44FB1" w:rsidP="005D0A65">
      <w:pPr>
        <w:autoSpaceDE w:val="0"/>
        <w:autoSpaceDN w:val="0"/>
        <w:adjustRightInd w:val="0"/>
        <w:spacing w:line="240" w:lineRule="auto"/>
        <w:jc w:val="both"/>
        <w:rPr>
          <w:rFonts w:ascii="Barlow" w:hAnsi="Barlow" w:cs="Arial"/>
          <w:sz w:val="20"/>
          <w:szCs w:val="20"/>
        </w:rPr>
      </w:pPr>
    </w:p>
    <w:p w:rsidR="005D0A65" w:rsidRPr="00CF08D6" w:rsidRDefault="005D0A65" w:rsidP="005D0A65">
      <w:pPr>
        <w:pStyle w:val="Prrafodelista"/>
        <w:numPr>
          <w:ilvl w:val="0"/>
          <w:numId w:val="25"/>
        </w:numPr>
        <w:autoSpaceDE w:val="0"/>
        <w:autoSpaceDN w:val="0"/>
        <w:adjustRightInd w:val="0"/>
        <w:spacing w:after="160" w:line="240" w:lineRule="auto"/>
        <w:jc w:val="both"/>
        <w:rPr>
          <w:rFonts w:ascii="Barlow" w:hAnsi="Barlow" w:cs="Arial"/>
          <w:b/>
          <w:sz w:val="20"/>
          <w:szCs w:val="20"/>
        </w:rPr>
      </w:pPr>
      <w:r w:rsidRPr="00CF08D6">
        <w:rPr>
          <w:rFonts w:ascii="Barlow" w:hAnsi="Barlow" w:cs="Arial"/>
          <w:b/>
          <w:sz w:val="20"/>
          <w:szCs w:val="20"/>
        </w:rPr>
        <w:t>NOTAS DE GESTIÓN ADMINISTRATIVA</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1. Introducción</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Los Estados Financieros de los entes públicos, proveen de información financiera a los principales usuarios de la misma, al Congreso y a los ciudadanos.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2. Panorama Económico y Financiero</w:t>
      </w:r>
    </w:p>
    <w:p w:rsidR="005D0A65" w:rsidRDefault="005D0A65" w:rsidP="00CF08D6">
      <w:pPr>
        <w:pStyle w:val="Texto"/>
        <w:spacing w:after="0" w:line="240" w:lineRule="exact"/>
        <w:ind w:firstLine="0"/>
        <w:rPr>
          <w:rFonts w:ascii="Barlow" w:eastAsiaTheme="minorHAnsi" w:hAnsi="Barlow"/>
          <w:sz w:val="20"/>
          <w:lang w:val="es-MX" w:eastAsia="en-US"/>
        </w:rPr>
      </w:pPr>
      <w:r w:rsidRPr="00CF08D6">
        <w:rPr>
          <w:rFonts w:ascii="Barlow" w:eastAsiaTheme="minorHAnsi" w:hAnsi="Barlow"/>
          <w:sz w:val="20"/>
          <w:lang w:val="es-MX" w:eastAsia="en-US"/>
        </w:rPr>
        <w:t>Se informará sobre las principales condiciones económico- financieras bajo las cuales el ente público estuvo operando; y las cuales influyeron en la toma de decisiones de la administración; tanto a nivel local como federal.</w:t>
      </w:r>
    </w:p>
    <w:p w:rsidR="00CF08D6" w:rsidRPr="00CF08D6" w:rsidRDefault="00CF08D6" w:rsidP="00CF08D6">
      <w:pPr>
        <w:pStyle w:val="Texto"/>
        <w:spacing w:after="0" w:line="240" w:lineRule="exact"/>
        <w:ind w:firstLine="0"/>
        <w:rPr>
          <w:rFonts w:ascii="Barlow" w:eastAsiaTheme="minorHAnsi" w:hAnsi="Barlow"/>
          <w:sz w:val="20"/>
          <w:lang w:val="es-MX" w:eastAsia="en-US"/>
        </w:rPr>
      </w:pP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3. Autorización e Historia</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La Universidad de Oriente es una institución de enseñanza superior creada como un Organismo Público Descentralizado del Poder Ejecutivo del Estado de Yucatán, sin fines de lucro, con personalidad jurídica y patrimonio propios, sectorizado a la Secretaria de Educación, con domicilio en la ciudad de Valladolid, Yucatán. Su constitución, funcionamiento, operación, control y evaluación se regulan por lo dispuesto en la Constitución Política del Estado de Yucatán, por la Ley de Educación del Estado de Yucatán, por el Decreto número 628 del 16 de diciembre de 2005 y publicado el 21 de diciembre de 2005 que la crea, el Decreto número 58 del 11 de abril de 2013 y publicado el 15 de abril de 2013 que reforma, deroga y adiciona diversas disposiciones del decreto que crea la Universidad de Oriente, por su Reglamento Interior, así como por las demás leyes, decretos, acuerdos y convenios aplicables.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Su actividad principal es la prestación de servicios de educación, comprendiendo educación superior en sus niveles de profesional asociado, licenciatura y postgrado de acuerdo con los planes nacionales y estatales de educación e investigación, atendiendo a los requerimientos sociales, económicos y ambientales del estado y del país. Se encuentra registrada como entidad no lucrativa para efectos fiscales.</w:t>
      </w:r>
    </w:p>
    <w:p w:rsidR="005D0A65" w:rsidRPr="00CF08D6" w:rsidRDefault="005D0A65" w:rsidP="005D0A65">
      <w:pPr>
        <w:autoSpaceDE w:val="0"/>
        <w:autoSpaceDN w:val="0"/>
        <w:adjustRightInd w:val="0"/>
        <w:spacing w:line="240" w:lineRule="auto"/>
        <w:jc w:val="both"/>
        <w:rPr>
          <w:rFonts w:ascii="Barlow" w:hAnsi="Barlow" w:cs="Arial"/>
          <w:b/>
          <w:sz w:val="20"/>
          <w:szCs w:val="20"/>
        </w:rPr>
      </w:pP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lastRenderedPageBreak/>
        <w:t>4. Organización y Objeto Social</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Se informa sobre:</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a) Objeto social: Educación Superior</w:t>
      </w:r>
    </w:p>
    <w:p w:rsidR="005D0A65" w:rsidRPr="00CF08D6" w:rsidRDefault="00597B2D"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b) Principal</w:t>
      </w:r>
      <w:r w:rsidR="005D0A65" w:rsidRPr="00CF08D6">
        <w:rPr>
          <w:rFonts w:ascii="Barlow" w:hAnsi="Barlow" w:cs="Arial"/>
          <w:sz w:val="20"/>
          <w:szCs w:val="20"/>
        </w:rPr>
        <w:t xml:space="preserve"> actividad: Prestación de Servicios de Educación</w:t>
      </w:r>
    </w:p>
    <w:p w:rsidR="005D0A65" w:rsidRPr="00CF08D6" w:rsidRDefault="00597B2D"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c) Ejercicio fiscal: 202</w:t>
      </w:r>
      <w:r w:rsidR="001C3A14" w:rsidRPr="00CF08D6">
        <w:rPr>
          <w:rFonts w:ascii="Barlow" w:hAnsi="Barlow" w:cs="Arial"/>
          <w:sz w:val="20"/>
          <w:szCs w:val="20"/>
        </w:rPr>
        <w:t>1</w:t>
      </w:r>
    </w:p>
    <w:p w:rsidR="005D0A65" w:rsidRPr="00CF08D6" w:rsidRDefault="00597B2D"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d) Régimen</w:t>
      </w:r>
      <w:r w:rsidR="005D0A65" w:rsidRPr="00CF08D6">
        <w:rPr>
          <w:rFonts w:ascii="Barlow" w:hAnsi="Barlow" w:cs="Arial"/>
          <w:sz w:val="20"/>
          <w:szCs w:val="20"/>
        </w:rPr>
        <w:t xml:space="preserve"> jurídico: Entidad no lucrativa</w:t>
      </w:r>
    </w:p>
    <w:p w:rsidR="005D0A65" w:rsidRPr="00CF08D6" w:rsidRDefault="00597B2D"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e) Consideraciones</w:t>
      </w:r>
      <w:r w:rsidR="005D0A65" w:rsidRPr="00CF08D6">
        <w:rPr>
          <w:rFonts w:ascii="Barlow" w:hAnsi="Barlow" w:cs="Arial"/>
          <w:sz w:val="20"/>
          <w:szCs w:val="20"/>
        </w:rPr>
        <w:t xml:space="preserve"> fiscales del ente: entre las obligaciones fiscales del ente se encuentra la retención de impuesto sobre la renta, impuesto sobre erogaciones al personal, y las declaraciones mensuales y anuales aplicables.</w:t>
      </w:r>
    </w:p>
    <w:p w:rsidR="005D0A65" w:rsidRPr="00CF08D6" w:rsidRDefault="00597B2D"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f) Estructura</w:t>
      </w:r>
      <w:r w:rsidR="005D0A65" w:rsidRPr="00CF08D6">
        <w:rPr>
          <w:rFonts w:ascii="Barlow" w:hAnsi="Barlow" w:cs="Arial"/>
          <w:sz w:val="20"/>
          <w:szCs w:val="20"/>
        </w:rPr>
        <w:t xml:space="preserve"> organizacional básica:</w:t>
      </w:r>
    </w:p>
    <w:p w:rsid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noProof/>
          <w:sz w:val="20"/>
          <w:szCs w:val="20"/>
          <w:lang w:eastAsia="es-MX"/>
        </w:rPr>
        <w:lastRenderedPageBreak/>
        <w:drawing>
          <wp:inline distT="0" distB="0" distL="0" distR="0">
            <wp:extent cx="8648700" cy="46499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3468" cy="4657891"/>
                    </a:xfrm>
                    <a:prstGeom prst="rect">
                      <a:avLst/>
                    </a:prstGeom>
                    <a:noFill/>
                  </pic:spPr>
                </pic:pic>
              </a:graphicData>
            </a:graphic>
          </wp:inline>
        </w:drawing>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b/>
          <w:sz w:val="20"/>
          <w:szCs w:val="20"/>
        </w:rPr>
        <w:lastRenderedPageBreak/>
        <w:t>5. Bases de Preparación de los Estados Financieros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 xml:space="preserve">Los estados financieros que se acompañan fueron preparados de acuerdo con las normas de contabilidad gubernamental del Estado de Yucatán, las cuales difieren, en algunos casos, de las Normas de Información Financiera (NIF) emitidas por el Consejo Mexicano para la Investigación y Desarrollo de Normas de Información Financiera (CINIF), principalmente en los siguientes aspectos entre otros: </w:t>
      </w:r>
    </w:p>
    <w:p w:rsidR="005D0A65" w:rsidRPr="00CF08D6" w:rsidRDefault="005D0A65" w:rsidP="005D0A65">
      <w:pPr>
        <w:autoSpaceDE w:val="0"/>
        <w:autoSpaceDN w:val="0"/>
        <w:adjustRightInd w:val="0"/>
        <w:spacing w:line="240" w:lineRule="auto"/>
        <w:ind w:firstLine="708"/>
        <w:jc w:val="both"/>
        <w:rPr>
          <w:rFonts w:ascii="Barlow" w:hAnsi="Barlow" w:cs="Arial"/>
          <w:sz w:val="20"/>
          <w:szCs w:val="20"/>
        </w:rPr>
      </w:pPr>
      <w:r w:rsidRPr="00CF08D6">
        <w:rPr>
          <w:rFonts w:ascii="Barlow" w:hAnsi="Barlow" w:cs="Arial"/>
          <w:sz w:val="20"/>
          <w:szCs w:val="20"/>
        </w:rPr>
        <w:t>•Las NIF requieren en un entorno inflacionario que se incorporen los efectos de la inflación en los activos y pasivos no monetarios, la inversión en inmuebles, maquinaria y equipo, su depreciación acumulada y del ejercicio, y el patrimonio; además, requieren el registro del resultado por posición monetaria y que se actualicen los estados financieros a pesos de poder adquisitivo de la fecha del ejercicio más reciente que se presenta.</w:t>
      </w:r>
    </w:p>
    <w:p w:rsidR="005D0A65" w:rsidRPr="00CF08D6" w:rsidRDefault="005D0A65" w:rsidP="005D0A65">
      <w:pPr>
        <w:autoSpaceDE w:val="0"/>
        <w:autoSpaceDN w:val="0"/>
        <w:adjustRightInd w:val="0"/>
        <w:spacing w:line="240" w:lineRule="auto"/>
        <w:ind w:firstLine="708"/>
        <w:jc w:val="both"/>
        <w:rPr>
          <w:rFonts w:ascii="Barlow" w:hAnsi="Barlow" w:cs="Arial"/>
          <w:sz w:val="20"/>
          <w:szCs w:val="20"/>
        </w:rPr>
      </w:pPr>
      <w:r w:rsidRPr="00CF08D6">
        <w:rPr>
          <w:rFonts w:ascii="Barlow" w:hAnsi="Barlow" w:cs="Arial"/>
          <w:sz w:val="20"/>
          <w:szCs w:val="20"/>
        </w:rPr>
        <w:t>•Los Estados Financieros adjuntos fueron elaborados de acuerdo a los formatos establecidos en el suplemento del diario Oficial del Gobierno del Estado del 16 de febrero de 2011, que contiene el Manual de Contabilidad Gubernamental emitido por el Consejo Nacional de Armonización Contable.</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6. Políticas de Contabilidad Significativas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Se informa sobre:</w:t>
      </w:r>
    </w:p>
    <w:p w:rsidR="005D0A65" w:rsidRPr="00CF08D6" w:rsidRDefault="005D0A65" w:rsidP="005D0A65">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CF08D6">
        <w:rPr>
          <w:rFonts w:ascii="Barlow" w:hAnsi="Barlow" w:cs="Arial"/>
          <w:sz w:val="20"/>
          <w:szCs w:val="20"/>
        </w:rPr>
        <w:t>Actualización, en este ejercicio no se ha realizado actualizaciones de activos, pasivos y patrimonio.</w:t>
      </w:r>
    </w:p>
    <w:p w:rsidR="005D0A65" w:rsidRPr="00CF08D6" w:rsidRDefault="005D0A65" w:rsidP="005D0A65">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CF08D6">
        <w:rPr>
          <w:rFonts w:ascii="Barlow" w:hAnsi="Barlow" w:cs="Arial"/>
          <w:sz w:val="20"/>
          <w:szCs w:val="20"/>
        </w:rPr>
        <w:t>La Universidad de Oriente no aplica Operaciones en el Extranjero.</w:t>
      </w:r>
    </w:p>
    <w:p w:rsidR="005D0A65" w:rsidRPr="00CF08D6" w:rsidRDefault="005D0A65" w:rsidP="005D0A65">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CF08D6">
        <w:rPr>
          <w:rFonts w:ascii="Barlow" w:hAnsi="Barlow" w:cs="Arial"/>
          <w:sz w:val="20"/>
          <w:szCs w:val="20"/>
        </w:rPr>
        <w:t>La Universidad de Oriente no aplica un método de valuación en Acciones de Compañías subsidiarias no consolidadas y asociadas.</w:t>
      </w:r>
    </w:p>
    <w:p w:rsidR="005D0A65" w:rsidRPr="00CF08D6" w:rsidRDefault="005D0A65" w:rsidP="005D0A65">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CF08D6">
        <w:rPr>
          <w:rFonts w:ascii="Barlow" w:hAnsi="Barlow" w:cs="Arial"/>
          <w:sz w:val="20"/>
          <w:szCs w:val="20"/>
        </w:rPr>
        <w:t>La Universidad de Oriente no aplica un sistema y método de valuación de inventarios y costo de lo vendido.</w:t>
      </w:r>
    </w:p>
    <w:p w:rsidR="005D0A65" w:rsidRPr="00CF08D6" w:rsidRDefault="005D0A65" w:rsidP="005D0A65">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CF08D6">
        <w:rPr>
          <w:rFonts w:ascii="Barlow" w:hAnsi="Barlow" w:cs="Arial"/>
          <w:sz w:val="20"/>
          <w:szCs w:val="20"/>
        </w:rPr>
        <w:t>Beneficios a empleados: durante este ejercicio no se realizó un cálculo de la reserva actuarial.</w:t>
      </w:r>
    </w:p>
    <w:p w:rsidR="005D0A65" w:rsidRPr="00CF08D6" w:rsidRDefault="005D0A65" w:rsidP="005D0A65">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CF08D6">
        <w:rPr>
          <w:rFonts w:ascii="Barlow" w:hAnsi="Barlow" w:cs="Arial"/>
          <w:sz w:val="20"/>
          <w:szCs w:val="20"/>
        </w:rPr>
        <w:t>Provisiones: no se realizaron durante este ejercicio.</w:t>
      </w:r>
    </w:p>
    <w:p w:rsidR="005D0A65" w:rsidRPr="00CF08D6" w:rsidRDefault="005D0A65" w:rsidP="005D0A65">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CF08D6">
        <w:rPr>
          <w:rFonts w:ascii="Barlow" w:hAnsi="Barlow" w:cs="Arial"/>
          <w:sz w:val="20"/>
          <w:szCs w:val="20"/>
        </w:rPr>
        <w:t>Reservas: no se cuenta con reservas de este ejercicio.</w:t>
      </w:r>
    </w:p>
    <w:p w:rsidR="005D0A65" w:rsidRPr="00CF08D6" w:rsidRDefault="005D0A65" w:rsidP="005D0A65">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CF08D6">
        <w:rPr>
          <w:rFonts w:ascii="Barlow" w:hAnsi="Barlow" w:cs="Arial"/>
          <w:sz w:val="20"/>
          <w:szCs w:val="20"/>
        </w:rPr>
        <w:t>Las políticas contables de aplicación de este ejercicio, se basan a las normas establecidas por el CONAC.</w:t>
      </w:r>
    </w:p>
    <w:p w:rsidR="005D0A65" w:rsidRPr="00CF08D6" w:rsidRDefault="005D0A65" w:rsidP="005D0A65">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CF08D6">
        <w:rPr>
          <w:rFonts w:ascii="Barlow" w:hAnsi="Barlow" w:cs="Arial"/>
          <w:sz w:val="20"/>
          <w:szCs w:val="20"/>
        </w:rPr>
        <w:t>Reclasificaciones: no se realizaron en este periodo.</w:t>
      </w:r>
    </w:p>
    <w:p w:rsidR="005D0A65" w:rsidRPr="00CF08D6" w:rsidRDefault="005D0A65" w:rsidP="005D0A65">
      <w:pPr>
        <w:pStyle w:val="Prrafodelista"/>
        <w:numPr>
          <w:ilvl w:val="0"/>
          <w:numId w:val="33"/>
        </w:numPr>
        <w:autoSpaceDE w:val="0"/>
        <w:autoSpaceDN w:val="0"/>
        <w:adjustRightInd w:val="0"/>
        <w:spacing w:after="160" w:line="240" w:lineRule="auto"/>
        <w:jc w:val="both"/>
        <w:rPr>
          <w:rFonts w:ascii="Barlow" w:hAnsi="Barlow" w:cs="Arial"/>
          <w:sz w:val="20"/>
          <w:szCs w:val="20"/>
        </w:rPr>
      </w:pPr>
      <w:r w:rsidRPr="00CF08D6">
        <w:rPr>
          <w:rFonts w:ascii="Barlow" w:hAnsi="Barlow" w:cs="Arial"/>
          <w:sz w:val="20"/>
          <w:szCs w:val="20"/>
        </w:rPr>
        <w:t>Depuración y cancelación de saldos: no hay depuración y cancelación de saldos.</w:t>
      </w:r>
    </w:p>
    <w:p w:rsidR="005D0A65" w:rsidRDefault="005D0A65" w:rsidP="005D0A65">
      <w:pPr>
        <w:autoSpaceDE w:val="0"/>
        <w:autoSpaceDN w:val="0"/>
        <w:adjustRightInd w:val="0"/>
        <w:spacing w:line="240" w:lineRule="auto"/>
        <w:jc w:val="both"/>
        <w:rPr>
          <w:rFonts w:ascii="Barlow" w:hAnsi="Barlow" w:cs="Arial"/>
          <w:sz w:val="20"/>
          <w:szCs w:val="20"/>
        </w:rPr>
      </w:pPr>
    </w:p>
    <w:p w:rsidR="00CF08D6" w:rsidRDefault="00CF08D6" w:rsidP="005D0A65">
      <w:pPr>
        <w:autoSpaceDE w:val="0"/>
        <w:autoSpaceDN w:val="0"/>
        <w:adjustRightInd w:val="0"/>
        <w:spacing w:line="240" w:lineRule="auto"/>
        <w:jc w:val="both"/>
        <w:rPr>
          <w:rFonts w:ascii="Barlow" w:hAnsi="Barlow" w:cs="Arial"/>
          <w:sz w:val="20"/>
          <w:szCs w:val="20"/>
        </w:rPr>
      </w:pPr>
    </w:p>
    <w:p w:rsidR="00CF08D6" w:rsidRPr="00CF08D6" w:rsidRDefault="00CF08D6" w:rsidP="005D0A65">
      <w:pPr>
        <w:autoSpaceDE w:val="0"/>
        <w:autoSpaceDN w:val="0"/>
        <w:adjustRightInd w:val="0"/>
        <w:spacing w:line="240" w:lineRule="auto"/>
        <w:jc w:val="both"/>
        <w:rPr>
          <w:rFonts w:ascii="Barlow" w:hAnsi="Barlow" w:cs="Arial"/>
          <w:sz w:val="20"/>
          <w:szCs w:val="20"/>
        </w:rPr>
      </w:pP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lastRenderedPageBreak/>
        <w:t>7. Posicionamiento de Moneda Extranjera y Protección por Riesgo Cambiario</w:t>
      </w:r>
    </w:p>
    <w:p w:rsidR="00AD27D2"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La Universidad de Oriente no aplica el posicionamiento de Moneda Extranjeras y Protección por Riesgo Cambiario.</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8. Reporte Analítico del Activo</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a) La vida útil o porcentajes de depreciación, deterioro o amortización utilizados en los diferentes tipos de activos, son:</w:t>
      </w:r>
    </w:p>
    <w:p w:rsidR="005D0A65" w:rsidRPr="00CF08D6" w:rsidRDefault="005D0A65" w:rsidP="005D0A65">
      <w:pPr>
        <w:pStyle w:val="Prrafodelista"/>
        <w:numPr>
          <w:ilvl w:val="0"/>
          <w:numId w:val="34"/>
        </w:numPr>
        <w:autoSpaceDE w:val="0"/>
        <w:autoSpaceDN w:val="0"/>
        <w:adjustRightInd w:val="0"/>
        <w:spacing w:after="160" w:line="240" w:lineRule="auto"/>
        <w:jc w:val="both"/>
        <w:rPr>
          <w:rFonts w:ascii="Barlow" w:hAnsi="Barlow" w:cs="Arial"/>
          <w:sz w:val="20"/>
          <w:szCs w:val="20"/>
        </w:rPr>
      </w:pPr>
      <w:r w:rsidRPr="00CF08D6">
        <w:rPr>
          <w:rFonts w:ascii="Barlow" w:hAnsi="Barlow" w:cs="Arial"/>
          <w:sz w:val="20"/>
          <w:szCs w:val="20"/>
        </w:rPr>
        <w:t>Los Bienes Inmuebles, Infraestructura y Construcciones en Proceso, así como los Bienes Muebles se presentan valuados a su precio de adquisición y/o de aportación. La depreciación se calcula con base en el valor de los activos fijos y bajo el método de línea recta, en función a la vida útil de los mismos, determinada por la administración de la entidad, aplicando las tasas anuales que se muestran a continuación:</w:t>
      </w:r>
    </w:p>
    <w:tbl>
      <w:tblPr>
        <w:tblW w:w="10222" w:type="dxa"/>
        <w:jc w:val="center"/>
        <w:tblCellMar>
          <w:left w:w="70" w:type="dxa"/>
          <w:right w:w="70" w:type="dxa"/>
        </w:tblCellMar>
        <w:tblLook w:val="04A0" w:firstRow="1" w:lastRow="0" w:firstColumn="1" w:lastColumn="0" w:noHBand="0" w:noVBand="1"/>
      </w:tblPr>
      <w:tblGrid>
        <w:gridCol w:w="4022"/>
        <w:gridCol w:w="3340"/>
        <w:gridCol w:w="2860"/>
      </w:tblGrid>
      <w:tr w:rsidR="005D0A65" w:rsidRPr="00CF08D6" w:rsidTr="001C3A14">
        <w:trPr>
          <w:trHeight w:val="510"/>
          <w:jc w:val="center"/>
        </w:trPr>
        <w:tc>
          <w:tcPr>
            <w:tcW w:w="4022"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b/>
                <w:bCs/>
                <w:color w:val="000000"/>
                <w:sz w:val="20"/>
                <w:szCs w:val="20"/>
                <w:lang w:eastAsia="es-MX"/>
              </w:rPr>
            </w:pPr>
            <w:r w:rsidRPr="00CF08D6">
              <w:rPr>
                <w:rFonts w:ascii="Barlow" w:eastAsia="Times New Roman" w:hAnsi="Barlow" w:cs="Calibri"/>
                <w:b/>
                <w:bCs/>
                <w:color w:val="000000"/>
                <w:sz w:val="20"/>
                <w:szCs w:val="20"/>
                <w:lang w:eastAsia="es-MX"/>
              </w:rPr>
              <w:t>Concepto</w:t>
            </w:r>
          </w:p>
        </w:tc>
        <w:tc>
          <w:tcPr>
            <w:tcW w:w="334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Tasas vigentes en años anteriores y hasta el 31 de diciembre de 2019</w:t>
            </w:r>
          </w:p>
        </w:tc>
        <w:tc>
          <w:tcPr>
            <w:tcW w:w="286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center"/>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*Tasas Vigentes a partir del 1 de Enero de 2013</w:t>
            </w:r>
          </w:p>
        </w:tc>
      </w:tr>
      <w:tr w:rsidR="005D0A65" w:rsidRPr="00CF08D6" w:rsidTr="001C3A14">
        <w:trPr>
          <w:trHeight w:val="300"/>
          <w:jc w:val="center"/>
        </w:trPr>
        <w:tc>
          <w:tcPr>
            <w:tcW w:w="4022"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Edificios   </w:t>
            </w:r>
          </w:p>
        </w:tc>
        <w:tc>
          <w:tcPr>
            <w:tcW w:w="334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5%</w:t>
            </w:r>
          </w:p>
        </w:tc>
        <w:tc>
          <w:tcPr>
            <w:tcW w:w="286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3.30%</w:t>
            </w:r>
          </w:p>
        </w:tc>
      </w:tr>
      <w:tr w:rsidR="005D0A65" w:rsidRPr="00CF08D6" w:rsidTr="001C3A14">
        <w:trPr>
          <w:trHeight w:val="300"/>
          <w:jc w:val="center"/>
        </w:trPr>
        <w:tc>
          <w:tcPr>
            <w:tcW w:w="4022"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Equipo de transporte    </w:t>
            </w:r>
          </w:p>
        </w:tc>
        <w:tc>
          <w:tcPr>
            <w:tcW w:w="334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25%</w:t>
            </w:r>
          </w:p>
        </w:tc>
        <w:tc>
          <w:tcPr>
            <w:tcW w:w="286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20%</w:t>
            </w:r>
          </w:p>
        </w:tc>
      </w:tr>
      <w:tr w:rsidR="005D0A65" w:rsidRPr="00CF08D6" w:rsidTr="001C3A14">
        <w:trPr>
          <w:trHeight w:val="300"/>
          <w:jc w:val="center"/>
        </w:trPr>
        <w:tc>
          <w:tcPr>
            <w:tcW w:w="4022"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Equipo de cómputo    </w:t>
            </w:r>
          </w:p>
        </w:tc>
        <w:tc>
          <w:tcPr>
            <w:tcW w:w="334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30%</w:t>
            </w:r>
          </w:p>
        </w:tc>
        <w:tc>
          <w:tcPr>
            <w:tcW w:w="286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33.30%</w:t>
            </w:r>
          </w:p>
        </w:tc>
      </w:tr>
      <w:tr w:rsidR="005D0A65" w:rsidRPr="00CF08D6" w:rsidTr="001C3A14">
        <w:trPr>
          <w:trHeight w:val="300"/>
          <w:jc w:val="center"/>
        </w:trPr>
        <w:tc>
          <w:tcPr>
            <w:tcW w:w="4022"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Mobiliario y equipo de oficina   </w:t>
            </w:r>
          </w:p>
        </w:tc>
        <w:tc>
          <w:tcPr>
            <w:tcW w:w="334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10%</w:t>
            </w:r>
          </w:p>
        </w:tc>
        <w:tc>
          <w:tcPr>
            <w:tcW w:w="286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10%</w:t>
            </w:r>
          </w:p>
        </w:tc>
      </w:tr>
      <w:tr w:rsidR="005D0A65" w:rsidRPr="00CF08D6" w:rsidTr="001C3A14">
        <w:trPr>
          <w:trHeight w:val="510"/>
          <w:jc w:val="center"/>
        </w:trPr>
        <w:tc>
          <w:tcPr>
            <w:tcW w:w="4022"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Maquinaria, equipo industrial y de comunicación   </w:t>
            </w:r>
          </w:p>
        </w:tc>
        <w:tc>
          <w:tcPr>
            <w:tcW w:w="334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10%</w:t>
            </w:r>
          </w:p>
        </w:tc>
        <w:tc>
          <w:tcPr>
            <w:tcW w:w="286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10%</w:t>
            </w:r>
          </w:p>
        </w:tc>
      </w:tr>
      <w:tr w:rsidR="005D0A65" w:rsidRPr="00CF08D6" w:rsidTr="001C3A14">
        <w:trPr>
          <w:trHeight w:val="300"/>
          <w:jc w:val="center"/>
        </w:trPr>
        <w:tc>
          <w:tcPr>
            <w:tcW w:w="4022"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Maquinaria y equipo eléctrico   </w:t>
            </w:r>
          </w:p>
        </w:tc>
        <w:tc>
          <w:tcPr>
            <w:tcW w:w="334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10%</w:t>
            </w:r>
          </w:p>
        </w:tc>
        <w:tc>
          <w:tcPr>
            <w:tcW w:w="286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10%</w:t>
            </w:r>
          </w:p>
        </w:tc>
      </w:tr>
      <w:tr w:rsidR="005D0A65" w:rsidRPr="00CF08D6" w:rsidTr="001C3A14">
        <w:trPr>
          <w:trHeight w:val="300"/>
          <w:jc w:val="center"/>
        </w:trPr>
        <w:tc>
          <w:tcPr>
            <w:tcW w:w="4022"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both"/>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 xml:space="preserve">Software                                                                                             </w:t>
            </w:r>
          </w:p>
        </w:tc>
        <w:tc>
          <w:tcPr>
            <w:tcW w:w="334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100%</w:t>
            </w:r>
          </w:p>
        </w:tc>
        <w:tc>
          <w:tcPr>
            <w:tcW w:w="2860" w:type="dxa"/>
            <w:tcBorders>
              <w:top w:val="nil"/>
              <w:left w:val="nil"/>
              <w:bottom w:val="nil"/>
              <w:right w:val="nil"/>
            </w:tcBorders>
            <w:shd w:val="clear" w:color="000000" w:fill="FFFFFF"/>
            <w:vAlign w:val="center"/>
            <w:hideMark/>
          </w:tcPr>
          <w:p w:rsidR="005D0A65" w:rsidRPr="00CF08D6" w:rsidRDefault="005D0A65" w:rsidP="008A23DD">
            <w:pPr>
              <w:spacing w:after="0" w:line="240" w:lineRule="auto"/>
              <w:jc w:val="right"/>
              <w:rPr>
                <w:rFonts w:ascii="Barlow" w:eastAsia="Times New Roman" w:hAnsi="Barlow" w:cs="Calibri"/>
                <w:color w:val="000000"/>
                <w:sz w:val="20"/>
                <w:szCs w:val="20"/>
                <w:lang w:eastAsia="es-MX"/>
              </w:rPr>
            </w:pPr>
            <w:r w:rsidRPr="00CF08D6">
              <w:rPr>
                <w:rFonts w:ascii="Barlow" w:eastAsia="Times New Roman" w:hAnsi="Barlow" w:cs="Calibri"/>
                <w:color w:val="000000"/>
                <w:sz w:val="20"/>
                <w:szCs w:val="20"/>
                <w:lang w:eastAsia="es-MX"/>
              </w:rPr>
              <w:t>100%</w:t>
            </w:r>
          </w:p>
        </w:tc>
      </w:tr>
    </w:tbl>
    <w:p w:rsidR="00142D96" w:rsidRPr="00CF08D6" w:rsidRDefault="00142D96" w:rsidP="005D0A65">
      <w:pPr>
        <w:autoSpaceDE w:val="0"/>
        <w:autoSpaceDN w:val="0"/>
        <w:adjustRightInd w:val="0"/>
        <w:spacing w:line="240" w:lineRule="auto"/>
        <w:jc w:val="both"/>
        <w:rPr>
          <w:rFonts w:ascii="Barlow" w:hAnsi="Barlow" w:cs="Arial"/>
          <w:sz w:val="20"/>
          <w:szCs w:val="20"/>
        </w:rPr>
      </w:pPr>
    </w:p>
    <w:p w:rsidR="005D0A65"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Los cambios en las tasas de depreciaciones desde el ejercicio fiscal 2013 obedecen en principio a la adaptación y armonización de las cuentas gubernamentales, así mismo las tasas fueron extraídas de la “Guía de Vida Útil Estimada y Porcentajes de depreciación” publicada en el suplemento en el Diario Oficial del Estado de Yucatán el 27 de septiembre de 2012</w:t>
      </w:r>
    </w:p>
    <w:p w:rsidR="00CF08D6" w:rsidRDefault="00CF08D6" w:rsidP="005D0A65">
      <w:pPr>
        <w:autoSpaceDE w:val="0"/>
        <w:autoSpaceDN w:val="0"/>
        <w:adjustRightInd w:val="0"/>
        <w:spacing w:line="240" w:lineRule="auto"/>
        <w:jc w:val="both"/>
        <w:rPr>
          <w:rFonts w:ascii="Barlow" w:hAnsi="Barlow" w:cs="Arial"/>
          <w:sz w:val="20"/>
          <w:szCs w:val="20"/>
        </w:rPr>
      </w:pPr>
    </w:p>
    <w:p w:rsidR="00CF08D6" w:rsidRPr="00CF08D6" w:rsidRDefault="00CF08D6" w:rsidP="005D0A65">
      <w:pPr>
        <w:autoSpaceDE w:val="0"/>
        <w:autoSpaceDN w:val="0"/>
        <w:adjustRightInd w:val="0"/>
        <w:spacing w:line="240" w:lineRule="auto"/>
        <w:jc w:val="both"/>
        <w:rPr>
          <w:rFonts w:ascii="Barlow" w:hAnsi="Barlow" w:cs="Arial"/>
          <w:sz w:val="20"/>
          <w:szCs w:val="20"/>
        </w:rPr>
      </w:pP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lastRenderedPageBreak/>
        <w:t>b) Cambios en el porcentaje de depreciación o valor residual de los activos</w:t>
      </w:r>
      <w:r w:rsidR="00666E6B" w:rsidRPr="00CF08D6">
        <w:rPr>
          <w:rFonts w:ascii="Barlow" w:hAnsi="Barlow" w:cs="Arial"/>
          <w:sz w:val="20"/>
          <w:szCs w:val="20"/>
        </w:rPr>
        <w:t>: No</w:t>
      </w:r>
      <w:r w:rsidRPr="00CF08D6">
        <w:rPr>
          <w:rFonts w:ascii="Barlow" w:hAnsi="Barlow" w:cs="Arial"/>
          <w:sz w:val="20"/>
          <w:szCs w:val="20"/>
        </w:rPr>
        <w:t xml:space="preserve"> se efectuó cambios en el presente ejercicio</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c) La Universidad de Oriente no aplica el importe de los gastos capitalizados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d) La Universidad de Oriente no aplica los riesgos por tipo de cambio o tipo de interés de las inversiones financieras.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e) La Universidad de Oriente no aplica el valor de activado, debido a que no realizamos construcciones de formas directa sino por medio del IDEFEY</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f) La Universidad de Oriente no aplica otras circunstancias de carácter significativo que afecten el activo</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g) Desmantelamiento de Activos, procedimientos, implicaciones, efectos contables: Hasta el momento no se ha realizado bajas de activos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h) Administración de Activos: Su administración depende de las políticas y procedimientos establecidos en la materia.</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9. Fideicomisos, Mandatos y Análogos</w:t>
      </w:r>
    </w:p>
    <w:p w:rsidR="00FC738D"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 xml:space="preserve">La Universidad de Oriente no aplica información sobre Fideicomisos, Mandatos y Análogos </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b/>
          <w:sz w:val="20"/>
          <w:szCs w:val="20"/>
        </w:rPr>
        <w:t>10. Reporte de la Recaudación</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La Universidad de Oriente no tiene registro del Reporte de la Recaudación</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11. Información sobre la Deuda y el Reporte Analítico de la Deuda</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 xml:space="preserve">Se cuenta únicamente con otros pasivos, integrados por los gastos operativos a corto plazo de la institución </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12.Calificaciones otorgadas</w:t>
      </w:r>
    </w:p>
    <w:p w:rsidR="005D0A65" w:rsidRPr="00CF08D6" w:rsidRDefault="005D0A65" w:rsidP="00CF08D6">
      <w:pPr>
        <w:tabs>
          <w:tab w:val="left" w:pos="1740"/>
        </w:tabs>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 xml:space="preserve">La Universidad de Oriente no tiene registro de las Calificaciones </w:t>
      </w:r>
      <w:r w:rsidR="009C2433" w:rsidRPr="00CF08D6">
        <w:rPr>
          <w:rFonts w:ascii="Barlow" w:hAnsi="Barlow" w:cs="Arial"/>
          <w:sz w:val="20"/>
          <w:szCs w:val="20"/>
        </w:rPr>
        <w:t xml:space="preserve">Crediticias </w:t>
      </w:r>
      <w:r w:rsidRPr="00CF08D6">
        <w:rPr>
          <w:rFonts w:ascii="Barlow" w:hAnsi="Barlow" w:cs="Arial"/>
          <w:sz w:val="20"/>
          <w:szCs w:val="20"/>
        </w:rPr>
        <w:t>Otorgadas</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13. Proceso de Mejora</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 xml:space="preserve">a) Se cuenta con políticas de fondos fijos, de gastos por comprobar, de fondos de inversión, de recursos humanos, de almacén general, compras y de mantenimiento, </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lastRenderedPageBreak/>
        <w:t>b) Se han establecido indicadores que miden el desempeño financiero de la entidad, como son:</w:t>
      </w:r>
    </w:p>
    <w:p w:rsidR="005D0A65" w:rsidRPr="00CF08D6" w:rsidRDefault="005D0A65" w:rsidP="005D0A65">
      <w:pPr>
        <w:pStyle w:val="Prrafodelista"/>
        <w:numPr>
          <w:ilvl w:val="0"/>
          <w:numId w:val="34"/>
        </w:numPr>
        <w:autoSpaceDE w:val="0"/>
        <w:autoSpaceDN w:val="0"/>
        <w:adjustRightInd w:val="0"/>
        <w:spacing w:after="160" w:line="240" w:lineRule="auto"/>
        <w:jc w:val="both"/>
        <w:rPr>
          <w:rFonts w:ascii="Barlow" w:hAnsi="Barlow" w:cs="Arial"/>
          <w:sz w:val="20"/>
          <w:szCs w:val="20"/>
        </w:rPr>
      </w:pPr>
      <w:r w:rsidRPr="00CF08D6">
        <w:rPr>
          <w:rFonts w:ascii="Barlow" w:hAnsi="Barlow" w:cs="Arial"/>
          <w:sz w:val="20"/>
          <w:szCs w:val="20"/>
        </w:rPr>
        <w:t>Ingreso anual presupuestado, cuya meta es recaudar los ingresos propios presupuestados igual o mayor al 80% en los 2 primeros meses de cada cuatrimestre</w:t>
      </w:r>
    </w:p>
    <w:p w:rsidR="005D0A65" w:rsidRPr="00CF08D6" w:rsidRDefault="005D0A65" w:rsidP="005D0A65">
      <w:pPr>
        <w:pStyle w:val="Prrafodelista"/>
        <w:numPr>
          <w:ilvl w:val="0"/>
          <w:numId w:val="34"/>
        </w:numPr>
        <w:autoSpaceDE w:val="0"/>
        <w:autoSpaceDN w:val="0"/>
        <w:adjustRightInd w:val="0"/>
        <w:spacing w:after="160" w:line="240" w:lineRule="auto"/>
        <w:jc w:val="both"/>
        <w:rPr>
          <w:rFonts w:ascii="Barlow" w:hAnsi="Barlow" w:cs="Arial"/>
          <w:sz w:val="20"/>
          <w:szCs w:val="20"/>
        </w:rPr>
      </w:pPr>
      <w:r w:rsidRPr="00CF08D6">
        <w:rPr>
          <w:rFonts w:ascii="Barlow" w:hAnsi="Barlow" w:cs="Arial"/>
          <w:sz w:val="20"/>
          <w:szCs w:val="20"/>
        </w:rPr>
        <w:t>Ejercicio racional de los recursos financieros de acuerdo con las partidas establecidas en el presupuesto, con el objetivo de ejercer los recursos financieros sin exceder el egreso presupuestado</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14. Información por Segmentos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La Universidad de Oriente no aplica Información por Segmentos</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15. Eventos Posteriores al Cierre</w:t>
      </w:r>
    </w:p>
    <w:p w:rsidR="0038598C"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No existen hechos posteriores</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16. Partes Relacionadas</w:t>
      </w:r>
    </w:p>
    <w:p w:rsidR="005D0A65" w:rsidRPr="00CF08D6" w:rsidRDefault="005D0A65"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No existen partes relacionadas que pudieran ejercer influencia significativa sobre la toma de decisiones financieras y operativas</w:t>
      </w:r>
    </w:p>
    <w:p w:rsidR="005D0A65" w:rsidRPr="00CF08D6" w:rsidRDefault="005D0A65" w:rsidP="005D0A65">
      <w:pPr>
        <w:autoSpaceDE w:val="0"/>
        <w:autoSpaceDN w:val="0"/>
        <w:adjustRightInd w:val="0"/>
        <w:spacing w:line="240" w:lineRule="auto"/>
        <w:jc w:val="both"/>
        <w:rPr>
          <w:rFonts w:ascii="Barlow" w:hAnsi="Barlow" w:cs="Arial"/>
          <w:b/>
          <w:sz w:val="20"/>
          <w:szCs w:val="20"/>
        </w:rPr>
      </w:pPr>
      <w:r w:rsidRPr="00CF08D6">
        <w:rPr>
          <w:rFonts w:ascii="Barlow" w:hAnsi="Barlow" w:cs="Arial"/>
          <w:b/>
          <w:sz w:val="20"/>
          <w:szCs w:val="20"/>
        </w:rPr>
        <w:t>17. Responsabilidad sobre la Presentación Razonable de la Información de Cierre</w:t>
      </w:r>
    </w:p>
    <w:p w:rsidR="00480D0E" w:rsidRPr="00CF08D6" w:rsidRDefault="00480D0E" w:rsidP="005D0A65">
      <w:pPr>
        <w:autoSpaceDE w:val="0"/>
        <w:autoSpaceDN w:val="0"/>
        <w:adjustRightInd w:val="0"/>
        <w:spacing w:line="240" w:lineRule="auto"/>
        <w:jc w:val="both"/>
        <w:rPr>
          <w:rFonts w:ascii="Barlow" w:hAnsi="Barlow" w:cs="Arial"/>
          <w:sz w:val="20"/>
          <w:szCs w:val="20"/>
        </w:rPr>
      </w:pPr>
      <w:r w:rsidRPr="00CF08D6">
        <w:rPr>
          <w:rFonts w:ascii="Barlow" w:hAnsi="Barlow" w:cs="Arial"/>
          <w:sz w:val="20"/>
          <w:szCs w:val="20"/>
        </w:rPr>
        <w:t>Bajo protesta de decir verdad declaramos que los Estados Financieros y sus notas, son razonablemente correctos y son responsabilidad del emisor</w:t>
      </w:r>
    </w:p>
    <w:p w:rsidR="005B3DF2" w:rsidRPr="00CF08D6" w:rsidRDefault="005B3DF2" w:rsidP="005D0A65">
      <w:pPr>
        <w:rPr>
          <w:rFonts w:ascii="Barlow" w:hAnsi="Barlow"/>
          <w:sz w:val="20"/>
          <w:szCs w:val="20"/>
        </w:rPr>
      </w:pPr>
    </w:p>
    <w:sectPr w:rsidR="005B3DF2" w:rsidRPr="00CF08D6" w:rsidSect="00CF08D6">
      <w:pgSz w:w="15840" w:h="12240" w:orient="landscape"/>
      <w:pgMar w:top="2835" w:right="1134" w:bottom="1701"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22D" w:rsidRDefault="003A622D" w:rsidP="00EA5418">
      <w:pPr>
        <w:spacing w:after="0" w:line="240" w:lineRule="auto"/>
      </w:pPr>
      <w:r>
        <w:separator/>
      </w:r>
    </w:p>
  </w:endnote>
  <w:endnote w:type="continuationSeparator" w:id="0">
    <w:p w:rsidR="003A622D" w:rsidRDefault="003A622D"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TE28F7A6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22D" w:rsidRDefault="003A622D" w:rsidP="00EA5418">
      <w:pPr>
        <w:spacing w:after="0" w:line="240" w:lineRule="auto"/>
      </w:pPr>
      <w:r>
        <w:separator/>
      </w:r>
    </w:p>
  </w:footnote>
  <w:footnote w:type="continuationSeparator" w:id="0">
    <w:p w:rsidR="003A622D" w:rsidRDefault="003A622D" w:rsidP="00EA5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37003BA"/>
    <w:multiLevelType w:val="hybridMultilevel"/>
    <w:tmpl w:val="A1F25510"/>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2" w15:restartNumberingAfterBreak="0">
    <w:nsid w:val="044B5E93"/>
    <w:multiLevelType w:val="hybridMultilevel"/>
    <w:tmpl w:val="C2026A20"/>
    <w:lvl w:ilvl="0" w:tplc="C9F8C464">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3" w15:restartNumberingAfterBreak="0">
    <w:nsid w:val="08EF5F40"/>
    <w:multiLevelType w:val="hybridMultilevel"/>
    <w:tmpl w:val="70864F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772740"/>
    <w:multiLevelType w:val="hybridMultilevel"/>
    <w:tmpl w:val="E6029E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3987280"/>
    <w:multiLevelType w:val="hybridMultilevel"/>
    <w:tmpl w:val="BC081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0625DF"/>
    <w:multiLevelType w:val="hybridMultilevel"/>
    <w:tmpl w:val="79F085DE"/>
    <w:lvl w:ilvl="0" w:tplc="D08E8832">
      <w:start w:val="1"/>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8" w15:restartNumberingAfterBreak="0">
    <w:nsid w:val="204938CF"/>
    <w:multiLevelType w:val="hybridMultilevel"/>
    <w:tmpl w:val="6284CDE4"/>
    <w:lvl w:ilvl="0" w:tplc="ECDC6EA4">
      <w:start w:val="1"/>
      <w:numFmt w:val="decimal"/>
      <w:lvlText w:val="(%1)"/>
      <w:lvlJc w:val="left"/>
      <w:pPr>
        <w:ind w:left="502" w:hanging="360"/>
      </w:pPr>
      <w:rPr>
        <w:rFonts w:eastAsia="Calibri" w:cs="TTE28F7A68t00"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B851AF"/>
    <w:multiLevelType w:val="hybridMultilevel"/>
    <w:tmpl w:val="BABEB730"/>
    <w:lvl w:ilvl="0" w:tplc="163075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44050A"/>
    <w:multiLevelType w:val="hybridMultilevel"/>
    <w:tmpl w:val="16005DAE"/>
    <w:lvl w:ilvl="0" w:tplc="A8E29768">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15:restartNumberingAfterBreak="0">
    <w:nsid w:val="265958F5"/>
    <w:multiLevelType w:val="hybridMultilevel"/>
    <w:tmpl w:val="564E42B6"/>
    <w:lvl w:ilvl="0" w:tplc="AA6EDC7E">
      <w:start w:val="1"/>
      <w:numFmt w:val="decimal"/>
      <w:lvlText w:val="(%1)"/>
      <w:lvlJc w:val="left"/>
      <w:pPr>
        <w:ind w:left="1368" w:hanging="360"/>
      </w:pPr>
      <w:rPr>
        <w:rFonts w:hint="default"/>
      </w:r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abstractNum w:abstractNumId="1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613BF4"/>
    <w:multiLevelType w:val="hybridMultilevel"/>
    <w:tmpl w:val="6EE48ABA"/>
    <w:lvl w:ilvl="0" w:tplc="7D1CF94C">
      <w:start w:val="1"/>
      <w:numFmt w:val="decimal"/>
      <w:lvlText w:val="(%1)"/>
      <w:lvlJc w:val="left"/>
      <w:pPr>
        <w:ind w:left="885" w:hanging="5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7338A7"/>
    <w:multiLevelType w:val="hybridMultilevel"/>
    <w:tmpl w:val="CA223216"/>
    <w:lvl w:ilvl="0" w:tplc="0C0A0017">
      <w:start w:val="1"/>
      <w:numFmt w:val="lowerLetter"/>
      <w:lvlText w:val="%1)"/>
      <w:lvlJc w:val="left"/>
      <w:pPr>
        <w:ind w:left="759" w:hanging="360"/>
      </w:pPr>
    </w:lvl>
    <w:lvl w:ilvl="1" w:tplc="0C0A0019" w:tentative="1">
      <w:start w:val="1"/>
      <w:numFmt w:val="lowerLetter"/>
      <w:lvlText w:val="%2."/>
      <w:lvlJc w:val="left"/>
      <w:pPr>
        <w:ind w:left="1479" w:hanging="360"/>
      </w:pPr>
    </w:lvl>
    <w:lvl w:ilvl="2" w:tplc="0C0A001B" w:tentative="1">
      <w:start w:val="1"/>
      <w:numFmt w:val="lowerRoman"/>
      <w:lvlText w:val="%3."/>
      <w:lvlJc w:val="right"/>
      <w:pPr>
        <w:ind w:left="2199" w:hanging="180"/>
      </w:pPr>
    </w:lvl>
    <w:lvl w:ilvl="3" w:tplc="0C0A000F" w:tentative="1">
      <w:start w:val="1"/>
      <w:numFmt w:val="decimal"/>
      <w:lvlText w:val="%4."/>
      <w:lvlJc w:val="left"/>
      <w:pPr>
        <w:ind w:left="2919" w:hanging="360"/>
      </w:pPr>
    </w:lvl>
    <w:lvl w:ilvl="4" w:tplc="0C0A0019" w:tentative="1">
      <w:start w:val="1"/>
      <w:numFmt w:val="lowerLetter"/>
      <w:lvlText w:val="%5."/>
      <w:lvlJc w:val="left"/>
      <w:pPr>
        <w:ind w:left="3639" w:hanging="360"/>
      </w:pPr>
    </w:lvl>
    <w:lvl w:ilvl="5" w:tplc="0C0A001B" w:tentative="1">
      <w:start w:val="1"/>
      <w:numFmt w:val="lowerRoman"/>
      <w:lvlText w:val="%6."/>
      <w:lvlJc w:val="right"/>
      <w:pPr>
        <w:ind w:left="4359" w:hanging="180"/>
      </w:pPr>
    </w:lvl>
    <w:lvl w:ilvl="6" w:tplc="0C0A000F" w:tentative="1">
      <w:start w:val="1"/>
      <w:numFmt w:val="decimal"/>
      <w:lvlText w:val="%7."/>
      <w:lvlJc w:val="left"/>
      <w:pPr>
        <w:ind w:left="5079" w:hanging="360"/>
      </w:pPr>
    </w:lvl>
    <w:lvl w:ilvl="7" w:tplc="0C0A0019" w:tentative="1">
      <w:start w:val="1"/>
      <w:numFmt w:val="lowerLetter"/>
      <w:lvlText w:val="%8."/>
      <w:lvlJc w:val="left"/>
      <w:pPr>
        <w:ind w:left="5799" w:hanging="360"/>
      </w:pPr>
    </w:lvl>
    <w:lvl w:ilvl="8" w:tplc="0C0A001B" w:tentative="1">
      <w:start w:val="1"/>
      <w:numFmt w:val="lowerRoman"/>
      <w:lvlText w:val="%9."/>
      <w:lvlJc w:val="right"/>
      <w:pPr>
        <w:ind w:left="6519" w:hanging="180"/>
      </w:pPr>
    </w:lvl>
  </w:abstractNum>
  <w:abstractNum w:abstractNumId="15" w15:restartNumberingAfterBreak="0">
    <w:nsid w:val="37562714"/>
    <w:multiLevelType w:val="hybridMultilevel"/>
    <w:tmpl w:val="081217F4"/>
    <w:lvl w:ilvl="0" w:tplc="5B3EBA3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46B83F86"/>
    <w:multiLevelType w:val="hybridMultilevel"/>
    <w:tmpl w:val="12C694A8"/>
    <w:lvl w:ilvl="0" w:tplc="AE28D2C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48937CA0"/>
    <w:multiLevelType w:val="hybridMultilevel"/>
    <w:tmpl w:val="84344456"/>
    <w:lvl w:ilvl="0" w:tplc="A1085342">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9" w15:restartNumberingAfterBreak="0">
    <w:nsid w:val="498F43D4"/>
    <w:multiLevelType w:val="hybridMultilevel"/>
    <w:tmpl w:val="91701E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B920AD"/>
    <w:multiLevelType w:val="hybridMultilevel"/>
    <w:tmpl w:val="A0C88522"/>
    <w:lvl w:ilvl="0" w:tplc="1C1A862A">
      <w:start w:val="5"/>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1" w15:restartNumberingAfterBreak="0">
    <w:nsid w:val="4FAE7C7A"/>
    <w:multiLevelType w:val="hybridMultilevel"/>
    <w:tmpl w:val="265E61BC"/>
    <w:lvl w:ilvl="0" w:tplc="CEAE6A8E">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2" w15:restartNumberingAfterBreak="0">
    <w:nsid w:val="5024479A"/>
    <w:multiLevelType w:val="hybridMultilevel"/>
    <w:tmpl w:val="81D068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7C710F"/>
    <w:multiLevelType w:val="hybridMultilevel"/>
    <w:tmpl w:val="CE0E657E"/>
    <w:lvl w:ilvl="0" w:tplc="89A8597E">
      <w:start w:val="1"/>
      <w:numFmt w:val="decimal"/>
      <w:lvlText w:val="%1."/>
      <w:lvlJc w:val="left"/>
      <w:pPr>
        <w:ind w:left="723" w:hanging="435"/>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4" w15:restartNumberingAfterBreak="0">
    <w:nsid w:val="57702652"/>
    <w:multiLevelType w:val="hybridMultilevel"/>
    <w:tmpl w:val="906CE2D4"/>
    <w:lvl w:ilvl="0" w:tplc="E6F86DE0">
      <w:start w:val="1"/>
      <w:numFmt w:val="decimal"/>
      <w:lvlText w:val="(%1)"/>
      <w:lvlJc w:val="left"/>
      <w:pPr>
        <w:ind w:left="840" w:hanging="4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C0727E"/>
    <w:multiLevelType w:val="hybridMultilevel"/>
    <w:tmpl w:val="A266C0A4"/>
    <w:lvl w:ilvl="0" w:tplc="13E48BC6">
      <w:start w:val="1"/>
      <w:numFmt w:val="decimal"/>
      <w:lvlText w:val="(%1)"/>
      <w:lvlJc w:val="left"/>
      <w:pPr>
        <w:ind w:left="1368" w:hanging="360"/>
      </w:pPr>
      <w:rPr>
        <w:rFonts w:hint="default"/>
      </w:r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abstractNum w:abstractNumId="26" w15:restartNumberingAfterBreak="0">
    <w:nsid w:val="617B6A51"/>
    <w:multiLevelType w:val="hybridMultilevel"/>
    <w:tmpl w:val="D6146506"/>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27" w15:restartNumberingAfterBreak="0">
    <w:nsid w:val="62924E1E"/>
    <w:multiLevelType w:val="hybridMultilevel"/>
    <w:tmpl w:val="6284CDE4"/>
    <w:lvl w:ilvl="0" w:tplc="ECDC6EA4">
      <w:start w:val="1"/>
      <w:numFmt w:val="decimal"/>
      <w:lvlText w:val="(%1)"/>
      <w:lvlJc w:val="left"/>
      <w:pPr>
        <w:ind w:left="502" w:hanging="360"/>
      </w:pPr>
      <w:rPr>
        <w:rFonts w:eastAsia="Calibri" w:cs="TTE28F7A68t00"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5DC741B"/>
    <w:multiLevelType w:val="hybridMultilevel"/>
    <w:tmpl w:val="C5F00D86"/>
    <w:lvl w:ilvl="0" w:tplc="D83E3D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2F415B"/>
    <w:multiLevelType w:val="hybridMultilevel"/>
    <w:tmpl w:val="331E5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F50A1D"/>
    <w:multiLevelType w:val="hybridMultilevel"/>
    <w:tmpl w:val="EC32F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CA841DE"/>
    <w:multiLevelType w:val="hybridMultilevel"/>
    <w:tmpl w:val="69D694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B7290B"/>
    <w:multiLevelType w:val="hybridMultilevel"/>
    <w:tmpl w:val="4064A80C"/>
    <w:lvl w:ilvl="0" w:tplc="3CF63908">
      <w:start w:val="1"/>
      <w:numFmt w:val="decimal"/>
      <w:lvlText w:val="%1)"/>
      <w:lvlJc w:val="left"/>
      <w:pPr>
        <w:ind w:left="1083" w:hanging="360"/>
      </w:pPr>
      <w:rPr>
        <w:rFonts w:hint="default"/>
      </w:rPr>
    </w:lvl>
    <w:lvl w:ilvl="1" w:tplc="0C0A0019" w:tentative="1">
      <w:start w:val="1"/>
      <w:numFmt w:val="lowerLetter"/>
      <w:lvlText w:val="%2."/>
      <w:lvlJc w:val="left"/>
      <w:pPr>
        <w:ind w:left="1803" w:hanging="360"/>
      </w:pPr>
    </w:lvl>
    <w:lvl w:ilvl="2" w:tplc="0C0A001B" w:tentative="1">
      <w:start w:val="1"/>
      <w:numFmt w:val="lowerRoman"/>
      <w:lvlText w:val="%3."/>
      <w:lvlJc w:val="right"/>
      <w:pPr>
        <w:ind w:left="2523" w:hanging="180"/>
      </w:pPr>
    </w:lvl>
    <w:lvl w:ilvl="3" w:tplc="0C0A000F" w:tentative="1">
      <w:start w:val="1"/>
      <w:numFmt w:val="decimal"/>
      <w:lvlText w:val="%4."/>
      <w:lvlJc w:val="left"/>
      <w:pPr>
        <w:ind w:left="3243" w:hanging="360"/>
      </w:pPr>
    </w:lvl>
    <w:lvl w:ilvl="4" w:tplc="0C0A0019" w:tentative="1">
      <w:start w:val="1"/>
      <w:numFmt w:val="lowerLetter"/>
      <w:lvlText w:val="%5."/>
      <w:lvlJc w:val="left"/>
      <w:pPr>
        <w:ind w:left="3963" w:hanging="360"/>
      </w:pPr>
    </w:lvl>
    <w:lvl w:ilvl="5" w:tplc="0C0A001B" w:tentative="1">
      <w:start w:val="1"/>
      <w:numFmt w:val="lowerRoman"/>
      <w:lvlText w:val="%6."/>
      <w:lvlJc w:val="right"/>
      <w:pPr>
        <w:ind w:left="4683" w:hanging="180"/>
      </w:pPr>
    </w:lvl>
    <w:lvl w:ilvl="6" w:tplc="0C0A000F" w:tentative="1">
      <w:start w:val="1"/>
      <w:numFmt w:val="decimal"/>
      <w:lvlText w:val="%7."/>
      <w:lvlJc w:val="left"/>
      <w:pPr>
        <w:ind w:left="5403" w:hanging="360"/>
      </w:pPr>
    </w:lvl>
    <w:lvl w:ilvl="7" w:tplc="0C0A0019" w:tentative="1">
      <w:start w:val="1"/>
      <w:numFmt w:val="lowerLetter"/>
      <w:lvlText w:val="%8."/>
      <w:lvlJc w:val="left"/>
      <w:pPr>
        <w:ind w:left="6123" w:hanging="360"/>
      </w:pPr>
    </w:lvl>
    <w:lvl w:ilvl="8" w:tplc="0C0A001B" w:tentative="1">
      <w:start w:val="1"/>
      <w:numFmt w:val="lowerRoman"/>
      <w:lvlText w:val="%9."/>
      <w:lvlJc w:val="right"/>
      <w:pPr>
        <w:ind w:left="6843" w:hanging="180"/>
      </w:pPr>
    </w:lvl>
  </w:abstractNum>
  <w:abstractNum w:abstractNumId="33" w15:restartNumberingAfterBreak="0">
    <w:nsid w:val="75621368"/>
    <w:multiLevelType w:val="hybridMultilevel"/>
    <w:tmpl w:val="FEE2C670"/>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34" w15:restartNumberingAfterBreak="0">
    <w:nsid w:val="7EB36F4A"/>
    <w:multiLevelType w:val="hybridMultilevel"/>
    <w:tmpl w:val="0C905572"/>
    <w:lvl w:ilvl="0" w:tplc="ECDC6EA4">
      <w:start w:val="1"/>
      <w:numFmt w:val="decimal"/>
      <w:lvlText w:val="(%1)"/>
      <w:lvlJc w:val="left"/>
      <w:pPr>
        <w:ind w:left="502" w:hanging="360"/>
      </w:pPr>
      <w:rPr>
        <w:rFonts w:eastAsia="Calibri" w:cs="TTE28F7A68t00"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12"/>
  </w:num>
  <w:num w:numId="5">
    <w:abstractNumId w:val="23"/>
  </w:num>
  <w:num w:numId="6">
    <w:abstractNumId w:val="34"/>
  </w:num>
  <w:num w:numId="7">
    <w:abstractNumId w:val="32"/>
  </w:num>
  <w:num w:numId="8">
    <w:abstractNumId w:val="7"/>
  </w:num>
  <w:num w:numId="9">
    <w:abstractNumId w:val="27"/>
  </w:num>
  <w:num w:numId="10">
    <w:abstractNumId w:val="25"/>
  </w:num>
  <w:num w:numId="11">
    <w:abstractNumId w:val="18"/>
  </w:num>
  <w:num w:numId="12">
    <w:abstractNumId w:val="28"/>
  </w:num>
  <w:num w:numId="13">
    <w:abstractNumId w:val="9"/>
  </w:num>
  <w:num w:numId="14">
    <w:abstractNumId w:val="11"/>
  </w:num>
  <w:num w:numId="15">
    <w:abstractNumId w:val="30"/>
  </w:num>
  <w:num w:numId="16">
    <w:abstractNumId w:val="14"/>
  </w:num>
  <w:num w:numId="17">
    <w:abstractNumId w:val="2"/>
  </w:num>
  <w:num w:numId="18">
    <w:abstractNumId w:val="1"/>
  </w:num>
  <w:num w:numId="19">
    <w:abstractNumId w:val="20"/>
  </w:num>
  <w:num w:numId="20">
    <w:abstractNumId w:val="26"/>
  </w:num>
  <w:num w:numId="21">
    <w:abstractNumId w:val="33"/>
  </w:num>
  <w:num w:numId="22">
    <w:abstractNumId w:val="17"/>
  </w:num>
  <w:num w:numId="23">
    <w:abstractNumId w:val="8"/>
  </w:num>
  <w:num w:numId="24">
    <w:abstractNumId w:val="21"/>
  </w:num>
  <w:num w:numId="25">
    <w:abstractNumId w:val="10"/>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3"/>
  </w:num>
  <w:num w:numId="29">
    <w:abstractNumId w:val="6"/>
  </w:num>
  <w:num w:numId="30">
    <w:abstractNumId w:val="13"/>
  </w:num>
  <w:num w:numId="31">
    <w:abstractNumId w:val="15"/>
  </w:num>
  <w:num w:numId="32">
    <w:abstractNumId w:val="24"/>
  </w:num>
  <w:num w:numId="33">
    <w:abstractNumId w:val="31"/>
  </w:num>
  <w:num w:numId="34">
    <w:abstractNumId w:val="19"/>
  </w:num>
  <w:num w:numId="35">
    <w:abstractNumId w:val="2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655"/>
    <w:rsid w:val="00000A50"/>
    <w:rsid w:val="00001A01"/>
    <w:rsid w:val="00005388"/>
    <w:rsid w:val="00007CC6"/>
    <w:rsid w:val="000112D9"/>
    <w:rsid w:val="000138BB"/>
    <w:rsid w:val="0001459B"/>
    <w:rsid w:val="0002333B"/>
    <w:rsid w:val="00024526"/>
    <w:rsid w:val="000265A0"/>
    <w:rsid w:val="00030B31"/>
    <w:rsid w:val="00031748"/>
    <w:rsid w:val="000318E9"/>
    <w:rsid w:val="00032213"/>
    <w:rsid w:val="00035F2E"/>
    <w:rsid w:val="00036009"/>
    <w:rsid w:val="000371C9"/>
    <w:rsid w:val="000400CB"/>
    <w:rsid w:val="00040466"/>
    <w:rsid w:val="00041441"/>
    <w:rsid w:val="00042A8D"/>
    <w:rsid w:val="00042B02"/>
    <w:rsid w:val="000448BF"/>
    <w:rsid w:val="000448F5"/>
    <w:rsid w:val="000503C5"/>
    <w:rsid w:val="00054F16"/>
    <w:rsid w:val="00060A25"/>
    <w:rsid w:val="000618AE"/>
    <w:rsid w:val="00061CDD"/>
    <w:rsid w:val="00062424"/>
    <w:rsid w:val="00071BFE"/>
    <w:rsid w:val="00073203"/>
    <w:rsid w:val="000736C9"/>
    <w:rsid w:val="00075040"/>
    <w:rsid w:val="00076403"/>
    <w:rsid w:val="000768E3"/>
    <w:rsid w:val="00076B05"/>
    <w:rsid w:val="000771D7"/>
    <w:rsid w:val="000838BB"/>
    <w:rsid w:val="00084206"/>
    <w:rsid w:val="000845B9"/>
    <w:rsid w:val="00085CC3"/>
    <w:rsid w:val="00097121"/>
    <w:rsid w:val="000A0E29"/>
    <w:rsid w:val="000A0FD4"/>
    <w:rsid w:val="000A20E2"/>
    <w:rsid w:val="000A2F77"/>
    <w:rsid w:val="000A4FD9"/>
    <w:rsid w:val="000B18D0"/>
    <w:rsid w:val="000B333A"/>
    <w:rsid w:val="000B4C79"/>
    <w:rsid w:val="000B50D8"/>
    <w:rsid w:val="000B6FCD"/>
    <w:rsid w:val="000C02E6"/>
    <w:rsid w:val="000C067D"/>
    <w:rsid w:val="000C0A9C"/>
    <w:rsid w:val="000C1BF7"/>
    <w:rsid w:val="000C39EA"/>
    <w:rsid w:val="000C6D48"/>
    <w:rsid w:val="000D368B"/>
    <w:rsid w:val="000D3ABD"/>
    <w:rsid w:val="000D5C7E"/>
    <w:rsid w:val="000D6065"/>
    <w:rsid w:val="000E110C"/>
    <w:rsid w:val="000E3A7D"/>
    <w:rsid w:val="000E7197"/>
    <w:rsid w:val="000E798C"/>
    <w:rsid w:val="000F0C15"/>
    <w:rsid w:val="000F2116"/>
    <w:rsid w:val="000F2304"/>
    <w:rsid w:val="000F50C9"/>
    <w:rsid w:val="000F7982"/>
    <w:rsid w:val="00100268"/>
    <w:rsid w:val="001002AD"/>
    <w:rsid w:val="001078ED"/>
    <w:rsid w:val="001121C6"/>
    <w:rsid w:val="00112289"/>
    <w:rsid w:val="00113DFA"/>
    <w:rsid w:val="00115C1C"/>
    <w:rsid w:val="0011654E"/>
    <w:rsid w:val="001169C4"/>
    <w:rsid w:val="001178EA"/>
    <w:rsid w:val="00117A4B"/>
    <w:rsid w:val="00121179"/>
    <w:rsid w:val="00125CB6"/>
    <w:rsid w:val="001261F4"/>
    <w:rsid w:val="00126BE6"/>
    <w:rsid w:val="00126FBC"/>
    <w:rsid w:val="00130065"/>
    <w:rsid w:val="0013011C"/>
    <w:rsid w:val="00130B47"/>
    <w:rsid w:val="001310BA"/>
    <w:rsid w:val="0013158C"/>
    <w:rsid w:val="00134CEF"/>
    <w:rsid w:val="0013509C"/>
    <w:rsid w:val="00136570"/>
    <w:rsid w:val="00137462"/>
    <w:rsid w:val="00137BEB"/>
    <w:rsid w:val="00137D8D"/>
    <w:rsid w:val="00140E7D"/>
    <w:rsid w:val="00142D96"/>
    <w:rsid w:val="0014425B"/>
    <w:rsid w:val="00144F94"/>
    <w:rsid w:val="00144FC5"/>
    <w:rsid w:val="00146E71"/>
    <w:rsid w:val="00152341"/>
    <w:rsid w:val="00152E21"/>
    <w:rsid w:val="001553BD"/>
    <w:rsid w:val="00162A9A"/>
    <w:rsid w:val="00163D6C"/>
    <w:rsid w:val="0017098B"/>
    <w:rsid w:val="00177BE8"/>
    <w:rsid w:val="001828B7"/>
    <w:rsid w:val="001843B7"/>
    <w:rsid w:val="0018749A"/>
    <w:rsid w:val="00192A2B"/>
    <w:rsid w:val="00193D87"/>
    <w:rsid w:val="001953E0"/>
    <w:rsid w:val="0019703D"/>
    <w:rsid w:val="001A0073"/>
    <w:rsid w:val="001A020E"/>
    <w:rsid w:val="001A5ED7"/>
    <w:rsid w:val="001A60D2"/>
    <w:rsid w:val="001A6147"/>
    <w:rsid w:val="001A6451"/>
    <w:rsid w:val="001A64A0"/>
    <w:rsid w:val="001A658D"/>
    <w:rsid w:val="001A7E9A"/>
    <w:rsid w:val="001B01B8"/>
    <w:rsid w:val="001B165C"/>
    <w:rsid w:val="001B1B72"/>
    <w:rsid w:val="001B3F00"/>
    <w:rsid w:val="001B6F51"/>
    <w:rsid w:val="001C3487"/>
    <w:rsid w:val="001C3A14"/>
    <w:rsid w:val="001C59DB"/>
    <w:rsid w:val="001C5E46"/>
    <w:rsid w:val="001C6FD8"/>
    <w:rsid w:val="001D0C41"/>
    <w:rsid w:val="001D3FAC"/>
    <w:rsid w:val="001D4E2E"/>
    <w:rsid w:val="001D5E4A"/>
    <w:rsid w:val="001E07B3"/>
    <w:rsid w:val="001E0B27"/>
    <w:rsid w:val="001E1198"/>
    <w:rsid w:val="001E1F73"/>
    <w:rsid w:val="001E3973"/>
    <w:rsid w:val="001E39AD"/>
    <w:rsid w:val="001E4906"/>
    <w:rsid w:val="001E5659"/>
    <w:rsid w:val="001E5C21"/>
    <w:rsid w:val="001F138A"/>
    <w:rsid w:val="001F5F54"/>
    <w:rsid w:val="001F62CF"/>
    <w:rsid w:val="00200488"/>
    <w:rsid w:val="00200636"/>
    <w:rsid w:val="00200C9C"/>
    <w:rsid w:val="002017D2"/>
    <w:rsid w:val="002026CE"/>
    <w:rsid w:val="0020385A"/>
    <w:rsid w:val="00204D4E"/>
    <w:rsid w:val="00206FEB"/>
    <w:rsid w:val="00212DA0"/>
    <w:rsid w:val="002134E6"/>
    <w:rsid w:val="00213510"/>
    <w:rsid w:val="00215D32"/>
    <w:rsid w:val="00216B1A"/>
    <w:rsid w:val="0022040F"/>
    <w:rsid w:val="00220D04"/>
    <w:rsid w:val="0022137E"/>
    <w:rsid w:val="002222FE"/>
    <w:rsid w:val="002226AC"/>
    <w:rsid w:val="002242CE"/>
    <w:rsid w:val="00226075"/>
    <w:rsid w:val="0022745F"/>
    <w:rsid w:val="002277EA"/>
    <w:rsid w:val="00231644"/>
    <w:rsid w:val="00232165"/>
    <w:rsid w:val="00233004"/>
    <w:rsid w:val="00234F6B"/>
    <w:rsid w:val="00236971"/>
    <w:rsid w:val="0024073B"/>
    <w:rsid w:val="0024085C"/>
    <w:rsid w:val="00241D8F"/>
    <w:rsid w:val="0024224D"/>
    <w:rsid w:val="00245668"/>
    <w:rsid w:val="002462C6"/>
    <w:rsid w:val="00250C33"/>
    <w:rsid w:val="00251762"/>
    <w:rsid w:val="00252450"/>
    <w:rsid w:val="00253828"/>
    <w:rsid w:val="00255D0E"/>
    <w:rsid w:val="002576E3"/>
    <w:rsid w:val="002579E8"/>
    <w:rsid w:val="00260536"/>
    <w:rsid w:val="00262DFC"/>
    <w:rsid w:val="00263E82"/>
    <w:rsid w:val="00266611"/>
    <w:rsid w:val="00267094"/>
    <w:rsid w:val="002670BA"/>
    <w:rsid w:val="00267F6C"/>
    <w:rsid w:val="002719B3"/>
    <w:rsid w:val="00271A4F"/>
    <w:rsid w:val="00277C45"/>
    <w:rsid w:val="00281B15"/>
    <w:rsid w:val="00281CE3"/>
    <w:rsid w:val="00281E74"/>
    <w:rsid w:val="00282DE2"/>
    <w:rsid w:val="00283068"/>
    <w:rsid w:val="002851B9"/>
    <w:rsid w:val="00287BEC"/>
    <w:rsid w:val="00290C4E"/>
    <w:rsid w:val="0029210A"/>
    <w:rsid w:val="002951E5"/>
    <w:rsid w:val="002960B9"/>
    <w:rsid w:val="00297E6D"/>
    <w:rsid w:val="00297E7B"/>
    <w:rsid w:val="002A1443"/>
    <w:rsid w:val="002A3499"/>
    <w:rsid w:val="002A4909"/>
    <w:rsid w:val="002A51FB"/>
    <w:rsid w:val="002A597C"/>
    <w:rsid w:val="002A5DE9"/>
    <w:rsid w:val="002A604E"/>
    <w:rsid w:val="002A70A9"/>
    <w:rsid w:val="002A70B3"/>
    <w:rsid w:val="002B13D7"/>
    <w:rsid w:val="002B276E"/>
    <w:rsid w:val="002B2CD9"/>
    <w:rsid w:val="002C2695"/>
    <w:rsid w:val="002C2B67"/>
    <w:rsid w:val="002C4F06"/>
    <w:rsid w:val="002C7C3D"/>
    <w:rsid w:val="002D150F"/>
    <w:rsid w:val="002D1621"/>
    <w:rsid w:val="002D19D0"/>
    <w:rsid w:val="002D3868"/>
    <w:rsid w:val="002D467B"/>
    <w:rsid w:val="002D4CD3"/>
    <w:rsid w:val="002D5AD6"/>
    <w:rsid w:val="002D5B39"/>
    <w:rsid w:val="002D5D46"/>
    <w:rsid w:val="002D6369"/>
    <w:rsid w:val="002D6B92"/>
    <w:rsid w:val="002D7257"/>
    <w:rsid w:val="002E00C6"/>
    <w:rsid w:val="002E046B"/>
    <w:rsid w:val="002E05AC"/>
    <w:rsid w:val="002E09B2"/>
    <w:rsid w:val="002E1C14"/>
    <w:rsid w:val="002E3316"/>
    <w:rsid w:val="002E4997"/>
    <w:rsid w:val="002E5246"/>
    <w:rsid w:val="002E54A9"/>
    <w:rsid w:val="002F01DA"/>
    <w:rsid w:val="002F08AF"/>
    <w:rsid w:val="002F28F4"/>
    <w:rsid w:val="002F2DC8"/>
    <w:rsid w:val="002F3AEA"/>
    <w:rsid w:val="002F433D"/>
    <w:rsid w:val="002F46C0"/>
    <w:rsid w:val="002F7E5C"/>
    <w:rsid w:val="002F7EFF"/>
    <w:rsid w:val="003003BB"/>
    <w:rsid w:val="00301242"/>
    <w:rsid w:val="00301308"/>
    <w:rsid w:val="003026BE"/>
    <w:rsid w:val="003045F9"/>
    <w:rsid w:val="00304DF1"/>
    <w:rsid w:val="003116A7"/>
    <w:rsid w:val="00312C83"/>
    <w:rsid w:val="00313BAD"/>
    <w:rsid w:val="003142C6"/>
    <w:rsid w:val="00315C77"/>
    <w:rsid w:val="00322A92"/>
    <w:rsid w:val="00323209"/>
    <w:rsid w:val="00323392"/>
    <w:rsid w:val="00324D47"/>
    <w:rsid w:val="00326D7F"/>
    <w:rsid w:val="00331211"/>
    <w:rsid w:val="00331400"/>
    <w:rsid w:val="003349F2"/>
    <w:rsid w:val="003351A7"/>
    <w:rsid w:val="00336669"/>
    <w:rsid w:val="00336E7D"/>
    <w:rsid w:val="003430F3"/>
    <w:rsid w:val="0034319E"/>
    <w:rsid w:val="00344FB1"/>
    <w:rsid w:val="00345B82"/>
    <w:rsid w:val="0034616E"/>
    <w:rsid w:val="00347340"/>
    <w:rsid w:val="00347E99"/>
    <w:rsid w:val="003514A5"/>
    <w:rsid w:val="003518EB"/>
    <w:rsid w:val="003531CB"/>
    <w:rsid w:val="00353B9B"/>
    <w:rsid w:val="00353FCD"/>
    <w:rsid w:val="003542F5"/>
    <w:rsid w:val="00357397"/>
    <w:rsid w:val="003605A6"/>
    <w:rsid w:val="00361436"/>
    <w:rsid w:val="003655BF"/>
    <w:rsid w:val="00370062"/>
    <w:rsid w:val="0037021C"/>
    <w:rsid w:val="00370683"/>
    <w:rsid w:val="00370EAB"/>
    <w:rsid w:val="00372F40"/>
    <w:rsid w:val="00373511"/>
    <w:rsid w:val="0038136A"/>
    <w:rsid w:val="003838F8"/>
    <w:rsid w:val="0038552E"/>
    <w:rsid w:val="0038598C"/>
    <w:rsid w:val="00385F9B"/>
    <w:rsid w:val="003870BC"/>
    <w:rsid w:val="00393484"/>
    <w:rsid w:val="00394138"/>
    <w:rsid w:val="00395B60"/>
    <w:rsid w:val="00397FE6"/>
    <w:rsid w:val="003A0303"/>
    <w:rsid w:val="003A117E"/>
    <w:rsid w:val="003A138A"/>
    <w:rsid w:val="003A1E27"/>
    <w:rsid w:val="003A2F8B"/>
    <w:rsid w:val="003A3BD4"/>
    <w:rsid w:val="003A4797"/>
    <w:rsid w:val="003A537F"/>
    <w:rsid w:val="003A5402"/>
    <w:rsid w:val="003A5DA6"/>
    <w:rsid w:val="003A6055"/>
    <w:rsid w:val="003A622D"/>
    <w:rsid w:val="003A6574"/>
    <w:rsid w:val="003B0C35"/>
    <w:rsid w:val="003B49EC"/>
    <w:rsid w:val="003B7895"/>
    <w:rsid w:val="003B7C7E"/>
    <w:rsid w:val="003C13E2"/>
    <w:rsid w:val="003C1806"/>
    <w:rsid w:val="003C31E8"/>
    <w:rsid w:val="003C3859"/>
    <w:rsid w:val="003C3DF7"/>
    <w:rsid w:val="003C68BE"/>
    <w:rsid w:val="003C6CAD"/>
    <w:rsid w:val="003C77E1"/>
    <w:rsid w:val="003C7A62"/>
    <w:rsid w:val="003C7C51"/>
    <w:rsid w:val="003C7D1B"/>
    <w:rsid w:val="003D28B5"/>
    <w:rsid w:val="003D30A6"/>
    <w:rsid w:val="003D395C"/>
    <w:rsid w:val="003D42D8"/>
    <w:rsid w:val="003D5DBF"/>
    <w:rsid w:val="003D674C"/>
    <w:rsid w:val="003E1291"/>
    <w:rsid w:val="003E22D8"/>
    <w:rsid w:val="003E4B12"/>
    <w:rsid w:val="003E4C78"/>
    <w:rsid w:val="003E5C1D"/>
    <w:rsid w:val="003E7FD0"/>
    <w:rsid w:val="003F44CE"/>
    <w:rsid w:val="00400051"/>
    <w:rsid w:val="004031C6"/>
    <w:rsid w:val="004055C9"/>
    <w:rsid w:val="004064E0"/>
    <w:rsid w:val="0041013B"/>
    <w:rsid w:val="00410B94"/>
    <w:rsid w:val="0041107F"/>
    <w:rsid w:val="004120F2"/>
    <w:rsid w:val="004148F4"/>
    <w:rsid w:val="00416E78"/>
    <w:rsid w:val="0041711D"/>
    <w:rsid w:val="00417EFE"/>
    <w:rsid w:val="00420379"/>
    <w:rsid w:val="00421265"/>
    <w:rsid w:val="00421B94"/>
    <w:rsid w:val="00423DD7"/>
    <w:rsid w:val="00424DA6"/>
    <w:rsid w:val="00426FDF"/>
    <w:rsid w:val="00427F39"/>
    <w:rsid w:val="004304FD"/>
    <w:rsid w:val="00433B46"/>
    <w:rsid w:val="00433E55"/>
    <w:rsid w:val="00434F64"/>
    <w:rsid w:val="004358B0"/>
    <w:rsid w:val="00435B6B"/>
    <w:rsid w:val="00435E7F"/>
    <w:rsid w:val="004362D3"/>
    <w:rsid w:val="00440E4C"/>
    <w:rsid w:val="0044253C"/>
    <w:rsid w:val="0044291C"/>
    <w:rsid w:val="00442A93"/>
    <w:rsid w:val="00443C37"/>
    <w:rsid w:val="0044505E"/>
    <w:rsid w:val="00446506"/>
    <w:rsid w:val="00446F05"/>
    <w:rsid w:val="00447901"/>
    <w:rsid w:val="00450442"/>
    <w:rsid w:val="00450A67"/>
    <w:rsid w:val="00451AF4"/>
    <w:rsid w:val="00453601"/>
    <w:rsid w:val="00454334"/>
    <w:rsid w:val="004560A9"/>
    <w:rsid w:val="00456A55"/>
    <w:rsid w:val="00460569"/>
    <w:rsid w:val="00462BF3"/>
    <w:rsid w:val="00463856"/>
    <w:rsid w:val="00466B3A"/>
    <w:rsid w:val="00470750"/>
    <w:rsid w:val="00472AF7"/>
    <w:rsid w:val="004733C5"/>
    <w:rsid w:val="00473B15"/>
    <w:rsid w:val="00474111"/>
    <w:rsid w:val="0047514F"/>
    <w:rsid w:val="00475D55"/>
    <w:rsid w:val="00480B84"/>
    <w:rsid w:val="00480D0E"/>
    <w:rsid w:val="00482DFE"/>
    <w:rsid w:val="00483856"/>
    <w:rsid w:val="00484255"/>
    <w:rsid w:val="00484C0D"/>
    <w:rsid w:val="004853D5"/>
    <w:rsid w:val="004857EE"/>
    <w:rsid w:val="0048595B"/>
    <w:rsid w:val="00487704"/>
    <w:rsid w:val="00487C8D"/>
    <w:rsid w:val="00490A57"/>
    <w:rsid w:val="00490DA8"/>
    <w:rsid w:val="00492C8C"/>
    <w:rsid w:val="004965FE"/>
    <w:rsid w:val="00497D8B"/>
    <w:rsid w:val="004A05C8"/>
    <w:rsid w:val="004A2390"/>
    <w:rsid w:val="004A25C5"/>
    <w:rsid w:val="004A276C"/>
    <w:rsid w:val="004A460F"/>
    <w:rsid w:val="004A75D9"/>
    <w:rsid w:val="004A7B45"/>
    <w:rsid w:val="004B0E0E"/>
    <w:rsid w:val="004B3250"/>
    <w:rsid w:val="004B40A1"/>
    <w:rsid w:val="004B60E3"/>
    <w:rsid w:val="004B6E4D"/>
    <w:rsid w:val="004C024F"/>
    <w:rsid w:val="004C20F7"/>
    <w:rsid w:val="004C2108"/>
    <w:rsid w:val="004C2D27"/>
    <w:rsid w:val="004C3C29"/>
    <w:rsid w:val="004C4704"/>
    <w:rsid w:val="004C4B94"/>
    <w:rsid w:val="004C6974"/>
    <w:rsid w:val="004D3B13"/>
    <w:rsid w:val="004D41B8"/>
    <w:rsid w:val="004D4BCB"/>
    <w:rsid w:val="004D5FF1"/>
    <w:rsid w:val="004D6D17"/>
    <w:rsid w:val="004E09CE"/>
    <w:rsid w:val="004E0BE2"/>
    <w:rsid w:val="004E14BF"/>
    <w:rsid w:val="004E2639"/>
    <w:rsid w:val="004E2AC7"/>
    <w:rsid w:val="004E2E0D"/>
    <w:rsid w:val="004E38DD"/>
    <w:rsid w:val="004E4B74"/>
    <w:rsid w:val="004F2357"/>
    <w:rsid w:val="004F35F9"/>
    <w:rsid w:val="004F498C"/>
    <w:rsid w:val="004F5351"/>
    <w:rsid w:val="004F605A"/>
    <w:rsid w:val="00501568"/>
    <w:rsid w:val="005028F6"/>
    <w:rsid w:val="00504534"/>
    <w:rsid w:val="00504918"/>
    <w:rsid w:val="00507867"/>
    <w:rsid w:val="00507876"/>
    <w:rsid w:val="00512955"/>
    <w:rsid w:val="00513B78"/>
    <w:rsid w:val="00513D92"/>
    <w:rsid w:val="0051434E"/>
    <w:rsid w:val="00517BC6"/>
    <w:rsid w:val="00520585"/>
    <w:rsid w:val="00522632"/>
    <w:rsid w:val="00527D68"/>
    <w:rsid w:val="00530063"/>
    <w:rsid w:val="0053026D"/>
    <w:rsid w:val="005302E7"/>
    <w:rsid w:val="005306F0"/>
    <w:rsid w:val="00536D4B"/>
    <w:rsid w:val="00537ACE"/>
    <w:rsid w:val="00540418"/>
    <w:rsid w:val="00542415"/>
    <w:rsid w:val="0054334C"/>
    <w:rsid w:val="00545F80"/>
    <w:rsid w:val="0054610F"/>
    <w:rsid w:val="005524F0"/>
    <w:rsid w:val="00552639"/>
    <w:rsid w:val="00553BDA"/>
    <w:rsid w:val="00554008"/>
    <w:rsid w:val="00556396"/>
    <w:rsid w:val="005573A9"/>
    <w:rsid w:val="00560518"/>
    <w:rsid w:val="00560C04"/>
    <w:rsid w:val="0056262C"/>
    <w:rsid w:val="00562BD4"/>
    <w:rsid w:val="00563103"/>
    <w:rsid w:val="005739C3"/>
    <w:rsid w:val="00573FCE"/>
    <w:rsid w:val="00580017"/>
    <w:rsid w:val="00581279"/>
    <w:rsid w:val="005823DD"/>
    <w:rsid w:val="00583490"/>
    <w:rsid w:val="005848E6"/>
    <w:rsid w:val="00586423"/>
    <w:rsid w:val="00587D75"/>
    <w:rsid w:val="00591727"/>
    <w:rsid w:val="00592CB8"/>
    <w:rsid w:val="00594B99"/>
    <w:rsid w:val="00597A15"/>
    <w:rsid w:val="00597B2D"/>
    <w:rsid w:val="005A1F28"/>
    <w:rsid w:val="005A3D06"/>
    <w:rsid w:val="005A3E3E"/>
    <w:rsid w:val="005A4CF9"/>
    <w:rsid w:val="005A6165"/>
    <w:rsid w:val="005B01CC"/>
    <w:rsid w:val="005B112A"/>
    <w:rsid w:val="005B25E9"/>
    <w:rsid w:val="005B3256"/>
    <w:rsid w:val="005B3A00"/>
    <w:rsid w:val="005B3A09"/>
    <w:rsid w:val="005B3DF2"/>
    <w:rsid w:val="005B41A2"/>
    <w:rsid w:val="005B4749"/>
    <w:rsid w:val="005B52CB"/>
    <w:rsid w:val="005B53B4"/>
    <w:rsid w:val="005C27E0"/>
    <w:rsid w:val="005C2E62"/>
    <w:rsid w:val="005C3685"/>
    <w:rsid w:val="005C3886"/>
    <w:rsid w:val="005C5A0F"/>
    <w:rsid w:val="005C6859"/>
    <w:rsid w:val="005C71E0"/>
    <w:rsid w:val="005D0336"/>
    <w:rsid w:val="005D0A65"/>
    <w:rsid w:val="005D0D0E"/>
    <w:rsid w:val="005D316C"/>
    <w:rsid w:val="005D60C0"/>
    <w:rsid w:val="005E0280"/>
    <w:rsid w:val="005E13FB"/>
    <w:rsid w:val="005E1CB9"/>
    <w:rsid w:val="005E3FC2"/>
    <w:rsid w:val="005E4C76"/>
    <w:rsid w:val="005E5C89"/>
    <w:rsid w:val="005E6E50"/>
    <w:rsid w:val="005F1125"/>
    <w:rsid w:val="005F2841"/>
    <w:rsid w:val="005F2F60"/>
    <w:rsid w:val="005F5758"/>
    <w:rsid w:val="005F5B00"/>
    <w:rsid w:val="005F7253"/>
    <w:rsid w:val="00605396"/>
    <w:rsid w:val="006111AA"/>
    <w:rsid w:val="0061142D"/>
    <w:rsid w:val="00612E26"/>
    <w:rsid w:val="00616C11"/>
    <w:rsid w:val="00623F83"/>
    <w:rsid w:val="0062663C"/>
    <w:rsid w:val="00626FD7"/>
    <w:rsid w:val="00631E3A"/>
    <w:rsid w:val="00631E5F"/>
    <w:rsid w:val="006350CF"/>
    <w:rsid w:val="00637650"/>
    <w:rsid w:val="006406F1"/>
    <w:rsid w:val="00642C9E"/>
    <w:rsid w:val="0064357E"/>
    <w:rsid w:val="00643620"/>
    <w:rsid w:val="0064392D"/>
    <w:rsid w:val="00645857"/>
    <w:rsid w:val="00647426"/>
    <w:rsid w:val="00650430"/>
    <w:rsid w:val="00654792"/>
    <w:rsid w:val="00655AA4"/>
    <w:rsid w:val="00656707"/>
    <w:rsid w:val="0065761A"/>
    <w:rsid w:val="006576C9"/>
    <w:rsid w:val="00657E2C"/>
    <w:rsid w:val="00660DB1"/>
    <w:rsid w:val="00664319"/>
    <w:rsid w:val="006666FF"/>
    <w:rsid w:val="00666E6B"/>
    <w:rsid w:val="00671754"/>
    <w:rsid w:val="00673C41"/>
    <w:rsid w:val="00676761"/>
    <w:rsid w:val="00676868"/>
    <w:rsid w:val="00676E9D"/>
    <w:rsid w:val="00677336"/>
    <w:rsid w:val="0068153A"/>
    <w:rsid w:val="006826C1"/>
    <w:rsid w:val="006842A3"/>
    <w:rsid w:val="00685715"/>
    <w:rsid w:val="00692AFE"/>
    <w:rsid w:val="00692E91"/>
    <w:rsid w:val="00693D51"/>
    <w:rsid w:val="00695210"/>
    <w:rsid w:val="00695CAF"/>
    <w:rsid w:val="00697C45"/>
    <w:rsid w:val="00697E11"/>
    <w:rsid w:val="00697E2A"/>
    <w:rsid w:val="006A2DEA"/>
    <w:rsid w:val="006A3077"/>
    <w:rsid w:val="006A4AC0"/>
    <w:rsid w:val="006A4C72"/>
    <w:rsid w:val="006A5210"/>
    <w:rsid w:val="006A6AA1"/>
    <w:rsid w:val="006B0CB4"/>
    <w:rsid w:val="006B0F1C"/>
    <w:rsid w:val="006B61FA"/>
    <w:rsid w:val="006B691D"/>
    <w:rsid w:val="006B6B74"/>
    <w:rsid w:val="006B6FD2"/>
    <w:rsid w:val="006B7026"/>
    <w:rsid w:val="006B7692"/>
    <w:rsid w:val="006C039D"/>
    <w:rsid w:val="006C12EF"/>
    <w:rsid w:val="006C204C"/>
    <w:rsid w:val="006C3313"/>
    <w:rsid w:val="006C781C"/>
    <w:rsid w:val="006C7C76"/>
    <w:rsid w:val="006D0F2D"/>
    <w:rsid w:val="006D3757"/>
    <w:rsid w:val="006D46C7"/>
    <w:rsid w:val="006D66DE"/>
    <w:rsid w:val="006E00BC"/>
    <w:rsid w:val="006E0F7E"/>
    <w:rsid w:val="006E1857"/>
    <w:rsid w:val="006E2205"/>
    <w:rsid w:val="006E2E0D"/>
    <w:rsid w:val="006E41A2"/>
    <w:rsid w:val="006E47AC"/>
    <w:rsid w:val="006E5243"/>
    <w:rsid w:val="006E77DD"/>
    <w:rsid w:val="006E79FE"/>
    <w:rsid w:val="006F1AC5"/>
    <w:rsid w:val="006F2E62"/>
    <w:rsid w:val="006F4537"/>
    <w:rsid w:val="006F48EC"/>
    <w:rsid w:val="006F4B4C"/>
    <w:rsid w:val="006F67C9"/>
    <w:rsid w:val="00706D84"/>
    <w:rsid w:val="00707034"/>
    <w:rsid w:val="0070709C"/>
    <w:rsid w:val="00707681"/>
    <w:rsid w:val="00710191"/>
    <w:rsid w:val="00711CE1"/>
    <w:rsid w:val="0071334B"/>
    <w:rsid w:val="00715C86"/>
    <w:rsid w:val="007167B5"/>
    <w:rsid w:val="007173B4"/>
    <w:rsid w:val="007203E6"/>
    <w:rsid w:val="00720DEF"/>
    <w:rsid w:val="00727031"/>
    <w:rsid w:val="007274B8"/>
    <w:rsid w:val="0073070F"/>
    <w:rsid w:val="0073186B"/>
    <w:rsid w:val="007362A2"/>
    <w:rsid w:val="00742A46"/>
    <w:rsid w:val="00743557"/>
    <w:rsid w:val="00745CB7"/>
    <w:rsid w:val="00746349"/>
    <w:rsid w:val="00746394"/>
    <w:rsid w:val="00746520"/>
    <w:rsid w:val="00747DA0"/>
    <w:rsid w:val="007504F1"/>
    <w:rsid w:val="00750723"/>
    <w:rsid w:val="00750984"/>
    <w:rsid w:val="007518A6"/>
    <w:rsid w:val="0075312E"/>
    <w:rsid w:val="007543AB"/>
    <w:rsid w:val="00755C6F"/>
    <w:rsid w:val="0076256F"/>
    <w:rsid w:val="007638A5"/>
    <w:rsid w:val="00763E25"/>
    <w:rsid w:val="00765CBD"/>
    <w:rsid w:val="00766CF1"/>
    <w:rsid w:val="0076776B"/>
    <w:rsid w:val="0077307C"/>
    <w:rsid w:val="00773577"/>
    <w:rsid w:val="007740EB"/>
    <w:rsid w:val="007757FD"/>
    <w:rsid w:val="00776162"/>
    <w:rsid w:val="00777554"/>
    <w:rsid w:val="00777BED"/>
    <w:rsid w:val="00777F36"/>
    <w:rsid w:val="00783BD0"/>
    <w:rsid w:val="00783C44"/>
    <w:rsid w:val="007843D5"/>
    <w:rsid w:val="00785D57"/>
    <w:rsid w:val="00785F09"/>
    <w:rsid w:val="0079405E"/>
    <w:rsid w:val="0079582C"/>
    <w:rsid w:val="007A17DA"/>
    <w:rsid w:val="007A1B23"/>
    <w:rsid w:val="007A3703"/>
    <w:rsid w:val="007A3852"/>
    <w:rsid w:val="007B1EF2"/>
    <w:rsid w:val="007B4E93"/>
    <w:rsid w:val="007B5C4F"/>
    <w:rsid w:val="007B6631"/>
    <w:rsid w:val="007C1E48"/>
    <w:rsid w:val="007C2656"/>
    <w:rsid w:val="007C2F32"/>
    <w:rsid w:val="007C4458"/>
    <w:rsid w:val="007C5644"/>
    <w:rsid w:val="007C60F6"/>
    <w:rsid w:val="007C69D7"/>
    <w:rsid w:val="007D2525"/>
    <w:rsid w:val="007D2C0F"/>
    <w:rsid w:val="007D5DBA"/>
    <w:rsid w:val="007D6CAB"/>
    <w:rsid w:val="007D6E9A"/>
    <w:rsid w:val="007E4A53"/>
    <w:rsid w:val="007E4FAF"/>
    <w:rsid w:val="007F066A"/>
    <w:rsid w:val="007F639A"/>
    <w:rsid w:val="00800C99"/>
    <w:rsid w:val="00801E53"/>
    <w:rsid w:val="008039E3"/>
    <w:rsid w:val="00805686"/>
    <w:rsid w:val="00806E64"/>
    <w:rsid w:val="00810FEB"/>
    <w:rsid w:val="0081147C"/>
    <w:rsid w:val="00811DAC"/>
    <w:rsid w:val="00812F81"/>
    <w:rsid w:val="00820B8D"/>
    <w:rsid w:val="0082126C"/>
    <w:rsid w:val="0082256A"/>
    <w:rsid w:val="00823C14"/>
    <w:rsid w:val="00824790"/>
    <w:rsid w:val="00824B87"/>
    <w:rsid w:val="008261F4"/>
    <w:rsid w:val="00827380"/>
    <w:rsid w:val="008349FB"/>
    <w:rsid w:val="0084153C"/>
    <w:rsid w:val="00844F68"/>
    <w:rsid w:val="00845B6D"/>
    <w:rsid w:val="00845FA7"/>
    <w:rsid w:val="0084623F"/>
    <w:rsid w:val="0084701E"/>
    <w:rsid w:val="00847863"/>
    <w:rsid w:val="00847907"/>
    <w:rsid w:val="00850555"/>
    <w:rsid w:val="00850950"/>
    <w:rsid w:val="00851AA0"/>
    <w:rsid w:val="00852990"/>
    <w:rsid w:val="0085381F"/>
    <w:rsid w:val="00853F42"/>
    <w:rsid w:val="0085590F"/>
    <w:rsid w:val="00857A14"/>
    <w:rsid w:val="008617E4"/>
    <w:rsid w:val="00862CDC"/>
    <w:rsid w:val="00865105"/>
    <w:rsid w:val="0086693F"/>
    <w:rsid w:val="00867C2E"/>
    <w:rsid w:val="00870D2F"/>
    <w:rsid w:val="00871C9D"/>
    <w:rsid w:val="00873BD8"/>
    <w:rsid w:val="00874046"/>
    <w:rsid w:val="008759A1"/>
    <w:rsid w:val="008768D4"/>
    <w:rsid w:val="00877481"/>
    <w:rsid w:val="00877B98"/>
    <w:rsid w:val="00877C10"/>
    <w:rsid w:val="00882E1A"/>
    <w:rsid w:val="0088355A"/>
    <w:rsid w:val="00885D2F"/>
    <w:rsid w:val="008869C4"/>
    <w:rsid w:val="008874E3"/>
    <w:rsid w:val="00890021"/>
    <w:rsid w:val="008918B6"/>
    <w:rsid w:val="00895633"/>
    <w:rsid w:val="008962BC"/>
    <w:rsid w:val="008A0FCC"/>
    <w:rsid w:val="008A14E8"/>
    <w:rsid w:val="008A23DD"/>
    <w:rsid w:val="008A3EAB"/>
    <w:rsid w:val="008A6E4D"/>
    <w:rsid w:val="008A71B5"/>
    <w:rsid w:val="008A7E2C"/>
    <w:rsid w:val="008B0017"/>
    <w:rsid w:val="008B0FA9"/>
    <w:rsid w:val="008B161A"/>
    <w:rsid w:val="008B3282"/>
    <w:rsid w:val="008B34D8"/>
    <w:rsid w:val="008B3935"/>
    <w:rsid w:val="008B3EFF"/>
    <w:rsid w:val="008B41CF"/>
    <w:rsid w:val="008B7967"/>
    <w:rsid w:val="008C19E1"/>
    <w:rsid w:val="008C281F"/>
    <w:rsid w:val="008C449C"/>
    <w:rsid w:val="008C4860"/>
    <w:rsid w:val="008C5982"/>
    <w:rsid w:val="008C6B18"/>
    <w:rsid w:val="008C70A6"/>
    <w:rsid w:val="008D0E51"/>
    <w:rsid w:val="008D1C98"/>
    <w:rsid w:val="008D1FAE"/>
    <w:rsid w:val="008D280F"/>
    <w:rsid w:val="008D2B2E"/>
    <w:rsid w:val="008D3B65"/>
    <w:rsid w:val="008D422C"/>
    <w:rsid w:val="008D609F"/>
    <w:rsid w:val="008E0EA6"/>
    <w:rsid w:val="008E3652"/>
    <w:rsid w:val="008E6789"/>
    <w:rsid w:val="008E7619"/>
    <w:rsid w:val="008F4946"/>
    <w:rsid w:val="008F49B4"/>
    <w:rsid w:val="008F5302"/>
    <w:rsid w:val="008F6B1A"/>
    <w:rsid w:val="008F6D58"/>
    <w:rsid w:val="008F7921"/>
    <w:rsid w:val="008F7953"/>
    <w:rsid w:val="008F7ADF"/>
    <w:rsid w:val="0090030F"/>
    <w:rsid w:val="00901968"/>
    <w:rsid w:val="00901CFD"/>
    <w:rsid w:val="00901DFA"/>
    <w:rsid w:val="009046B9"/>
    <w:rsid w:val="00904E39"/>
    <w:rsid w:val="00906164"/>
    <w:rsid w:val="00907B3E"/>
    <w:rsid w:val="0091117D"/>
    <w:rsid w:val="00916BA4"/>
    <w:rsid w:val="009201BE"/>
    <w:rsid w:val="00922254"/>
    <w:rsid w:val="00922C2B"/>
    <w:rsid w:val="00924633"/>
    <w:rsid w:val="00925715"/>
    <w:rsid w:val="00925FAB"/>
    <w:rsid w:val="00926D5D"/>
    <w:rsid w:val="009278D3"/>
    <w:rsid w:val="00927E1A"/>
    <w:rsid w:val="009303CE"/>
    <w:rsid w:val="00931221"/>
    <w:rsid w:val="00933F0C"/>
    <w:rsid w:val="00934333"/>
    <w:rsid w:val="0093517D"/>
    <w:rsid w:val="00935744"/>
    <w:rsid w:val="00936E06"/>
    <w:rsid w:val="00940962"/>
    <w:rsid w:val="0094187F"/>
    <w:rsid w:val="00941CC6"/>
    <w:rsid w:val="009449E0"/>
    <w:rsid w:val="00947F5C"/>
    <w:rsid w:val="00950116"/>
    <w:rsid w:val="00952F1D"/>
    <w:rsid w:val="0095780D"/>
    <w:rsid w:val="00961BD6"/>
    <w:rsid w:val="00962C8C"/>
    <w:rsid w:val="00964989"/>
    <w:rsid w:val="009666CC"/>
    <w:rsid w:val="009720A6"/>
    <w:rsid w:val="00974033"/>
    <w:rsid w:val="009769AF"/>
    <w:rsid w:val="009772B2"/>
    <w:rsid w:val="009840ED"/>
    <w:rsid w:val="009855E8"/>
    <w:rsid w:val="00985EA9"/>
    <w:rsid w:val="00986E66"/>
    <w:rsid w:val="009874D1"/>
    <w:rsid w:val="00990122"/>
    <w:rsid w:val="00990352"/>
    <w:rsid w:val="00991A44"/>
    <w:rsid w:val="00993686"/>
    <w:rsid w:val="009955F0"/>
    <w:rsid w:val="009A1A9D"/>
    <w:rsid w:val="009A2DF6"/>
    <w:rsid w:val="009A3A76"/>
    <w:rsid w:val="009A646E"/>
    <w:rsid w:val="009B047F"/>
    <w:rsid w:val="009B0E77"/>
    <w:rsid w:val="009B3DE6"/>
    <w:rsid w:val="009B49FD"/>
    <w:rsid w:val="009C162A"/>
    <w:rsid w:val="009C2433"/>
    <w:rsid w:val="009C5305"/>
    <w:rsid w:val="009C781B"/>
    <w:rsid w:val="009D35BD"/>
    <w:rsid w:val="009D50A9"/>
    <w:rsid w:val="009D50ED"/>
    <w:rsid w:val="009D5BCA"/>
    <w:rsid w:val="009D6EFA"/>
    <w:rsid w:val="009D769C"/>
    <w:rsid w:val="009E17D9"/>
    <w:rsid w:val="009E392C"/>
    <w:rsid w:val="009F0524"/>
    <w:rsid w:val="009F080E"/>
    <w:rsid w:val="009F283F"/>
    <w:rsid w:val="009F2872"/>
    <w:rsid w:val="009F3BEF"/>
    <w:rsid w:val="009F75AC"/>
    <w:rsid w:val="00A00001"/>
    <w:rsid w:val="00A01933"/>
    <w:rsid w:val="00A049B4"/>
    <w:rsid w:val="00A07503"/>
    <w:rsid w:val="00A104FA"/>
    <w:rsid w:val="00A1306C"/>
    <w:rsid w:val="00A13E4B"/>
    <w:rsid w:val="00A1548A"/>
    <w:rsid w:val="00A1706C"/>
    <w:rsid w:val="00A23138"/>
    <w:rsid w:val="00A24CA6"/>
    <w:rsid w:val="00A25B4F"/>
    <w:rsid w:val="00A26AC4"/>
    <w:rsid w:val="00A312B1"/>
    <w:rsid w:val="00A3190F"/>
    <w:rsid w:val="00A321C6"/>
    <w:rsid w:val="00A35570"/>
    <w:rsid w:val="00A35BB4"/>
    <w:rsid w:val="00A36159"/>
    <w:rsid w:val="00A4012C"/>
    <w:rsid w:val="00A415B4"/>
    <w:rsid w:val="00A419AF"/>
    <w:rsid w:val="00A43F8C"/>
    <w:rsid w:val="00A464A9"/>
    <w:rsid w:val="00A46B54"/>
    <w:rsid w:val="00A50AC4"/>
    <w:rsid w:val="00A515D1"/>
    <w:rsid w:val="00A521F3"/>
    <w:rsid w:val="00A54716"/>
    <w:rsid w:val="00A54A93"/>
    <w:rsid w:val="00A55EE3"/>
    <w:rsid w:val="00A6298C"/>
    <w:rsid w:val="00A629CE"/>
    <w:rsid w:val="00A7137C"/>
    <w:rsid w:val="00A71D97"/>
    <w:rsid w:val="00A738E0"/>
    <w:rsid w:val="00A74CD7"/>
    <w:rsid w:val="00A76D26"/>
    <w:rsid w:val="00A83E8B"/>
    <w:rsid w:val="00A83FE8"/>
    <w:rsid w:val="00A844E6"/>
    <w:rsid w:val="00A848F2"/>
    <w:rsid w:val="00A87B74"/>
    <w:rsid w:val="00A90034"/>
    <w:rsid w:val="00A9547B"/>
    <w:rsid w:val="00A97464"/>
    <w:rsid w:val="00A974A6"/>
    <w:rsid w:val="00A97E9D"/>
    <w:rsid w:val="00AA25F6"/>
    <w:rsid w:val="00AA2723"/>
    <w:rsid w:val="00AA58D0"/>
    <w:rsid w:val="00AA5FDD"/>
    <w:rsid w:val="00AA76CC"/>
    <w:rsid w:val="00AB319A"/>
    <w:rsid w:val="00AC01E0"/>
    <w:rsid w:val="00AC0C09"/>
    <w:rsid w:val="00AC2484"/>
    <w:rsid w:val="00AC3886"/>
    <w:rsid w:val="00AC45EA"/>
    <w:rsid w:val="00AC4B2D"/>
    <w:rsid w:val="00AC51A4"/>
    <w:rsid w:val="00AD0904"/>
    <w:rsid w:val="00AD0978"/>
    <w:rsid w:val="00AD19C7"/>
    <w:rsid w:val="00AD27CF"/>
    <w:rsid w:val="00AD27D2"/>
    <w:rsid w:val="00AD2BFE"/>
    <w:rsid w:val="00AD3A3B"/>
    <w:rsid w:val="00AD6F81"/>
    <w:rsid w:val="00AE06B0"/>
    <w:rsid w:val="00AE1E29"/>
    <w:rsid w:val="00AE31AF"/>
    <w:rsid w:val="00AE387C"/>
    <w:rsid w:val="00AE463C"/>
    <w:rsid w:val="00AE4BDA"/>
    <w:rsid w:val="00AE606A"/>
    <w:rsid w:val="00AF3534"/>
    <w:rsid w:val="00AF353A"/>
    <w:rsid w:val="00AF3546"/>
    <w:rsid w:val="00AF5DA0"/>
    <w:rsid w:val="00B022FF"/>
    <w:rsid w:val="00B03226"/>
    <w:rsid w:val="00B032BB"/>
    <w:rsid w:val="00B0362C"/>
    <w:rsid w:val="00B0558F"/>
    <w:rsid w:val="00B06108"/>
    <w:rsid w:val="00B072B0"/>
    <w:rsid w:val="00B10BAA"/>
    <w:rsid w:val="00B12BA2"/>
    <w:rsid w:val="00B13C8C"/>
    <w:rsid w:val="00B14991"/>
    <w:rsid w:val="00B176C9"/>
    <w:rsid w:val="00B20D8D"/>
    <w:rsid w:val="00B211A8"/>
    <w:rsid w:val="00B223F1"/>
    <w:rsid w:val="00B2452C"/>
    <w:rsid w:val="00B251C1"/>
    <w:rsid w:val="00B25677"/>
    <w:rsid w:val="00B258F4"/>
    <w:rsid w:val="00B25A1A"/>
    <w:rsid w:val="00B25F61"/>
    <w:rsid w:val="00B26B56"/>
    <w:rsid w:val="00B30979"/>
    <w:rsid w:val="00B31404"/>
    <w:rsid w:val="00B321C9"/>
    <w:rsid w:val="00B322BB"/>
    <w:rsid w:val="00B323D7"/>
    <w:rsid w:val="00B3247A"/>
    <w:rsid w:val="00B368BA"/>
    <w:rsid w:val="00B37E2F"/>
    <w:rsid w:val="00B42B36"/>
    <w:rsid w:val="00B42D6F"/>
    <w:rsid w:val="00B44FB1"/>
    <w:rsid w:val="00B45F2B"/>
    <w:rsid w:val="00B4603D"/>
    <w:rsid w:val="00B50A92"/>
    <w:rsid w:val="00B510C1"/>
    <w:rsid w:val="00B51193"/>
    <w:rsid w:val="00B51A11"/>
    <w:rsid w:val="00B5312A"/>
    <w:rsid w:val="00B54AFF"/>
    <w:rsid w:val="00B55094"/>
    <w:rsid w:val="00B55296"/>
    <w:rsid w:val="00B563E9"/>
    <w:rsid w:val="00B606AF"/>
    <w:rsid w:val="00B62968"/>
    <w:rsid w:val="00B6342B"/>
    <w:rsid w:val="00B634AE"/>
    <w:rsid w:val="00B635DA"/>
    <w:rsid w:val="00B63841"/>
    <w:rsid w:val="00B642EA"/>
    <w:rsid w:val="00B64B32"/>
    <w:rsid w:val="00B654B1"/>
    <w:rsid w:val="00B70078"/>
    <w:rsid w:val="00B7017D"/>
    <w:rsid w:val="00B70578"/>
    <w:rsid w:val="00B7095A"/>
    <w:rsid w:val="00B72D54"/>
    <w:rsid w:val="00B7512D"/>
    <w:rsid w:val="00B75529"/>
    <w:rsid w:val="00B75D24"/>
    <w:rsid w:val="00B765F7"/>
    <w:rsid w:val="00B779C8"/>
    <w:rsid w:val="00B77BE0"/>
    <w:rsid w:val="00B81928"/>
    <w:rsid w:val="00B83B0D"/>
    <w:rsid w:val="00B849EE"/>
    <w:rsid w:val="00B85DA9"/>
    <w:rsid w:val="00B87C7E"/>
    <w:rsid w:val="00B90AC9"/>
    <w:rsid w:val="00B95FFA"/>
    <w:rsid w:val="00B962A8"/>
    <w:rsid w:val="00B97DD8"/>
    <w:rsid w:val="00BA079D"/>
    <w:rsid w:val="00BA0894"/>
    <w:rsid w:val="00BA2940"/>
    <w:rsid w:val="00BA3C21"/>
    <w:rsid w:val="00BA426E"/>
    <w:rsid w:val="00BA730E"/>
    <w:rsid w:val="00BA7D44"/>
    <w:rsid w:val="00BA7EFA"/>
    <w:rsid w:val="00BB6B91"/>
    <w:rsid w:val="00BB7026"/>
    <w:rsid w:val="00BC24C7"/>
    <w:rsid w:val="00BC38AD"/>
    <w:rsid w:val="00BC3EF0"/>
    <w:rsid w:val="00BC4E2D"/>
    <w:rsid w:val="00BC4F7A"/>
    <w:rsid w:val="00BC563A"/>
    <w:rsid w:val="00BC64AB"/>
    <w:rsid w:val="00BC796D"/>
    <w:rsid w:val="00BD0D61"/>
    <w:rsid w:val="00BD347C"/>
    <w:rsid w:val="00BD49CA"/>
    <w:rsid w:val="00BD522E"/>
    <w:rsid w:val="00BD63FC"/>
    <w:rsid w:val="00BD7117"/>
    <w:rsid w:val="00BE517B"/>
    <w:rsid w:val="00BE736F"/>
    <w:rsid w:val="00BF1B2E"/>
    <w:rsid w:val="00BF3A78"/>
    <w:rsid w:val="00BF3C84"/>
    <w:rsid w:val="00BF5275"/>
    <w:rsid w:val="00BF6A8D"/>
    <w:rsid w:val="00C00DF3"/>
    <w:rsid w:val="00C029DD"/>
    <w:rsid w:val="00C031EA"/>
    <w:rsid w:val="00C03472"/>
    <w:rsid w:val="00C04497"/>
    <w:rsid w:val="00C049D2"/>
    <w:rsid w:val="00C05191"/>
    <w:rsid w:val="00C06AEB"/>
    <w:rsid w:val="00C116CA"/>
    <w:rsid w:val="00C1203B"/>
    <w:rsid w:val="00C12CF5"/>
    <w:rsid w:val="00C1528D"/>
    <w:rsid w:val="00C165C0"/>
    <w:rsid w:val="00C17946"/>
    <w:rsid w:val="00C216E9"/>
    <w:rsid w:val="00C24D66"/>
    <w:rsid w:val="00C3010F"/>
    <w:rsid w:val="00C3276D"/>
    <w:rsid w:val="00C32B09"/>
    <w:rsid w:val="00C32B2E"/>
    <w:rsid w:val="00C340D9"/>
    <w:rsid w:val="00C34C8E"/>
    <w:rsid w:val="00C356C0"/>
    <w:rsid w:val="00C40575"/>
    <w:rsid w:val="00C40FA1"/>
    <w:rsid w:val="00C44FFF"/>
    <w:rsid w:val="00C45FFD"/>
    <w:rsid w:val="00C47038"/>
    <w:rsid w:val="00C55F82"/>
    <w:rsid w:val="00C56630"/>
    <w:rsid w:val="00C62E93"/>
    <w:rsid w:val="00C6458B"/>
    <w:rsid w:val="00C6763B"/>
    <w:rsid w:val="00C7092F"/>
    <w:rsid w:val="00C757EA"/>
    <w:rsid w:val="00C75947"/>
    <w:rsid w:val="00C776EA"/>
    <w:rsid w:val="00C80024"/>
    <w:rsid w:val="00C80368"/>
    <w:rsid w:val="00C8224C"/>
    <w:rsid w:val="00C82C7D"/>
    <w:rsid w:val="00C839E1"/>
    <w:rsid w:val="00C83DC2"/>
    <w:rsid w:val="00C843EA"/>
    <w:rsid w:val="00C85714"/>
    <w:rsid w:val="00C85C97"/>
    <w:rsid w:val="00C875A2"/>
    <w:rsid w:val="00C904FA"/>
    <w:rsid w:val="00C93023"/>
    <w:rsid w:val="00C93459"/>
    <w:rsid w:val="00C93CEA"/>
    <w:rsid w:val="00C95858"/>
    <w:rsid w:val="00C968BD"/>
    <w:rsid w:val="00C96EA1"/>
    <w:rsid w:val="00CA0C6A"/>
    <w:rsid w:val="00CA3552"/>
    <w:rsid w:val="00CA4D31"/>
    <w:rsid w:val="00CA702F"/>
    <w:rsid w:val="00CA720C"/>
    <w:rsid w:val="00CB25EF"/>
    <w:rsid w:val="00CB2E23"/>
    <w:rsid w:val="00CB2F83"/>
    <w:rsid w:val="00CB3B09"/>
    <w:rsid w:val="00CB521E"/>
    <w:rsid w:val="00CC010B"/>
    <w:rsid w:val="00CC0DF8"/>
    <w:rsid w:val="00CC1192"/>
    <w:rsid w:val="00CC1F22"/>
    <w:rsid w:val="00CC1F78"/>
    <w:rsid w:val="00CC3054"/>
    <w:rsid w:val="00CC4756"/>
    <w:rsid w:val="00CC6086"/>
    <w:rsid w:val="00CC74E3"/>
    <w:rsid w:val="00CC7961"/>
    <w:rsid w:val="00CD0037"/>
    <w:rsid w:val="00CD07D5"/>
    <w:rsid w:val="00CD0AF8"/>
    <w:rsid w:val="00CD170F"/>
    <w:rsid w:val="00CD340A"/>
    <w:rsid w:val="00CD3642"/>
    <w:rsid w:val="00CD4603"/>
    <w:rsid w:val="00CD6CB9"/>
    <w:rsid w:val="00CE0E90"/>
    <w:rsid w:val="00CE2556"/>
    <w:rsid w:val="00CE2D25"/>
    <w:rsid w:val="00CE4AD7"/>
    <w:rsid w:val="00CE4C9E"/>
    <w:rsid w:val="00CE5112"/>
    <w:rsid w:val="00CE680A"/>
    <w:rsid w:val="00CF08D6"/>
    <w:rsid w:val="00CF09B0"/>
    <w:rsid w:val="00CF3AA0"/>
    <w:rsid w:val="00CF5CF3"/>
    <w:rsid w:val="00CF64EB"/>
    <w:rsid w:val="00CF7B04"/>
    <w:rsid w:val="00D017CC"/>
    <w:rsid w:val="00D02388"/>
    <w:rsid w:val="00D02B94"/>
    <w:rsid w:val="00D037EE"/>
    <w:rsid w:val="00D038FE"/>
    <w:rsid w:val="00D03E4B"/>
    <w:rsid w:val="00D055EC"/>
    <w:rsid w:val="00D059B3"/>
    <w:rsid w:val="00D06D4C"/>
    <w:rsid w:val="00D072E0"/>
    <w:rsid w:val="00D07903"/>
    <w:rsid w:val="00D12CBA"/>
    <w:rsid w:val="00D155E5"/>
    <w:rsid w:val="00D163BE"/>
    <w:rsid w:val="00D16AD6"/>
    <w:rsid w:val="00D16F8B"/>
    <w:rsid w:val="00D20C1C"/>
    <w:rsid w:val="00D22EB5"/>
    <w:rsid w:val="00D23144"/>
    <w:rsid w:val="00D244DC"/>
    <w:rsid w:val="00D246FE"/>
    <w:rsid w:val="00D24A00"/>
    <w:rsid w:val="00D24D16"/>
    <w:rsid w:val="00D261FE"/>
    <w:rsid w:val="00D26530"/>
    <w:rsid w:val="00D26B9D"/>
    <w:rsid w:val="00D30F4D"/>
    <w:rsid w:val="00D31473"/>
    <w:rsid w:val="00D35552"/>
    <w:rsid w:val="00D36C84"/>
    <w:rsid w:val="00D46EE6"/>
    <w:rsid w:val="00D5044A"/>
    <w:rsid w:val="00D512C0"/>
    <w:rsid w:val="00D5248B"/>
    <w:rsid w:val="00D544E0"/>
    <w:rsid w:val="00D569F4"/>
    <w:rsid w:val="00D61E7B"/>
    <w:rsid w:val="00D6240B"/>
    <w:rsid w:val="00D638D9"/>
    <w:rsid w:val="00D63ACC"/>
    <w:rsid w:val="00D65047"/>
    <w:rsid w:val="00D66867"/>
    <w:rsid w:val="00D7171C"/>
    <w:rsid w:val="00D7228F"/>
    <w:rsid w:val="00D7367A"/>
    <w:rsid w:val="00D74B53"/>
    <w:rsid w:val="00D74E9A"/>
    <w:rsid w:val="00D756F9"/>
    <w:rsid w:val="00D7648F"/>
    <w:rsid w:val="00D77886"/>
    <w:rsid w:val="00D779C1"/>
    <w:rsid w:val="00D77B9F"/>
    <w:rsid w:val="00D80D9F"/>
    <w:rsid w:val="00D8125E"/>
    <w:rsid w:val="00D814DD"/>
    <w:rsid w:val="00D816BC"/>
    <w:rsid w:val="00D83911"/>
    <w:rsid w:val="00D83BFB"/>
    <w:rsid w:val="00D84248"/>
    <w:rsid w:val="00D85B8E"/>
    <w:rsid w:val="00D92CFD"/>
    <w:rsid w:val="00D92D2C"/>
    <w:rsid w:val="00D93F0B"/>
    <w:rsid w:val="00D94188"/>
    <w:rsid w:val="00D9781C"/>
    <w:rsid w:val="00DA1805"/>
    <w:rsid w:val="00DA457A"/>
    <w:rsid w:val="00DA4DF1"/>
    <w:rsid w:val="00DA65A2"/>
    <w:rsid w:val="00DB201C"/>
    <w:rsid w:val="00DB5051"/>
    <w:rsid w:val="00DB5DA0"/>
    <w:rsid w:val="00DB7900"/>
    <w:rsid w:val="00DC0CF4"/>
    <w:rsid w:val="00DC1A1F"/>
    <w:rsid w:val="00DC20DC"/>
    <w:rsid w:val="00DC2145"/>
    <w:rsid w:val="00DC3847"/>
    <w:rsid w:val="00DC39DD"/>
    <w:rsid w:val="00DC3F5B"/>
    <w:rsid w:val="00DC51B1"/>
    <w:rsid w:val="00DC53C5"/>
    <w:rsid w:val="00DC5BE5"/>
    <w:rsid w:val="00DC68A2"/>
    <w:rsid w:val="00DC7579"/>
    <w:rsid w:val="00DD2020"/>
    <w:rsid w:val="00DD23E8"/>
    <w:rsid w:val="00DD36BB"/>
    <w:rsid w:val="00DD47BE"/>
    <w:rsid w:val="00DE1EB8"/>
    <w:rsid w:val="00DE2849"/>
    <w:rsid w:val="00DE30C8"/>
    <w:rsid w:val="00DE54FC"/>
    <w:rsid w:val="00DE5E66"/>
    <w:rsid w:val="00DE6DD4"/>
    <w:rsid w:val="00DE7CF2"/>
    <w:rsid w:val="00DF1607"/>
    <w:rsid w:val="00DF1794"/>
    <w:rsid w:val="00DF2EA3"/>
    <w:rsid w:val="00DF3280"/>
    <w:rsid w:val="00DF41C4"/>
    <w:rsid w:val="00DF7A01"/>
    <w:rsid w:val="00DF7EB0"/>
    <w:rsid w:val="00E015C0"/>
    <w:rsid w:val="00E02D71"/>
    <w:rsid w:val="00E03F4F"/>
    <w:rsid w:val="00E04305"/>
    <w:rsid w:val="00E04D3A"/>
    <w:rsid w:val="00E052C2"/>
    <w:rsid w:val="00E14D98"/>
    <w:rsid w:val="00E15677"/>
    <w:rsid w:val="00E17531"/>
    <w:rsid w:val="00E207FC"/>
    <w:rsid w:val="00E233F6"/>
    <w:rsid w:val="00E244E6"/>
    <w:rsid w:val="00E262F8"/>
    <w:rsid w:val="00E31326"/>
    <w:rsid w:val="00E31A2B"/>
    <w:rsid w:val="00E32708"/>
    <w:rsid w:val="00E3338B"/>
    <w:rsid w:val="00E341A5"/>
    <w:rsid w:val="00E3444B"/>
    <w:rsid w:val="00E375B8"/>
    <w:rsid w:val="00E40858"/>
    <w:rsid w:val="00E4645C"/>
    <w:rsid w:val="00E46F3E"/>
    <w:rsid w:val="00E46F5F"/>
    <w:rsid w:val="00E47E6E"/>
    <w:rsid w:val="00E47F39"/>
    <w:rsid w:val="00E52CB0"/>
    <w:rsid w:val="00E52D55"/>
    <w:rsid w:val="00E54439"/>
    <w:rsid w:val="00E55299"/>
    <w:rsid w:val="00E566A3"/>
    <w:rsid w:val="00E57E0D"/>
    <w:rsid w:val="00E63687"/>
    <w:rsid w:val="00E66559"/>
    <w:rsid w:val="00E67EB5"/>
    <w:rsid w:val="00E704E2"/>
    <w:rsid w:val="00E71F09"/>
    <w:rsid w:val="00E72B20"/>
    <w:rsid w:val="00E72C65"/>
    <w:rsid w:val="00E72D42"/>
    <w:rsid w:val="00E76930"/>
    <w:rsid w:val="00E769DC"/>
    <w:rsid w:val="00E80EF2"/>
    <w:rsid w:val="00E81DDB"/>
    <w:rsid w:val="00E82D23"/>
    <w:rsid w:val="00E82F92"/>
    <w:rsid w:val="00E83524"/>
    <w:rsid w:val="00E85FFC"/>
    <w:rsid w:val="00E8639C"/>
    <w:rsid w:val="00E864B4"/>
    <w:rsid w:val="00E91E6F"/>
    <w:rsid w:val="00E92CD8"/>
    <w:rsid w:val="00E93C53"/>
    <w:rsid w:val="00E95C29"/>
    <w:rsid w:val="00E969C5"/>
    <w:rsid w:val="00EA01BC"/>
    <w:rsid w:val="00EA3DCF"/>
    <w:rsid w:val="00EA4D67"/>
    <w:rsid w:val="00EA5418"/>
    <w:rsid w:val="00EB207D"/>
    <w:rsid w:val="00EB3622"/>
    <w:rsid w:val="00EB4758"/>
    <w:rsid w:val="00EB5814"/>
    <w:rsid w:val="00EB5FB4"/>
    <w:rsid w:val="00EB7457"/>
    <w:rsid w:val="00EC1B39"/>
    <w:rsid w:val="00EC30A5"/>
    <w:rsid w:val="00EC4AC5"/>
    <w:rsid w:val="00EC6352"/>
    <w:rsid w:val="00ED01A9"/>
    <w:rsid w:val="00ED23D0"/>
    <w:rsid w:val="00ED317E"/>
    <w:rsid w:val="00ED3F2B"/>
    <w:rsid w:val="00ED5875"/>
    <w:rsid w:val="00ED74B1"/>
    <w:rsid w:val="00EE0365"/>
    <w:rsid w:val="00EE0797"/>
    <w:rsid w:val="00EE1B3C"/>
    <w:rsid w:val="00EE1FF3"/>
    <w:rsid w:val="00EE2540"/>
    <w:rsid w:val="00EE3AB3"/>
    <w:rsid w:val="00EE5351"/>
    <w:rsid w:val="00EE5360"/>
    <w:rsid w:val="00EE6C61"/>
    <w:rsid w:val="00EE6CA8"/>
    <w:rsid w:val="00EE7E33"/>
    <w:rsid w:val="00EF4045"/>
    <w:rsid w:val="00EF4546"/>
    <w:rsid w:val="00EF45D5"/>
    <w:rsid w:val="00EF4CFF"/>
    <w:rsid w:val="00EF6483"/>
    <w:rsid w:val="00EF7352"/>
    <w:rsid w:val="00F0034E"/>
    <w:rsid w:val="00F00413"/>
    <w:rsid w:val="00F028D7"/>
    <w:rsid w:val="00F02A43"/>
    <w:rsid w:val="00F0303C"/>
    <w:rsid w:val="00F04473"/>
    <w:rsid w:val="00F1110B"/>
    <w:rsid w:val="00F11AF0"/>
    <w:rsid w:val="00F134CB"/>
    <w:rsid w:val="00F16766"/>
    <w:rsid w:val="00F22383"/>
    <w:rsid w:val="00F22CFC"/>
    <w:rsid w:val="00F23EA6"/>
    <w:rsid w:val="00F23FA8"/>
    <w:rsid w:val="00F276AB"/>
    <w:rsid w:val="00F3171A"/>
    <w:rsid w:val="00F31FFE"/>
    <w:rsid w:val="00F34D84"/>
    <w:rsid w:val="00F36280"/>
    <w:rsid w:val="00F4063F"/>
    <w:rsid w:val="00F43582"/>
    <w:rsid w:val="00F449F1"/>
    <w:rsid w:val="00F4561E"/>
    <w:rsid w:val="00F4678A"/>
    <w:rsid w:val="00F47F62"/>
    <w:rsid w:val="00F50579"/>
    <w:rsid w:val="00F51328"/>
    <w:rsid w:val="00F517E4"/>
    <w:rsid w:val="00F51F6B"/>
    <w:rsid w:val="00F52FD5"/>
    <w:rsid w:val="00F53576"/>
    <w:rsid w:val="00F53F3D"/>
    <w:rsid w:val="00F552A8"/>
    <w:rsid w:val="00F55A61"/>
    <w:rsid w:val="00F63060"/>
    <w:rsid w:val="00F6371F"/>
    <w:rsid w:val="00F65E73"/>
    <w:rsid w:val="00F6626F"/>
    <w:rsid w:val="00F67124"/>
    <w:rsid w:val="00F676EB"/>
    <w:rsid w:val="00F70C2B"/>
    <w:rsid w:val="00F741D2"/>
    <w:rsid w:val="00F765FA"/>
    <w:rsid w:val="00F768F6"/>
    <w:rsid w:val="00F77385"/>
    <w:rsid w:val="00F800E9"/>
    <w:rsid w:val="00F818A5"/>
    <w:rsid w:val="00F83622"/>
    <w:rsid w:val="00F84EDE"/>
    <w:rsid w:val="00F85282"/>
    <w:rsid w:val="00F86390"/>
    <w:rsid w:val="00F86A83"/>
    <w:rsid w:val="00F87AE7"/>
    <w:rsid w:val="00F902D0"/>
    <w:rsid w:val="00F90C1A"/>
    <w:rsid w:val="00F91D84"/>
    <w:rsid w:val="00F9386C"/>
    <w:rsid w:val="00F9489D"/>
    <w:rsid w:val="00F96899"/>
    <w:rsid w:val="00FA19C6"/>
    <w:rsid w:val="00FA1CF4"/>
    <w:rsid w:val="00FB0228"/>
    <w:rsid w:val="00FB062A"/>
    <w:rsid w:val="00FB1010"/>
    <w:rsid w:val="00FB1065"/>
    <w:rsid w:val="00FB1166"/>
    <w:rsid w:val="00FB12FE"/>
    <w:rsid w:val="00FB1973"/>
    <w:rsid w:val="00FB3C25"/>
    <w:rsid w:val="00FB5AAA"/>
    <w:rsid w:val="00FC0004"/>
    <w:rsid w:val="00FC332B"/>
    <w:rsid w:val="00FC39E1"/>
    <w:rsid w:val="00FC3A38"/>
    <w:rsid w:val="00FC738D"/>
    <w:rsid w:val="00FD3BA1"/>
    <w:rsid w:val="00FD3E32"/>
    <w:rsid w:val="00FD704C"/>
    <w:rsid w:val="00FD7130"/>
    <w:rsid w:val="00FD7427"/>
    <w:rsid w:val="00FF0C50"/>
    <w:rsid w:val="00FF45C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B7E32"/>
  <w15:docId w15:val="{57EFD631-0BF6-4F82-9F86-8975137C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F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2026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B97DD8"/>
    <w:rPr>
      <w:rFonts w:eastAsia="Times New Roman"/>
      <w:sz w:val="22"/>
      <w:szCs w:val="22"/>
      <w:lang w:val="es-ES" w:eastAsia="es-ES"/>
    </w:rPr>
  </w:style>
  <w:style w:type="paragraph" w:customStyle="1" w:styleId="Cuerpo">
    <w:name w:val="Cuerpo"/>
    <w:rsid w:val="00C049D2"/>
    <w:pPr>
      <w:pBdr>
        <w:top w:val="nil"/>
        <w:left w:val="nil"/>
        <w:bottom w:val="nil"/>
        <w:right w:val="nil"/>
        <w:between w:val="nil"/>
        <w:bar w:val="nil"/>
      </w:pBdr>
      <w:spacing w:after="200" w:line="276" w:lineRule="auto"/>
    </w:pPr>
    <w:rPr>
      <w:rFonts w:cs="Calibri"/>
      <w:color w:val="000000"/>
      <w:sz w:val="22"/>
      <w:szCs w:val="22"/>
      <w:u w:color="000000"/>
      <w:bdr w:val="nil"/>
      <w:lang w:val="pt-PT"/>
    </w:rPr>
  </w:style>
  <w:style w:type="character" w:customStyle="1" w:styleId="st">
    <w:name w:val="st"/>
    <w:basedOn w:val="Fuentedeprrafopredeter"/>
    <w:rsid w:val="00941CC6"/>
  </w:style>
  <w:style w:type="character" w:styleId="Refdecomentario">
    <w:name w:val="annotation reference"/>
    <w:basedOn w:val="Fuentedeprrafopredeter"/>
    <w:uiPriority w:val="99"/>
    <w:semiHidden/>
    <w:unhideWhenUsed/>
    <w:rsid w:val="00D814DD"/>
    <w:rPr>
      <w:sz w:val="16"/>
      <w:szCs w:val="16"/>
    </w:rPr>
  </w:style>
  <w:style w:type="paragraph" w:styleId="Textocomentario">
    <w:name w:val="annotation text"/>
    <w:basedOn w:val="Normal"/>
    <w:link w:val="TextocomentarioCar"/>
    <w:uiPriority w:val="99"/>
    <w:semiHidden/>
    <w:unhideWhenUsed/>
    <w:rsid w:val="00D814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14DD"/>
    <w:rPr>
      <w:lang w:eastAsia="en-US"/>
    </w:rPr>
  </w:style>
  <w:style w:type="paragraph" w:styleId="Asuntodelcomentario">
    <w:name w:val="annotation subject"/>
    <w:basedOn w:val="Textocomentario"/>
    <w:next w:val="Textocomentario"/>
    <w:link w:val="AsuntodelcomentarioCar"/>
    <w:uiPriority w:val="99"/>
    <w:semiHidden/>
    <w:unhideWhenUsed/>
    <w:rsid w:val="00D814DD"/>
    <w:rPr>
      <w:b/>
      <w:bCs/>
    </w:rPr>
  </w:style>
  <w:style w:type="character" w:customStyle="1" w:styleId="AsuntodelcomentarioCar">
    <w:name w:val="Asunto del comentario Car"/>
    <w:basedOn w:val="TextocomentarioCar"/>
    <w:link w:val="Asuntodelcomentario"/>
    <w:uiPriority w:val="99"/>
    <w:semiHidden/>
    <w:rsid w:val="00D814D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3743">
      <w:bodyDiv w:val="1"/>
      <w:marLeft w:val="0"/>
      <w:marRight w:val="0"/>
      <w:marTop w:val="0"/>
      <w:marBottom w:val="0"/>
      <w:divBdr>
        <w:top w:val="none" w:sz="0" w:space="0" w:color="auto"/>
        <w:left w:val="none" w:sz="0" w:space="0" w:color="auto"/>
        <w:bottom w:val="none" w:sz="0" w:space="0" w:color="auto"/>
        <w:right w:val="none" w:sz="0" w:space="0" w:color="auto"/>
      </w:divBdr>
    </w:div>
    <w:div w:id="3554794">
      <w:bodyDiv w:val="1"/>
      <w:marLeft w:val="0"/>
      <w:marRight w:val="0"/>
      <w:marTop w:val="0"/>
      <w:marBottom w:val="0"/>
      <w:divBdr>
        <w:top w:val="none" w:sz="0" w:space="0" w:color="auto"/>
        <w:left w:val="none" w:sz="0" w:space="0" w:color="auto"/>
        <w:bottom w:val="none" w:sz="0" w:space="0" w:color="auto"/>
        <w:right w:val="none" w:sz="0" w:space="0" w:color="auto"/>
      </w:divBdr>
    </w:div>
    <w:div w:id="4672651">
      <w:bodyDiv w:val="1"/>
      <w:marLeft w:val="0"/>
      <w:marRight w:val="0"/>
      <w:marTop w:val="0"/>
      <w:marBottom w:val="0"/>
      <w:divBdr>
        <w:top w:val="none" w:sz="0" w:space="0" w:color="auto"/>
        <w:left w:val="none" w:sz="0" w:space="0" w:color="auto"/>
        <w:bottom w:val="none" w:sz="0" w:space="0" w:color="auto"/>
        <w:right w:val="none" w:sz="0" w:space="0" w:color="auto"/>
      </w:divBdr>
    </w:div>
    <w:div w:id="5789634">
      <w:bodyDiv w:val="1"/>
      <w:marLeft w:val="0"/>
      <w:marRight w:val="0"/>
      <w:marTop w:val="0"/>
      <w:marBottom w:val="0"/>
      <w:divBdr>
        <w:top w:val="none" w:sz="0" w:space="0" w:color="auto"/>
        <w:left w:val="none" w:sz="0" w:space="0" w:color="auto"/>
        <w:bottom w:val="none" w:sz="0" w:space="0" w:color="auto"/>
        <w:right w:val="none" w:sz="0" w:space="0" w:color="auto"/>
      </w:divBdr>
    </w:div>
    <w:div w:id="7173845">
      <w:bodyDiv w:val="1"/>
      <w:marLeft w:val="0"/>
      <w:marRight w:val="0"/>
      <w:marTop w:val="0"/>
      <w:marBottom w:val="0"/>
      <w:divBdr>
        <w:top w:val="none" w:sz="0" w:space="0" w:color="auto"/>
        <w:left w:val="none" w:sz="0" w:space="0" w:color="auto"/>
        <w:bottom w:val="none" w:sz="0" w:space="0" w:color="auto"/>
        <w:right w:val="none" w:sz="0" w:space="0" w:color="auto"/>
      </w:divBdr>
    </w:div>
    <w:div w:id="24211226">
      <w:bodyDiv w:val="1"/>
      <w:marLeft w:val="0"/>
      <w:marRight w:val="0"/>
      <w:marTop w:val="0"/>
      <w:marBottom w:val="0"/>
      <w:divBdr>
        <w:top w:val="none" w:sz="0" w:space="0" w:color="auto"/>
        <w:left w:val="none" w:sz="0" w:space="0" w:color="auto"/>
        <w:bottom w:val="none" w:sz="0" w:space="0" w:color="auto"/>
        <w:right w:val="none" w:sz="0" w:space="0" w:color="auto"/>
      </w:divBdr>
    </w:div>
    <w:div w:id="29576135">
      <w:bodyDiv w:val="1"/>
      <w:marLeft w:val="0"/>
      <w:marRight w:val="0"/>
      <w:marTop w:val="0"/>
      <w:marBottom w:val="0"/>
      <w:divBdr>
        <w:top w:val="none" w:sz="0" w:space="0" w:color="auto"/>
        <w:left w:val="none" w:sz="0" w:space="0" w:color="auto"/>
        <w:bottom w:val="none" w:sz="0" w:space="0" w:color="auto"/>
        <w:right w:val="none" w:sz="0" w:space="0" w:color="auto"/>
      </w:divBdr>
    </w:div>
    <w:div w:id="35129983">
      <w:bodyDiv w:val="1"/>
      <w:marLeft w:val="0"/>
      <w:marRight w:val="0"/>
      <w:marTop w:val="0"/>
      <w:marBottom w:val="0"/>
      <w:divBdr>
        <w:top w:val="none" w:sz="0" w:space="0" w:color="auto"/>
        <w:left w:val="none" w:sz="0" w:space="0" w:color="auto"/>
        <w:bottom w:val="none" w:sz="0" w:space="0" w:color="auto"/>
        <w:right w:val="none" w:sz="0" w:space="0" w:color="auto"/>
      </w:divBdr>
    </w:div>
    <w:div w:id="44376243">
      <w:bodyDiv w:val="1"/>
      <w:marLeft w:val="0"/>
      <w:marRight w:val="0"/>
      <w:marTop w:val="0"/>
      <w:marBottom w:val="0"/>
      <w:divBdr>
        <w:top w:val="none" w:sz="0" w:space="0" w:color="auto"/>
        <w:left w:val="none" w:sz="0" w:space="0" w:color="auto"/>
        <w:bottom w:val="none" w:sz="0" w:space="0" w:color="auto"/>
        <w:right w:val="none" w:sz="0" w:space="0" w:color="auto"/>
      </w:divBdr>
    </w:div>
    <w:div w:id="49768984">
      <w:bodyDiv w:val="1"/>
      <w:marLeft w:val="0"/>
      <w:marRight w:val="0"/>
      <w:marTop w:val="0"/>
      <w:marBottom w:val="0"/>
      <w:divBdr>
        <w:top w:val="none" w:sz="0" w:space="0" w:color="auto"/>
        <w:left w:val="none" w:sz="0" w:space="0" w:color="auto"/>
        <w:bottom w:val="none" w:sz="0" w:space="0" w:color="auto"/>
        <w:right w:val="none" w:sz="0" w:space="0" w:color="auto"/>
      </w:divBdr>
    </w:div>
    <w:div w:id="57244214">
      <w:bodyDiv w:val="1"/>
      <w:marLeft w:val="0"/>
      <w:marRight w:val="0"/>
      <w:marTop w:val="0"/>
      <w:marBottom w:val="0"/>
      <w:divBdr>
        <w:top w:val="none" w:sz="0" w:space="0" w:color="auto"/>
        <w:left w:val="none" w:sz="0" w:space="0" w:color="auto"/>
        <w:bottom w:val="none" w:sz="0" w:space="0" w:color="auto"/>
        <w:right w:val="none" w:sz="0" w:space="0" w:color="auto"/>
      </w:divBdr>
    </w:div>
    <w:div w:id="59839398">
      <w:bodyDiv w:val="1"/>
      <w:marLeft w:val="0"/>
      <w:marRight w:val="0"/>
      <w:marTop w:val="0"/>
      <w:marBottom w:val="0"/>
      <w:divBdr>
        <w:top w:val="none" w:sz="0" w:space="0" w:color="auto"/>
        <w:left w:val="none" w:sz="0" w:space="0" w:color="auto"/>
        <w:bottom w:val="none" w:sz="0" w:space="0" w:color="auto"/>
        <w:right w:val="none" w:sz="0" w:space="0" w:color="auto"/>
      </w:divBdr>
    </w:div>
    <w:div w:id="68040421">
      <w:bodyDiv w:val="1"/>
      <w:marLeft w:val="0"/>
      <w:marRight w:val="0"/>
      <w:marTop w:val="0"/>
      <w:marBottom w:val="0"/>
      <w:divBdr>
        <w:top w:val="none" w:sz="0" w:space="0" w:color="auto"/>
        <w:left w:val="none" w:sz="0" w:space="0" w:color="auto"/>
        <w:bottom w:val="none" w:sz="0" w:space="0" w:color="auto"/>
        <w:right w:val="none" w:sz="0" w:space="0" w:color="auto"/>
      </w:divBdr>
    </w:div>
    <w:div w:id="70348059">
      <w:bodyDiv w:val="1"/>
      <w:marLeft w:val="0"/>
      <w:marRight w:val="0"/>
      <w:marTop w:val="0"/>
      <w:marBottom w:val="0"/>
      <w:divBdr>
        <w:top w:val="none" w:sz="0" w:space="0" w:color="auto"/>
        <w:left w:val="none" w:sz="0" w:space="0" w:color="auto"/>
        <w:bottom w:val="none" w:sz="0" w:space="0" w:color="auto"/>
        <w:right w:val="none" w:sz="0" w:space="0" w:color="auto"/>
      </w:divBdr>
    </w:div>
    <w:div w:id="77793872">
      <w:bodyDiv w:val="1"/>
      <w:marLeft w:val="0"/>
      <w:marRight w:val="0"/>
      <w:marTop w:val="0"/>
      <w:marBottom w:val="0"/>
      <w:divBdr>
        <w:top w:val="none" w:sz="0" w:space="0" w:color="auto"/>
        <w:left w:val="none" w:sz="0" w:space="0" w:color="auto"/>
        <w:bottom w:val="none" w:sz="0" w:space="0" w:color="auto"/>
        <w:right w:val="none" w:sz="0" w:space="0" w:color="auto"/>
      </w:divBdr>
    </w:div>
    <w:div w:id="88356744">
      <w:bodyDiv w:val="1"/>
      <w:marLeft w:val="0"/>
      <w:marRight w:val="0"/>
      <w:marTop w:val="0"/>
      <w:marBottom w:val="0"/>
      <w:divBdr>
        <w:top w:val="none" w:sz="0" w:space="0" w:color="auto"/>
        <w:left w:val="none" w:sz="0" w:space="0" w:color="auto"/>
        <w:bottom w:val="none" w:sz="0" w:space="0" w:color="auto"/>
        <w:right w:val="none" w:sz="0" w:space="0" w:color="auto"/>
      </w:divBdr>
    </w:div>
    <w:div w:id="89813588">
      <w:bodyDiv w:val="1"/>
      <w:marLeft w:val="0"/>
      <w:marRight w:val="0"/>
      <w:marTop w:val="0"/>
      <w:marBottom w:val="0"/>
      <w:divBdr>
        <w:top w:val="none" w:sz="0" w:space="0" w:color="auto"/>
        <w:left w:val="none" w:sz="0" w:space="0" w:color="auto"/>
        <w:bottom w:val="none" w:sz="0" w:space="0" w:color="auto"/>
        <w:right w:val="none" w:sz="0" w:space="0" w:color="auto"/>
      </w:divBdr>
    </w:div>
    <w:div w:id="92361414">
      <w:bodyDiv w:val="1"/>
      <w:marLeft w:val="0"/>
      <w:marRight w:val="0"/>
      <w:marTop w:val="0"/>
      <w:marBottom w:val="0"/>
      <w:divBdr>
        <w:top w:val="none" w:sz="0" w:space="0" w:color="auto"/>
        <w:left w:val="none" w:sz="0" w:space="0" w:color="auto"/>
        <w:bottom w:val="none" w:sz="0" w:space="0" w:color="auto"/>
        <w:right w:val="none" w:sz="0" w:space="0" w:color="auto"/>
      </w:divBdr>
    </w:div>
    <w:div w:id="97798957">
      <w:bodyDiv w:val="1"/>
      <w:marLeft w:val="0"/>
      <w:marRight w:val="0"/>
      <w:marTop w:val="0"/>
      <w:marBottom w:val="0"/>
      <w:divBdr>
        <w:top w:val="none" w:sz="0" w:space="0" w:color="auto"/>
        <w:left w:val="none" w:sz="0" w:space="0" w:color="auto"/>
        <w:bottom w:val="none" w:sz="0" w:space="0" w:color="auto"/>
        <w:right w:val="none" w:sz="0" w:space="0" w:color="auto"/>
      </w:divBdr>
    </w:div>
    <w:div w:id="102458600">
      <w:bodyDiv w:val="1"/>
      <w:marLeft w:val="0"/>
      <w:marRight w:val="0"/>
      <w:marTop w:val="0"/>
      <w:marBottom w:val="0"/>
      <w:divBdr>
        <w:top w:val="none" w:sz="0" w:space="0" w:color="auto"/>
        <w:left w:val="none" w:sz="0" w:space="0" w:color="auto"/>
        <w:bottom w:val="none" w:sz="0" w:space="0" w:color="auto"/>
        <w:right w:val="none" w:sz="0" w:space="0" w:color="auto"/>
      </w:divBdr>
    </w:div>
    <w:div w:id="107705350">
      <w:bodyDiv w:val="1"/>
      <w:marLeft w:val="0"/>
      <w:marRight w:val="0"/>
      <w:marTop w:val="0"/>
      <w:marBottom w:val="0"/>
      <w:divBdr>
        <w:top w:val="none" w:sz="0" w:space="0" w:color="auto"/>
        <w:left w:val="none" w:sz="0" w:space="0" w:color="auto"/>
        <w:bottom w:val="none" w:sz="0" w:space="0" w:color="auto"/>
        <w:right w:val="none" w:sz="0" w:space="0" w:color="auto"/>
      </w:divBdr>
    </w:div>
    <w:div w:id="117652515">
      <w:bodyDiv w:val="1"/>
      <w:marLeft w:val="0"/>
      <w:marRight w:val="0"/>
      <w:marTop w:val="0"/>
      <w:marBottom w:val="0"/>
      <w:divBdr>
        <w:top w:val="none" w:sz="0" w:space="0" w:color="auto"/>
        <w:left w:val="none" w:sz="0" w:space="0" w:color="auto"/>
        <w:bottom w:val="none" w:sz="0" w:space="0" w:color="auto"/>
        <w:right w:val="none" w:sz="0" w:space="0" w:color="auto"/>
      </w:divBdr>
    </w:div>
    <w:div w:id="121459764">
      <w:bodyDiv w:val="1"/>
      <w:marLeft w:val="0"/>
      <w:marRight w:val="0"/>
      <w:marTop w:val="0"/>
      <w:marBottom w:val="0"/>
      <w:divBdr>
        <w:top w:val="none" w:sz="0" w:space="0" w:color="auto"/>
        <w:left w:val="none" w:sz="0" w:space="0" w:color="auto"/>
        <w:bottom w:val="none" w:sz="0" w:space="0" w:color="auto"/>
        <w:right w:val="none" w:sz="0" w:space="0" w:color="auto"/>
      </w:divBdr>
    </w:div>
    <w:div w:id="133185281">
      <w:bodyDiv w:val="1"/>
      <w:marLeft w:val="0"/>
      <w:marRight w:val="0"/>
      <w:marTop w:val="0"/>
      <w:marBottom w:val="0"/>
      <w:divBdr>
        <w:top w:val="none" w:sz="0" w:space="0" w:color="auto"/>
        <w:left w:val="none" w:sz="0" w:space="0" w:color="auto"/>
        <w:bottom w:val="none" w:sz="0" w:space="0" w:color="auto"/>
        <w:right w:val="none" w:sz="0" w:space="0" w:color="auto"/>
      </w:divBdr>
    </w:div>
    <w:div w:id="135875059">
      <w:bodyDiv w:val="1"/>
      <w:marLeft w:val="0"/>
      <w:marRight w:val="0"/>
      <w:marTop w:val="0"/>
      <w:marBottom w:val="0"/>
      <w:divBdr>
        <w:top w:val="none" w:sz="0" w:space="0" w:color="auto"/>
        <w:left w:val="none" w:sz="0" w:space="0" w:color="auto"/>
        <w:bottom w:val="none" w:sz="0" w:space="0" w:color="auto"/>
        <w:right w:val="none" w:sz="0" w:space="0" w:color="auto"/>
      </w:divBdr>
    </w:div>
    <w:div w:id="141049189">
      <w:bodyDiv w:val="1"/>
      <w:marLeft w:val="0"/>
      <w:marRight w:val="0"/>
      <w:marTop w:val="0"/>
      <w:marBottom w:val="0"/>
      <w:divBdr>
        <w:top w:val="none" w:sz="0" w:space="0" w:color="auto"/>
        <w:left w:val="none" w:sz="0" w:space="0" w:color="auto"/>
        <w:bottom w:val="none" w:sz="0" w:space="0" w:color="auto"/>
        <w:right w:val="none" w:sz="0" w:space="0" w:color="auto"/>
      </w:divBdr>
    </w:div>
    <w:div w:id="147329117">
      <w:bodyDiv w:val="1"/>
      <w:marLeft w:val="0"/>
      <w:marRight w:val="0"/>
      <w:marTop w:val="0"/>
      <w:marBottom w:val="0"/>
      <w:divBdr>
        <w:top w:val="none" w:sz="0" w:space="0" w:color="auto"/>
        <w:left w:val="none" w:sz="0" w:space="0" w:color="auto"/>
        <w:bottom w:val="none" w:sz="0" w:space="0" w:color="auto"/>
        <w:right w:val="none" w:sz="0" w:space="0" w:color="auto"/>
      </w:divBdr>
    </w:div>
    <w:div w:id="147786986">
      <w:bodyDiv w:val="1"/>
      <w:marLeft w:val="0"/>
      <w:marRight w:val="0"/>
      <w:marTop w:val="0"/>
      <w:marBottom w:val="0"/>
      <w:divBdr>
        <w:top w:val="none" w:sz="0" w:space="0" w:color="auto"/>
        <w:left w:val="none" w:sz="0" w:space="0" w:color="auto"/>
        <w:bottom w:val="none" w:sz="0" w:space="0" w:color="auto"/>
        <w:right w:val="none" w:sz="0" w:space="0" w:color="auto"/>
      </w:divBdr>
    </w:div>
    <w:div w:id="153879192">
      <w:bodyDiv w:val="1"/>
      <w:marLeft w:val="0"/>
      <w:marRight w:val="0"/>
      <w:marTop w:val="0"/>
      <w:marBottom w:val="0"/>
      <w:divBdr>
        <w:top w:val="none" w:sz="0" w:space="0" w:color="auto"/>
        <w:left w:val="none" w:sz="0" w:space="0" w:color="auto"/>
        <w:bottom w:val="none" w:sz="0" w:space="0" w:color="auto"/>
        <w:right w:val="none" w:sz="0" w:space="0" w:color="auto"/>
      </w:divBdr>
    </w:div>
    <w:div w:id="155805537">
      <w:bodyDiv w:val="1"/>
      <w:marLeft w:val="0"/>
      <w:marRight w:val="0"/>
      <w:marTop w:val="0"/>
      <w:marBottom w:val="0"/>
      <w:divBdr>
        <w:top w:val="none" w:sz="0" w:space="0" w:color="auto"/>
        <w:left w:val="none" w:sz="0" w:space="0" w:color="auto"/>
        <w:bottom w:val="none" w:sz="0" w:space="0" w:color="auto"/>
        <w:right w:val="none" w:sz="0" w:space="0" w:color="auto"/>
      </w:divBdr>
    </w:div>
    <w:div w:id="182977796">
      <w:bodyDiv w:val="1"/>
      <w:marLeft w:val="0"/>
      <w:marRight w:val="0"/>
      <w:marTop w:val="0"/>
      <w:marBottom w:val="0"/>
      <w:divBdr>
        <w:top w:val="none" w:sz="0" w:space="0" w:color="auto"/>
        <w:left w:val="none" w:sz="0" w:space="0" w:color="auto"/>
        <w:bottom w:val="none" w:sz="0" w:space="0" w:color="auto"/>
        <w:right w:val="none" w:sz="0" w:space="0" w:color="auto"/>
      </w:divBdr>
    </w:div>
    <w:div w:id="190580360">
      <w:bodyDiv w:val="1"/>
      <w:marLeft w:val="0"/>
      <w:marRight w:val="0"/>
      <w:marTop w:val="0"/>
      <w:marBottom w:val="0"/>
      <w:divBdr>
        <w:top w:val="none" w:sz="0" w:space="0" w:color="auto"/>
        <w:left w:val="none" w:sz="0" w:space="0" w:color="auto"/>
        <w:bottom w:val="none" w:sz="0" w:space="0" w:color="auto"/>
        <w:right w:val="none" w:sz="0" w:space="0" w:color="auto"/>
      </w:divBdr>
    </w:div>
    <w:div w:id="194928189">
      <w:bodyDiv w:val="1"/>
      <w:marLeft w:val="0"/>
      <w:marRight w:val="0"/>
      <w:marTop w:val="0"/>
      <w:marBottom w:val="0"/>
      <w:divBdr>
        <w:top w:val="none" w:sz="0" w:space="0" w:color="auto"/>
        <w:left w:val="none" w:sz="0" w:space="0" w:color="auto"/>
        <w:bottom w:val="none" w:sz="0" w:space="0" w:color="auto"/>
        <w:right w:val="none" w:sz="0" w:space="0" w:color="auto"/>
      </w:divBdr>
    </w:div>
    <w:div w:id="200479829">
      <w:bodyDiv w:val="1"/>
      <w:marLeft w:val="0"/>
      <w:marRight w:val="0"/>
      <w:marTop w:val="0"/>
      <w:marBottom w:val="0"/>
      <w:divBdr>
        <w:top w:val="none" w:sz="0" w:space="0" w:color="auto"/>
        <w:left w:val="none" w:sz="0" w:space="0" w:color="auto"/>
        <w:bottom w:val="none" w:sz="0" w:space="0" w:color="auto"/>
        <w:right w:val="none" w:sz="0" w:space="0" w:color="auto"/>
      </w:divBdr>
    </w:div>
    <w:div w:id="201674362">
      <w:bodyDiv w:val="1"/>
      <w:marLeft w:val="0"/>
      <w:marRight w:val="0"/>
      <w:marTop w:val="0"/>
      <w:marBottom w:val="0"/>
      <w:divBdr>
        <w:top w:val="none" w:sz="0" w:space="0" w:color="auto"/>
        <w:left w:val="none" w:sz="0" w:space="0" w:color="auto"/>
        <w:bottom w:val="none" w:sz="0" w:space="0" w:color="auto"/>
        <w:right w:val="none" w:sz="0" w:space="0" w:color="auto"/>
      </w:divBdr>
    </w:div>
    <w:div w:id="202057922">
      <w:bodyDiv w:val="1"/>
      <w:marLeft w:val="0"/>
      <w:marRight w:val="0"/>
      <w:marTop w:val="0"/>
      <w:marBottom w:val="0"/>
      <w:divBdr>
        <w:top w:val="none" w:sz="0" w:space="0" w:color="auto"/>
        <w:left w:val="none" w:sz="0" w:space="0" w:color="auto"/>
        <w:bottom w:val="none" w:sz="0" w:space="0" w:color="auto"/>
        <w:right w:val="none" w:sz="0" w:space="0" w:color="auto"/>
      </w:divBdr>
    </w:div>
    <w:div w:id="216405617">
      <w:bodyDiv w:val="1"/>
      <w:marLeft w:val="0"/>
      <w:marRight w:val="0"/>
      <w:marTop w:val="0"/>
      <w:marBottom w:val="0"/>
      <w:divBdr>
        <w:top w:val="none" w:sz="0" w:space="0" w:color="auto"/>
        <w:left w:val="none" w:sz="0" w:space="0" w:color="auto"/>
        <w:bottom w:val="none" w:sz="0" w:space="0" w:color="auto"/>
        <w:right w:val="none" w:sz="0" w:space="0" w:color="auto"/>
      </w:divBdr>
    </w:div>
    <w:div w:id="225533511">
      <w:bodyDiv w:val="1"/>
      <w:marLeft w:val="0"/>
      <w:marRight w:val="0"/>
      <w:marTop w:val="0"/>
      <w:marBottom w:val="0"/>
      <w:divBdr>
        <w:top w:val="none" w:sz="0" w:space="0" w:color="auto"/>
        <w:left w:val="none" w:sz="0" w:space="0" w:color="auto"/>
        <w:bottom w:val="none" w:sz="0" w:space="0" w:color="auto"/>
        <w:right w:val="none" w:sz="0" w:space="0" w:color="auto"/>
      </w:divBdr>
    </w:div>
    <w:div w:id="239485199">
      <w:bodyDiv w:val="1"/>
      <w:marLeft w:val="0"/>
      <w:marRight w:val="0"/>
      <w:marTop w:val="0"/>
      <w:marBottom w:val="0"/>
      <w:divBdr>
        <w:top w:val="none" w:sz="0" w:space="0" w:color="auto"/>
        <w:left w:val="none" w:sz="0" w:space="0" w:color="auto"/>
        <w:bottom w:val="none" w:sz="0" w:space="0" w:color="auto"/>
        <w:right w:val="none" w:sz="0" w:space="0" w:color="auto"/>
      </w:divBdr>
    </w:div>
    <w:div w:id="240721961">
      <w:bodyDiv w:val="1"/>
      <w:marLeft w:val="0"/>
      <w:marRight w:val="0"/>
      <w:marTop w:val="0"/>
      <w:marBottom w:val="0"/>
      <w:divBdr>
        <w:top w:val="none" w:sz="0" w:space="0" w:color="auto"/>
        <w:left w:val="none" w:sz="0" w:space="0" w:color="auto"/>
        <w:bottom w:val="none" w:sz="0" w:space="0" w:color="auto"/>
        <w:right w:val="none" w:sz="0" w:space="0" w:color="auto"/>
      </w:divBdr>
    </w:div>
    <w:div w:id="246883646">
      <w:bodyDiv w:val="1"/>
      <w:marLeft w:val="0"/>
      <w:marRight w:val="0"/>
      <w:marTop w:val="0"/>
      <w:marBottom w:val="0"/>
      <w:divBdr>
        <w:top w:val="none" w:sz="0" w:space="0" w:color="auto"/>
        <w:left w:val="none" w:sz="0" w:space="0" w:color="auto"/>
        <w:bottom w:val="none" w:sz="0" w:space="0" w:color="auto"/>
        <w:right w:val="none" w:sz="0" w:space="0" w:color="auto"/>
      </w:divBdr>
    </w:div>
    <w:div w:id="252589630">
      <w:bodyDiv w:val="1"/>
      <w:marLeft w:val="0"/>
      <w:marRight w:val="0"/>
      <w:marTop w:val="0"/>
      <w:marBottom w:val="0"/>
      <w:divBdr>
        <w:top w:val="none" w:sz="0" w:space="0" w:color="auto"/>
        <w:left w:val="none" w:sz="0" w:space="0" w:color="auto"/>
        <w:bottom w:val="none" w:sz="0" w:space="0" w:color="auto"/>
        <w:right w:val="none" w:sz="0" w:space="0" w:color="auto"/>
      </w:divBdr>
    </w:div>
    <w:div w:id="278492028">
      <w:bodyDiv w:val="1"/>
      <w:marLeft w:val="0"/>
      <w:marRight w:val="0"/>
      <w:marTop w:val="0"/>
      <w:marBottom w:val="0"/>
      <w:divBdr>
        <w:top w:val="none" w:sz="0" w:space="0" w:color="auto"/>
        <w:left w:val="none" w:sz="0" w:space="0" w:color="auto"/>
        <w:bottom w:val="none" w:sz="0" w:space="0" w:color="auto"/>
        <w:right w:val="none" w:sz="0" w:space="0" w:color="auto"/>
      </w:divBdr>
    </w:div>
    <w:div w:id="292561995">
      <w:bodyDiv w:val="1"/>
      <w:marLeft w:val="0"/>
      <w:marRight w:val="0"/>
      <w:marTop w:val="0"/>
      <w:marBottom w:val="0"/>
      <w:divBdr>
        <w:top w:val="none" w:sz="0" w:space="0" w:color="auto"/>
        <w:left w:val="none" w:sz="0" w:space="0" w:color="auto"/>
        <w:bottom w:val="none" w:sz="0" w:space="0" w:color="auto"/>
        <w:right w:val="none" w:sz="0" w:space="0" w:color="auto"/>
      </w:divBdr>
    </w:div>
    <w:div w:id="296497247">
      <w:bodyDiv w:val="1"/>
      <w:marLeft w:val="0"/>
      <w:marRight w:val="0"/>
      <w:marTop w:val="0"/>
      <w:marBottom w:val="0"/>
      <w:divBdr>
        <w:top w:val="none" w:sz="0" w:space="0" w:color="auto"/>
        <w:left w:val="none" w:sz="0" w:space="0" w:color="auto"/>
        <w:bottom w:val="none" w:sz="0" w:space="0" w:color="auto"/>
        <w:right w:val="none" w:sz="0" w:space="0" w:color="auto"/>
      </w:divBdr>
    </w:div>
    <w:div w:id="302930024">
      <w:bodyDiv w:val="1"/>
      <w:marLeft w:val="0"/>
      <w:marRight w:val="0"/>
      <w:marTop w:val="0"/>
      <w:marBottom w:val="0"/>
      <w:divBdr>
        <w:top w:val="none" w:sz="0" w:space="0" w:color="auto"/>
        <w:left w:val="none" w:sz="0" w:space="0" w:color="auto"/>
        <w:bottom w:val="none" w:sz="0" w:space="0" w:color="auto"/>
        <w:right w:val="none" w:sz="0" w:space="0" w:color="auto"/>
      </w:divBdr>
    </w:div>
    <w:div w:id="313803003">
      <w:bodyDiv w:val="1"/>
      <w:marLeft w:val="0"/>
      <w:marRight w:val="0"/>
      <w:marTop w:val="0"/>
      <w:marBottom w:val="0"/>
      <w:divBdr>
        <w:top w:val="none" w:sz="0" w:space="0" w:color="auto"/>
        <w:left w:val="none" w:sz="0" w:space="0" w:color="auto"/>
        <w:bottom w:val="none" w:sz="0" w:space="0" w:color="auto"/>
        <w:right w:val="none" w:sz="0" w:space="0" w:color="auto"/>
      </w:divBdr>
    </w:div>
    <w:div w:id="324165903">
      <w:bodyDiv w:val="1"/>
      <w:marLeft w:val="0"/>
      <w:marRight w:val="0"/>
      <w:marTop w:val="0"/>
      <w:marBottom w:val="0"/>
      <w:divBdr>
        <w:top w:val="none" w:sz="0" w:space="0" w:color="auto"/>
        <w:left w:val="none" w:sz="0" w:space="0" w:color="auto"/>
        <w:bottom w:val="none" w:sz="0" w:space="0" w:color="auto"/>
        <w:right w:val="none" w:sz="0" w:space="0" w:color="auto"/>
      </w:divBdr>
    </w:div>
    <w:div w:id="355694674">
      <w:bodyDiv w:val="1"/>
      <w:marLeft w:val="0"/>
      <w:marRight w:val="0"/>
      <w:marTop w:val="0"/>
      <w:marBottom w:val="0"/>
      <w:divBdr>
        <w:top w:val="none" w:sz="0" w:space="0" w:color="auto"/>
        <w:left w:val="none" w:sz="0" w:space="0" w:color="auto"/>
        <w:bottom w:val="none" w:sz="0" w:space="0" w:color="auto"/>
        <w:right w:val="none" w:sz="0" w:space="0" w:color="auto"/>
      </w:divBdr>
    </w:div>
    <w:div w:id="361516230">
      <w:bodyDiv w:val="1"/>
      <w:marLeft w:val="0"/>
      <w:marRight w:val="0"/>
      <w:marTop w:val="0"/>
      <w:marBottom w:val="0"/>
      <w:divBdr>
        <w:top w:val="none" w:sz="0" w:space="0" w:color="auto"/>
        <w:left w:val="none" w:sz="0" w:space="0" w:color="auto"/>
        <w:bottom w:val="none" w:sz="0" w:space="0" w:color="auto"/>
        <w:right w:val="none" w:sz="0" w:space="0" w:color="auto"/>
      </w:divBdr>
    </w:div>
    <w:div w:id="362831143">
      <w:bodyDiv w:val="1"/>
      <w:marLeft w:val="0"/>
      <w:marRight w:val="0"/>
      <w:marTop w:val="0"/>
      <w:marBottom w:val="0"/>
      <w:divBdr>
        <w:top w:val="none" w:sz="0" w:space="0" w:color="auto"/>
        <w:left w:val="none" w:sz="0" w:space="0" w:color="auto"/>
        <w:bottom w:val="none" w:sz="0" w:space="0" w:color="auto"/>
        <w:right w:val="none" w:sz="0" w:space="0" w:color="auto"/>
      </w:divBdr>
    </w:div>
    <w:div w:id="377316961">
      <w:bodyDiv w:val="1"/>
      <w:marLeft w:val="0"/>
      <w:marRight w:val="0"/>
      <w:marTop w:val="0"/>
      <w:marBottom w:val="0"/>
      <w:divBdr>
        <w:top w:val="none" w:sz="0" w:space="0" w:color="auto"/>
        <w:left w:val="none" w:sz="0" w:space="0" w:color="auto"/>
        <w:bottom w:val="none" w:sz="0" w:space="0" w:color="auto"/>
        <w:right w:val="none" w:sz="0" w:space="0" w:color="auto"/>
      </w:divBdr>
    </w:div>
    <w:div w:id="442307984">
      <w:bodyDiv w:val="1"/>
      <w:marLeft w:val="0"/>
      <w:marRight w:val="0"/>
      <w:marTop w:val="0"/>
      <w:marBottom w:val="0"/>
      <w:divBdr>
        <w:top w:val="none" w:sz="0" w:space="0" w:color="auto"/>
        <w:left w:val="none" w:sz="0" w:space="0" w:color="auto"/>
        <w:bottom w:val="none" w:sz="0" w:space="0" w:color="auto"/>
        <w:right w:val="none" w:sz="0" w:space="0" w:color="auto"/>
      </w:divBdr>
    </w:div>
    <w:div w:id="443307251">
      <w:bodyDiv w:val="1"/>
      <w:marLeft w:val="0"/>
      <w:marRight w:val="0"/>
      <w:marTop w:val="0"/>
      <w:marBottom w:val="0"/>
      <w:divBdr>
        <w:top w:val="none" w:sz="0" w:space="0" w:color="auto"/>
        <w:left w:val="none" w:sz="0" w:space="0" w:color="auto"/>
        <w:bottom w:val="none" w:sz="0" w:space="0" w:color="auto"/>
        <w:right w:val="none" w:sz="0" w:space="0" w:color="auto"/>
      </w:divBdr>
    </w:div>
    <w:div w:id="449205494">
      <w:bodyDiv w:val="1"/>
      <w:marLeft w:val="0"/>
      <w:marRight w:val="0"/>
      <w:marTop w:val="0"/>
      <w:marBottom w:val="0"/>
      <w:divBdr>
        <w:top w:val="none" w:sz="0" w:space="0" w:color="auto"/>
        <w:left w:val="none" w:sz="0" w:space="0" w:color="auto"/>
        <w:bottom w:val="none" w:sz="0" w:space="0" w:color="auto"/>
        <w:right w:val="none" w:sz="0" w:space="0" w:color="auto"/>
      </w:divBdr>
    </w:div>
    <w:div w:id="458766093">
      <w:bodyDiv w:val="1"/>
      <w:marLeft w:val="0"/>
      <w:marRight w:val="0"/>
      <w:marTop w:val="0"/>
      <w:marBottom w:val="0"/>
      <w:divBdr>
        <w:top w:val="none" w:sz="0" w:space="0" w:color="auto"/>
        <w:left w:val="none" w:sz="0" w:space="0" w:color="auto"/>
        <w:bottom w:val="none" w:sz="0" w:space="0" w:color="auto"/>
        <w:right w:val="none" w:sz="0" w:space="0" w:color="auto"/>
      </w:divBdr>
    </w:div>
    <w:div w:id="466121517">
      <w:bodyDiv w:val="1"/>
      <w:marLeft w:val="0"/>
      <w:marRight w:val="0"/>
      <w:marTop w:val="0"/>
      <w:marBottom w:val="0"/>
      <w:divBdr>
        <w:top w:val="none" w:sz="0" w:space="0" w:color="auto"/>
        <w:left w:val="none" w:sz="0" w:space="0" w:color="auto"/>
        <w:bottom w:val="none" w:sz="0" w:space="0" w:color="auto"/>
        <w:right w:val="none" w:sz="0" w:space="0" w:color="auto"/>
      </w:divBdr>
    </w:div>
    <w:div w:id="495994560">
      <w:bodyDiv w:val="1"/>
      <w:marLeft w:val="0"/>
      <w:marRight w:val="0"/>
      <w:marTop w:val="0"/>
      <w:marBottom w:val="0"/>
      <w:divBdr>
        <w:top w:val="none" w:sz="0" w:space="0" w:color="auto"/>
        <w:left w:val="none" w:sz="0" w:space="0" w:color="auto"/>
        <w:bottom w:val="none" w:sz="0" w:space="0" w:color="auto"/>
        <w:right w:val="none" w:sz="0" w:space="0" w:color="auto"/>
      </w:divBdr>
    </w:div>
    <w:div w:id="499588500">
      <w:bodyDiv w:val="1"/>
      <w:marLeft w:val="0"/>
      <w:marRight w:val="0"/>
      <w:marTop w:val="0"/>
      <w:marBottom w:val="0"/>
      <w:divBdr>
        <w:top w:val="none" w:sz="0" w:space="0" w:color="auto"/>
        <w:left w:val="none" w:sz="0" w:space="0" w:color="auto"/>
        <w:bottom w:val="none" w:sz="0" w:space="0" w:color="auto"/>
        <w:right w:val="none" w:sz="0" w:space="0" w:color="auto"/>
      </w:divBdr>
    </w:div>
    <w:div w:id="506018666">
      <w:bodyDiv w:val="1"/>
      <w:marLeft w:val="0"/>
      <w:marRight w:val="0"/>
      <w:marTop w:val="0"/>
      <w:marBottom w:val="0"/>
      <w:divBdr>
        <w:top w:val="none" w:sz="0" w:space="0" w:color="auto"/>
        <w:left w:val="none" w:sz="0" w:space="0" w:color="auto"/>
        <w:bottom w:val="none" w:sz="0" w:space="0" w:color="auto"/>
        <w:right w:val="none" w:sz="0" w:space="0" w:color="auto"/>
      </w:divBdr>
    </w:div>
    <w:div w:id="509760249">
      <w:bodyDiv w:val="1"/>
      <w:marLeft w:val="0"/>
      <w:marRight w:val="0"/>
      <w:marTop w:val="0"/>
      <w:marBottom w:val="0"/>
      <w:divBdr>
        <w:top w:val="none" w:sz="0" w:space="0" w:color="auto"/>
        <w:left w:val="none" w:sz="0" w:space="0" w:color="auto"/>
        <w:bottom w:val="none" w:sz="0" w:space="0" w:color="auto"/>
        <w:right w:val="none" w:sz="0" w:space="0" w:color="auto"/>
      </w:divBdr>
    </w:div>
    <w:div w:id="527983864">
      <w:bodyDiv w:val="1"/>
      <w:marLeft w:val="0"/>
      <w:marRight w:val="0"/>
      <w:marTop w:val="0"/>
      <w:marBottom w:val="0"/>
      <w:divBdr>
        <w:top w:val="none" w:sz="0" w:space="0" w:color="auto"/>
        <w:left w:val="none" w:sz="0" w:space="0" w:color="auto"/>
        <w:bottom w:val="none" w:sz="0" w:space="0" w:color="auto"/>
        <w:right w:val="none" w:sz="0" w:space="0" w:color="auto"/>
      </w:divBdr>
    </w:div>
    <w:div w:id="535001519">
      <w:bodyDiv w:val="1"/>
      <w:marLeft w:val="0"/>
      <w:marRight w:val="0"/>
      <w:marTop w:val="0"/>
      <w:marBottom w:val="0"/>
      <w:divBdr>
        <w:top w:val="none" w:sz="0" w:space="0" w:color="auto"/>
        <w:left w:val="none" w:sz="0" w:space="0" w:color="auto"/>
        <w:bottom w:val="none" w:sz="0" w:space="0" w:color="auto"/>
        <w:right w:val="none" w:sz="0" w:space="0" w:color="auto"/>
      </w:divBdr>
    </w:div>
    <w:div w:id="550457497">
      <w:bodyDiv w:val="1"/>
      <w:marLeft w:val="0"/>
      <w:marRight w:val="0"/>
      <w:marTop w:val="0"/>
      <w:marBottom w:val="0"/>
      <w:divBdr>
        <w:top w:val="none" w:sz="0" w:space="0" w:color="auto"/>
        <w:left w:val="none" w:sz="0" w:space="0" w:color="auto"/>
        <w:bottom w:val="none" w:sz="0" w:space="0" w:color="auto"/>
        <w:right w:val="none" w:sz="0" w:space="0" w:color="auto"/>
      </w:divBdr>
    </w:div>
    <w:div w:id="583421546">
      <w:bodyDiv w:val="1"/>
      <w:marLeft w:val="0"/>
      <w:marRight w:val="0"/>
      <w:marTop w:val="0"/>
      <w:marBottom w:val="0"/>
      <w:divBdr>
        <w:top w:val="none" w:sz="0" w:space="0" w:color="auto"/>
        <w:left w:val="none" w:sz="0" w:space="0" w:color="auto"/>
        <w:bottom w:val="none" w:sz="0" w:space="0" w:color="auto"/>
        <w:right w:val="none" w:sz="0" w:space="0" w:color="auto"/>
      </w:divBdr>
    </w:div>
    <w:div w:id="611284246">
      <w:bodyDiv w:val="1"/>
      <w:marLeft w:val="0"/>
      <w:marRight w:val="0"/>
      <w:marTop w:val="0"/>
      <w:marBottom w:val="0"/>
      <w:divBdr>
        <w:top w:val="none" w:sz="0" w:space="0" w:color="auto"/>
        <w:left w:val="none" w:sz="0" w:space="0" w:color="auto"/>
        <w:bottom w:val="none" w:sz="0" w:space="0" w:color="auto"/>
        <w:right w:val="none" w:sz="0" w:space="0" w:color="auto"/>
      </w:divBdr>
    </w:div>
    <w:div w:id="615404038">
      <w:bodyDiv w:val="1"/>
      <w:marLeft w:val="0"/>
      <w:marRight w:val="0"/>
      <w:marTop w:val="0"/>
      <w:marBottom w:val="0"/>
      <w:divBdr>
        <w:top w:val="none" w:sz="0" w:space="0" w:color="auto"/>
        <w:left w:val="none" w:sz="0" w:space="0" w:color="auto"/>
        <w:bottom w:val="none" w:sz="0" w:space="0" w:color="auto"/>
        <w:right w:val="none" w:sz="0" w:space="0" w:color="auto"/>
      </w:divBdr>
    </w:div>
    <w:div w:id="623653756">
      <w:bodyDiv w:val="1"/>
      <w:marLeft w:val="0"/>
      <w:marRight w:val="0"/>
      <w:marTop w:val="0"/>
      <w:marBottom w:val="0"/>
      <w:divBdr>
        <w:top w:val="none" w:sz="0" w:space="0" w:color="auto"/>
        <w:left w:val="none" w:sz="0" w:space="0" w:color="auto"/>
        <w:bottom w:val="none" w:sz="0" w:space="0" w:color="auto"/>
        <w:right w:val="none" w:sz="0" w:space="0" w:color="auto"/>
      </w:divBdr>
    </w:div>
    <w:div w:id="630987084">
      <w:bodyDiv w:val="1"/>
      <w:marLeft w:val="0"/>
      <w:marRight w:val="0"/>
      <w:marTop w:val="0"/>
      <w:marBottom w:val="0"/>
      <w:divBdr>
        <w:top w:val="none" w:sz="0" w:space="0" w:color="auto"/>
        <w:left w:val="none" w:sz="0" w:space="0" w:color="auto"/>
        <w:bottom w:val="none" w:sz="0" w:space="0" w:color="auto"/>
        <w:right w:val="none" w:sz="0" w:space="0" w:color="auto"/>
      </w:divBdr>
    </w:div>
    <w:div w:id="632059567">
      <w:bodyDiv w:val="1"/>
      <w:marLeft w:val="0"/>
      <w:marRight w:val="0"/>
      <w:marTop w:val="0"/>
      <w:marBottom w:val="0"/>
      <w:divBdr>
        <w:top w:val="none" w:sz="0" w:space="0" w:color="auto"/>
        <w:left w:val="none" w:sz="0" w:space="0" w:color="auto"/>
        <w:bottom w:val="none" w:sz="0" w:space="0" w:color="auto"/>
        <w:right w:val="none" w:sz="0" w:space="0" w:color="auto"/>
      </w:divBdr>
    </w:div>
    <w:div w:id="637612836">
      <w:bodyDiv w:val="1"/>
      <w:marLeft w:val="0"/>
      <w:marRight w:val="0"/>
      <w:marTop w:val="0"/>
      <w:marBottom w:val="0"/>
      <w:divBdr>
        <w:top w:val="none" w:sz="0" w:space="0" w:color="auto"/>
        <w:left w:val="none" w:sz="0" w:space="0" w:color="auto"/>
        <w:bottom w:val="none" w:sz="0" w:space="0" w:color="auto"/>
        <w:right w:val="none" w:sz="0" w:space="0" w:color="auto"/>
      </w:divBdr>
    </w:div>
    <w:div w:id="651563859">
      <w:bodyDiv w:val="1"/>
      <w:marLeft w:val="0"/>
      <w:marRight w:val="0"/>
      <w:marTop w:val="0"/>
      <w:marBottom w:val="0"/>
      <w:divBdr>
        <w:top w:val="none" w:sz="0" w:space="0" w:color="auto"/>
        <w:left w:val="none" w:sz="0" w:space="0" w:color="auto"/>
        <w:bottom w:val="none" w:sz="0" w:space="0" w:color="auto"/>
        <w:right w:val="none" w:sz="0" w:space="0" w:color="auto"/>
      </w:divBdr>
    </w:div>
    <w:div w:id="653489351">
      <w:bodyDiv w:val="1"/>
      <w:marLeft w:val="0"/>
      <w:marRight w:val="0"/>
      <w:marTop w:val="0"/>
      <w:marBottom w:val="0"/>
      <w:divBdr>
        <w:top w:val="none" w:sz="0" w:space="0" w:color="auto"/>
        <w:left w:val="none" w:sz="0" w:space="0" w:color="auto"/>
        <w:bottom w:val="none" w:sz="0" w:space="0" w:color="auto"/>
        <w:right w:val="none" w:sz="0" w:space="0" w:color="auto"/>
      </w:divBdr>
    </w:div>
    <w:div w:id="657731720">
      <w:bodyDiv w:val="1"/>
      <w:marLeft w:val="0"/>
      <w:marRight w:val="0"/>
      <w:marTop w:val="0"/>
      <w:marBottom w:val="0"/>
      <w:divBdr>
        <w:top w:val="none" w:sz="0" w:space="0" w:color="auto"/>
        <w:left w:val="none" w:sz="0" w:space="0" w:color="auto"/>
        <w:bottom w:val="none" w:sz="0" w:space="0" w:color="auto"/>
        <w:right w:val="none" w:sz="0" w:space="0" w:color="auto"/>
      </w:divBdr>
    </w:div>
    <w:div w:id="660932378">
      <w:bodyDiv w:val="1"/>
      <w:marLeft w:val="0"/>
      <w:marRight w:val="0"/>
      <w:marTop w:val="0"/>
      <w:marBottom w:val="0"/>
      <w:divBdr>
        <w:top w:val="none" w:sz="0" w:space="0" w:color="auto"/>
        <w:left w:val="none" w:sz="0" w:space="0" w:color="auto"/>
        <w:bottom w:val="none" w:sz="0" w:space="0" w:color="auto"/>
        <w:right w:val="none" w:sz="0" w:space="0" w:color="auto"/>
      </w:divBdr>
    </w:div>
    <w:div w:id="674571861">
      <w:bodyDiv w:val="1"/>
      <w:marLeft w:val="0"/>
      <w:marRight w:val="0"/>
      <w:marTop w:val="0"/>
      <w:marBottom w:val="0"/>
      <w:divBdr>
        <w:top w:val="none" w:sz="0" w:space="0" w:color="auto"/>
        <w:left w:val="none" w:sz="0" w:space="0" w:color="auto"/>
        <w:bottom w:val="none" w:sz="0" w:space="0" w:color="auto"/>
        <w:right w:val="none" w:sz="0" w:space="0" w:color="auto"/>
      </w:divBdr>
    </w:div>
    <w:div w:id="680280506">
      <w:bodyDiv w:val="1"/>
      <w:marLeft w:val="0"/>
      <w:marRight w:val="0"/>
      <w:marTop w:val="0"/>
      <w:marBottom w:val="0"/>
      <w:divBdr>
        <w:top w:val="none" w:sz="0" w:space="0" w:color="auto"/>
        <w:left w:val="none" w:sz="0" w:space="0" w:color="auto"/>
        <w:bottom w:val="none" w:sz="0" w:space="0" w:color="auto"/>
        <w:right w:val="none" w:sz="0" w:space="0" w:color="auto"/>
      </w:divBdr>
    </w:div>
    <w:div w:id="690569566">
      <w:bodyDiv w:val="1"/>
      <w:marLeft w:val="0"/>
      <w:marRight w:val="0"/>
      <w:marTop w:val="0"/>
      <w:marBottom w:val="0"/>
      <w:divBdr>
        <w:top w:val="none" w:sz="0" w:space="0" w:color="auto"/>
        <w:left w:val="none" w:sz="0" w:space="0" w:color="auto"/>
        <w:bottom w:val="none" w:sz="0" w:space="0" w:color="auto"/>
        <w:right w:val="none" w:sz="0" w:space="0" w:color="auto"/>
      </w:divBdr>
    </w:div>
    <w:div w:id="692462193">
      <w:bodyDiv w:val="1"/>
      <w:marLeft w:val="0"/>
      <w:marRight w:val="0"/>
      <w:marTop w:val="0"/>
      <w:marBottom w:val="0"/>
      <w:divBdr>
        <w:top w:val="none" w:sz="0" w:space="0" w:color="auto"/>
        <w:left w:val="none" w:sz="0" w:space="0" w:color="auto"/>
        <w:bottom w:val="none" w:sz="0" w:space="0" w:color="auto"/>
        <w:right w:val="none" w:sz="0" w:space="0" w:color="auto"/>
      </w:divBdr>
    </w:div>
    <w:div w:id="694422442">
      <w:bodyDiv w:val="1"/>
      <w:marLeft w:val="0"/>
      <w:marRight w:val="0"/>
      <w:marTop w:val="0"/>
      <w:marBottom w:val="0"/>
      <w:divBdr>
        <w:top w:val="none" w:sz="0" w:space="0" w:color="auto"/>
        <w:left w:val="none" w:sz="0" w:space="0" w:color="auto"/>
        <w:bottom w:val="none" w:sz="0" w:space="0" w:color="auto"/>
        <w:right w:val="none" w:sz="0" w:space="0" w:color="auto"/>
      </w:divBdr>
    </w:div>
    <w:div w:id="725684580">
      <w:bodyDiv w:val="1"/>
      <w:marLeft w:val="0"/>
      <w:marRight w:val="0"/>
      <w:marTop w:val="0"/>
      <w:marBottom w:val="0"/>
      <w:divBdr>
        <w:top w:val="none" w:sz="0" w:space="0" w:color="auto"/>
        <w:left w:val="none" w:sz="0" w:space="0" w:color="auto"/>
        <w:bottom w:val="none" w:sz="0" w:space="0" w:color="auto"/>
        <w:right w:val="none" w:sz="0" w:space="0" w:color="auto"/>
      </w:divBdr>
    </w:div>
    <w:div w:id="726488568">
      <w:bodyDiv w:val="1"/>
      <w:marLeft w:val="0"/>
      <w:marRight w:val="0"/>
      <w:marTop w:val="0"/>
      <w:marBottom w:val="0"/>
      <w:divBdr>
        <w:top w:val="none" w:sz="0" w:space="0" w:color="auto"/>
        <w:left w:val="none" w:sz="0" w:space="0" w:color="auto"/>
        <w:bottom w:val="none" w:sz="0" w:space="0" w:color="auto"/>
        <w:right w:val="none" w:sz="0" w:space="0" w:color="auto"/>
      </w:divBdr>
    </w:div>
    <w:div w:id="743070570">
      <w:bodyDiv w:val="1"/>
      <w:marLeft w:val="0"/>
      <w:marRight w:val="0"/>
      <w:marTop w:val="0"/>
      <w:marBottom w:val="0"/>
      <w:divBdr>
        <w:top w:val="none" w:sz="0" w:space="0" w:color="auto"/>
        <w:left w:val="none" w:sz="0" w:space="0" w:color="auto"/>
        <w:bottom w:val="none" w:sz="0" w:space="0" w:color="auto"/>
        <w:right w:val="none" w:sz="0" w:space="0" w:color="auto"/>
      </w:divBdr>
    </w:div>
    <w:div w:id="748818478">
      <w:bodyDiv w:val="1"/>
      <w:marLeft w:val="0"/>
      <w:marRight w:val="0"/>
      <w:marTop w:val="0"/>
      <w:marBottom w:val="0"/>
      <w:divBdr>
        <w:top w:val="none" w:sz="0" w:space="0" w:color="auto"/>
        <w:left w:val="none" w:sz="0" w:space="0" w:color="auto"/>
        <w:bottom w:val="none" w:sz="0" w:space="0" w:color="auto"/>
        <w:right w:val="none" w:sz="0" w:space="0" w:color="auto"/>
      </w:divBdr>
    </w:div>
    <w:div w:id="750812947">
      <w:bodyDiv w:val="1"/>
      <w:marLeft w:val="0"/>
      <w:marRight w:val="0"/>
      <w:marTop w:val="0"/>
      <w:marBottom w:val="0"/>
      <w:divBdr>
        <w:top w:val="none" w:sz="0" w:space="0" w:color="auto"/>
        <w:left w:val="none" w:sz="0" w:space="0" w:color="auto"/>
        <w:bottom w:val="none" w:sz="0" w:space="0" w:color="auto"/>
        <w:right w:val="none" w:sz="0" w:space="0" w:color="auto"/>
      </w:divBdr>
    </w:div>
    <w:div w:id="774133048">
      <w:bodyDiv w:val="1"/>
      <w:marLeft w:val="0"/>
      <w:marRight w:val="0"/>
      <w:marTop w:val="0"/>
      <w:marBottom w:val="0"/>
      <w:divBdr>
        <w:top w:val="none" w:sz="0" w:space="0" w:color="auto"/>
        <w:left w:val="none" w:sz="0" w:space="0" w:color="auto"/>
        <w:bottom w:val="none" w:sz="0" w:space="0" w:color="auto"/>
        <w:right w:val="none" w:sz="0" w:space="0" w:color="auto"/>
      </w:divBdr>
    </w:div>
    <w:div w:id="775447513">
      <w:bodyDiv w:val="1"/>
      <w:marLeft w:val="0"/>
      <w:marRight w:val="0"/>
      <w:marTop w:val="0"/>
      <w:marBottom w:val="0"/>
      <w:divBdr>
        <w:top w:val="none" w:sz="0" w:space="0" w:color="auto"/>
        <w:left w:val="none" w:sz="0" w:space="0" w:color="auto"/>
        <w:bottom w:val="none" w:sz="0" w:space="0" w:color="auto"/>
        <w:right w:val="none" w:sz="0" w:space="0" w:color="auto"/>
      </w:divBdr>
    </w:div>
    <w:div w:id="807473703">
      <w:bodyDiv w:val="1"/>
      <w:marLeft w:val="0"/>
      <w:marRight w:val="0"/>
      <w:marTop w:val="0"/>
      <w:marBottom w:val="0"/>
      <w:divBdr>
        <w:top w:val="none" w:sz="0" w:space="0" w:color="auto"/>
        <w:left w:val="none" w:sz="0" w:space="0" w:color="auto"/>
        <w:bottom w:val="none" w:sz="0" w:space="0" w:color="auto"/>
        <w:right w:val="none" w:sz="0" w:space="0" w:color="auto"/>
      </w:divBdr>
    </w:div>
    <w:div w:id="816799400">
      <w:bodyDiv w:val="1"/>
      <w:marLeft w:val="0"/>
      <w:marRight w:val="0"/>
      <w:marTop w:val="0"/>
      <w:marBottom w:val="0"/>
      <w:divBdr>
        <w:top w:val="none" w:sz="0" w:space="0" w:color="auto"/>
        <w:left w:val="none" w:sz="0" w:space="0" w:color="auto"/>
        <w:bottom w:val="none" w:sz="0" w:space="0" w:color="auto"/>
        <w:right w:val="none" w:sz="0" w:space="0" w:color="auto"/>
      </w:divBdr>
    </w:div>
    <w:div w:id="820538333">
      <w:bodyDiv w:val="1"/>
      <w:marLeft w:val="0"/>
      <w:marRight w:val="0"/>
      <w:marTop w:val="0"/>
      <w:marBottom w:val="0"/>
      <w:divBdr>
        <w:top w:val="none" w:sz="0" w:space="0" w:color="auto"/>
        <w:left w:val="none" w:sz="0" w:space="0" w:color="auto"/>
        <w:bottom w:val="none" w:sz="0" w:space="0" w:color="auto"/>
        <w:right w:val="none" w:sz="0" w:space="0" w:color="auto"/>
      </w:divBdr>
    </w:div>
    <w:div w:id="823396502">
      <w:bodyDiv w:val="1"/>
      <w:marLeft w:val="0"/>
      <w:marRight w:val="0"/>
      <w:marTop w:val="0"/>
      <w:marBottom w:val="0"/>
      <w:divBdr>
        <w:top w:val="none" w:sz="0" w:space="0" w:color="auto"/>
        <w:left w:val="none" w:sz="0" w:space="0" w:color="auto"/>
        <w:bottom w:val="none" w:sz="0" w:space="0" w:color="auto"/>
        <w:right w:val="none" w:sz="0" w:space="0" w:color="auto"/>
      </w:divBdr>
    </w:div>
    <w:div w:id="842281977">
      <w:bodyDiv w:val="1"/>
      <w:marLeft w:val="0"/>
      <w:marRight w:val="0"/>
      <w:marTop w:val="0"/>
      <w:marBottom w:val="0"/>
      <w:divBdr>
        <w:top w:val="none" w:sz="0" w:space="0" w:color="auto"/>
        <w:left w:val="none" w:sz="0" w:space="0" w:color="auto"/>
        <w:bottom w:val="none" w:sz="0" w:space="0" w:color="auto"/>
        <w:right w:val="none" w:sz="0" w:space="0" w:color="auto"/>
      </w:divBdr>
    </w:div>
    <w:div w:id="842554357">
      <w:bodyDiv w:val="1"/>
      <w:marLeft w:val="0"/>
      <w:marRight w:val="0"/>
      <w:marTop w:val="0"/>
      <w:marBottom w:val="0"/>
      <w:divBdr>
        <w:top w:val="none" w:sz="0" w:space="0" w:color="auto"/>
        <w:left w:val="none" w:sz="0" w:space="0" w:color="auto"/>
        <w:bottom w:val="none" w:sz="0" w:space="0" w:color="auto"/>
        <w:right w:val="none" w:sz="0" w:space="0" w:color="auto"/>
      </w:divBdr>
    </w:div>
    <w:div w:id="846868839">
      <w:bodyDiv w:val="1"/>
      <w:marLeft w:val="0"/>
      <w:marRight w:val="0"/>
      <w:marTop w:val="0"/>
      <w:marBottom w:val="0"/>
      <w:divBdr>
        <w:top w:val="none" w:sz="0" w:space="0" w:color="auto"/>
        <w:left w:val="none" w:sz="0" w:space="0" w:color="auto"/>
        <w:bottom w:val="none" w:sz="0" w:space="0" w:color="auto"/>
        <w:right w:val="none" w:sz="0" w:space="0" w:color="auto"/>
      </w:divBdr>
    </w:div>
    <w:div w:id="864094304">
      <w:bodyDiv w:val="1"/>
      <w:marLeft w:val="0"/>
      <w:marRight w:val="0"/>
      <w:marTop w:val="0"/>
      <w:marBottom w:val="0"/>
      <w:divBdr>
        <w:top w:val="none" w:sz="0" w:space="0" w:color="auto"/>
        <w:left w:val="none" w:sz="0" w:space="0" w:color="auto"/>
        <w:bottom w:val="none" w:sz="0" w:space="0" w:color="auto"/>
        <w:right w:val="none" w:sz="0" w:space="0" w:color="auto"/>
      </w:divBdr>
    </w:div>
    <w:div w:id="866917688">
      <w:bodyDiv w:val="1"/>
      <w:marLeft w:val="0"/>
      <w:marRight w:val="0"/>
      <w:marTop w:val="0"/>
      <w:marBottom w:val="0"/>
      <w:divBdr>
        <w:top w:val="none" w:sz="0" w:space="0" w:color="auto"/>
        <w:left w:val="none" w:sz="0" w:space="0" w:color="auto"/>
        <w:bottom w:val="none" w:sz="0" w:space="0" w:color="auto"/>
        <w:right w:val="none" w:sz="0" w:space="0" w:color="auto"/>
      </w:divBdr>
    </w:div>
    <w:div w:id="893198443">
      <w:bodyDiv w:val="1"/>
      <w:marLeft w:val="0"/>
      <w:marRight w:val="0"/>
      <w:marTop w:val="0"/>
      <w:marBottom w:val="0"/>
      <w:divBdr>
        <w:top w:val="none" w:sz="0" w:space="0" w:color="auto"/>
        <w:left w:val="none" w:sz="0" w:space="0" w:color="auto"/>
        <w:bottom w:val="none" w:sz="0" w:space="0" w:color="auto"/>
        <w:right w:val="none" w:sz="0" w:space="0" w:color="auto"/>
      </w:divBdr>
    </w:div>
    <w:div w:id="902908812">
      <w:bodyDiv w:val="1"/>
      <w:marLeft w:val="0"/>
      <w:marRight w:val="0"/>
      <w:marTop w:val="0"/>
      <w:marBottom w:val="0"/>
      <w:divBdr>
        <w:top w:val="none" w:sz="0" w:space="0" w:color="auto"/>
        <w:left w:val="none" w:sz="0" w:space="0" w:color="auto"/>
        <w:bottom w:val="none" w:sz="0" w:space="0" w:color="auto"/>
        <w:right w:val="none" w:sz="0" w:space="0" w:color="auto"/>
      </w:divBdr>
    </w:div>
    <w:div w:id="908929247">
      <w:bodyDiv w:val="1"/>
      <w:marLeft w:val="0"/>
      <w:marRight w:val="0"/>
      <w:marTop w:val="0"/>
      <w:marBottom w:val="0"/>
      <w:divBdr>
        <w:top w:val="none" w:sz="0" w:space="0" w:color="auto"/>
        <w:left w:val="none" w:sz="0" w:space="0" w:color="auto"/>
        <w:bottom w:val="none" w:sz="0" w:space="0" w:color="auto"/>
        <w:right w:val="none" w:sz="0" w:space="0" w:color="auto"/>
      </w:divBdr>
    </w:div>
    <w:div w:id="912086391">
      <w:bodyDiv w:val="1"/>
      <w:marLeft w:val="0"/>
      <w:marRight w:val="0"/>
      <w:marTop w:val="0"/>
      <w:marBottom w:val="0"/>
      <w:divBdr>
        <w:top w:val="none" w:sz="0" w:space="0" w:color="auto"/>
        <w:left w:val="none" w:sz="0" w:space="0" w:color="auto"/>
        <w:bottom w:val="none" w:sz="0" w:space="0" w:color="auto"/>
        <w:right w:val="none" w:sz="0" w:space="0" w:color="auto"/>
      </w:divBdr>
    </w:div>
    <w:div w:id="915280531">
      <w:bodyDiv w:val="1"/>
      <w:marLeft w:val="0"/>
      <w:marRight w:val="0"/>
      <w:marTop w:val="0"/>
      <w:marBottom w:val="0"/>
      <w:divBdr>
        <w:top w:val="none" w:sz="0" w:space="0" w:color="auto"/>
        <w:left w:val="none" w:sz="0" w:space="0" w:color="auto"/>
        <w:bottom w:val="none" w:sz="0" w:space="0" w:color="auto"/>
        <w:right w:val="none" w:sz="0" w:space="0" w:color="auto"/>
      </w:divBdr>
    </w:div>
    <w:div w:id="924386388">
      <w:bodyDiv w:val="1"/>
      <w:marLeft w:val="0"/>
      <w:marRight w:val="0"/>
      <w:marTop w:val="0"/>
      <w:marBottom w:val="0"/>
      <w:divBdr>
        <w:top w:val="none" w:sz="0" w:space="0" w:color="auto"/>
        <w:left w:val="none" w:sz="0" w:space="0" w:color="auto"/>
        <w:bottom w:val="none" w:sz="0" w:space="0" w:color="auto"/>
        <w:right w:val="none" w:sz="0" w:space="0" w:color="auto"/>
      </w:divBdr>
    </w:div>
    <w:div w:id="928851900">
      <w:bodyDiv w:val="1"/>
      <w:marLeft w:val="0"/>
      <w:marRight w:val="0"/>
      <w:marTop w:val="0"/>
      <w:marBottom w:val="0"/>
      <w:divBdr>
        <w:top w:val="none" w:sz="0" w:space="0" w:color="auto"/>
        <w:left w:val="none" w:sz="0" w:space="0" w:color="auto"/>
        <w:bottom w:val="none" w:sz="0" w:space="0" w:color="auto"/>
        <w:right w:val="none" w:sz="0" w:space="0" w:color="auto"/>
      </w:divBdr>
    </w:div>
    <w:div w:id="943607699">
      <w:bodyDiv w:val="1"/>
      <w:marLeft w:val="0"/>
      <w:marRight w:val="0"/>
      <w:marTop w:val="0"/>
      <w:marBottom w:val="0"/>
      <w:divBdr>
        <w:top w:val="none" w:sz="0" w:space="0" w:color="auto"/>
        <w:left w:val="none" w:sz="0" w:space="0" w:color="auto"/>
        <w:bottom w:val="none" w:sz="0" w:space="0" w:color="auto"/>
        <w:right w:val="none" w:sz="0" w:space="0" w:color="auto"/>
      </w:divBdr>
    </w:div>
    <w:div w:id="944730259">
      <w:bodyDiv w:val="1"/>
      <w:marLeft w:val="0"/>
      <w:marRight w:val="0"/>
      <w:marTop w:val="0"/>
      <w:marBottom w:val="0"/>
      <w:divBdr>
        <w:top w:val="none" w:sz="0" w:space="0" w:color="auto"/>
        <w:left w:val="none" w:sz="0" w:space="0" w:color="auto"/>
        <w:bottom w:val="none" w:sz="0" w:space="0" w:color="auto"/>
        <w:right w:val="none" w:sz="0" w:space="0" w:color="auto"/>
      </w:divBdr>
    </w:div>
    <w:div w:id="947002784">
      <w:bodyDiv w:val="1"/>
      <w:marLeft w:val="0"/>
      <w:marRight w:val="0"/>
      <w:marTop w:val="0"/>
      <w:marBottom w:val="0"/>
      <w:divBdr>
        <w:top w:val="none" w:sz="0" w:space="0" w:color="auto"/>
        <w:left w:val="none" w:sz="0" w:space="0" w:color="auto"/>
        <w:bottom w:val="none" w:sz="0" w:space="0" w:color="auto"/>
        <w:right w:val="none" w:sz="0" w:space="0" w:color="auto"/>
      </w:divBdr>
    </w:div>
    <w:div w:id="952904963">
      <w:bodyDiv w:val="1"/>
      <w:marLeft w:val="0"/>
      <w:marRight w:val="0"/>
      <w:marTop w:val="0"/>
      <w:marBottom w:val="0"/>
      <w:divBdr>
        <w:top w:val="none" w:sz="0" w:space="0" w:color="auto"/>
        <w:left w:val="none" w:sz="0" w:space="0" w:color="auto"/>
        <w:bottom w:val="none" w:sz="0" w:space="0" w:color="auto"/>
        <w:right w:val="none" w:sz="0" w:space="0" w:color="auto"/>
      </w:divBdr>
    </w:div>
    <w:div w:id="957881365">
      <w:bodyDiv w:val="1"/>
      <w:marLeft w:val="0"/>
      <w:marRight w:val="0"/>
      <w:marTop w:val="0"/>
      <w:marBottom w:val="0"/>
      <w:divBdr>
        <w:top w:val="none" w:sz="0" w:space="0" w:color="auto"/>
        <w:left w:val="none" w:sz="0" w:space="0" w:color="auto"/>
        <w:bottom w:val="none" w:sz="0" w:space="0" w:color="auto"/>
        <w:right w:val="none" w:sz="0" w:space="0" w:color="auto"/>
      </w:divBdr>
    </w:div>
    <w:div w:id="970094521">
      <w:bodyDiv w:val="1"/>
      <w:marLeft w:val="0"/>
      <w:marRight w:val="0"/>
      <w:marTop w:val="0"/>
      <w:marBottom w:val="0"/>
      <w:divBdr>
        <w:top w:val="none" w:sz="0" w:space="0" w:color="auto"/>
        <w:left w:val="none" w:sz="0" w:space="0" w:color="auto"/>
        <w:bottom w:val="none" w:sz="0" w:space="0" w:color="auto"/>
        <w:right w:val="none" w:sz="0" w:space="0" w:color="auto"/>
      </w:divBdr>
    </w:div>
    <w:div w:id="984161708">
      <w:bodyDiv w:val="1"/>
      <w:marLeft w:val="0"/>
      <w:marRight w:val="0"/>
      <w:marTop w:val="0"/>
      <w:marBottom w:val="0"/>
      <w:divBdr>
        <w:top w:val="none" w:sz="0" w:space="0" w:color="auto"/>
        <w:left w:val="none" w:sz="0" w:space="0" w:color="auto"/>
        <w:bottom w:val="none" w:sz="0" w:space="0" w:color="auto"/>
        <w:right w:val="none" w:sz="0" w:space="0" w:color="auto"/>
      </w:divBdr>
    </w:div>
    <w:div w:id="986781325">
      <w:bodyDiv w:val="1"/>
      <w:marLeft w:val="0"/>
      <w:marRight w:val="0"/>
      <w:marTop w:val="0"/>
      <w:marBottom w:val="0"/>
      <w:divBdr>
        <w:top w:val="none" w:sz="0" w:space="0" w:color="auto"/>
        <w:left w:val="none" w:sz="0" w:space="0" w:color="auto"/>
        <w:bottom w:val="none" w:sz="0" w:space="0" w:color="auto"/>
        <w:right w:val="none" w:sz="0" w:space="0" w:color="auto"/>
      </w:divBdr>
    </w:div>
    <w:div w:id="991912499">
      <w:bodyDiv w:val="1"/>
      <w:marLeft w:val="0"/>
      <w:marRight w:val="0"/>
      <w:marTop w:val="0"/>
      <w:marBottom w:val="0"/>
      <w:divBdr>
        <w:top w:val="none" w:sz="0" w:space="0" w:color="auto"/>
        <w:left w:val="none" w:sz="0" w:space="0" w:color="auto"/>
        <w:bottom w:val="none" w:sz="0" w:space="0" w:color="auto"/>
        <w:right w:val="none" w:sz="0" w:space="0" w:color="auto"/>
      </w:divBdr>
    </w:div>
    <w:div w:id="1000081478">
      <w:bodyDiv w:val="1"/>
      <w:marLeft w:val="0"/>
      <w:marRight w:val="0"/>
      <w:marTop w:val="0"/>
      <w:marBottom w:val="0"/>
      <w:divBdr>
        <w:top w:val="none" w:sz="0" w:space="0" w:color="auto"/>
        <w:left w:val="none" w:sz="0" w:space="0" w:color="auto"/>
        <w:bottom w:val="none" w:sz="0" w:space="0" w:color="auto"/>
        <w:right w:val="none" w:sz="0" w:space="0" w:color="auto"/>
      </w:divBdr>
    </w:div>
    <w:div w:id="1006442882">
      <w:bodyDiv w:val="1"/>
      <w:marLeft w:val="0"/>
      <w:marRight w:val="0"/>
      <w:marTop w:val="0"/>
      <w:marBottom w:val="0"/>
      <w:divBdr>
        <w:top w:val="none" w:sz="0" w:space="0" w:color="auto"/>
        <w:left w:val="none" w:sz="0" w:space="0" w:color="auto"/>
        <w:bottom w:val="none" w:sz="0" w:space="0" w:color="auto"/>
        <w:right w:val="none" w:sz="0" w:space="0" w:color="auto"/>
      </w:divBdr>
    </w:div>
    <w:div w:id="1014113641">
      <w:bodyDiv w:val="1"/>
      <w:marLeft w:val="0"/>
      <w:marRight w:val="0"/>
      <w:marTop w:val="0"/>
      <w:marBottom w:val="0"/>
      <w:divBdr>
        <w:top w:val="none" w:sz="0" w:space="0" w:color="auto"/>
        <w:left w:val="none" w:sz="0" w:space="0" w:color="auto"/>
        <w:bottom w:val="none" w:sz="0" w:space="0" w:color="auto"/>
        <w:right w:val="none" w:sz="0" w:space="0" w:color="auto"/>
      </w:divBdr>
    </w:div>
    <w:div w:id="1014185425">
      <w:bodyDiv w:val="1"/>
      <w:marLeft w:val="0"/>
      <w:marRight w:val="0"/>
      <w:marTop w:val="0"/>
      <w:marBottom w:val="0"/>
      <w:divBdr>
        <w:top w:val="none" w:sz="0" w:space="0" w:color="auto"/>
        <w:left w:val="none" w:sz="0" w:space="0" w:color="auto"/>
        <w:bottom w:val="none" w:sz="0" w:space="0" w:color="auto"/>
        <w:right w:val="none" w:sz="0" w:space="0" w:color="auto"/>
      </w:divBdr>
    </w:div>
    <w:div w:id="1020931278">
      <w:bodyDiv w:val="1"/>
      <w:marLeft w:val="0"/>
      <w:marRight w:val="0"/>
      <w:marTop w:val="0"/>
      <w:marBottom w:val="0"/>
      <w:divBdr>
        <w:top w:val="none" w:sz="0" w:space="0" w:color="auto"/>
        <w:left w:val="none" w:sz="0" w:space="0" w:color="auto"/>
        <w:bottom w:val="none" w:sz="0" w:space="0" w:color="auto"/>
        <w:right w:val="none" w:sz="0" w:space="0" w:color="auto"/>
      </w:divBdr>
    </w:div>
    <w:div w:id="1023703391">
      <w:bodyDiv w:val="1"/>
      <w:marLeft w:val="0"/>
      <w:marRight w:val="0"/>
      <w:marTop w:val="0"/>
      <w:marBottom w:val="0"/>
      <w:divBdr>
        <w:top w:val="none" w:sz="0" w:space="0" w:color="auto"/>
        <w:left w:val="none" w:sz="0" w:space="0" w:color="auto"/>
        <w:bottom w:val="none" w:sz="0" w:space="0" w:color="auto"/>
        <w:right w:val="none" w:sz="0" w:space="0" w:color="auto"/>
      </w:divBdr>
    </w:div>
    <w:div w:id="1041906049">
      <w:bodyDiv w:val="1"/>
      <w:marLeft w:val="0"/>
      <w:marRight w:val="0"/>
      <w:marTop w:val="0"/>
      <w:marBottom w:val="0"/>
      <w:divBdr>
        <w:top w:val="none" w:sz="0" w:space="0" w:color="auto"/>
        <w:left w:val="none" w:sz="0" w:space="0" w:color="auto"/>
        <w:bottom w:val="none" w:sz="0" w:space="0" w:color="auto"/>
        <w:right w:val="none" w:sz="0" w:space="0" w:color="auto"/>
      </w:divBdr>
    </w:div>
    <w:div w:id="1061245428">
      <w:bodyDiv w:val="1"/>
      <w:marLeft w:val="0"/>
      <w:marRight w:val="0"/>
      <w:marTop w:val="0"/>
      <w:marBottom w:val="0"/>
      <w:divBdr>
        <w:top w:val="none" w:sz="0" w:space="0" w:color="auto"/>
        <w:left w:val="none" w:sz="0" w:space="0" w:color="auto"/>
        <w:bottom w:val="none" w:sz="0" w:space="0" w:color="auto"/>
        <w:right w:val="none" w:sz="0" w:space="0" w:color="auto"/>
      </w:divBdr>
    </w:div>
    <w:div w:id="1077484641">
      <w:bodyDiv w:val="1"/>
      <w:marLeft w:val="0"/>
      <w:marRight w:val="0"/>
      <w:marTop w:val="0"/>
      <w:marBottom w:val="0"/>
      <w:divBdr>
        <w:top w:val="none" w:sz="0" w:space="0" w:color="auto"/>
        <w:left w:val="none" w:sz="0" w:space="0" w:color="auto"/>
        <w:bottom w:val="none" w:sz="0" w:space="0" w:color="auto"/>
        <w:right w:val="none" w:sz="0" w:space="0" w:color="auto"/>
      </w:divBdr>
    </w:div>
    <w:div w:id="1085960600">
      <w:bodyDiv w:val="1"/>
      <w:marLeft w:val="0"/>
      <w:marRight w:val="0"/>
      <w:marTop w:val="0"/>
      <w:marBottom w:val="0"/>
      <w:divBdr>
        <w:top w:val="none" w:sz="0" w:space="0" w:color="auto"/>
        <w:left w:val="none" w:sz="0" w:space="0" w:color="auto"/>
        <w:bottom w:val="none" w:sz="0" w:space="0" w:color="auto"/>
        <w:right w:val="none" w:sz="0" w:space="0" w:color="auto"/>
      </w:divBdr>
    </w:div>
    <w:div w:id="1110736698">
      <w:bodyDiv w:val="1"/>
      <w:marLeft w:val="0"/>
      <w:marRight w:val="0"/>
      <w:marTop w:val="0"/>
      <w:marBottom w:val="0"/>
      <w:divBdr>
        <w:top w:val="none" w:sz="0" w:space="0" w:color="auto"/>
        <w:left w:val="none" w:sz="0" w:space="0" w:color="auto"/>
        <w:bottom w:val="none" w:sz="0" w:space="0" w:color="auto"/>
        <w:right w:val="none" w:sz="0" w:space="0" w:color="auto"/>
      </w:divBdr>
    </w:div>
    <w:div w:id="1117723782">
      <w:bodyDiv w:val="1"/>
      <w:marLeft w:val="0"/>
      <w:marRight w:val="0"/>
      <w:marTop w:val="0"/>
      <w:marBottom w:val="0"/>
      <w:divBdr>
        <w:top w:val="none" w:sz="0" w:space="0" w:color="auto"/>
        <w:left w:val="none" w:sz="0" w:space="0" w:color="auto"/>
        <w:bottom w:val="none" w:sz="0" w:space="0" w:color="auto"/>
        <w:right w:val="none" w:sz="0" w:space="0" w:color="auto"/>
      </w:divBdr>
    </w:div>
    <w:div w:id="1152333554">
      <w:bodyDiv w:val="1"/>
      <w:marLeft w:val="0"/>
      <w:marRight w:val="0"/>
      <w:marTop w:val="0"/>
      <w:marBottom w:val="0"/>
      <w:divBdr>
        <w:top w:val="none" w:sz="0" w:space="0" w:color="auto"/>
        <w:left w:val="none" w:sz="0" w:space="0" w:color="auto"/>
        <w:bottom w:val="none" w:sz="0" w:space="0" w:color="auto"/>
        <w:right w:val="none" w:sz="0" w:space="0" w:color="auto"/>
      </w:divBdr>
    </w:div>
    <w:div w:id="1173446522">
      <w:bodyDiv w:val="1"/>
      <w:marLeft w:val="0"/>
      <w:marRight w:val="0"/>
      <w:marTop w:val="0"/>
      <w:marBottom w:val="0"/>
      <w:divBdr>
        <w:top w:val="none" w:sz="0" w:space="0" w:color="auto"/>
        <w:left w:val="none" w:sz="0" w:space="0" w:color="auto"/>
        <w:bottom w:val="none" w:sz="0" w:space="0" w:color="auto"/>
        <w:right w:val="none" w:sz="0" w:space="0" w:color="auto"/>
      </w:divBdr>
    </w:div>
    <w:div w:id="1178272788">
      <w:bodyDiv w:val="1"/>
      <w:marLeft w:val="0"/>
      <w:marRight w:val="0"/>
      <w:marTop w:val="0"/>
      <w:marBottom w:val="0"/>
      <w:divBdr>
        <w:top w:val="none" w:sz="0" w:space="0" w:color="auto"/>
        <w:left w:val="none" w:sz="0" w:space="0" w:color="auto"/>
        <w:bottom w:val="none" w:sz="0" w:space="0" w:color="auto"/>
        <w:right w:val="none" w:sz="0" w:space="0" w:color="auto"/>
      </w:divBdr>
    </w:div>
    <w:div w:id="1179079322">
      <w:bodyDiv w:val="1"/>
      <w:marLeft w:val="0"/>
      <w:marRight w:val="0"/>
      <w:marTop w:val="0"/>
      <w:marBottom w:val="0"/>
      <w:divBdr>
        <w:top w:val="none" w:sz="0" w:space="0" w:color="auto"/>
        <w:left w:val="none" w:sz="0" w:space="0" w:color="auto"/>
        <w:bottom w:val="none" w:sz="0" w:space="0" w:color="auto"/>
        <w:right w:val="none" w:sz="0" w:space="0" w:color="auto"/>
      </w:divBdr>
    </w:div>
    <w:div w:id="1186678303">
      <w:bodyDiv w:val="1"/>
      <w:marLeft w:val="0"/>
      <w:marRight w:val="0"/>
      <w:marTop w:val="0"/>
      <w:marBottom w:val="0"/>
      <w:divBdr>
        <w:top w:val="none" w:sz="0" w:space="0" w:color="auto"/>
        <w:left w:val="none" w:sz="0" w:space="0" w:color="auto"/>
        <w:bottom w:val="none" w:sz="0" w:space="0" w:color="auto"/>
        <w:right w:val="none" w:sz="0" w:space="0" w:color="auto"/>
      </w:divBdr>
    </w:div>
    <w:div w:id="1211457443">
      <w:bodyDiv w:val="1"/>
      <w:marLeft w:val="0"/>
      <w:marRight w:val="0"/>
      <w:marTop w:val="0"/>
      <w:marBottom w:val="0"/>
      <w:divBdr>
        <w:top w:val="none" w:sz="0" w:space="0" w:color="auto"/>
        <w:left w:val="none" w:sz="0" w:space="0" w:color="auto"/>
        <w:bottom w:val="none" w:sz="0" w:space="0" w:color="auto"/>
        <w:right w:val="none" w:sz="0" w:space="0" w:color="auto"/>
      </w:divBdr>
    </w:div>
    <w:div w:id="1225139678">
      <w:bodyDiv w:val="1"/>
      <w:marLeft w:val="0"/>
      <w:marRight w:val="0"/>
      <w:marTop w:val="0"/>
      <w:marBottom w:val="0"/>
      <w:divBdr>
        <w:top w:val="none" w:sz="0" w:space="0" w:color="auto"/>
        <w:left w:val="none" w:sz="0" w:space="0" w:color="auto"/>
        <w:bottom w:val="none" w:sz="0" w:space="0" w:color="auto"/>
        <w:right w:val="none" w:sz="0" w:space="0" w:color="auto"/>
      </w:divBdr>
    </w:div>
    <w:div w:id="1260017331">
      <w:bodyDiv w:val="1"/>
      <w:marLeft w:val="0"/>
      <w:marRight w:val="0"/>
      <w:marTop w:val="0"/>
      <w:marBottom w:val="0"/>
      <w:divBdr>
        <w:top w:val="none" w:sz="0" w:space="0" w:color="auto"/>
        <w:left w:val="none" w:sz="0" w:space="0" w:color="auto"/>
        <w:bottom w:val="none" w:sz="0" w:space="0" w:color="auto"/>
        <w:right w:val="none" w:sz="0" w:space="0" w:color="auto"/>
      </w:divBdr>
    </w:div>
    <w:div w:id="1262027282">
      <w:bodyDiv w:val="1"/>
      <w:marLeft w:val="0"/>
      <w:marRight w:val="0"/>
      <w:marTop w:val="0"/>
      <w:marBottom w:val="0"/>
      <w:divBdr>
        <w:top w:val="none" w:sz="0" w:space="0" w:color="auto"/>
        <w:left w:val="none" w:sz="0" w:space="0" w:color="auto"/>
        <w:bottom w:val="none" w:sz="0" w:space="0" w:color="auto"/>
        <w:right w:val="none" w:sz="0" w:space="0" w:color="auto"/>
      </w:divBdr>
    </w:div>
    <w:div w:id="1276597888">
      <w:bodyDiv w:val="1"/>
      <w:marLeft w:val="0"/>
      <w:marRight w:val="0"/>
      <w:marTop w:val="0"/>
      <w:marBottom w:val="0"/>
      <w:divBdr>
        <w:top w:val="none" w:sz="0" w:space="0" w:color="auto"/>
        <w:left w:val="none" w:sz="0" w:space="0" w:color="auto"/>
        <w:bottom w:val="none" w:sz="0" w:space="0" w:color="auto"/>
        <w:right w:val="none" w:sz="0" w:space="0" w:color="auto"/>
      </w:divBdr>
    </w:div>
    <w:div w:id="1285309824">
      <w:bodyDiv w:val="1"/>
      <w:marLeft w:val="0"/>
      <w:marRight w:val="0"/>
      <w:marTop w:val="0"/>
      <w:marBottom w:val="0"/>
      <w:divBdr>
        <w:top w:val="none" w:sz="0" w:space="0" w:color="auto"/>
        <w:left w:val="none" w:sz="0" w:space="0" w:color="auto"/>
        <w:bottom w:val="none" w:sz="0" w:space="0" w:color="auto"/>
        <w:right w:val="none" w:sz="0" w:space="0" w:color="auto"/>
      </w:divBdr>
    </w:div>
    <w:div w:id="1285573634">
      <w:bodyDiv w:val="1"/>
      <w:marLeft w:val="0"/>
      <w:marRight w:val="0"/>
      <w:marTop w:val="0"/>
      <w:marBottom w:val="0"/>
      <w:divBdr>
        <w:top w:val="none" w:sz="0" w:space="0" w:color="auto"/>
        <w:left w:val="none" w:sz="0" w:space="0" w:color="auto"/>
        <w:bottom w:val="none" w:sz="0" w:space="0" w:color="auto"/>
        <w:right w:val="none" w:sz="0" w:space="0" w:color="auto"/>
      </w:divBdr>
    </w:div>
    <w:div w:id="1289044159">
      <w:bodyDiv w:val="1"/>
      <w:marLeft w:val="0"/>
      <w:marRight w:val="0"/>
      <w:marTop w:val="0"/>
      <w:marBottom w:val="0"/>
      <w:divBdr>
        <w:top w:val="none" w:sz="0" w:space="0" w:color="auto"/>
        <w:left w:val="none" w:sz="0" w:space="0" w:color="auto"/>
        <w:bottom w:val="none" w:sz="0" w:space="0" w:color="auto"/>
        <w:right w:val="none" w:sz="0" w:space="0" w:color="auto"/>
      </w:divBdr>
    </w:div>
    <w:div w:id="1294945509">
      <w:bodyDiv w:val="1"/>
      <w:marLeft w:val="0"/>
      <w:marRight w:val="0"/>
      <w:marTop w:val="0"/>
      <w:marBottom w:val="0"/>
      <w:divBdr>
        <w:top w:val="none" w:sz="0" w:space="0" w:color="auto"/>
        <w:left w:val="none" w:sz="0" w:space="0" w:color="auto"/>
        <w:bottom w:val="none" w:sz="0" w:space="0" w:color="auto"/>
        <w:right w:val="none" w:sz="0" w:space="0" w:color="auto"/>
      </w:divBdr>
    </w:div>
    <w:div w:id="1298146172">
      <w:bodyDiv w:val="1"/>
      <w:marLeft w:val="0"/>
      <w:marRight w:val="0"/>
      <w:marTop w:val="0"/>
      <w:marBottom w:val="0"/>
      <w:divBdr>
        <w:top w:val="none" w:sz="0" w:space="0" w:color="auto"/>
        <w:left w:val="none" w:sz="0" w:space="0" w:color="auto"/>
        <w:bottom w:val="none" w:sz="0" w:space="0" w:color="auto"/>
        <w:right w:val="none" w:sz="0" w:space="0" w:color="auto"/>
      </w:divBdr>
    </w:div>
    <w:div w:id="1299804467">
      <w:bodyDiv w:val="1"/>
      <w:marLeft w:val="0"/>
      <w:marRight w:val="0"/>
      <w:marTop w:val="0"/>
      <w:marBottom w:val="0"/>
      <w:divBdr>
        <w:top w:val="none" w:sz="0" w:space="0" w:color="auto"/>
        <w:left w:val="none" w:sz="0" w:space="0" w:color="auto"/>
        <w:bottom w:val="none" w:sz="0" w:space="0" w:color="auto"/>
        <w:right w:val="none" w:sz="0" w:space="0" w:color="auto"/>
      </w:divBdr>
    </w:div>
    <w:div w:id="1313368836">
      <w:bodyDiv w:val="1"/>
      <w:marLeft w:val="0"/>
      <w:marRight w:val="0"/>
      <w:marTop w:val="0"/>
      <w:marBottom w:val="0"/>
      <w:divBdr>
        <w:top w:val="none" w:sz="0" w:space="0" w:color="auto"/>
        <w:left w:val="none" w:sz="0" w:space="0" w:color="auto"/>
        <w:bottom w:val="none" w:sz="0" w:space="0" w:color="auto"/>
        <w:right w:val="none" w:sz="0" w:space="0" w:color="auto"/>
      </w:divBdr>
    </w:div>
    <w:div w:id="1314219284">
      <w:bodyDiv w:val="1"/>
      <w:marLeft w:val="0"/>
      <w:marRight w:val="0"/>
      <w:marTop w:val="0"/>
      <w:marBottom w:val="0"/>
      <w:divBdr>
        <w:top w:val="none" w:sz="0" w:space="0" w:color="auto"/>
        <w:left w:val="none" w:sz="0" w:space="0" w:color="auto"/>
        <w:bottom w:val="none" w:sz="0" w:space="0" w:color="auto"/>
        <w:right w:val="none" w:sz="0" w:space="0" w:color="auto"/>
      </w:divBdr>
    </w:div>
    <w:div w:id="1315991919">
      <w:bodyDiv w:val="1"/>
      <w:marLeft w:val="0"/>
      <w:marRight w:val="0"/>
      <w:marTop w:val="0"/>
      <w:marBottom w:val="0"/>
      <w:divBdr>
        <w:top w:val="none" w:sz="0" w:space="0" w:color="auto"/>
        <w:left w:val="none" w:sz="0" w:space="0" w:color="auto"/>
        <w:bottom w:val="none" w:sz="0" w:space="0" w:color="auto"/>
        <w:right w:val="none" w:sz="0" w:space="0" w:color="auto"/>
      </w:divBdr>
    </w:div>
    <w:div w:id="1319729019">
      <w:bodyDiv w:val="1"/>
      <w:marLeft w:val="0"/>
      <w:marRight w:val="0"/>
      <w:marTop w:val="0"/>
      <w:marBottom w:val="0"/>
      <w:divBdr>
        <w:top w:val="none" w:sz="0" w:space="0" w:color="auto"/>
        <w:left w:val="none" w:sz="0" w:space="0" w:color="auto"/>
        <w:bottom w:val="none" w:sz="0" w:space="0" w:color="auto"/>
        <w:right w:val="none" w:sz="0" w:space="0" w:color="auto"/>
      </w:divBdr>
    </w:div>
    <w:div w:id="1320422735">
      <w:bodyDiv w:val="1"/>
      <w:marLeft w:val="0"/>
      <w:marRight w:val="0"/>
      <w:marTop w:val="0"/>
      <w:marBottom w:val="0"/>
      <w:divBdr>
        <w:top w:val="none" w:sz="0" w:space="0" w:color="auto"/>
        <w:left w:val="none" w:sz="0" w:space="0" w:color="auto"/>
        <w:bottom w:val="none" w:sz="0" w:space="0" w:color="auto"/>
        <w:right w:val="none" w:sz="0" w:space="0" w:color="auto"/>
      </w:divBdr>
    </w:div>
    <w:div w:id="1323124308">
      <w:bodyDiv w:val="1"/>
      <w:marLeft w:val="0"/>
      <w:marRight w:val="0"/>
      <w:marTop w:val="0"/>
      <w:marBottom w:val="0"/>
      <w:divBdr>
        <w:top w:val="none" w:sz="0" w:space="0" w:color="auto"/>
        <w:left w:val="none" w:sz="0" w:space="0" w:color="auto"/>
        <w:bottom w:val="none" w:sz="0" w:space="0" w:color="auto"/>
        <w:right w:val="none" w:sz="0" w:space="0" w:color="auto"/>
      </w:divBdr>
    </w:div>
    <w:div w:id="1323315745">
      <w:bodyDiv w:val="1"/>
      <w:marLeft w:val="0"/>
      <w:marRight w:val="0"/>
      <w:marTop w:val="0"/>
      <w:marBottom w:val="0"/>
      <w:divBdr>
        <w:top w:val="none" w:sz="0" w:space="0" w:color="auto"/>
        <w:left w:val="none" w:sz="0" w:space="0" w:color="auto"/>
        <w:bottom w:val="none" w:sz="0" w:space="0" w:color="auto"/>
        <w:right w:val="none" w:sz="0" w:space="0" w:color="auto"/>
      </w:divBdr>
    </w:div>
    <w:div w:id="1328946204">
      <w:bodyDiv w:val="1"/>
      <w:marLeft w:val="0"/>
      <w:marRight w:val="0"/>
      <w:marTop w:val="0"/>
      <w:marBottom w:val="0"/>
      <w:divBdr>
        <w:top w:val="none" w:sz="0" w:space="0" w:color="auto"/>
        <w:left w:val="none" w:sz="0" w:space="0" w:color="auto"/>
        <w:bottom w:val="none" w:sz="0" w:space="0" w:color="auto"/>
        <w:right w:val="none" w:sz="0" w:space="0" w:color="auto"/>
      </w:divBdr>
    </w:div>
    <w:div w:id="1336885509">
      <w:bodyDiv w:val="1"/>
      <w:marLeft w:val="0"/>
      <w:marRight w:val="0"/>
      <w:marTop w:val="0"/>
      <w:marBottom w:val="0"/>
      <w:divBdr>
        <w:top w:val="none" w:sz="0" w:space="0" w:color="auto"/>
        <w:left w:val="none" w:sz="0" w:space="0" w:color="auto"/>
        <w:bottom w:val="none" w:sz="0" w:space="0" w:color="auto"/>
        <w:right w:val="none" w:sz="0" w:space="0" w:color="auto"/>
      </w:divBdr>
    </w:div>
    <w:div w:id="1342315013">
      <w:bodyDiv w:val="1"/>
      <w:marLeft w:val="0"/>
      <w:marRight w:val="0"/>
      <w:marTop w:val="0"/>
      <w:marBottom w:val="0"/>
      <w:divBdr>
        <w:top w:val="none" w:sz="0" w:space="0" w:color="auto"/>
        <w:left w:val="none" w:sz="0" w:space="0" w:color="auto"/>
        <w:bottom w:val="none" w:sz="0" w:space="0" w:color="auto"/>
        <w:right w:val="none" w:sz="0" w:space="0" w:color="auto"/>
      </w:divBdr>
    </w:div>
    <w:div w:id="1348217669">
      <w:bodyDiv w:val="1"/>
      <w:marLeft w:val="0"/>
      <w:marRight w:val="0"/>
      <w:marTop w:val="0"/>
      <w:marBottom w:val="0"/>
      <w:divBdr>
        <w:top w:val="none" w:sz="0" w:space="0" w:color="auto"/>
        <w:left w:val="none" w:sz="0" w:space="0" w:color="auto"/>
        <w:bottom w:val="none" w:sz="0" w:space="0" w:color="auto"/>
        <w:right w:val="none" w:sz="0" w:space="0" w:color="auto"/>
      </w:divBdr>
    </w:div>
    <w:div w:id="1353610943">
      <w:bodyDiv w:val="1"/>
      <w:marLeft w:val="0"/>
      <w:marRight w:val="0"/>
      <w:marTop w:val="0"/>
      <w:marBottom w:val="0"/>
      <w:divBdr>
        <w:top w:val="none" w:sz="0" w:space="0" w:color="auto"/>
        <w:left w:val="none" w:sz="0" w:space="0" w:color="auto"/>
        <w:bottom w:val="none" w:sz="0" w:space="0" w:color="auto"/>
        <w:right w:val="none" w:sz="0" w:space="0" w:color="auto"/>
      </w:divBdr>
    </w:div>
    <w:div w:id="1362517414">
      <w:bodyDiv w:val="1"/>
      <w:marLeft w:val="0"/>
      <w:marRight w:val="0"/>
      <w:marTop w:val="0"/>
      <w:marBottom w:val="0"/>
      <w:divBdr>
        <w:top w:val="none" w:sz="0" w:space="0" w:color="auto"/>
        <w:left w:val="none" w:sz="0" w:space="0" w:color="auto"/>
        <w:bottom w:val="none" w:sz="0" w:space="0" w:color="auto"/>
        <w:right w:val="none" w:sz="0" w:space="0" w:color="auto"/>
      </w:divBdr>
    </w:div>
    <w:div w:id="1364088619">
      <w:bodyDiv w:val="1"/>
      <w:marLeft w:val="0"/>
      <w:marRight w:val="0"/>
      <w:marTop w:val="0"/>
      <w:marBottom w:val="0"/>
      <w:divBdr>
        <w:top w:val="none" w:sz="0" w:space="0" w:color="auto"/>
        <w:left w:val="none" w:sz="0" w:space="0" w:color="auto"/>
        <w:bottom w:val="none" w:sz="0" w:space="0" w:color="auto"/>
        <w:right w:val="none" w:sz="0" w:space="0" w:color="auto"/>
      </w:divBdr>
    </w:div>
    <w:div w:id="1368916407">
      <w:bodyDiv w:val="1"/>
      <w:marLeft w:val="0"/>
      <w:marRight w:val="0"/>
      <w:marTop w:val="0"/>
      <w:marBottom w:val="0"/>
      <w:divBdr>
        <w:top w:val="none" w:sz="0" w:space="0" w:color="auto"/>
        <w:left w:val="none" w:sz="0" w:space="0" w:color="auto"/>
        <w:bottom w:val="none" w:sz="0" w:space="0" w:color="auto"/>
        <w:right w:val="none" w:sz="0" w:space="0" w:color="auto"/>
      </w:divBdr>
    </w:div>
    <w:div w:id="1392459684">
      <w:bodyDiv w:val="1"/>
      <w:marLeft w:val="0"/>
      <w:marRight w:val="0"/>
      <w:marTop w:val="0"/>
      <w:marBottom w:val="0"/>
      <w:divBdr>
        <w:top w:val="none" w:sz="0" w:space="0" w:color="auto"/>
        <w:left w:val="none" w:sz="0" w:space="0" w:color="auto"/>
        <w:bottom w:val="none" w:sz="0" w:space="0" w:color="auto"/>
        <w:right w:val="none" w:sz="0" w:space="0" w:color="auto"/>
      </w:divBdr>
    </w:div>
    <w:div w:id="1437366844">
      <w:bodyDiv w:val="1"/>
      <w:marLeft w:val="0"/>
      <w:marRight w:val="0"/>
      <w:marTop w:val="0"/>
      <w:marBottom w:val="0"/>
      <w:divBdr>
        <w:top w:val="none" w:sz="0" w:space="0" w:color="auto"/>
        <w:left w:val="none" w:sz="0" w:space="0" w:color="auto"/>
        <w:bottom w:val="none" w:sz="0" w:space="0" w:color="auto"/>
        <w:right w:val="none" w:sz="0" w:space="0" w:color="auto"/>
      </w:divBdr>
    </w:div>
    <w:div w:id="1446391848">
      <w:bodyDiv w:val="1"/>
      <w:marLeft w:val="0"/>
      <w:marRight w:val="0"/>
      <w:marTop w:val="0"/>
      <w:marBottom w:val="0"/>
      <w:divBdr>
        <w:top w:val="none" w:sz="0" w:space="0" w:color="auto"/>
        <w:left w:val="none" w:sz="0" w:space="0" w:color="auto"/>
        <w:bottom w:val="none" w:sz="0" w:space="0" w:color="auto"/>
        <w:right w:val="none" w:sz="0" w:space="0" w:color="auto"/>
      </w:divBdr>
    </w:div>
    <w:div w:id="1450856208">
      <w:bodyDiv w:val="1"/>
      <w:marLeft w:val="0"/>
      <w:marRight w:val="0"/>
      <w:marTop w:val="0"/>
      <w:marBottom w:val="0"/>
      <w:divBdr>
        <w:top w:val="none" w:sz="0" w:space="0" w:color="auto"/>
        <w:left w:val="none" w:sz="0" w:space="0" w:color="auto"/>
        <w:bottom w:val="none" w:sz="0" w:space="0" w:color="auto"/>
        <w:right w:val="none" w:sz="0" w:space="0" w:color="auto"/>
      </w:divBdr>
    </w:div>
    <w:div w:id="1464998684">
      <w:bodyDiv w:val="1"/>
      <w:marLeft w:val="0"/>
      <w:marRight w:val="0"/>
      <w:marTop w:val="0"/>
      <w:marBottom w:val="0"/>
      <w:divBdr>
        <w:top w:val="none" w:sz="0" w:space="0" w:color="auto"/>
        <w:left w:val="none" w:sz="0" w:space="0" w:color="auto"/>
        <w:bottom w:val="none" w:sz="0" w:space="0" w:color="auto"/>
        <w:right w:val="none" w:sz="0" w:space="0" w:color="auto"/>
      </w:divBdr>
    </w:div>
    <w:div w:id="1493137463">
      <w:bodyDiv w:val="1"/>
      <w:marLeft w:val="0"/>
      <w:marRight w:val="0"/>
      <w:marTop w:val="0"/>
      <w:marBottom w:val="0"/>
      <w:divBdr>
        <w:top w:val="none" w:sz="0" w:space="0" w:color="auto"/>
        <w:left w:val="none" w:sz="0" w:space="0" w:color="auto"/>
        <w:bottom w:val="none" w:sz="0" w:space="0" w:color="auto"/>
        <w:right w:val="none" w:sz="0" w:space="0" w:color="auto"/>
      </w:divBdr>
    </w:div>
    <w:div w:id="1522086125">
      <w:bodyDiv w:val="1"/>
      <w:marLeft w:val="0"/>
      <w:marRight w:val="0"/>
      <w:marTop w:val="0"/>
      <w:marBottom w:val="0"/>
      <w:divBdr>
        <w:top w:val="none" w:sz="0" w:space="0" w:color="auto"/>
        <w:left w:val="none" w:sz="0" w:space="0" w:color="auto"/>
        <w:bottom w:val="none" w:sz="0" w:space="0" w:color="auto"/>
        <w:right w:val="none" w:sz="0" w:space="0" w:color="auto"/>
      </w:divBdr>
    </w:div>
    <w:div w:id="1531332586">
      <w:bodyDiv w:val="1"/>
      <w:marLeft w:val="0"/>
      <w:marRight w:val="0"/>
      <w:marTop w:val="0"/>
      <w:marBottom w:val="0"/>
      <w:divBdr>
        <w:top w:val="none" w:sz="0" w:space="0" w:color="auto"/>
        <w:left w:val="none" w:sz="0" w:space="0" w:color="auto"/>
        <w:bottom w:val="none" w:sz="0" w:space="0" w:color="auto"/>
        <w:right w:val="none" w:sz="0" w:space="0" w:color="auto"/>
      </w:divBdr>
    </w:div>
    <w:div w:id="1561091789">
      <w:bodyDiv w:val="1"/>
      <w:marLeft w:val="0"/>
      <w:marRight w:val="0"/>
      <w:marTop w:val="0"/>
      <w:marBottom w:val="0"/>
      <w:divBdr>
        <w:top w:val="none" w:sz="0" w:space="0" w:color="auto"/>
        <w:left w:val="none" w:sz="0" w:space="0" w:color="auto"/>
        <w:bottom w:val="none" w:sz="0" w:space="0" w:color="auto"/>
        <w:right w:val="none" w:sz="0" w:space="0" w:color="auto"/>
      </w:divBdr>
    </w:div>
    <w:div w:id="1568102566">
      <w:bodyDiv w:val="1"/>
      <w:marLeft w:val="0"/>
      <w:marRight w:val="0"/>
      <w:marTop w:val="0"/>
      <w:marBottom w:val="0"/>
      <w:divBdr>
        <w:top w:val="none" w:sz="0" w:space="0" w:color="auto"/>
        <w:left w:val="none" w:sz="0" w:space="0" w:color="auto"/>
        <w:bottom w:val="none" w:sz="0" w:space="0" w:color="auto"/>
        <w:right w:val="none" w:sz="0" w:space="0" w:color="auto"/>
      </w:divBdr>
    </w:div>
    <w:div w:id="1573395527">
      <w:bodyDiv w:val="1"/>
      <w:marLeft w:val="0"/>
      <w:marRight w:val="0"/>
      <w:marTop w:val="0"/>
      <w:marBottom w:val="0"/>
      <w:divBdr>
        <w:top w:val="none" w:sz="0" w:space="0" w:color="auto"/>
        <w:left w:val="none" w:sz="0" w:space="0" w:color="auto"/>
        <w:bottom w:val="none" w:sz="0" w:space="0" w:color="auto"/>
        <w:right w:val="none" w:sz="0" w:space="0" w:color="auto"/>
      </w:divBdr>
    </w:div>
    <w:div w:id="1576235130">
      <w:bodyDiv w:val="1"/>
      <w:marLeft w:val="0"/>
      <w:marRight w:val="0"/>
      <w:marTop w:val="0"/>
      <w:marBottom w:val="0"/>
      <w:divBdr>
        <w:top w:val="none" w:sz="0" w:space="0" w:color="auto"/>
        <w:left w:val="none" w:sz="0" w:space="0" w:color="auto"/>
        <w:bottom w:val="none" w:sz="0" w:space="0" w:color="auto"/>
        <w:right w:val="none" w:sz="0" w:space="0" w:color="auto"/>
      </w:divBdr>
    </w:div>
    <w:div w:id="1596554347">
      <w:bodyDiv w:val="1"/>
      <w:marLeft w:val="0"/>
      <w:marRight w:val="0"/>
      <w:marTop w:val="0"/>
      <w:marBottom w:val="0"/>
      <w:divBdr>
        <w:top w:val="none" w:sz="0" w:space="0" w:color="auto"/>
        <w:left w:val="none" w:sz="0" w:space="0" w:color="auto"/>
        <w:bottom w:val="none" w:sz="0" w:space="0" w:color="auto"/>
        <w:right w:val="none" w:sz="0" w:space="0" w:color="auto"/>
      </w:divBdr>
    </w:div>
    <w:div w:id="1599094529">
      <w:bodyDiv w:val="1"/>
      <w:marLeft w:val="0"/>
      <w:marRight w:val="0"/>
      <w:marTop w:val="0"/>
      <w:marBottom w:val="0"/>
      <w:divBdr>
        <w:top w:val="none" w:sz="0" w:space="0" w:color="auto"/>
        <w:left w:val="none" w:sz="0" w:space="0" w:color="auto"/>
        <w:bottom w:val="none" w:sz="0" w:space="0" w:color="auto"/>
        <w:right w:val="none" w:sz="0" w:space="0" w:color="auto"/>
      </w:divBdr>
    </w:div>
    <w:div w:id="1615988533">
      <w:bodyDiv w:val="1"/>
      <w:marLeft w:val="0"/>
      <w:marRight w:val="0"/>
      <w:marTop w:val="0"/>
      <w:marBottom w:val="0"/>
      <w:divBdr>
        <w:top w:val="none" w:sz="0" w:space="0" w:color="auto"/>
        <w:left w:val="none" w:sz="0" w:space="0" w:color="auto"/>
        <w:bottom w:val="none" w:sz="0" w:space="0" w:color="auto"/>
        <w:right w:val="none" w:sz="0" w:space="0" w:color="auto"/>
      </w:divBdr>
    </w:div>
    <w:div w:id="1628274628">
      <w:bodyDiv w:val="1"/>
      <w:marLeft w:val="0"/>
      <w:marRight w:val="0"/>
      <w:marTop w:val="0"/>
      <w:marBottom w:val="0"/>
      <w:divBdr>
        <w:top w:val="none" w:sz="0" w:space="0" w:color="auto"/>
        <w:left w:val="none" w:sz="0" w:space="0" w:color="auto"/>
        <w:bottom w:val="none" w:sz="0" w:space="0" w:color="auto"/>
        <w:right w:val="none" w:sz="0" w:space="0" w:color="auto"/>
      </w:divBdr>
    </w:div>
    <w:div w:id="1650668518">
      <w:bodyDiv w:val="1"/>
      <w:marLeft w:val="0"/>
      <w:marRight w:val="0"/>
      <w:marTop w:val="0"/>
      <w:marBottom w:val="0"/>
      <w:divBdr>
        <w:top w:val="none" w:sz="0" w:space="0" w:color="auto"/>
        <w:left w:val="none" w:sz="0" w:space="0" w:color="auto"/>
        <w:bottom w:val="none" w:sz="0" w:space="0" w:color="auto"/>
        <w:right w:val="none" w:sz="0" w:space="0" w:color="auto"/>
      </w:divBdr>
    </w:div>
    <w:div w:id="1664895077">
      <w:bodyDiv w:val="1"/>
      <w:marLeft w:val="0"/>
      <w:marRight w:val="0"/>
      <w:marTop w:val="0"/>
      <w:marBottom w:val="0"/>
      <w:divBdr>
        <w:top w:val="none" w:sz="0" w:space="0" w:color="auto"/>
        <w:left w:val="none" w:sz="0" w:space="0" w:color="auto"/>
        <w:bottom w:val="none" w:sz="0" w:space="0" w:color="auto"/>
        <w:right w:val="none" w:sz="0" w:space="0" w:color="auto"/>
      </w:divBdr>
    </w:div>
    <w:div w:id="1671180419">
      <w:bodyDiv w:val="1"/>
      <w:marLeft w:val="0"/>
      <w:marRight w:val="0"/>
      <w:marTop w:val="0"/>
      <w:marBottom w:val="0"/>
      <w:divBdr>
        <w:top w:val="none" w:sz="0" w:space="0" w:color="auto"/>
        <w:left w:val="none" w:sz="0" w:space="0" w:color="auto"/>
        <w:bottom w:val="none" w:sz="0" w:space="0" w:color="auto"/>
        <w:right w:val="none" w:sz="0" w:space="0" w:color="auto"/>
      </w:divBdr>
    </w:div>
    <w:div w:id="1671520838">
      <w:bodyDiv w:val="1"/>
      <w:marLeft w:val="0"/>
      <w:marRight w:val="0"/>
      <w:marTop w:val="0"/>
      <w:marBottom w:val="0"/>
      <w:divBdr>
        <w:top w:val="none" w:sz="0" w:space="0" w:color="auto"/>
        <w:left w:val="none" w:sz="0" w:space="0" w:color="auto"/>
        <w:bottom w:val="none" w:sz="0" w:space="0" w:color="auto"/>
        <w:right w:val="none" w:sz="0" w:space="0" w:color="auto"/>
      </w:divBdr>
    </w:div>
    <w:div w:id="1681393058">
      <w:bodyDiv w:val="1"/>
      <w:marLeft w:val="0"/>
      <w:marRight w:val="0"/>
      <w:marTop w:val="0"/>
      <w:marBottom w:val="0"/>
      <w:divBdr>
        <w:top w:val="none" w:sz="0" w:space="0" w:color="auto"/>
        <w:left w:val="none" w:sz="0" w:space="0" w:color="auto"/>
        <w:bottom w:val="none" w:sz="0" w:space="0" w:color="auto"/>
        <w:right w:val="none" w:sz="0" w:space="0" w:color="auto"/>
      </w:divBdr>
    </w:div>
    <w:div w:id="1689140317">
      <w:bodyDiv w:val="1"/>
      <w:marLeft w:val="0"/>
      <w:marRight w:val="0"/>
      <w:marTop w:val="0"/>
      <w:marBottom w:val="0"/>
      <w:divBdr>
        <w:top w:val="none" w:sz="0" w:space="0" w:color="auto"/>
        <w:left w:val="none" w:sz="0" w:space="0" w:color="auto"/>
        <w:bottom w:val="none" w:sz="0" w:space="0" w:color="auto"/>
        <w:right w:val="none" w:sz="0" w:space="0" w:color="auto"/>
      </w:divBdr>
    </w:div>
    <w:div w:id="1706439563">
      <w:bodyDiv w:val="1"/>
      <w:marLeft w:val="0"/>
      <w:marRight w:val="0"/>
      <w:marTop w:val="0"/>
      <w:marBottom w:val="0"/>
      <w:divBdr>
        <w:top w:val="none" w:sz="0" w:space="0" w:color="auto"/>
        <w:left w:val="none" w:sz="0" w:space="0" w:color="auto"/>
        <w:bottom w:val="none" w:sz="0" w:space="0" w:color="auto"/>
        <w:right w:val="none" w:sz="0" w:space="0" w:color="auto"/>
      </w:divBdr>
    </w:div>
    <w:div w:id="1710910836">
      <w:bodyDiv w:val="1"/>
      <w:marLeft w:val="0"/>
      <w:marRight w:val="0"/>
      <w:marTop w:val="0"/>
      <w:marBottom w:val="0"/>
      <w:divBdr>
        <w:top w:val="none" w:sz="0" w:space="0" w:color="auto"/>
        <w:left w:val="none" w:sz="0" w:space="0" w:color="auto"/>
        <w:bottom w:val="none" w:sz="0" w:space="0" w:color="auto"/>
        <w:right w:val="none" w:sz="0" w:space="0" w:color="auto"/>
      </w:divBdr>
    </w:div>
    <w:div w:id="1719624071">
      <w:bodyDiv w:val="1"/>
      <w:marLeft w:val="0"/>
      <w:marRight w:val="0"/>
      <w:marTop w:val="0"/>
      <w:marBottom w:val="0"/>
      <w:divBdr>
        <w:top w:val="none" w:sz="0" w:space="0" w:color="auto"/>
        <w:left w:val="none" w:sz="0" w:space="0" w:color="auto"/>
        <w:bottom w:val="none" w:sz="0" w:space="0" w:color="auto"/>
        <w:right w:val="none" w:sz="0" w:space="0" w:color="auto"/>
      </w:divBdr>
    </w:div>
    <w:div w:id="1729381744">
      <w:bodyDiv w:val="1"/>
      <w:marLeft w:val="0"/>
      <w:marRight w:val="0"/>
      <w:marTop w:val="0"/>
      <w:marBottom w:val="0"/>
      <w:divBdr>
        <w:top w:val="none" w:sz="0" w:space="0" w:color="auto"/>
        <w:left w:val="none" w:sz="0" w:space="0" w:color="auto"/>
        <w:bottom w:val="none" w:sz="0" w:space="0" w:color="auto"/>
        <w:right w:val="none" w:sz="0" w:space="0" w:color="auto"/>
      </w:divBdr>
    </w:div>
    <w:div w:id="1741517093">
      <w:bodyDiv w:val="1"/>
      <w:marLeft w:val="0"/>
      <w:marRight w:val="0"/>
      <w:marTop w:val="0"/>
      <w:marBottom w:val="0"/>
      <w:divBdr>
        <w:top w:val="none" w:sz="0" w:space="0" w:color="auto"/>
        <w:left w:val="none" w:sz="0" w:space="0" w:color="auto"/>
        <w:bottom w:val="none" w:sz="0" w:space="0" w:color="auto"/>
        <w:right w:val="none" w:sz="0" w:space="0" w:color="auto"/>
      </w:divBdr>
    </w:div>
    <w:div w:id="1751077651">
      <w:bodyDiv w:val="1"/>
      <w:marLeft w:val="0"/>
      <w:marRight w:val="0"/>
      <w:marTop w:val="0"/>
      <w:marBottom w:val="0"/>
      <w:divBdr>
        <w:top w:val="none" w:sz="0" w:space="0" w:color="auto"/>
        <w:left w:val="none" w:sz="0" w:space="0" w:color="auto"/>
        <w:bottom w:val="none" w:sz="0" w:space="0" w:color="auto"/>
        <w:right w:val="none" w:sz="0" w:space="0" w:color="auto"/>
      </w:divBdr>
    </w:div>
    <w:div w:id="1758674253">
      <w:bodyDiv w:val="1"/>
      <w:marLeft w:val="0"/>
      <w:marRight w:val="0"/>
      <w:marTop w:val="0"/>
      <w:marBottom w:val="0"/>
      <w:divBdr>
        <w:top w:val="none" w:sz="0" w:space="0" w:color="auto"/>
        <w:left w:val="none" w:sz="0" w:space="0" w:color="auto"/>
        <w:bottom w:val="none" w:sz="0" w:space="0" w:color="auto"/>
        <w:right w:val="none" w:sz="0" w:space="0" w:color="auto"/>
      </w:divBdr>
    </w:div>
    <w:div w:id="1801725552">
      <w:bodyDiv w:val="1"/>
      <w:marLeft w:val="0"/>
      <w:marRight w:val="0"/>
      <w:marTop w:val="0"/>
      <w:marBottom w:val="0"/>
      <w:divBdr>
        <w:top w:val="none" w:sz="0" w:space="0" w:color="auto"/>
        <w:left w:val="none" w:sz="0" w:space="0" w:color="auto"/>
        <w:bottom w:val="none" w:sz="0" w:space="0" w:color="auto"/>
        <w:right w:val="none" w:sz="0" w:space="0" w:color="auto"/>
      </w:divBdr>
    </w:div>
    <w:div w:id="1830124688">
      <w:bodyDiv w:val="1"/>
      <w:marLeft w:val="0"/>
      <w:marRight w:val="0"/>
      <w:marTop w:val="0"/>
      <w:marBottom w:val="0"/>
      <w:divBdr>
        <w:top w:val="none" w:sz="0" w:space="0" w:color="auto"/>
        <w:left w:val="none" w:sz="0" w:space="0" w:color="auto"/>
        <w:bottom w:val="none" w:sz="0" w:space="0" w:color="auto"/>
        <w:right w:val="none" w:sz="0" w:space="0" w:color="auto"/>
      </w:divBdr>
    </w:div>
    <w:div w:id="1835217178">
      <w:bodyDiv w:val="1"/>
      <w:marLeft w:val="0"/>
      <w:marRight w:val="0"/>
      <w:marTop w:val="0"/>
      <w:marBottom w:val="0"/>
      <w:divBdr>
        <w:top w:val="none" w:sz="0" w:space="0" w:color="auto"/>
        <w:left w:val="none" w:sz="0" w:space="0" w:color="auto"/>
        <w:bottom w:val="none" w:sz="0" w:space="0" w:color="auto"/>
        <w:right w:val="none" w:sz="0" w:space="0" w:color="auto"/>
      </w:divBdr>
    </w:div>
    <w:div w:id="1839886646">
      <w:bodyDiv w:val="1"/>
      <w:marLeft w:val="0"/>
      <w:marRight w:val="0"/>
      <w:marTop w:val="0"/>
      <w:marBottom w:val="0"/>
      <w:divBdr>
        <w:top w:val="none" w:sz="0" w:space="0" w:color="auto"/>
        <w:left w:val="none" w:sz="0" w:space="0" w:color="auto"/>
        <w:bottom w:val="none" w:sz="0" w:space="0" w:color="auto"/>
        <w:right w:val="none" w:sz="0" w:space="0" w:color="auto"/>
      </w:divBdr>
    </w:div>
    <w:div w:id="1844469782">
      <w:bodyDiv w:val="1"/>
      <w:marLeft w:val="0"/>
      <w:marRight w:val="0"/>
      <w:marTop w:val="0"/>
      <w:marBottom w:val="0"/>
      <w:divBdr>
        <w:top w:val="none" w:sz="0" w:space="0" w:color="auto"/>
        <w:left w:val="none" w:sz="0" w:space="0" w:color="auto"/>
        <w:bottom w:val="none" w:sz="0" w:space="0" w:color="auto"/>
        <w:right w:val="none" w:sz="0" w:space="0" w:color="auto"/>
      </w:divBdr>
    </w:div>
    <w:div w:id="1847360466">
      <w:bodyDiv w:val="1"/>
      <w:marLeft w:val="0"/>
      <w:marRight w:val="0"/>
      <w:marTop w:val="0"/>
      <w:marBottom w:val="0"/>
      <w:divBdr>
        <w:top w:val="none" w:sz="0" w:space="0" w:color="auto"/>
        <w:left w:val="none" w:sz="0" w:space="0" w:color="auto"/>
        <w:bottom w:val="none" w:sz="0" w:space="0" w:color="auto"/>
        <w:right w:val="none" w:sz="0" w:space="0" w:color="auto"/>
      </w:divBdr>
    </w:div>
    <w:div w:id="1849558382">
      <w:bodyDiv w:val="1"/>
      <w:marLeft w:val="0"/>
      <w:marRight w:val="0"/>
      <w:marTop w:val="0"/>
      <w:marBottom w:val="0"/>
      <w:divBdr>
        <w:top w:val="none" w:sz="0" w:space="0" w:color="auto"/>
        <w:left w:val="none" w:sz="0" w:space="0" w:color="auto"/>
        <w:bottom w:val="none" w:sz="0" w:space="0" w:color="auto"/>
        <w:right w:val="none" w:sz="0" w:space="0" w:color="auto"/>
      </w:divBdr>
    </w:div>
    <w:div w:id="1874733872">
      <w:bodyDiv w:val="1"/>
      <w:marLeft w:val="0"/>
      <w:marRight w:val="0"/>
      <w:marTop w:val="0"/>
      <w:marBottom w:val="0"/>
      <w:divBdr>
        <w:top w:val="none" w:sz="0" w:space="0" w:color="auto"/>
        <w:left w:val="none" w:sz="0" w:space="0" w:color="auto"/>
        <w:bottom w:val="none" w:sz="0" w:space="0" w:color="auto"/>
        <w:right w:val="none" w:sz="0" w:space="0" w:color="auto"/>
      </w:divBdr>
    </w:div>
    <w:div w:id="1886478242">
      <w:bodyDiv w:val="1"/>
      <w:marLeft w:val="0"/>
      <w:marRight w:val="0"/>
      <w:marTop w:val="0"/>
      <w:marBottom w:val="0"/>
      <w:divBdr>
        <w:top w:val="none" w:sz="0" w:space="0" w:color="auto"/>
        <w:left w:val="none" w:sz="0" w:space="0" w:color="auto"/>
        <w:bottom w:val="none" w:sz="0" w:space="0" w:color="auto"/>
        <w:right w:val="none" w:sz="0" w:space="0" w:color="auto"/>
      </w:divBdr>
    </w:div>
    <w:div w:id="1891530432">
      <w:bodyDiv w:val="1"/>
      <w:marLeft w:val="0"/>
      <w:marRight w:val="0"/>
      <w:marTop w:val="0"/>
      <w:marBottom w:val="0"/>
      <w:divBdr>
        <w:top w:val="none" w:sz="0" w:space="0" w:color="auto"/>
        <w:left w:val="none" w:sz="0" w:space="0" w:color="auto"/>
        <w:bottom w:val="none" w:sz="0" w:space="0" w:color="auto"/>
        <w:right w:val="none" w:sz="0" w:space="0" w:color="auto"/>
      </w:divBdr>
    </w:div>
    <w:div w:id="1902252821">
      <w:bodyDiv w:val="1"/>
      <w:marLeft w:val="0"/>
      <w:marRight w:val="0"/>
      <w:marTop w:val="0"/>
      <w:marBottom w:val="0"/>
      <w:divBdr>
        <w:top w:val="none" w:sz="0" w:space="0" w:color="auto"/>
        <w:left w:val="none" w:sz="0" w:space="0" w:color="auto"/>
        <w:bottom w:val="none" w:sz="0" w:space="0" w:color="auto"/>
        <w:right w:val="none" w:sz="0" w:space="0" w:color="auto"/>
      </w:divBdr>
    </w:div>
    <w:div w:id="1929997441">
      <w:bodyDiv w:val="1"/>
      <w:marLeft w:val="0"/>
      <w:marRight w:val="0"/>
      <w:marTop w:val="0"/>
      <w:marBottom w:val="0"/>
      <w:divBdr>
        <w:top w:val="none" w:sz="0" w:space="0" w:color="auto"/>
        <w:left w:val="none" w:sz="0" w:space="0" w:color="auto"/>
        <w:bottom w:val="none" w:sz="0" w:space="0" w:color="auto"/>
        <w:right w:val="none" w:sz="0" w:space="0" w:color="auto"/>
      </w:divBdr>
    </w:div>
    <w:div w:id="1964656039">
      <w:bodyDiv w:val="1"/>
      <w:marLeft w:val="0"/>
      <w:marRight w:val="0"/>
      <w:marTop w:val="0"/>
      <w:marBottom w:val="0"/>
      <w:divBdr>
        <w:top w:val="none" w:sz="0" w:space="0" w:color="auto"/>
        <w:left w:val="none" w:sz="0" w:space="0" w:color="auto"/>
        <w:bottom w:val="none" w:sz="0" w:space="0" w:color="auto"/>
        <w:right w:val="none" w:sz="0" w:space="0" w:color="auto"/>
      </w:divBdr>
    </w:div>
    <w:div w:id="1984768501">
      <w:bodyDiv w:val="1"/>
      <w:marLeft w:val="0"/>
      <w:marRight w:val="0"/>
      <w:marTop w:val="0"/>
      <w:marBottom w:val="0"/>
      <w:divBdr>
        <w:top w:val="none" w:sz="0" w:space="0" w:color="auto"/>
        <w:left w:val="none" w:sz="0" w:space="0" w:color="auto"/>
        <w:bottom w:val="none" w:sz="0" w:space="0" w:color="auto"/>
        <w:right w:val="none" w:sz="0" w:space="0" w:color="auto"/>
      </w:divBdr>
    </w:div>
    <w:div w:id="1995525335">
      <w:bodyDiv w:val="1"/>
      <w:marLeft w:val="0"/>
      <w:marRight w:val="0"/>
      <w:marTop w:val="0"/>
      <w:marBottom w:val="0"/>
      <w:divBdr>
        <w:top w:val="none" w:sz="0" w:space="0" w:color="auto"/>
        <w:left w:val="none" w:sz="0" w:space="0" w:color="auto"/>
        <w:bottom w:val="none" w:sz="0" w:space="0" w:color="auto"/>
        <w:right w:val="none" w:sz="0" w:space="0" w:color="auto"/>
      </w:divBdr>
    </w:div>
    <w:div w:id="2012369466">
      <w:bodyDiv w:val="1"/>
      <w:marLeft w:val="0"/>
      <w:marRight w:val="0"/>
      <w:marTop w:val="0"/>
      <w:marBottom w:val="0"/>
      <w:divBdr>
        <w:top w:val="none" w:sz="0" w:space="0" w:color="auto"/>
        <w:left w:val="none" w:sz="0" w:space="0" w:color="auto"/>
        <w:bottom w:val="none" w:sz="0" w:space="0" w:color="auto"/>
        <w:right w:val="none" w:sz="0" w:space="0" w:color="auto"/>
      </w:divBdr>
    </w:div>
    <w:div w:id="2018925334">
      <w:bodyDiv w:val="1"/>
      <w:marLeft w:val="0"/>
      <w:marRight w:val="0"/>
      <w:marTop w:val="0"/>
      <w:marBottom w:val="0"/>
      <w:divBdr>
        <w:top w:val="none" w:sz="0" w:space="0" w:color="auto"/>
        <w:left w:val="none" w:sz="0" w:space="0" w:color="auto"/>
        <w:bottom w:val="none" w:sz="0" w:space="0" w:color="auto"/>
        <w:right w:val="none" w:sz="0" w:space="0" w:color="auto"/>
      </w:divBdr>
    </w:div>
    <w:div w:id="2019574667">
      <w:bodyDiv w:val="1"/>
      <w:marLeft w:val="0"/>
      <w:marRight w:val="0"/>
      <w:marTop w:val="0"/>
      <w:marBottom w:val="0"/>
      <w:divBdr>
        <w:top w:val="none" w:sz="0" w:space="0" w:color="auto"/>
        <w:left w:val="none" w:sz="0" w:space="0" w:color="auto"/>
        <w:bottom w:val="none" w:sz="0" w:space="0" w:color="auto"/>
        <w:right w:val="none" w:sz="0" w:space="0" w:color="auto"/>
      </w:divBdr>
    </w:div>
    <w:div w:id="2030256916">
      <w:bodyDiv w:val="1"/>
      <w:marLeft w:val="0"/>
      <w:marRight w:val="0"/>
      <w:marTop w:val="0"/>
      <w:marBottom w:val="0"/>
      <w:divBdr>
        <w:top w:val="none" w:sz="0" w:space="0" w:color="auto"/>
        <w:left w:val="none" w:sz="0" w:space="0" w:color="auto"/>
        <w:bottom w:val="none" w:sz="0" w:space="0" w:color="auto"/>
        <w:right w:val="none" w:sz="0" w:space="0" w:color="auto"/>
      </w:divBdr>
    </w:div>
    <w:div w:id="2039042734">
      <w:bodyDiv w:val="1"/>
      <w:marLeft w:val="0"/>
      <w:marRight w:val="0"/>
      <w:marTop w:val="0"/>
      <w:marBottom w:val="0"/>
      <w:divBdr>
        <w:top w:val="none" w:sz="0" w:space="0" w:color="auto"/>
        <w:left w:val="none" w:sz="0" w:space="0" w:color="auto"/>
        <w:bottom w:val="none" w:sz="0" w:space="0" w:color="auto"/>
        <w:right w:val="none" w:sz="0" w:space="0" w:color="auto"/>
      </w:divBdr>
    </w:div>
    <w:div w:id="2039354881">
      <w:bodyDiv w:val="1"/>
      <w:marLeft w:val="0"/>
      <w:marRight w:val="0"/>
      <w:marTop w:val="0"/>
      <w:marBottom w:val="0"/>
      <w:divBdr>
        <w:top w:val="none" w:sz="0" w:space="0" w:color="auto"/>
        <w:left w:val="none" w:sz="0" w:space="0" w:color="auto"/>
        <w:bottom w:val="none" w:sz="0" w:space="0" w:color="auto"/>
        <w:right w:val="none" w:sz="0" w:space="0" w:color="auto"/>
      </w:divBdr>
    </w:div>
    <w:div w:id="2051033001">
      <w:bodyDiv w:val="1"/>
      <w:marLeft w:val="0"/>
      <w:marRight w:val="0"/>
      <w:marTop w:val="0"/>
      <w:marBottom w:val="0"/>
      <w:divBdr>
        <w:top w:val="none" w:sz="0" w:space="0" w:color="auto"/>
        <w:left w:val="none" w:sz="0" w:space="0" w:color="auto"/>
        <w:bottom w:val="none" w:sz="0" w:space="0" w:color="auto"/>
        <w:right w:val="none" w:sz="0" w:space="0" w:color="auto"/>
      </w:divBdr>
    </w:div>
    <w:div w:id="2059667519">
      <w:bodyDiv w:val="1"/>
      <w:marLeft w:val="0"/>
      <w:marRight w:val="0"/>
      <w:marTop w:val="0"/>
      <w:marBottom w:val="0"/>
      <w:divBdr>
        <w:top w:val="none" w:sz="0" w:space="0" w:color="auto"/>
        <w:left w:val="none" w:sz="0" w:space="0" w:color="auto"/>
        <w:bottom w:val="none" w:sz="0" w:space="0" w:color="auto"/>
        <w:right w:val="none" w:sz="0" w:space="0" w:color="auto"/>
      </w:divBdr>
    </w:div>
    <w:div w:id="2068069858">
      <w:bodyDiv w:val="1"/>
      <w:marLeft w:val="0"/>
      <w:marRight w:val="0"/>
      <w:marTop w:val="0"/>
      <w:marBottom w:val="0"/>
      <w:divBdr>
        <w:top w:val="none" w:sz="0" w:space="0" w:color="auto"/>
        <w:left w:val="none" w:sz="0" w:space="0" w:color="auto"/>
        <w:bottom w:val="none" w:sz="0" w:space="0" w:color="auto"/>
        <w:right w:val="none" w:sz="0" w:space="0" w:color="auto"/>
      </w:divBdr>
    </w:div>
    <w:div w:id="2070224303">
      <w:bodyDiv w:val="1"/>
      <w:marLeft w:val="0"/>
      <w:marRight w:val="0"/>
      <w:marTop w:val="0"/>
      <w:marBottom w:val="0"/>
      <w:divBdr>
        <w:top w:val="none" w:sz="0" w:space="0" w:color="auto"/>
        <w:left w:val="none" w:sz="0" w:space="0" w:color="auto"/>
        <w:bottom w:val="none" w:sz="0" w:space="0" w:color="auto"/>
        <w:right w:val="none" w:sz="0" w:space="0" w:color="auto"/>
      </w:divBdr>
    </w:div>
    <w:div w:id="2076001366">
      <w:bodyDiv w:val="1"/>
      <w:marLeft w:val="0"/>
      <w:marRight w:val="0"/>
      <w:marTop w:val="0"/>
      <w:marBottom w:val="0"/>
      <w:divBdr>
        <w:top w:val="none" w:sz="0" w:space="0" w:color="auto"/>
        <w:left w:val="none" w:sz="0" w:space="0" w:color="auto"/>
        <w:bottom w:val="none" w:sz="0" w:space="0" w:color="auto"/>
        <w:right w:val="none" w:sz="0" w:space="0" w:color="auto"/>
      </w:divBdr>
    </w:div>
    <w:div w:id="2078938502">
      <w:bodyDiv w:val="1"/>
      <w:marLeft w:val="0"/>
      <w:marRight w:val="0"/>
      <w:marTop w:val="0"/>
      <w:marBottom w:val="0"/>
      <w:divBdr>
        <w:top w:val="none" w:sz="0" w:space="0" w:color="auto"/>
        <w:left w:val="none" w:sz="0" w:space="0" w:color="auto"/>
        <w:bottom w:val="none" w:sz="0" w:space="0" w:color="auto"/>
        <w:right w:val="none" w:sz="0" w:space="0" w:color="auto"/>
      </w:divBdr>
    </w:div>
    <w:div w:id="2080394638">
      <w:bodyDiv w:val="1"/>
      <w:marLeft w:val="0"/>
      <w:marRight w:val="0"/>
      <w:marTop w:val="0"/>
      <w:marBottom w:val="0"/>
      <w:divBdr>
        <w:top w:val="none" w:sz="0" w:space="0" w:color="auto"/>
        <w:left w:val="none" w:sz="0" w:space="0" w:color="auto"/>
        <w:bottom w:val="none" w:sz="0" w:space="0" w:color="auto"/>
        <w:right w:val="none" w:sz="0" w:space="0" w:color="auto"/>
      </w:divBdr>
    </w:div>
    <w:div w:id="2099251866">
      <w:bodyDiv w:val="1"/>
      <w:marLeft w:val="0"/>
      <w:marRight w:val="0"/>
      <w:marTop w:val="0"/>
      <w:marBottom w:val="0"/>
      <w:divBdr>
        <w:top w:val="none" w:sz="0" w:space="0" w:color="auto"/>
        <w:left w:val="none" w:sz="0" w:space="0" w:color="auto"/>
        <w:bottom w:val="none" w:sz="0" w:space="0" w:color="auto"/>
        <w:right w:val="none" w:sz="0" w:space="0" w:color="auto"/>
      </w:divBdr>
    </w:div>
    <w:div w:id="2104832962">
      <w:bodyDiv w:val="1"/>
      <w:marLeft w:val="0"/>
      <w:marRight w:val="0"/>
      <w:marTop w:val="0"/>
      <w:marBottom w:val="0"/>
      <w:divBdr>
        <w:top w:val="none" w:sz="0" w:space="0" w:color="auto"/>
        <w:left w:val="none" w:sz="0" w:space="0" w:color="auto"/>
        <w:bottom w:val="none" w:sz="0" w:space="0" w:color="auto"/>
        <w:right w:val="none" w:sz="0" w:space="0" w:color="auto"/>
      </w:divBdr>
    </w:div>
    <w:div w:id="2105756552">
      <w:bodyDiv w:val="1"/>
      <w:marLeft w:val="0"/>
      <w:marRight w:val="0"/>
      <w:marTop w:val="0"/>
      <w:marBottom w:val="0"/>
      <w:divBdr>
        <w:top w:val="none" w:sz="0" w:space="0" w:color="auto"/>
        <w:left w:val="none" w:sz="0" w:space="0" w:color="auto"/>
        <w:bottom w:val="none" w:sz="0" w:space="0" w:color="auto"/>
        <w:right w:val="none" w:sz="0" w:space="0" w:color="auto"/>
      </w:divBdr>
    </w:div>
    <w:div w:id="2115400896">
      <w:bodyDiv w:val="1"/>
      <w:marLeft w:val="0"/>
      <w:marRight w:val="0"/>
      <w:marTop w:val="0"/>
      <w:marBottom w:val="0"/>
      <w:divBdr>
        <w:top w:val="none" w:sz="0" w:space="0" w:color="auto"/>
        <w:left w:val="none" w:sz="0" w:space="0" w:color="auto"/>
        <w:bottom w:val="none" w:sz="0" w:space="0" w:color="auto"/>
        <w:right w:val="none" w:sz="0" w:space="0" w:color="auto"/>
      </w:divBdr>
    </w:div>
    <w:div w:id="2119635221">
      <w:bodyDiv w:val="1"/>
      <w:marLeft w:val="0"/>
      <w:marRight w:val="0"/>
      <w:marTop w:val="0"/>
      <w:marBottom w:val="0"/>
      <w:divBdr>
        <w:top w:val="none" w:sz="0" w:space="0" w:color="auto"/>
        <w:left w:val="none" w:sz="0" w:space="0" w:color="auto"/>
        <w:bottom w:val="none" w:sz="0" w:space="0" w:color="auto"/>
        <w:right w:val="none" w:sz="0" w:space="0" w:color="auto"/>
      </w:divBdr>
    </w:div>
    <w:div w:id="2121223242">
      <w:bodyDiv w:val="1"/>
      <w:marLeft w:val="0"/>
      <w:marRight w:val="0"/>
      <w:marTop w:val="0"/>
      <w:marBottom w:val="0"/>
      <w:divBdr>
        <w:top w:val="none" w:sz="0" w:space="0" w:color="auto"/>
        <w:left w:val="none" w:sz="0" w:space="0" w:color="auto"/>
        <w:bottom w:val="none" w:sz="0" w:space="0" w:color="auto"/>
        <w:right w:val="none" w:sz="0" w:space="0" w:color="auto"/>
      </w:divBdr>
    </w:div>
    <w:div w:id="2125079738">
      <w:bodyDiv w:val="1"/>
      <w:marLeft w:val="0"/>
      <w:marRight w:val="0"/>
      <w:marTop w:val="0"/>
      <w:marBottom w:val="0"/>
      <w:divBdr>
        <w:top w:val="none" w:sz="0" w:space="0" w:color="auto"/>
        <w:left w:val="none" w:sz="0" w:space="0" w:color="auto"/>
        <w:bottom w:val="none" w:sz="0" w:space="0" w:color="auto"/>
        <w:right w:val="none" w:sz="0" w:space="0" w:color="auto"/>
      </w:divBdr>
    </w:div>
    <w:div w:id="2127045995">
      <w:bodyDiv w:val="1"/>
      <w:marLeft w:val="0"/>
      <w:marRight w:val="0"/>
      <w:marTop w:val="0"/>
      <w:marBottom w:val="0"/>
      <w:divBdr>
        <w:top w:val="none" w:sz="0" w:space="0" w:color="auto"/>
        <w:left w:val="none" w:sz="0" w:space="0" w:color="auto"/>
        <w:bottom w:val="none" w:sz="0" w:space="0" w:color="auto"/>
        <w:right w:val="none" w:sz="0" w:space="0" w:color="auto"/>
      </w:divBdr>
    </w:div>
    <w:div w:id="2127573912">
      <w:bodyDiv w:val="1"/>
      <w:marLeft w:val="0"/>
      <w:marRight w:val="0"/>
      <w:marTop w:val="0"/>
      <w:marBottom w:val="0"/>
      <w:divBdr>
        <w:top w:val="none" w:sz="0" w:space="0" w:color="auto"/>
        <w:left w:val="none" w:sz="0" w:space="0" w:color="auto"/>
        <w:bottom w:val="none" w:sz="0" w:space="0" w:color="auto"/>
        <w:right w:val="none" w:sz="0" w:space="0" w:color="auto"/>
      </w:divBdr>
    </w:div>
    <w:div w:id="2137719580">
      <w:bodyDiv w:val="1"/>
      <w:marLeft w:val="0"/>
      <w:marRight w:val="0"/>
      <w:marTop w:val="0"/>
      <w:marBottom w:val="0"/>
      <w:divBdr>
        <w:top w:val="none" w:sz="0" w:space="0" w:color="auto"/>
        <w:left w:val="none" w:sz="0" w:space="0" w:color="auto"/>
        <w:bottom w:val="none" w:sz="0" w:space="0" w:color="auto"/>
        <w:right w:val="none" w:sz="0" w:space="0" w:color="auto"/>
      </w:divBdr>
    </w:div>
    <w:div w:id="21466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DFB44-B6A8-43D8-B9E6-16498ACAA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6410</Words>
  <Characters>35257</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41584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Sharon Yanelli Lara Medrano</cp:lastModifiedBy>
  <cp:revision>2</cp:revision>
  <cp:lastPrinted>2021-04-06T20:24:00Z</cp:lastPrinted>
  <dcterms:created xsi:type="dcterms:W3CDTF">2021-04-23T21:06:00Z</dcterms:created>
  <dcterms:modified xsi:type="dcterms:W3CDTF">2021-04-23T21:06:00Z</dcterms:modified>
</cp:coreProperties>
</file>