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F6" w:rsidRPr="00303A88" w:rsidRDefault="00242BF6" w:rsidP="00242BF6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Indicadores de Resultados</w:t>
      </w:r>
    </w:p>
    <w:p w:rsidR="00242BF6" w:rsidRPr="00303A88" w:rsidRDefault="00242BF6" w:rsidP="00242BF6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Al 3</w:t>
      </w:r>
      <w:r w:rsidR="00775DD9">
        <w:rPr>
          <w:rFonts w:ascii="Barlow" w:hAnsi="Barlow" w:cs="Arial"/>
          <w:b/>
          <w:sz w:val="20"/>
          <w:szCs w:val="20"/>
        </w:rPr>
        <w:t>1 de marzo de 2021</w:t>
      </w:r>
    </w:p>
    <w:p w:rsidR="00242BF6" w:rsidRPr="00303A88" w:rsidRDefault="00242BF6" w:rsidP="00242BF6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(</w:t>
      </w:r>
      <w:r w:rsidR="00B43B76">
        <w:rPr>
          <w:rFonts w:ascii="Barlow" w:hAnsi="Barlow" w:cs="Arial"/>
          <w:b/>
          <w:sz w:val="20"/>
          <w:szCs w:val="20"/>
        </w:rPr>
        <w:t xml:space="preserve">Cifras en </w:t>
      </w:r>
      <w:r w:rsidRPr="00303A88">
        <w:rPr>
          <w:rFonts w:ascii="Barlow" w:hAnsi="Barlow" w:cs="Arial"/>
          <w:b/>
          <w:sz w:val="20"/>
          <w:szCs w:val="20"/>
        </w:rPr>
        <w:t>Pesos)</w:t>
      </w:r>
    </w:p>
    <w:p w:rsidR="00242BF6" w:rsidRPr="00303A88" w:rsidRDefault="00242BF6" w:rsidP="00242BF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Ente Público:  HOSPITAL COMUNITARIO DE PETO, YUCATÁN</w:t>
      </w:r>
    </w:p>
    <w:tbl>
      <w:tblPr>
        <w:tblW w:w="15560" w:type="dxa"/>
        <w:tblInd w:w="-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26"/>
        <w:gridCol w:w="618"/>
        <w:gridCol w:w="619"/>
        <w:gridCol w:w="616"/>
        <w:gridCol w:w="616"/>
        <w:gridCol w:w="617"/>
        <w:gridCol w:w="455"/>
        <w:gridCol w:w="919"/>
        <w:gridCol w:w="517"/>
        <w:gridCol w:w="1253"/>
        <w:gridCol w:w="710"/>
        <w:gridCol w:w="617"/>
        <w:gridCol w:w="824"/>
        <w:gridCol w:w="1913"/>
        <w:gridCol w:w="620"/>
        <w:gridCol w:w="620"/>
        <w:gridCol w:w="720"/>
        <w:gridCol w:w="620"/>
        <w:gridCol w:w="720"/>
        <w:gridCol w:w="720"/>
      </w:tblGrid>
      <w:tr w:rsidR="002528F5" w:rsidRPr="00956569" w:rsidTr="002528F5">
        <w:trPr>
          <w:trHeight w:val="165"/>
        </w:trPr>
        <w:tc>
          <w:tcPr>
            <w:tcW w:w="420" w:type="dxa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FFD44A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N°</w:t>
            </w:r>
          </w:p>
        </w:tc>
        <w:tc>
          <w:tcPr>
            <w:tcW w:w="826" w:type="dxa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FFD44A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80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Nombre del PP</w:t>
            </w:r>
          </w:p>
        </w:tc>
        <w:tc>
          <w:tcPr>
            <w:tcW w:w="618" w:type="dxa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FFD44A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Dependencia o Entidad Responsable:</w:t>
            </w:r>
          </w:p>
        </w:tc>
        <w:tc>
          <w:tcPr>
            <w:tcW w:w="619" w:type="dxa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FFD44A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Instituciones corresponsabl es:</w:t>
            </w:r>
          </w:p>
        </w:tc>
        <w:tc>
          <w:tcPr>
            <w:tcW w:w="616" w:type="dxa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FFD44A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Subfunción:</w:t>
            </w:r>
          </w:p>
        </w:tc>
        <w:tc>
          <w:tcPr>
            <w:tcW w:w="616" w:type="dxa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FFD44A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Ámbito de Desempeño</w:t>
            </w:r>
          </w:p>
        </w:tc>
        <w:tc>
          <w:tcPr>
            <w:tcW w:w="617" w:type="dxa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FFD44A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80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Resumen Narrativo</w:t>
            </w:r>
          </w:p>
        </w:tc>
        <w:tc>
          <w:tcPr>
            <w:tcW w:w="3144" w:type="dxa"/>
            <w:gridSpan w:val="4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FFD44A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1"/>
                <w:szCs w:val="11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i/>
                <w:iCs/>
                <w:sz w:val="11"/>
                <w:szCs w:val="11"/>
                <w:lang w:eastAsia="es-MX"/>
              </w:rPr>
              <w:t>Indicadores</w:t>
            </w:r>
          </w:p>
        </w:tc>
        <w:tc>
          <w:tcPr>
            <w:tcW w:w="4064" w:type="dxa"/>
            <w:gridSpan w:val="4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D0CECE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0"/>
                <w:szCs w:val="10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i/>
                <w:iCs/>
                <w:sz w:val="10"/>
                <w:szCs w:val="10"/>
                <w:lang w:eastAsia="es-MX"/>
              </w:rPr>
              <w:t>Atributos del Indicador</w:t>
            </w:r>
          </w:p>
        </w:tc>
        <w:tc>
          <w:tcPr>
            <w:tcW w:w="620" w:type="dxa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FFD44A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80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Línea Base</w:t>
            </w:r>
          </w:p>
        </w:tc>
        <w:tc>
          <w:tcPr>
            <w:tcW w:w="620" w:type="dxa"/>
            <w:vMerge w:val="restart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000000" w:fill="FFD44A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Meta</w:t>
            </w:r>
          </w:p>
        </w:tc>
        <w:tc>
          <w:tcPr>
            <w:tcW w:w="2060" w:type="dxa"/>
            <w:gridSpan w:val="3"/>
            <w:tcBorders>
              <w:top w:val="single" w:sz="4" w:space="0" w:color="006FC0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538234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Bodoni MT" w:eastAsia="Times New Roman" w:hAnsi="Bodoni MT"/>
                <w:b/>
                <w:bCs/>
                <w:sz w:val="12"/>
                <w:szCs w:val="12"/>
                <w:lang w:eastAsia="es-MX"/>
              </w:rPr>
            </w:pPr>
            <w:r w:rsidRPr="00956569">
              <w:rPr>
                <w:rFonts w:ascii="Bodoni MT" w:eastAsia="Times New Roman" w:hAnsi="Bodoni MT"/>
                <w:b/>
                <w:bCs/>
                <w:color w:val="001F5F"/>
                <w:sz w:val="12"/>
                <w:szCs w:val="12"/>
                <w:lang w:eastAsia="es-MX"/>
              </w:rPr>
              <w:t>INFORME   DE   AVANCE</w:t>
            </w:r>
          </w:p>
        </w:tc>
        <w:tc>
          <w:tcPr>
            <w:tcW w:w="720" w:type="dxa"/>
            <w:tcBorders>
              <w:top w:val="single" w:sz="4" w:space="0" w:color="006FC0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538234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165"/>
        </w:trPr>
        <w:tc>
          <w:tcPr>
            <w:tcW w:w="420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3144" w:type="dxa"/>
            <w:gridSpan w:val="4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1"/>
                <w:szCs w:val="11"/>
                <w:lang w:eastAsia="es-MX"/>
              </w:rPr>
            </w:pPr>
          </w:p>
        </w:tc>
        <w:tc>
          <w:tcPr>
            <w:tcW w:w="4064" w:type="dxa"/>
            <w:gridSpan w:val="4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0"/>
                <w:szCs w:val="10"/>
                <w:lang w:eastAsia="es-MX"/>
              </w:rPr>
            </w:pPr>
          </w:p>
        </w:tc>
        <w:tc>
          <w:tcPr>
            <w:tcW w:w="620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20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006FC0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C6E0B4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500" w:firstLine="500"/>
              <w:rPr>
                <w:rFonts w:eastAsia="Times New Roman" w:cs="Calibri"/>
                <w:b/>
                <w:bCs/>
                <w:sz w:val="10"/>
                <w:szCs w:val="10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color w:val="252525"/>
                <w:sz w:val="10"/>
                <w:szCs w:val="10"/>
                <w:lang w:eastAsia="es-MX"/>
              </w:rPr>
              <w:t>TRIMESTRE INDIVIDUAL</w:t>
            </w:r>
          </w:p>
        </w:tc>
      </w:tr>
      <w:tr w:rsidR="002528F5" w:rsidRPr="00956569" w:rsidTr="002528F5">
        <w:trPr>
          <w:trHeight w:val="270"/>
        </w:trPr>
        <w:tc>
          <w:tcPr>
            <w:tcW w:w="420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FFD44A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#</w:t>
            </w: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br/>
              <w:t>Indicador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FFD44A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Nombre del Indicador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FFD44A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Unidad de</w:t>
            </w: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br/>
              <w:t>medida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FFD44A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80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  <w:t>Medios de Verificación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D0CECE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  <w:t>Periodicidad del Cálculo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D0CECE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  <w:t>Tendencia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D0CECE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jc w:val="right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  <w:t>Fórmula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D0CECE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  <w:t>Variables</w:t>
            </w:r>
          </w:p>
        </w:tc>
        <w:tc>
          <w:tcPr>
            <w:tcW w:w="620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620" w:type="dxa"/>
            <w:vMerge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8"/>
                <w:szCs w:val="8"/>
                <w:lang w:eastAsia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C6E0B4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i/>
                <w:i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i/>
                <w:iCs/>
                <w:sz w:val="7"/>
                <w:szCs w:val="7"/>
                <w:lang w:eastAsia="es-MX"/>
              </w:rPr>
              <w:t>PRIMERO ENE-MZO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C6E0B4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i/>
                <w:i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i/>
                <w:iCs/>
                <w:sz w:val="7"/>
                <w:szCs w:val="7"/>
                <w:lang w:eastAsia="es-MX"/>
              </w:rPr>
              <w:t>SEGUNDO ABR-JUN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C6E0B4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i/>
                <w:i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i/>
                <w:iCs/>
                <w:sz w:val="7"/>
                <w:szCs w:val="7"/>
                <w:lang w:eastAsia="es-MX"/>
              </w:rPr>
              <w:t>TERCERO JUL-SEP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C6E0B4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i/>
                <w:i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i/>
                <w:iCs/>
                <w:sz w:val="7"/>
                <w:szCs w:val="7"/>
                <w:lang w:eastAsia="es-MX"/>
              </w:rPr>
              <w:t>CUARTO OCT-DIC</w:t>
            </w:r>
          </w:p>
        </w:tc>
      </w:tr>
      <w:tr w:rsidR="002528F5" w:rsidRPr="00956569" w:rsidTr="002528F5">
        <w:trPr>
          <w:trHeight w:val="1234"/>
        </w:trPr>
        <w:tc>
          <w:tcPr>
            <w:tcW w:w="420" w:type="dxa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Administración y Control de los Recursos Humanos, Financieros y Materiales del Hospital Comunitario de Peto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HOSPITAL COMUNITARIO DE PETO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NA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02.06.03.04 Rectoría del Sistema de Salud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  <w:t>Fin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Mejorar la condición de salud de la población en el Estado mediante la identificación de factores de riesgo que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disminuya las muertes maternas.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Índice general de avance en Tasa de Mortalidad y Morbilidad en Yucatán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NA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1/ Cubos dinámicos de defunciones de la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Dirección General de Información en Salud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Dirección General de Información en Salud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Secretaría de Salud (SS). Instituto Nacional de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Estadística y Geografía (INEGI).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2/ Proyecciones de la Población de México y de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las Entidades Federativas, 2016-2050 Nacional de Población (CONAPO)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jc w:val="right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(B/C)*100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Índice general de avance en Tasa de Mortalidad y Morbilidad en Yucatán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195"/>
        </w:trPr>
        <w:tc>
          <w:tcPr>
            <w:tcW w:w="420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202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Administración y Control de los Recursos Humanos, Financieros y Materiales del Hospital Comunitario de Peto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HOSPITAL COMUNITARIO DE PETO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NA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02.06.03.04 Rectoría del Sistema de Salud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  <w:t>Propósito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Las mujeres de 12 a 49 años reducen el riesgo de morir durante el embarazo, parto y puerperio.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21,049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Tasa de mortalidad materna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Porcentaje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hyperlink r:id="rId6" w:history="1">
              <w:r w:rsidRPr="00956569">
                <w:rPr>
                  <w:rFonts w:eastAsia="Times New Roman" w:cs="Calibri"/>
                  <w:sz w:val="7"/>
                  <w:szCs w:val="7"/>
                  <w:lang w:eastAsia="es-MX"/>
                </w:rPr>
                <w:t>Cubos dinámicos de defunciones y de nacimientos. Dirección General de Información en Salud. Secretaría de Salud (SS). http://www.dgis.salud.gob.mx</w:t>
              </w:r>
            </w:hyperlink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Anual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Descendente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(B/C)*100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Tasa de mortalidad materna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sz w:val="8"/>
                <w:szCs w:val="8"/>
                <w:lang w:eastAsia="es-MX"/>
              </w:rPr>
              <w:t>#¡DIV/0!</w:t>
            </w:r>
          </w:p>
        </w:tc>
      </w:tr>
      <w:tr w:rsidR="002528F5" w:rsidRPr="00956569" w:rsidTr="002528F5">
        <w:trPr>
          <w:trHeight w:val="165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Total de metas cumplidas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24.72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28.36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154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Total de metas establecidas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24.72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28.36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165"/>
        </w:trPr>
        <w:tc>
          <w:tcPr>
            <w:tcW w:w="420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202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Administración y Control de los Recursos Humanos, Financieros y Materiales del Hospital Comunitario de Peto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HOSPITAL COMUNITARIO DE PETO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NA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02.06.03.04 Rectoría del Sistema de Salud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  <w:t>Componente: 1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Atención médica por personal calificado en obstetricia otorgada.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21,865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Promedio de partos en el trimestre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Porcentaje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1/ Sistema de Información en Salud Departamento de Información en Salud y Evaluación. Dirección de Planeación y Desarrollo Servicios de Salud de Yucatán (SSY) 2/ Sistema de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Información en Salud Departamento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Trimestral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Ascendente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(B/C)*100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Promedio de partos en el trimestre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17.83333333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24.5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sz w:val="8"/>
                <w:szCs w:val="8"/>
                <w:lang w:eastAsia="es-MX"/>
              </w:rPr>
              <w:t>#¡DIV/0!</w:t>
            </w:r>
          </w:p>
        </w:tc>
      </w:tr>
      <w:tr w:rsidR="002528F5" w:rsidRPr="00956569" w:rsidTr="002528F5">
        <w:trPr>
          <w:trHeight w:val="177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B: Numero partos realizados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294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199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C: Numero meta de partos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1200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1200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195"/>
        </w:trPr>
        <w:tc>
          <w:tcPr>
            <w:tcW w:w="420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202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Administración y Control de los Recursos Humanos, Financieros y Materiales del Hospital Comunitario de Peto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HOSPITAL COMUNITARIO DE PETO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NA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02.06.03.04 Rectoría del Sistema de Salud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  <w:t>Componente: 2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Consultas durante el embarazo y el puerperio otorgadas.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21,865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Porcentaje de consultas de especialidad en el trimestre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Porcentaje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1/ Sistema de Información en Salud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Departamento de Información en Salud y Evaluación. Dirección de Planeación y Desarrollo Servicios de Salud de Yucatán (SSY)  2/ Sistema de Información en Salud Departamento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Trimestral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Ascendente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(B/C)*100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Porcentaje de consultas de especialidad en el trimestre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16.19230769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19.25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sz w:val="8"/>
                <w:szCs w:val="8"/>
                <w:lang w:eastAsia="es-MX"/>
              </w:rPr>
              <w:t>#¡DIV/0!</w:t>
            </w:r>
          </w:p>
        </w:tc>
      </w:tr>
      <w:tr w:rsidR="002528F5" w:rsidRPr="00956569" w:rsidTr="002528F5">
        <w:trPr>
          <w:trHeight w:val="180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B: Numero de consultas de especialidad otorgadas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842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5200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177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C: Número meta de consultas de especialidad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5200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5200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5200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5200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5200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bottom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240"/>
        </w:trPr>
        <w:tc>
          <w:tcPr>
            <w:tcW w:w="420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202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202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Administración y Control de los Recursos Humanos, Financieros y Materiales del Hospital Comunitario de Peto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Administración y Control de los Recursos Humanos, Financieros y Materiales del Hospital Comunitario de Peto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HOSPITAL COMUNITARIO DE PETO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HOSPITAL COMUNITARIO DE PETO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NA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NA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02.06.03.04 Rectoría del Sistema de Salud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02.06.03.04 Rectoría del Sistema de Salud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  <w:t>Componente: 3</w:t>
            </w:r>
            <w:r w:rsidRPr="00956569">
              <w:rPr>
                <w:rFonts w:eastAsia="Times New Roman" w:cs="Calibri"/>
                <w:b/>
                <w:bCs/>
                <w:sz w:val="7"/>
                <w:szCs w:val="7"/>
                <w:lang w:eastAsia="es-MX"/>
              </w:rPr>
              <w:br/>
              <w:t>Componente: 4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Consultas de planificación familiar otorgadas.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Recursos  financieros suministrados.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21,070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19,088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Porcentaje de consultas de urgencias en el trimestre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Porcentaje de presupuesto ejercido  por concepto de recursos  financieros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Porcentaje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Porcentaje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hyperlink r:id="rId7" w:history="1">
              <w:r w:rsidRPr="00956569">
                <w:rPr>
                  <w:rFonts w:eastAsia="Times New Roman" w:cs="Calibri"/>
                  <w:sz w:val="7"/>
                  <w:szCs w:val="7"/>
                  <w:lang w:eastAsia="es-MX"/>
                </w:rPr>
                <w:t>Cubos dinámicos de servicios.   Dirección General de Información en Salud. Secretaría de Salud (SSY). http://www.dgis.salud.gob.mx/conteni dosdedatos/bdc_serviciossis_gobmx.</w:t>
              </w:r>
              <w:r w:rsidRPr="00956569">
                <w:rPr>
                  <w:rFonts w:eastAsia="Times New Roman" w:cs="Calibri"/>
                  <w:sz w:val="7"/>
                  <w:szCs w:val="7"/>
                  <w:lang w:eastAsia="es-MX"/>
                </w:rPr>
                <w:br/>
                <w:t>Registros  administrativo de manuales de control interno. Dirección Administrativa. Hospital Comunitario de Peto (HCP).</w:t>
              </w:r>
            </w:hyperlink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Trimestral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Trimestral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Ascendente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Ascendente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006FC0"/>
              <w:bottom w:val="single" w:sz="4" w:space="0" w:color="00000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(B/C)*100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Porcentaje de consultas de urgencias en el trimestre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514.21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11.84210526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sz w:val="8"/>
                <w:szCs w:val="8"/>
                <w:lang w:eastAsia="es-MX"/>
              </w:rPr>
              <w:t>#¡DIV/0!</w:t>
            </w:r>
          </w:p>
        </w:tc>
      </w:tr>
      <w:tr w:rsidR="002528F5" w:rsidRPr="00956569" w:rsidTr="002528F5">
        <w:trPr>
          <w:trHeight w:val="195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6FC0"/>
              <w:bottom w:val="single" w:sz="4" w:space="0" w:color="00000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B: Numero de consultas de urgencia otorgadas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739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450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192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6FC0"/>
              <w:bottom w:val="single" w:sz="4" w:space="0" w:color="00000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C: Número meta de consultas de urgencia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3800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3800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240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70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(B/C)*100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Porcentaje de presupuesto ejercido  por concepto de recursos financieros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000000" w:fill="E2EFDA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25.00000002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64.96003735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0</w:t>
            </w:r>
          </w:p>
        </w:tc>
      </w:tr>
      <w:tr w:rsidR="002528F5" w:rsidRPr="00956569" w:rsidTr="002528F5">
        <w:trPr>
          <w:trHeight w:val="270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Total del presupuesto ejercido en actividades de administración</w:t>
            </w: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br/>
              <w:t>de recursos financieros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12,820,916.35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3,205,229.09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7"/>
                <w:szCs w:val="7"/>
                <w:lang w:eastAsia="es-MX"/>
              </w:rPr>
              <w:t>8,328,472.05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956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528F5" w:rsidRPr="00956569" w:rsidTr="002528F5">
        <w:trPr>
          <w:trHeight w:val="165"/>
        </w:trPr>
        <w:tc>
          <w:tcPr>
            <w:tcW w:w="42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vAlign w:val="center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hideMark/>
          </w:tcPr>
          <w:p w:rsidR="002528F5" w:rsidRPr="00956569" w:rsidRDefault="002528F5" w:rsidP="001032FD">
            <w:pPr>
              <w:spacing w:after="0" w:line="240" w:lineRule="auto"/>
              <w:rPr>
                <w:rFonts w:eastAsia="Times New Roman" w:cs="Calibri"/>
                <w:sz w:val="7"/>
                <w:szCs w:val="7"/>
                <w:lang w:eastAsia="es-MX"/>
              </w:rPr>
            </w:pPr>
            <w:r w:rsidRPr="00956569">
              <w:rPr>
                <w:rFonts w:eastAsia="Times New Roman" w:cs="Calibri"/>
                <w:sz w:val="7"/>
                <w:szCs w:val="7"/>
                <w:lang w:eastAsia="es-MX"/>
              </w:rPr>
              <w:t>Total de presupuesto aprobado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12,820,916.35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12,820,916.35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12,820,916.35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12,820,916.35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12,820,916.35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6FC0"/>
              <w:right w:val="single" w:sz="4" w:space="0" w:color="006FC0"/>
            </w:tcBorders>
            <w:shd w:val="clear" w:color="auto" w:fill="auto"/>
            <w:noWrap/>
            <w:hideMark/>
          </w:tcPr>
          <w:p w:rsidR="002528F5" w:rsidRPr="00956569" w:rsidRDefault="002528F5" w:rsidP="001032FD">
            <w:pPr>
              <w:spacing w:after="0" w:line="240" w:lineRule="auto"/>
              <w:ind w:firstLineChars="100" w:firstLine="80"/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</w:pPr>
            <w:r w:rsidRPr="00956569">
              <w:rPr>
                <w:rFonts w:eastAsia="Times New Roman" w:cs="Calibri"/>
                <w:color w:val="000000"/>
                <w:sz w:val="8"/>
                <w:szCs w:val="8"/>
                <w:lang w:eastAsia="es-MX"/>
              </w:rPr>
              <w:t>12,820,916.35</w:t>
            </w:r>
          </w:p>
        </w:tc>
      </w:tr>
    </w:tbl>
    <w:p w:rsidR="00242BF6" w:rsidRPr="00775DD9" w:rsidRDefault="008F4F1D" w:rsidP="00775DD9">
      <w:pPr>
        <w:rPr>
          <w:rFonts w:ascii="Barlow" w:hAnsi="Barlow" w:cs="Arial"/>
          <w:sz w:val="20"/>
          <w:szCs w:val="20"/>
        </w:rPr>
      </w:pPr>
      <w:bookmarkStart w:id="0" w:name="_GoBack"/>
      <w:bookmarkEnd w:id="0"/>
      <w:r w:rsidRPr="00303A88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242BF6" w:rsidRPr="00775DD9" w:rsidSect="002528F5">
      <w:pgSz w:w="15842" w:h="12242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CD" w:rsidRDefault="00453BCD" w:rsidP="00242BF6">
      <w:pPr>
        <w:spacing w:after="0" w:line="240" w:lineRule="auto"/>
      </w:pPr>
      <w:r>
        <w:separator/>
      </w:r>
    </w:p>
  </w:endnote>
  <w:endnote w:type="continuationSeparator" w:id="0">
    <w:p w:rsidR="00453BCD" w:rsidRDefault="00453BCD" w:rsidP="0024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CD" w:rsidRDefault="00453BCD" w:rsidP="00242BF6">
      <w:pPr>
        <w:spacing w:after="0" w:line="240" w:lineRule="auto"/>
      </w:pPr>
      <w:r>
        <w:separator/>
      </w:r>
    </w:p>
  </w:footnote>
  <w:footnote w:type="continuationSeparator" w:id="0">
    <w:p w:rsidR="00453BCD" w:rsidRDefault="00453BCD" w:rsidP="00242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F6"/>
    <w:rsid w:val="00185028"/>
    <w:rsid w:val="00242BF6"/>
    <w:rsid w:val="002528F5"/>
    <w:rsid w:val="00284504"/>
    <w:rsid w:val="0033522A"/>
    <w:rsid w:val="00452F87"/>
    <w:rsid w:val="00453BCD"/>
    <w:rsid w:val="006036B3"/>
    <w:rsid w:val="00775DD9"/>
    <w:rsid w:val="008F4F1D"/>
    <w:rsid w:val="00B43B76"/>
    <w:rsid w:val="00E7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B508A-4378-4C17-8EA3-5AB504EF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F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42BF6"/>
  </w:style>
  <w:style w:type="paragraph" w:styleId="Piedepgina">
    <w:name w:val="footer"/>
    <w:basedOn w:val="Normal"/>
    <w:link w:val="PiedepginaCar"/>
    <w:uiPriority w:val="99"/>
    <w:unhideWhenUsed/>
    <w:rsid w:val="00242BF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F6"/>
  </w:style>
  <w:style w:type="table" w:customStyle="1" w:styleId="TableNormal">
    <w:name w:val="Table Normal"/>
    <w:uiPriority w:val="2"/>
    <w:semiHidden/>
    <w:unhideWhenUsed/>
    <w:qFormat/>
    <w:rsid w:val="001850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50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gis.salud.gob.mx/conte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gis.salud.gob.m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 Raul Chi Santana</dc:creator>
  <cp:keywords/>
  <dc:description/>
  <cp:lastModifiedBy>Eduar Raul Chi Santana</cp:lastModifiedBy>
  <cp:revision>7</cp:revision>
  <dcterms:created xsi:type="dcterms:W3CDTF">2021-01-22T18:27:00Z</dcterms:created>
  <dcterms:modified xsi:type="dcterms:W3CDTF">2021-04-23T18:37:00Z</dcterms:modified>
</cp:coreProperties>
</file>