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11" w:rsidRPr="000023C6" w:rsidRDefault="006F0D11" w:rsidP="006F0D11">
      <w:pPr>
        <w:spacing w:line="240" w:lineRule="auto"/>
        <w:jc w:val="center"/>
        <w:rPr>
          <w:rFonts w:ascii="Barlow" w:hAnsi="Barlow" w:cs="Arial"/>
          <w:b/>
          <w:sz w:val="20"/>
          <w:szCs w:val="20"/>
        </w:rPr>
      </w:pPr>
      <w:r w:rsidRPr="000023C6">
        <w:rPr>
          <w:rFonts w:ascii="Barlow" w:hAnsi="Barlow" w:cs="Arial"/>
          <w:b/>
          <w:sz w:val="20"/>
          <w:szCs w:val="20"/>
        </w:rPr>
        <w:t>Notas a los Estados Financieros</w:t>
      </w:r>
    </w:p>
    <w:p w:rsidR="006F0D11" w:rsidRPr="000023C6" w:rsidRDefault="00453CCE" w:rsidP="006F0D11">
      <w:pPr>
        <w:spacing w:line="240" w:lineRule="auto"/>
        <w:jc w:val="center"/>
        <w:rPr>
          <w:rFonts w:ascii="Barlow" w:hAnsi="Barlow" w:cs="Arial"/>
          <w:b/>
          <w:sz w:val="20"/>
          <w:szCs w:val="20"/>
        </w:rPr>
      </w:pPr>
      <w:r w:rsidRPr="000023C6">
        <w:rPr>
          <w:rFonts w:ascii="Barlow" w:hAnsi="Barlow" w:cs="Arial"/>
          <w:b/>
          <w:sz w:val="20"/>
          <w:szCs w:val="20"/>
        </w:rPr>
        <w:t xml:space="preserve">Al </w:t>
      </w:r>
      <w:r w:rsidR="00F3073D" w:rsidRPr="000023C6">
        <w:rPr>
          <w:rFonts w:ascii="Barlow" w:hAnsi="Barlow" w:cs="Arial"/>
          <w:b/>
          <w:sz w:val="20"/>
          <w:szCs w:val="20"/>
        </w:rPr>
        <w:t>31</w:t>
      </w:r>
      <w:r w:rsidR="005A56C4" w:rsidRPr="000023C6">
        <w:rPr>
          <w:rFonts w:ascii="Barlow" w:hAnsi="Barlow" w:cs="Arial"/>
          <w:b/>
          <w:sz w:val="20"/>
          <w:szCs w:val="20"/>
        </w:rPr>
        <w:t xml:space="preserve"> de </w:t>
      </w:r>
      <w:r w:rsidR="000023C6" w:rsidRPr="000023C6">
        <w:rPr>
          <w:rFonts w:ascii="Barlow" w:hAnsi="Barlow" w:cs="Arial"/>
          <w:b/>
          <w:sz w:val="20"/>
          <w:szCs w:val="20"/>
        </w:rPr>
        <w:t>marzo</w:t>
      </w:r>
      <w:r w:rsidR="00942E85" w:rsidRPr="000023C6">
        <w:rPr>
          <w:rFonts w:ascii="Barlow" w:hAnsi="Barlow" w:cs="Arial"/>
          <w:b/>
          <w:sz w:val="20"/>
          <w:szCs w:val="20"/>
        </w:rPr>
        <w:t xml:space="preserve"> de 2021</w:t>
      </w:r>
    </w:p>
    <w:p w:rsidR="00BD2313" w:rsidRPr="000023C6" w:rsidRDefault="00BD2313" w:rsidP="006F0D11">
      <w:pPr>
        <w:spacing w:line="240" w:lineRule="auto"/>
        <w:jc w:val="center"/>
        <w:rPr>
          <w:rFonts w:ascii="Barlow" w:hAnsi="Barlow" w:cs="Arial"/>
          <w:b/>
          <w:sz w:val="20"/>
          <w:szCs w:val="20"/>
        </w:rPr>
      </w:pPr>
      <w:r w:rsidRPr="000023C6">
        <w:rPr>
          <w:rFonts w:ascii="Barlow" w:hAnsi="Barlow" w:cs="Arial"/>
          <w:b/>
          <w:sz w:val="20"/>
          <w:szCs w:val="20"/>
        </w:rPr>
        <w:t>(</w:t>
      </w:r>
      <w:r w:rsidR="000023C6" w:rsidRPr="000023C6">
        <w:rPr>
          <w:rFonts w:ascii="Barlow" w:hAnsi="Barlow" w:cs="Arial"/>
          <w:b/>
          <w:sz w:val="20"/>
          <w:szCs w:val="20"/>
        </w:rPr>
        <w:t xml:space="preserve">Cifras en </w:t>
      </w:r>
      <w:r w:rsidRPr="000023C6">
        <w:rPr>
          <w:rFonts w:ascii="Barlow" w:hAnsi="Barlow" w:cs="Arial"/>
          <w:b/>
          <w:sz w:val="20"/>
          <w:szCs w:val="20"/>
        </w:rPr>
        <w:t>Pesos)</w:t>
      </w:r>
    </w:p>
    <w:p w:rsidR="006F0D11" w:rsidRPr="000023C6" w:rsidRDefault="006F0D11" w:rsidP="006F0D11">
      <w:pPr>
        <w:spacing w:line="240" w:lineRule="auto"/>
        <w:rPr>
          <w:rFonts w:ascii="Barlow" w:hAnsi="Barlow" w:cs="Arial"/>
          <w:b/>
          <w:sz w:val="20"/>
          <w:szCs w:val="20"/>
        </w:rPr>
      </w:pPr>
    </w:p>
    <w:p w:rsidR="00E25D55" w:rsidRPr="000023C6" w:rsidRDefault="00221AB1" w:rsidP="00E71A3D">
      <w:pPr>
        <w:widowControl w:val="0"/>
        <w:autoSpaceDE w:val="0"/>
        <w:autoSpaceDN w:val="0"/>
        <w:adjustRightInd w:val="0"/>
        <w:spacing w:before="26" w:after="0" w:line="192" w:lineRule="exact"/>
        <w:ind w:left="153" w:right="-20"/>
        <w:rPr>
          <w:rFonts w:ascii="Barlow" w:hAnsi="Barlow" w:cs="Calibri"/>
          <w:b/>
          <w:bCs/>
          <w:sz w:val="20"/>
          <w:szCs w:val="20"/>
        </w:rPr>
      </w:pPr>
      <w:r w:rsidRPr="000023C6">
        <w:rPr>
          <w:rFonts w:ascii="Barlow" w:hAnsi="Barlow" w:cs="Calibri"/>
          <w:b/>
          <w:bCs/>
          <w:sz w:val="20"/>
          <w:szCs w:val="20"/>
        </w:rPr>
        <w:t>E</w:t>
      </w:r>
      <w:r w:rsidRPr="000023C6">
        <w:rPr>
          <w:rFonts w:ascii="Barlow" w:hAnsi="Barlow" w:cs="Calibri"/>
          <w:b/>
          <w:bCs/>
          <w:spacing w:val="-1"/>
          <w:sz w:val="20"/>
          <w:szCs w:val="20"/>
        </w:rPr>
        <w:t>n</w:t>
      </w:r>
      <w:r w:rsidRPr="000023C6">
        <w:rPr>
          <w:rFonts w:ascii="Barlow" w:hAnsi="Barlow" w:cs="Calibri"/>
          <w:b/>
          <w:bCs/>
          <w:sz w:val="20"/>
          <w:szCs w:val="20"/>
        </w:rPr>
        <w:t xml:space="preserve">te </w:t>
      </w:r>
      <w:r w:rsidRPr="000023C6">
        <w:rPr>
          <w:rFonts w:ascii="Barlow" w:hAnsi="Barlow" w:cs="Calibri"/>
          <w:b/>
          <w:bCs/>
          <w:spacing w:val="-1"/>
          <w:sz w:val="20"/>
          <w:szCs w:val="20"/>
        </w:rPr>
        <w:t>Públ</w:t>
      </w:r>
      <w:r w:rsidRPr="000023C6">
        <w:rPr>
          <w:rFonts w:ascii="Barlow" w:hAnsi="Barlow" w:cs="Calibri"/>
          <w:b/>
          <w:bCs/>
          <w:spacing w:val="1"/>
          <w:sz w:val="20"/>
          <w:szCs w:val="20"/>
        </w:rPr>
        <w:t>i</w:t>
      </w:r>
      <w:r w:rsidRPr="000023C6">
        <w:rPr>
          <w:rFonts w:ascii="Barlow" w:hAnsi="Barlow" w:cs="Calibri"/>
          <w:b/>
          <w:bCs/>
          <w:spacing w:val="-1"/>
          <w:sz w:val="20"/>
          <w:szCs w:val="20"/>
        </w:rPr>
        <w:t>co</w:t>
      </w:r>
      <w:r w:rsidR="006D07EB" w:rsidRPr="000023C6">
        <w:rPr>
          <w:rFonts w:ascii="Barlow" w:hAnsi="Barlow" w:cs="Calibri"/>
          <w:b/>
          <w:bCs/>
          <w:sz w:val="20"/>
          <w:szCs w:val="20"/>
        </w:rPr>
        <w:t xml:space="preserve">: </w:t>
      </w:r>
      <w:r w:rsidR="00E71A3D" w:rsidRPr="000023C6">
        <w:rPr>
          <w:rFonts w:ascii="Barlow" w:hAnsi="Barlow" w:cs="Calibri"/>
          <w:b/>
          <w:bCs/>
          <w:spacing w:val="-10"/>
          <w:sz w:val="20"/>
          <w:szCs w:val="20"/>
        </w:rPr>
        <w:t>ESCUELA</w:t>
      </w:r>
      <w:r w:rsidRPr="000023C6">
        <w:rPr>
          <w:rFonts w:ascii="Barlow" w:hAnsi="Barlow" w:cs="Calibri"/>
          <w:b/>
          <w:bCs/>
          <w:spacing w:val="-10"/>
          <w:sz w:val="20"/>
          <w:szCs w:val="20"/>
        </w:rPr>
        <w:t xml:space="preserve"> </w:t>
      </w:r>
      <w:r w:rsidR="00E71A3D" w:rsidRPr="000023C6">
        <w:rPr>
          <w:rFonts w:ascii="Barlow" w:hAnsi="Barlow" w:cs="Calibri"/>
          <w:b/>
          <w:bCs/>
          <w:sz w:val="20"/>
          <w:szCs w:val="20"/>
        </w:rPr>
        <w:t>SUPER</w:t>
      </w:r>
      <w:r w:rsidR="00E71A3D" w:rsidRPr="000023C6">
        <w:rPr>
          <w:rFonts w:ascii="Barlow" w:hAnsi="Barlow" w:cs="Calibri"/>
          <w:b/>
          <w:bCs/>
          <w:spacing w:val="1"/>
          <w:sz w:val="20"/>
          <w:szCs w:val="20"/>
        </w:rPr>
        <w:t>IO</w:t>
      </w:r>
      <w:r w:rsidR="00E71A3D" w:rsidRPr="000023C6">
        <w:rPr>
          <w:rFonts w:ascii="Barlow" w:hAnsi="Barlow" w:cs="Calibri"/>
          <w:b/>
          <w:bCs/>
          <w:sz w:val="20"/>
          <w:szCs w:val="20"/>
        </w:rPr>
        <w:t>R</w:t>
      </w:r>
      <w:r w:rsidRPr="000023C6">
        <w:rPr>
          <w:rFonts w:ascii="Barlow" w:hAnsi="Barlow" w:cs="Calibri"/>
          <w:b/>
          <w:bCs/>
          <w:sz w:val="20"/>
          <w:szCs w:val="20"/>
        </w:rPr>
        <w:t xml:space="preserve"> </w:t>
      </w:r>
      <w:r w:rsidR="00E71A3D" w:rsidRPr="000023C6">
        <w:rPr>
          <w:rFonts w:ascii="Barlow" w:hAnsi="Barlow" w:cs="Calibri"/>
          <w:b/>
          <w:bCs/>
          <w:spacing w:val="1"/>
          <w:sz w:val="20"/>
          <w:szCs w:val="20"/>
        </w:rPr>
        <w:t>D</w:t>
      </w:r>
      <w:r w:rsidR="00E71A3D" w:rsidRPr="000023C6">
        <w:rPr>
          <w:rFonts w:ascii="Barlow" w:hAnsi="Barlow" w:cs="Calibri"/>
          <w:b/>
          <w:bCs/>
          <w:sz w:val="20"/>
          <w:szCs w:val="20"/>
        </w:rPr>
        <w:t>E</w:t>
      </w:r>
      <w:r w:rsidRPr="000023C6">
        <w:rPr>
          <w:rFonts w:ascii="Barlow" w:hAnsi="Barlow" w:cs="Calibri"/>
          <w:b/>
          <w:bCs/>
          <w:sz w:val="20"/>
          <w:szCs w:val="20"/>
        </w:rPr>
        <w:t xml:space="preserve"> </w:t>
      </w:r>
      <w:r w:rsidR="00E71A3D" w:rsidRPr="000023C6">
        <w:rPr>
          <w:rFonts w:ascii="Barlow" w:hAnsi="Barlow" w:cs="Calibri"/>
          <w:b/>
          <w:bCs/>
          <w:sz w:val="20"/>
          <w:szCs w:val="20"/>
        </w:rPr>
        <w:t>AR</w:t>
      </w:r>
      <w:r w:rsidR="00E71A3D" w:rsidRPr="000023C6">
        <w:rPr>
          <w:rFonts w:ascii="Barlow" w:hAnsi="Barlow" w:cs="Calibri"/>
          <w:b/>
          <w:bCs/>
          <w:spacing w:val="1"/>
          <w:sz w:val="20"/>
          <w:szCs w:val="20"/>
        </w:rPr>
        <w:t>T</w:t>
      </w:r>
      <w:r w:rsidR="00E71A3D" w:rsidRPr="000023C6">
        <w:rPr>
          <w:rFonts w:ascii="Barlow" w:hAnsi="Barlow" w:cs="Calibri"/>
          <w:b/>
          <w:bCs/>
          <w:sz w:val="20"/>
          <w:szCs w:val="20"/>
        </w:rPr>
        <w:t>ES</w:t>
      </w:r>
      <w:r w:rsidRPr="000023C6">
        <w:rPr>
          <w:rFonts w:ascii="Barlow" w:hAnsi="Barlow" w:cs="Calibri"/>
          <w:b/>
          <w:bCs/>
          <w:sz w:val="20"/>
          <w:szCs w:val="20"/>
        </w:rPr>
        <w:t xml:space="preserve"> </w:t>
      </w:r>
      <w:r w:rsidR="00E71A3D" w:rsidRPr="000023C6">
        <w:rPr>
          <w:rFonts w:ascii="Barlow" w:hAnsi="Barlow" w:cs="Calibri"/>
          <w:b/>
          <w:bCs/>
          <w:spacing w:val="1"/>
          <w:sz w:val="20"/>
          <w:szCs w:val="20"/>
        </w:rPr>
        <w:t>D</w:t>
      </w:r>
      <w:r w:rsidR="00E71A3D" w:rsidRPr="000023C6">
        <w:rPr>
          <w:rFonts w:ascii="Barlow" w:hAnsi="Barlow" w:cs="Calibri"/>
          <w:b/>
          <w:bCs/>
          <w:sz w:val="20"/>
          <w:szCs w:val="20"/>
        </w:rPr>
        <w:t>E</w:t>
      </w:r>
      <w:r w:rsidRPr="000023C6">
        <w:rPr>
          <w:rFonts w:ascii="Barlow" w:hAnsi="Barlow" w:cs="Calibri"/>
          <w:b/>
          <w:bCs/>
          <w:sz w:val="20"/>
          <w:szCs w:val="20"/>
        </w:rPr>
        <w:t xml:space="preserve"> </w:t>
      </w:r>
      <w:r w:rsidR="00E71A3D" w:rsidRPr="000023C6">
        <w:rPr>
          <w:rFonts w:ascii="Barlow" w:hAnsi="Barlow" w:cs="Calibri"/>
          <w:b/>
          <w:bCs/>
          <w:spacing w:val="-1"/>
          <w:sz w:val="20"/>
          <w:szCs w:val="20"/>
        </w:rPr>
        <w:t>Y</w:t>
      </w:r>
      <w:r w:rsidR="00E71A3D" w:rsidRPr="000023C6">
        <w:rPr>
          <w:rFonts w:ascii="Barlow" w:hAnsi="Barlow" w:cs="Calibri"/>
          <w:b/>
          <w:bCs/>
          <w:sz w:val="20"/>
          <w:szCs w:val="20"/>
        </w:rPr>
        <w:t>UCA</w:t>
      </w:r>
      <w:r w:rsidR="00E71A3D" w:rsidRPr="000023C6">
        <w:rPr>
          <w:rFonts w:ascii="Barlow" w:hAnsi="Barlow" w:cs="Calibri"/>
          <w:b/>
          <w:bCs/>
          <w:spacing w:val="1"/>
          <w:sz w:val="20"/>
          <w:szCs w:val="20"/>
        </w:rPr>
        <w:t>T</w:t>
      </w:r>
      <w:r w:rsidR="00E71A3D" w:rsidRPr="000023C6">
        <w:rPr>
          <w:rFonts w:ascii="Barlow" w:hAnsi="Barlow" w:cs="Calibri"/>
          <w:b/>
          <w:bCs/>
          <w:sz w:val="20"/>
          <w:szCs w:val="20"/>
        </w:rPr>
        <w:t>ÁN</w:t>
      </w:r>
    </w:p>
    <w:p w:rsidR="000D0808" w:rsidRPr="000023C6" w:rsidRDefault="000D0808" w:rsidP="00E71A3D">
      <w:pPr>
        <w:widowControl w:val="0"/>
        <w:autoSpaceDE w:val="0"/>
        <w:autoSpaceDN w:val="0"/>
        <w:adjustRightInd w:val="0"/>
        <w:spacing w:before="26" w:after="0" w:line="192" w:lineRule="exact"/>
        <w:ind w:left="153" w:right="-20"/>
        <w:rPr>
          <w:rFonts w:ascii="Barlow" w:hAnsi="Barlow" w:cs="Calibri"/>
          <w:b/>
          <w:bCs/>
          <w:sz w:val="20"/>
          <w:szCs w:val="20"/>
        </w:rPr>
      </w:pPr>
    </w:p>
    <w:p w:rsidR="000D0808" w:rsidRPr="000023C6" w:rsidRDefault="000D0808" w:rsidP="000023C6">
      <w:pPr>
        <w:widowControl w:val="0"/>
        <w:autoSpaceDE w:val="0"/>
        <w:autoSpaceDN w:val="0"/>
        <w:adjustRightInd w:val="0"/>
        <w:spacing w:before="26" w:after="0" w:line="192" w:lineRule="exact"/>
        <w:ind w:left="153" w:right="-20"/>
        <w:jc w:val="both"/>
        <w:rPr>
          <w:rFonts w:ascii="Barlow" w:hAnsi="Barlow" w:cs="Calibri"/>
          <w:bCs/>
          <w:sz w:val="20"/>
          <w:szCs w:val="20"/>
        </w:rPr>
      </w:pPr>
      <w:r w:rsidRPr="000023C6">
        <w:rPr>
          <w:rFonts w:ascii="Barlow" w:hAnsi="Barlow" w:cs="Calibri"/>
          <w:bCs/>
          <w:sz w:val="20"/>
          <w:szCs w:val="20"/>
        </w:rPr>
        <w:t>En cumplimiento a los artículos 46 y 49 de la Ley General de Contabilidad Gubernamental, se acompañan las notas a los estados financiero</w:t>
      </w:r>
      <w:r w:rsidR="00B62889" w:rsidRPr="000023C6">
        <w:rPr>
          <w:rFonts w:ascii="Barlow" w:hAnsi="Barlow" w:cs="Calibri"/>
          <w:bCs/>
          <w:sz w:val="20"/>
          <w:szCs w:val="20"/>
        </w:rPr>
        <w:t>s cuyos rubros así lo requieren</w:t>
      </w:r>
      <w:r w:rsidRPr="000023C6">
        <w:rPr>
          <w:rFonts w:ascii="Barlow" w:hAnsi="Barlow" w:cs="Calibri"/>
          <w:bCs/>
          <w:sz w:val="20"/>
          <w:szCs w:val="20"/>
        </w:rPr>
        <w:t xml:space="preserve"> teniendo presente los postulados de revelación suficiente e importancia relativa con </w:t>
      </w:r>
      <w:r w:rsidR="00B62889" w:rsidRPr="000023C6">
        <w:rPr>
          <w:rFonts w:ascii="Barlow" w:hAnsi="Barlow" w:cs="Calibri"/>
          <w:bCs/>
          <w:sz w:val="20"/>
          <w:szCs w:val="20"/>
        </w:rPr>
        <w:t>la finalidad</w:t>
      </w:r>
      <w:r w:rsidRPr="000023C6">
        <w:rPr>
          <w:rFonts w:ascii="Barlow" w:hAnsi="Barlow" w:cs="Calibri"/>
          <w:bCs/>
          <w:sz w:val="20"/>
          <w:szCs w:val="20"/>
        </w:rPr>
        <w:t xml:space="preserve"> que la información sea de mayor utilidad para los usuarios.</w:t>
      </w:r>
    </w:p>
    <w:p w:rsidR="00A27775" w:rsidRPr="000023C6" w:rsidRDefault="00A27775" w:rsidP="00A27775">
      <w:pPr>
        <w:rPr>
          <w:rFonts w:ascii="Barlow" w:hAnsi="Barlow" w:cs="Calibri"/>
          <w:b/>
          <w:sz w:val="20"/>
          <w:szCs w:val="20"/>
        </w:rPr>
      </w:pPr>
    </w:p>
    <w:p w:rsidR="00A27775" w:rsidRPr="000023C6" w:rsidRDefault="000908FA" w:rsidP="000908FA">
      <w:pPr>
        <w:tabs>
          <w:tab w:val="left" w:pos="284"/>
        </w:tabs>
        <w:spacing w:after="0" w:line="240" w:lineRule="auto"/>
        <w:jc w:val="center"/>
        <w:rPr>
          <w:rFonts w:ascii="Barlow" w:hAnsi="Barlow" w:cs="Calibri"/>
          <w:b/>
          <w:sz w:val="20"/>
          <w:szCs w:val="20"/>
        </w:rPr>
      </w:pPr>
      <w:r w:rsidRPr="000023C6">
        <w:rPr>
          <w:rFonts w:ascii="Barlow" w:hAnsi="Barlow" w:cs="Calibri"/>
          <w:b/>
          <w:sz w:val="20"/>
          <w:szCs w:val="20"/>
        </w:rPr>
        <w:t>a)</w:t>
      </w:r>
      <w:r w:rsidR="00D6143A" w:rsidRPr="000023C6">
        <w:rPr>
          <w:rFonts w:ascii="Barlow" w:hAnsi="Barlow" w:cs="Calibri"/>
          <w:b/>
          <w:sz w:val="20"/>
          <w:szCs w:val="20"/>
        </w:rPr>
        <w:t xml:space="preserve"> </w:t>
      </w:r>
      <w:r w:rsidRPr="000023C6">
        <w:rPr>
          <w:rFonts w:ascii="Barlow" w:hAnsi="Barlow" w:cs="Calibri"/>
          <w:b/>
          <w:sz w:val="20"/>
          <w:szCs w:val="20"/>
        </w:rPr>
        <w:t>NOTAS DE DESGLOSE</w:t>
      </w:r>
    </w:p>
    <w:p w:rsidR="00D6143A" w:rsidRPr="000023C6" w:rsidRDefault="00D6143A" w:rsidP="00D6143A">
      <w:pPr>
        <w:tabs>
          <w:tab w:val="left" w:pos="284"/>
        </w:tabs>
        <w:spacing w:after="0" w:line="240" w:lineRule="auto"/>
        <w:rPr>
          <w:rFonts w:ascii="Barlow" w:hAnsi="Barlow" w:cs="Calibri"/>
          <w:b/>
          <w:sz w:val="20"/>
          <w:szCs w:val="20"/>
        </w:rPr>
      </w:pPr>
    </w:p>
    <w:p w:rsidR="009D1120" w:rsidRPr="000023C6" w:rsidRDefault="009D1120" w:rsidP="009D1120">
      <w:pPr>
        <w:pStyle w:val="Prrafodelista"/>
        <w:tabs>
          <w:tab w:val="left" w:pos="284"/>
        </w:tabs>
        <w:spacing w:after="0" w:line="240" w:lineRule="auto"/>
        <w:ind w:left="0"/>
        <w:rPr>
          <w:rFonts w:ascii="Barlow" w:hAnsi="Barlow" w:cs="Calibri"/>
          <w:sz w:val="20"/>
          <w:szCs w:val="20"/>
        </w:rPr>
      </w:pPr>
    </w:p>
    <w:p w:rsidR="00D6143A" w:rsidRPr="000023C6" w:rsidRDefault="00D6143A" w:rsidP="009D1120">
      <w:pPr>
        <w:rPr>
          <w:rFonts w:ascii="Barlow" w:hAnsi="Barlow"/>
          <w:b/>
          <w:sz w:val="20"/>
          <w:szCs w:val="20"/>
        </w:rPr>
      </w:pPr>
      <w:r w:rsidRPr="000023C6">
        <w:rPr>
          <w:rFonts w:ascii="Barlow" w:hAnsi="Barlow"/>
          <w:sz w:val="20"/>
          <w:szCs w:val="20"/>
        </w:rPr>
        <w:t xml:space="preserve">      </w:t>
      </w:r>
      <w:r w:rsidR="000908FA" w:rsidRPr="000023C6">
        <w:rPr>
          <w:rFonts w:ascii="Barlow" w:hAnsi="Barlow"/>
          <w:b/>
          <w:sz w:val="20"/>
          <w:szCs w:val="20"/>
        </w:rPr>
        <w:t>I</w:t>
      </w:r>
      <w:r w:rsidR="009D1120" w:rsidRPr="000023C6">
        <w:rPr>
          <w:rFonts w:ascii="Barlow" w:hAnsi="Barlow"/>
          <w:b/>
          <w:sz w:val="20"/>
          <w:szCs w:val="20"/>
        </w:rPr>
        <w:t>)</w:t>
      </w:r>
      <w:r w:rsidR="00D01EF2" w:rsidRPr="000023C6">
        <w:rPr>
          <w:rFonts w:ascii="Barlow" w:hAnsi="Barlow"/>
          <w:b/>
          <w:sz w:val="20"/>
          <w:szCs w:val="20"/>
        </w:rPr>
        <w:t xml:space="preserve">        </w:t>
      </w:r>
      <w:r w:rsidR="009D1120" w:rsidRPr="000023C6">
        <w:rPr>
          <w:rFonts w:ascii="Barlow" w:hAnsi="Barlow"/>
          <w:b/>
          <w:sz w:val="20"/>
          <w:szCs w:val="20"/>
        </w:rPr>
        <w:t xml:space="preserve">  N</w:t>
      </w:r>
      <w:r w:rsidRPr="000023C6">
        <w:rPr>
          <w:rFonts w:ascii="Barlow" w:hAnsi="Barlow"/>
          <w:b/>
          <w:sz w:val="20"/>
          <w:szCs w:val="20"/>
        </w:rPr>
        <w:t>otas al</w:t>
      </w:r>
      <w:r w:rsidR="009D1120" w:rsidRPr="000023C6">
        <w:rPr>
          <w:rFonts w:ascii="Barlow" w:hAnsi="Barlow"/>
          <w:b/>
          <w:sz w:val="20"/>
          <w:szCs w:val="20"/>
        </w:rPr>
        <w:t xml:space="preserve"> E</w:t>
      </w:r>
      <w:r w:rsidRPr="000023C6">
        <w:rPr>
          <w:rFonts w:ascii="Barlow" w:hAnsi="Barlow"/>
          <w:b/>
          <w:sz w:val="20"/>
          <w:szCs w:val="20"/>
        </w:rPr>
        <w:t>stado de Situación Financiera</w:t>
      </w:r>
    </w:p>
    <w:p w:rsidR="009D1120" w:rsidRPr="000023C6" w:rsidRDefault="00D01EF2" w:rsidP="009D1120">
      <w:pPr>
        <w:rPr>
          <w:rFonts w:ascii="Barlow" w:hAnsi="Barlow"/>
          <w:b/>
          <w:sz w:val="20"/>
          <w:szCs w:val="20"/>
        </w:rPr>
      </w:pPr>
      <w:r w:rsidRPr="000023C6">
        <w:rPr>
          <w:rFonts w:ascii="Barlow" w:hAnsi="Barlow"/>
          <w:b/>
          <w:sz w:val="20"/>
          <w:szCs w:val="20"/>
        </w:rPr>
        <w:t xml:space="preserve">      </w:t>
      </w:r>
      <w:r w:rsidR="00D6143A" w:rsidRPr="000023C6">
        <w:rPr>
          <w:rFonts w:ascii="Barlow" w:hAnsi="Barlow"/>
          <w:b/>
          <w:sz w:val="20"/>
          <w:szCs w:val="20"/>
        </w:rPr>
        <w:t>Activo</w:t>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p>
    <w:p w:rsidR="009D1120" w:rsidRPr="000023C6" w:rsidRDefault="00D6143A" w:rsidP="009D1120">
      <w:pPr>
        <w:spacing w:after="0"/>
        <w:rPr>
          <w:rFonts w:ascii="Barlow" w:hAnsi="Barlow"/>
          <w:b/>
          <w:sz w:val="20"/>
          <w:szCs w:val="20"/>
        </w:rPr>
      </w:pPr>
      <w:r w:rsidRPr="000023C6">
        <w:rPr>
          <w:rFonts w:ascii="Barlow" w:hAnsi="Barlow"/>
          <w:b/>
          <w:sz w:val="20"/>
          <w:szCs w:val="20"/>
        </w:rPr>
        <w:t xml:space="preserve">       </w:t>
      </w:r>
      <w:r w:rsidR="009D1120" w:rsidRPr="000023C6">
        <w:rPr>
          <w:rFonts w:ascii="Barlow" w:hAnsi="Barlow"/>
          <w:b/>
          <w:sz w:val="20"/>
          <w:szCs w:val="20"/>
        </w:rPr>
        <w:t>Efectivo y Equivalentes</w:t>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r w:rsidR="009D1120" w:rsidRPr="000023C6">
        <w:rPr>
          <w:rFonts w:ascii="Barlow" w:hAnsi="Barlow"/>
          <w:b/>
          <w:sz w:val="20"/>
          <w:szCs w:val="20"/>
        </w:rPr>
        <w:tab/>
      </w:r>
    </w:p>
    <w:p w:rsidR="009D1120" w:rsidRPr="000023C6" w:rsidRDefault="009D1120" w:rsidP="00912392">
      <w:pPr>
        <w:pStyle w:val="Prrafodelista"/>
        <w:numPr>
          <w:ilvl w:val="0"/>
          <w:numId w:val="27"/>
        </w:numPr>
        <w:tabs>
          <w:tab w:val="left" w:pos="284"/>
        </w:tabs>
        <w:spacing w:after="0" w:line="240" w:lineRule="auto"/>
        <w:rPr>
          <w:rFonts w:ascii="Barlow" w:hAnsi="Barlow"/>
          <w:sz w:val="20"/>
          <w:szCs w:val="20"/>
        </w:rPr>
      </w:pPr>
      <w:r w:rsidRPr="000023C6">
        <w:rPr>
          <w:rFonts w:ascii="Barlow" w:hAnsi="Barlow"/>
          <w:sz w:val="20"/>
          <w:szCs w:val="20"/>
        </w:rPr>
        <w:t>El rubro Efectivo y Equivalentes</w:t>
      </w:r>
      <w:r w:rsidR="00AE37BC" w:rsidRPr="000023C6">
        <w:rPr>
          <w:rFonts w:ascii="Barlow" w:hAnsi="Barlow"/>
          <w:sz w:val="20"/>
          <w:szCs w:val="20"/>
        </w:rPr>
        <w:t>,</w:t>
      </w:r>
      <w:r w:rsidRPr="000023C6">
        <w:rPr>
          <w:rFonts w:ascii="Barlow" w:hAnsi="Barlow"/>
          <w:sz w:val="20"/>
          <w:szCs w:val="20"/>
        </w:rPr>
        <w:t xml:space="preserve"> </w:t>
      </w:r>
      <w:r w:rsidR="00081869" w:rsidRPr="000023C6">
        <w:rPr>
          <w:rFonts w:ascii="Barlow" w:hAnsi="Barlow"/>
          <w:sz w:val="20"/>
          <w:szCs w:val="20"/>
        </w:rPr>
        <w:t>se</w:t>
      </w:r>
      <w:r w:rsidRPr="000023C6">
        <w:rPr>
          <w:rFonts w:ascii="Barlow" w:hAnsi="Barlow"/>
          <w:sz w:val="20"/>
          <w:szCs w:val="20"/>
        </w:rPr>
        <w:t xml:space="preserve"> integra por las siguientes cuentas y subcuentas:</w:t>
      </w:r>
    </w:p>
    <w:p w:rsidR="00912392" w:rsidRPr="000023C6" w:rsidRDefault="007826AF" w:rsidP="000023C6">
      <w:pPr>
        <w:pStyle w:val="Prrafodelista"/>
        <w:tabs>
          <w:tab w:val="left" w:pos="284"/>
        </w:tabs>
        <w:spacing w:after="0" w:line="240" w:lineRule="auto"/>
        <w:ind w:left="570"/>
        <w:jc w:val="center"/>
        <w:rPr>
          <w:rFonts w:ascii="Barlow" w:hAnsi="Barlow"/>
          <w:sz w:val="20"/>
          <w:szCs w:val="20"/>
        </w:rPr>
      </w:pPr>
      <w:r w:rsidRPr="000023C6">
        <w:rPr>
          <w:rFonts w:ascii="Barlow" w:hAnsi="Barlow"/>
          <w:noProof/>
          <w:sz w:val="20"/>
          <w:szCs w:val="20"/>
          <w:lang w:eastAsia="es-MX"/>
        </w:rPr>
        <w:lastRenderedPageBreak/>
        <w:drawing>
          <wp:inline distT="0" distB="0" distL="0" distR="0">
            <wp:extent cx="6858000" cy="2676525"/>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858000" cy="2676525"/>
                    </a:xfrm>
                    <a:prstGeom prst="rect">
                      <a:avLst/>
                    </a:prstGeom>
                    <a:noFill/>
                    <a:ln w="9525">
                      <a:noFill/>
                      <a:miter lim="800000"/>
                      <a:headEnd/>
                      <a:tailEnd/>
                    </a:ln>
                  </pic:spPr>
                </pic:pic>
              </a:graphicData>
            </a:graphic>
          </wp:inline>
        </w:drawing>
      </w:r>
    </w:p>
    <w:p w:rsidR="00FD1806" w:rsidRPr="000023C6" w:rsidRDefault="00FD1806" w:rsidP="009D1120">
      <w:pPr>
        <w:pStyle w:val="Prrafodelista"/>
        <w:tabs>
          <w:tab w:val="left" w:pos="284"/>
        </w:tabs>
        <w:spacing w:after="0" w:line="240" w:lineRule="auto"/>
        <w:ind w:left="0"/>
        <w:rPr>
          <w:rFonts w:ascii="Barlow" w:hAnsi="Barlow"/>
          <w:sz w:val="20"/>
          <w:szCs w:val="20"/>
        </w:rPr>
      </w:pPr>
    </w:p>
    <w:p w:rsidR="00FD1806" w:rsidRPr="000023C6" w:rsidRDefault="00FD1806" w:rsidP="009D1120">
      <w:pPr>
        <w:pStyle w:val="Prrafodelista"/>
        <w:tabs>
          <w:tab w:val="left" w:pos="284"/>
        </w:tabs>
        <w:spacing w:after="0" w:line="240" w:lineRule="auto"/>
        <w:ind w:left="0"/>
        <w:rPr>
          <w:rFonts w:ascii="Barlow" w:hAnsi="Barlow"/>
          <w:sz w:val="20"/>
          <w:szCs w:val="20"/>
        </w:rPr>
      </w:pPr>
    </w:p>
    <w:p w:rsidR="001304DE" w:rsidRPr="000023C6" w:rsidRDefault="001304DE" w:rsidP="00912392">
      <w:pPr>
        <w:pStyle w:val="Prrafodelista"/>
        <w:tabs>
          <w:tab w:val="left" w:pos="284"/>
        </w:tabs>
        <w:spacing w:after="0" w:line="240" w:lineRule="auto"/>
        <w:ind w:left="0"/>
        <w:rPr>
          <w:rFonts w:ascii="Barlow" w:hAnsi="Barlow"/>
          <w:sz w:val="20"/>
          <w:szCs w:val="20"/>
        </w:rPr>
      </w:pPr>
    </w:p>
    <w:p w:rsidR="009D1120" w:rsidRPr="000023C6" w:rsidRDefault="009D1120" w:rsidP="009D1120">
      <w:pPr>
        <w:pStyle w:val="Prrafodelista"/>
        <w:tabs>
          <w:tab w:val="left" w:pos="284"/>
        </w:tabs>
        <w:spacing w:after="0" w:line="240" w:lineRule="auto"/>
        <w:ind w:left="0"/>
        <w:rPr>
          <w:rFonts w:ascii="Barlow" w:hAnsi="Barlow" w:cs="Calibri"/>
          <w:sz w:val="20"/>
          <w:szCs w:val="20"/>
        </w:rPr>
      </w:pPr>
    </w:p>
    <w:p w:rsidR="00DD76AB" w:rsidRPr="000023C6" w:rsidRDefault="00017BAF" w:rsidP="000023C6">
      <w:pPr>
        <w:pStyle w:val="Prrafodelista"/>
        <w:tabs>
          <w:tab w:val="left" w:pos="284"/>
        </w:tabs>
        <w:spacing w:after="0" w:line="240" w:lineRule="auto"/>
        <w:ind w:left="0"/>
        <w:jc w:val="both"/>
        <w:rPr>
          <w:rFonts w:ascii="Barlow" w:hAnsi="Barlow" w:cs="Calibri"/>
          <w:sz w:val="20"/>
          <w:szCs w:val="20"/>
        </w:rPr>
      </w:pPr>
      <w:r w:rsidRPr="000023C6">
        <w:rPr>
          <w:rFonts w:ascii="Barlow" w:hAnsi="Barlow" w:cs="Calibri"/>
          <w:sz w:val="20"/>
          <w:szCs w:val="20"/>
        </w:rPr>
        <w:t>El saldo en Bancos/Tesorería por $</w:t>
      </w:r>
      <w:r w:rsidR="007826AF" w:rsidRPr="000023C6">
        <w:rPr>
          <w:rFonts w:ascii="Barlow" w:hAnsi="Barlow" w:cs="Calibri"/>
          <w:sz w:val="20"/>
          <w:szCs w:val="20"/>
        </w:rPr>
        <w:t>4</w:t>
      </w:r>
      <w:r w:rsidR="002F33D6" w:rsidRPr="000023C6">
        <w:rPr>
          <w:rFonts w:ascii="Barlow" w:hAnsi="Barlow" w:cs="Calibri"/>
          <w:sz w:val="20"/>
          <w:szCs w:val="20"/>
        </w:rPr>
        <w:t>,</w:t>
      </w:r>
      <w:r w:rsidR="007826AF" w:rsidRPr="000023C6">
        <w:rPr>
          <w:rFonts w:ascii="Barlow" w:hAnsi="Barlow" w:cs="Calibri"/>
          <w:sz w:val="20"/>
          <w:szCs w:val="20"/>
        </w:rPr>
        <w:t>233</w:t>
      </w:r>
      <w:r w:rsidR="000352D7" w:rsidRPr="000023C6">
        <w:rPr>
          <w:rFonts w:ascii="Barlow" w:hAnsi="Barlow" w:cs="Calibri"/>
          <w:sz w:val="20"/>
          <w:szCs w:val="20"/>
        </w:rPr>
        <w:t>,</w:t>
      </w:r>
      <w:r w:rsidR="007826AF" w:rsidRPr="000023C6">
        <w:rPr>
          <w:rFonts w:ascii="Barlow" w:hAnsi="Barlow" w:cs="Calibri"/>
          <w:sz w:val="20"/>
          <w:szCs w:val="20"/>
        </w:rPr>
        <w:t>669</w:t>
      </w:r>
      <w:r w:rsidR="000352D7" w:rsidRPr="000023C6">
        <w:rPr>
          <w:rFonts w:ascii="Barlow" w:hAnsi="Barlow" w:cs="Calibri"/>
          <w:sz w:val="20"/>
          <w:szCs w:val="20"/>
        </w:rPr>
        <w:t>.</w:t>
      </w:r>
      <w:r w:rsidR="007826AF" w:rsidRPr="000023C6">
        <w:rPr>
          <w:rFonts w:ascii="Barlow" w:hAnsi="Barlow" w:cs="Calibri"/>
          <w:sz w:val="20"/>
          <w:szCs w:val="20"/>
        </w:rPr>
        <w:t>20</w:t>
      </w:r>
      <w:r w:rsidRPr="000023C6">
        <w:rPr>
          <w:rFonts w:ascii="Barlow" w:hAnsi="Barlow" w:cs="Calibri"/>
          <w:sz w:val="20"/>
          <w:szCs w:val="20"/>
        </w:rPr>
        <w:t xml:space="preserve">  </w:t>
      </w:r>
      <w:r w:rsidR="000A47A8" w:rsidRPr="000023C6">
        <w:rPr>
          <w:rFonts w:ascii="Barlow" w:hAnsi="Barlow" w:cs="Calibri"/>
          <w:sz w:val="20"/>
          <w:szCs w:val="20"/>
        </w:rPr>
        <w:t>se integra</w:t>
      </w:r>
      <w:r w:rsidR="007826AF" w:rsidRPr="000023C6">
        <w:rPr>
          <w:rFonts w:ascii="Barlow" w:hAnsi="Barlow" w:cs="Calibri"/>
          <w:sz w:val="20"/>
          <w:szCs w:val="20"/>
        </w:rPr>
        <w:t xml:space="preserve"> de</w:t>
      </w:r>
      <w:r w:rsidR="000A47A8" w:rsidRPr="000023C6">
        <w:rPr>
          <w:rFonts w:ascii="Barlow" w:hAnsi="Barlow" w:cs="Calibri"/>
          <w:sz w:val="20"/>
          <w:szCs w:val="20"/>
        </w:rPr>
        <w:t xml:space="preserve"> </w:t>
      </w:r>
      <w:r w:rsidR="00BE25E2" w:rsidRPr="000023C6">
        <w:rPr>
          <w:rFonts w:ascii="Barlow" w:hAnsi="Barlow" w:cs="Calibri"/>
          <w:sz w:val="20"/>
          <w:szCs w:val="20"/>
        </w:rPr>
        <w:t xml:space="preserve">la cuenta 6350 de Banco Mercantil del Norte S.A. con saldo </w:t>
      </w:r>
      <w:r w:rsidR="002F33D6" w:rsidRPr="000023C6">
        <w:rPr>
          <w:rFonts w:ascii="Barlow" w:hAnsi="Barlow" w:cs="Calibri"/>
          <w:sz w:val="20"/>
          <w:szCs w:val="20"/>
        </w:rPr>
        <w:t>1,</w:t>
      </w:r>
      <w:r w:rsidR="007826AF" w:rsidRPr="000023C6">
        <w:rPr>
          <w:rFonts w:ascii="Barlow" w:hAnsi="Barlow" w:cs="Calibri"/>
          <w:sz w:val="20"/>
          <w:szCs w:val="20"/>
        </w:rPr>
        <w:t>686</w:t>
      </w:r>
      <w:r w:rsidR="00BE25E2" w:rsidRPr="000023C6">
        <w:rPr>
          <w:rFonts w:ascii="Barlow" w:hAnsi="Barlow" w:cs="Calibri"/>
          <w:sz w:val="20"/>
          <w:szCs w:val="20"/>
        </w:rPr>
        <w:t>,</w:t>
      </w:r>
      <w:r w:rsidR="002F33D6" w:rsidRPr="000023C6">
        <w:rPr>
          <w:rFonts w:ascii="Barlow" w:hAnsi="Barlow" w:cs="Calibri"/>
          <w:sz w:val="20"/>
          <w:szCs w:val="20"/>
        </w:rPr>
        <w:t>1</w:t>
      </w:r>
      <w:r w:rsidR="007826AF" w:rsidRPr="000023C6">
        <w:rPr>
          <w:rFonts w:ascii="Barlow" w:hAnsi="Barlow" w:cs="Calibri"/>
          <w:sz w:val="20"/>
          <w:szCs w:val="20"/>
        </w:rPr>
        <w:t>66</w:t>
      </w:r>
      <w:r w:rsidR="00BE25E2" w:rsidRPr="000023C6">
        <w:rPr>
          <w:rFonts w:ascii="Barlow" w:hAnsi="Barlow" w:cs="Calibri"/>
          <w:sz w:val="20"/>
          <w:szCs w:val="20"/>
        </w:rPr>
        <w:t>.</w:t>
      </w:r>
      <w:r w:rsidR="007826AF" w:rsidRPr="000023C6">
        <w:rPr>
          <w:rFonts w:ascii="Barlow" w:hAnsi="Barlow" w:cs="Calibri"/>
          <w:sz w:val="20"/>
          <w:szCs w:val="20"/>
        </w:rPr>
        <w:t>4</w:t>
      </w:r>
      <w:r w:rsidR="002F33D6" w:rsidRPr="000023C6">
        <w:rPr>
          <w:rFonts w:ascii="Barlow" w:hAnsi="Barlow" w:cs="Calibri"/>
          <w:sz w:val="20"/>
          <w:szCs w:val="20"/>
        </w:rPr>
        <w:t>7</w:t>
      </w:r>
      <w:r w:rsidR="00BE25E2" w:rsidRPr="000023C6">
        <w:rPr>
          <w:rFonts w:ascii="Barlow" w:hAnsi="Barlow" w:cs="Calibri"/>
          <w:sz w:val="20"/>
          <w:szCs w:val="20"/>
        </w:rPr>
        <w:t xml:space="preserve"> corresponde</w:t>
      </w:r>
      <w:r w:rsidR="004810A4" w:rsidRPr="000023C6">
        <w:rPr>
          <w:rFonts w:ascii="Barlow" w:hAnsi="Barlow" w:cs="Calibri"/>
          <w:sz w:val="20"/>
          <w:szCs w:val="20"/>
        </w:rPr>
        <w:t xml:space="preserve"> a subsidios provenientes de Gobierno del Estado con fuente de financiamiento 001 (Recursos Propios), </w:t>
      </w:r>
      <w:r w:rsidRPr="000023C6">
        <w:rPr>
          <w:rFonts w:ascii="Barlow" w:hAnsi="Barlow" w:cs="Calibri"/>
          <w:sz w:val="20"/>
          <w:szCs w:val="20"/>
        </w:rPr>
        <w:t xml:space="preserve"> la cuenta 9761 </w:t>
      </w:r>
      <w:r w:rsidR="00C85E7E" w:rsidRPr="000023C6">
        <w:rPr>
          <w:rFonts w:ascii="Barlow" w:hAnsi="Barlow" w:cs="Calibri"/>
          <w:sz w:val="20"/>
          <w:szCs w:val="20"/>
        </w:rPr>
        <w:t xml:space="preserve"> y la cuenta 0179 </w:t>
      </w:r>
      <w:r w:rsidR="00912392" w:rsidRPr="000023C6">
        <w:rPr>
          <w:rFonts w:ascii="Barlow" w:hAnsi="Barlow" w:cs="Calibri"/>
          <w:sz w:val="20"/>
          <w:szCs w:val="20"/>
        </w:rPr>
        <w:t xml:space="preserve">de HSBC México S.A. con saldo </w:t>
      </w:r>
      <w:r w:rsidR="004810A4" w:rsidRPr="000023C6">
        <w:rPr>
          <w:rFonts w:ascii="Barlow" w:hAnsi="Barlow" w:cs="Calibri"/>
          <w:sz w:val="20"/>
          <w:szCs w:val="20"/>
        </w:rPr>
        <w:t>2</w:t>
      </w:r>
      <w:r w:rsidRPr="000023C6">
        <w:rPr>
          <w:rFonts w:ascii="Barlow" w:hAnsi="Barlow" w:cs="Calibri"/>
          <w:sz w:val="20"/>
          <w:szCs w:val="20"/>
        </w:rPr>
        <w:t>,</w:t>
      </w:r>
      <w:r w:rsidR="007826AF" w:rsidRPr="000023C6">
        <w:rPr>
          <w:rFonts w:ascii="Barlow" w:hAnsi="Barlow" w:cs="Calibri"/>
          <w:sz w:val="20"/>
          <w:szCs w:val="20"/>
        </w:rPr>
        <w:t>451</w:t>
      </w:r>
      <w:r w:rsidRPr="000023C6">
        <w:rPr>
          <w:rFonts w:ascii="Barlow" w:hAnsi="Barlow" w:cs="Calibri"/>
          <w:sz w:val="20"/>
          <w:szCs w:val="20"/>
        </w:rPr>
        <w:t>,</w:t>
      </w:r>
      <w:r w:rsidR="007826AF" w:rsidRPr="000023C6">
        <w:rPr>
          <w:rFonts w:ascii="Barlow" w:hAnsi="Barlow" w:cs="Calibri"/>
          <w:sz w:val="20"/>
          <w:szCs w:val="20"/>
        </w:rPr>
        <w:t>07</w:t>
      </w:r>
      <w:r w:rsidR="000352D7" w:rsidRPr="000023C6">
        <w:rPr>
          <w:rFonts w:ascii="Barlow" w:hAnsi="Barlow" w:cs="Calibri"/>
          <w:sz w:val="20"/>
          <w:szCs w:val="20"/>
        </w:rPr>
        <w:t>9</w:t>
      </w:r>
      <w:r w:rsidRPr="000023C6">
        <w:rPr>
          <w:rFonts w:ascii="Barlow" w:hAnsi="Barlow" w:cs="Calibri"/>
          <w:sz w:val="20"/>
          <w:szCs w:val="20"/>
        </w:rPr>
        <w:t>.</w:t>
      </w:r>
      <w:r w:rsidR="007826AF" w:rsidRPr="000023C6">
        <w:rPr>
          <w:rFonts w:ascii="Barlow" w:hAnsi="Barlow" w:cs="Calibri"/>
          <w:sz w:val="20"/>
          <w:szCs w:val="20"/>
        </w:rPr>
        <w:t>04</w:t>
      </w:r>
      <w:r w:rsidR="00C85E7E" w:rsidRPr="000023C6">
        <w:rPr>
          <w:rFonts w:ascii="Barlow" w:hAnsi="Barlow" w:cs="Calibri"/>
          <w:sz w:val="20"/>
          <w:szCs w:val="20"/>
        </w:rPr>
        <w:t xml:space="preserve"> y 1</w:t>
      </w:r>
      <w:r w:rsidR="000352D7" w:rsidRPr="000023C6">
        <w:rPr>
          <w:rFonts w:ascii="Barlow" w:hAnsi="Barlow" w:cs="Calibri"/>
          <w:sz w:val="20"/>
          <w:szCs w:val="20"/>
        </w:rPr>
        <w:t>1</w:t>
      </w:r>
      <w:r w:rsidR="00C85E7E" w:rsidRPr="000023C6">
        <w:rPr>
          <w:rFonts w:ascii="Barlow" w:hAnsi="Barlow" w:cs="Calibri"/>
          <w:sz w:val="20"/>
          <w:szCs w:val="20"/>
        </w:rPr>
        <w:t>,</w:t>
      </w:r>
      <w:r w:rsidR="000352D7" w:rsidRPr="000023C6">
        <w:rPr>
          <w:rFonts w:ascii="Barlow" w:hAnsi="Barlow" w:cs="Calibri"/>
          <w:sz w:val="20"/>
          <w:szCs w:val="20"/>
        </w:rPr>
        <w:t>23</w:t>
      </w:r>
      <w:r w:rsidR="007826AF" w:rsidRPr="000023C6">
        <w:rPr>
          <w:rFonts w:ascii="Barlow" w:hAnsi="Barlow" w:cs="Calibri"/>
          <w:sz w:val="20"/>
          <w:szCs w:val="20"/>
        </w:rPr>
        <w:t>5</w:t>
      </w:r>
      <w:r w:rsidR="00C85E7E" w:rsidRPr="000023C6">
        <w:rPr>
          <w:rFonts w:ascii="Barlow" w:hAnsi="Barlow" w:cs="Calibri"/>
          <w:sz w:val="20"/>
          <w:szCs w:val="20"/>
        </w:rPr>
        <w:t>.</w:t>
      </w:r>
      <w:r w:rsidR="007826AF" w:rsidRPr="000023C6">
        <w:rPr>
          <w:rFonts w:ascii="Barlow" w:hAnsi="Barlow" w:cs="Calibri"/>
          <w:sz w:val="20"/>
          <w:szCs w:val="20"/>
        </w:rPr>
        <w:t>38</w:t>
      </w:r>
      <w:r w:rsidR="00C85E7E" w:rsidRPr="000023C6">
        <w:rPr>
          <w:rFonts w:ascii="Barlow" w:hAnsi="Barlow" w:cs="Calibri"/>
          <w:sz w:val="20"/>
          <w:szCs w:val="20"/>
        </w:rPr>
        <w:t xml:space="preserve"> respectivamente</w:t>
      </w:r>
      <w:r w:rsidRPr="000023C6">
        <w:rPr>
          <w:rFonts w:ascii="Barlow" w:hAnsi="Barlow" w:cs="Calibri"/>
          <w:sz w:val="20"/>
          <w:szCs w:val="20"/>
        </w:rPr>
        <w:t xml:space="preserve"> corresponde</w:t>
      </w:r>
      <w:r w:rsidR="00C85E7E" w:rsidRPr="000023C6">
        <w:rPr>
          <w:rFonts w:ascii="Barlow" w:hAnsi="Barlow" w:cs="Calibri"/>
          <w:sz w:val="20"/>
          <w:szCs w:val="20"/>
        </w:rPr>
        <w:t>n</w:t>
      </w:r>
      <w:r w:rsidRPr="000023C6">
        <w:rPr>
          <w:rFonts w:ascii="Barlow" w:hAnsi="Barlow" w:cs="Calibri"/>
          <w:sz w:val="20"/>
          <w:szCs w:val="20"/>
        </w:rPr>
        <w:t xml:space="preserve"> a ingresos propios </w:t>
      </w:r>
      <w:r w:rsidR="00DD76AB" w:rsidRPr="000023C6">
        <w:rPr>
          <w:rFonts w:ascii="Barlow" w:hAnsi="Barlow" w:cs="Calibri"/>
          <w:sz w:val="20"/>
          <w:szCs w:val="20"/>
        </w:rPr>
        <w:t xml:space="preserve">de la institución con fuente de financiamiento 73 (Recursos Propios de las Entidades Paraestatales), la cuenta 6363 de HSBC México S.A. con saldo </w:t>
      </w:r>
      <w:r w:rsidR="007826AF" w:rsidRPr="000023C6">
        <w:rPr>
          <w:rFonts w:ascii="Barlow" w:hAnsi="Barlow" w:cs="Calibri"/>
          <w:sz w:val="20"/>
          <w:szCs w:val="20"/>
        </w:rPr>
        <w:t>473</w:t>
      </w:r>
      <w:r w:rsidR="004810A4" w:rsidRPr="000023C6">
        <w:rPr>
          <w:rFonts w:ascii="Barlow" w:hAnsi="Barlow" w:cs="Calibri"/>
          <w:sz w:val="20"/>
          <w:szCs w:val="20"/>
        </w:rPr>
        <w:t>.</w:t>
      </w:r>
      <w:r w:rsidR="007826AF" w:rsidRPr="000023C6">
        <w:rPr>
          <w:rFonts w:ascii="Barlow" w:hAnsi="Barlow" w:cs="Calibri"/>
          <w:sz w:val="20"/>
          <w:szCs w:val="20"/>
        </w:rPr>
        <w:t>67</w:t>
      </w:r>
      <w:r w:rsidR="000A47A8" w:rsidRPr="000023C6">
        <w:rPr>
          <w:rFonts w:ascii="Barlow" w:hAnsi="Barlow" w:cs="Calibri"/>
          <w:sz w:val="20"/>
          <w:szCs w:val="20"/>
        </w:rPr>
        <w:t xml:space="preserve"> se utiliza para realizar la dispersión de la nómina de los empleados de la institución</w:t>
      </w:r>
      <w:r w:rsidR="00816052" w:rsidRPr="000023C6">
        <w:rPr>
          <w:rFonts w:ascii="Barlow" w:hAnsi="Barlow" w:cs="Calibri"/>
          <w:sz w:val="20"/>
          <w:szCs w:val="20"/>
        </w:rPr>
        <w:t xml:space="preserve"> así como</w:t>
      </w:r>
      <w:r w:rsidR="004155AA" w:rsidRPr="000023C6">
        <w:rPr>
          <w:rFonts w:ascii="Barlow" w:hAnsi="Barlow" w:cs="Calibri"/>
          <w:sz w:val="20"/>
          <w:szCs w:val="20"/>
        </w:rPr>
        <w:t xml:space="preserve"> para</w:t>
      </w:r>
      <w:r w:rsidR="00816052" w:rsidRPr="000023C6">
        <w:rPr>
          <w:rFonts w:ascii="Barlow" w:hAnsi="Barlow" w:cs="Calibri"/>
          <w:sz w:val="20"/>
          <w:szCs w:val="20"/>
        </w:rPr>
        <w:t xml:space="preserve"> realizar pagos de servicios relacionados con la fuente de financiamiento 001</w:t>
      </w:r>
      <w:r w:rsidR="000A47A8" w:rsidRPr="000023C6">
        <w:rPr>
          <w:rFonts w:ascii="Barlow" w:hAnsi="Barlow" w:cs="Calibri"/>
          <w:sz w:val="20"/>
          <w:szCs w:val="20"/>
        </w:rPr>
        <w:t xml:space="preserve"> y</w:t>
      </w:r>
      <w:r w:rsidR="00DD76AB" w:rsidRPr="000023C6">
        <w:rPr>
          <w:rFonts w:ascii="Barlow" w:hAnsi="Barlow" w:cs="Calibri"/>
          <w:sz w:val="20"/>
          <w:szCs w:val="20"/>
        </w:rPr>
        <w:t xml:space="preserve"> la cuenta 5968 de HSBC México S.A. con saldo 84,698.92 corresponde a una cuenta de inversión diaria. </w:t>
      </w:r>
    </w:p>
    <w:p w:rsidR="00DD76AB" w:rsidRPr="000023C6" w:rsidRDefault="00DD76AB" w:rsidP="000023C6">
      <w:pPr>
        <w:pStyle w:val="Prrafodelista"/>
        <w:tabs>
          <w:tab w:val="left" w:pos="284"/>
        </w:tabs>
        <w:spacing w:after="0" w:line="240" w:lineRule="auto"/>
        <w:ind w:left="0"/>
        <w:jc w:val="both"/>
        <w:rPr>
          <w:rFonts w:ascii="Barlow" w:hAnsi="Barlow" w:cs="Calibri"/>
          <w:sz w:val="20"/>
          <w:szCs w:val="20"/>
        </w:rPr>
      </w:pPr>
    </w:p>
    <w:p w:rsidR="0017572E" w:rsidRPr="000023C6" w:rsidRDefault="00F0292E" w:rsidP="000023C6">
      <w:pPr>
        <w:pStyle w:val="Prrafodelista"/>
        <w:tabs>
          <w:tab w:val="left" w:pos="284"/>
        </w:tabs>
        <w:spacing w:after="0" w:line="240" w:lineRule="auto"/>
        <w:ind w:left="0"/>
        <w:jc w:val="both"/>
        <w:rPr>
          <w:rFonts w:ascii="Barlow" w:hAnsi="Barlow"/>
          <w:sz w:val="20"/>
          <w:szCs w:val="20"/>
        </w:rPr>
      </w:pPr>
      <w:r w:rsidRPr="000023C6">
        <w:rPr>
          <w:rFonts w:ascii="Barlow" w:hAnsi="Barlow" w:cs="Calibri"/>
          <w:sz w:val="20"/>
          <w:szCs w:val="20"/>
        </w:rPr>
        <w:t xml:space="preserve">Actualmente la institución no cuenta con fondos con afectación específica. </w:t>
      </w:r>
      <w:r w:rsidRPr="000023C6">
        <w:rPr>
          <w:rFonts w:ascii="Barlow" w:hAnsi="Barlow"/>
          <w:sz w:val="20"/>
          <w:szCs w:val="20"/>
        </w:rPr>
        <w:t>En el presente mes en la cuenta 9109 con saldo de $</w:t>
      </w:r>
      <w:r w:rsidR="001221AB" w:rsidRPr="000023C6">
        <w:rPr>
          <w:rFonts w:ascii="Barlow" w:hAnsi="Barlow"/>
          <w:sz w:val="20"/>
          <w:szCs w:val="20"/>
        </w:rPr>
        <w:t>1</w:t>
      </w:r>
      <w:r w:rsidR="004810A4" w:rsidRPr="000023C6">
        <w:rPr>
          <w:rFonts w:ascii="Barlow" w:hAnsi="Barlow"/>
          <w:sz w:val="20"/>
          <w:szCs w:val="20"/>
        </w:rPr>
        <w:t>5</w:t>
      </w:r>
      <w:r w:rsidR="001221AB" w:rsidRPr="000023C6">
        <w:rPr>
          <w:rFonts w:ascii="Barlow" w:hAnsi="Barlow"/>
          <w:sz w:val="20"/>
          <w:szCs w:val="20"/>
        </w:rPr>
        <w:t>.7</w:t>
      </w:r>
      <w:r w:rsidR="004810A4" w:rsidRPr="000023C6">
        <w:rPr>
          <w:rFonts w:ascii="Barlow" w:hAnsi="Barlow"/>
          <w:sz w:val="20"/>
          <w:szCs w:val="20"/>
        </w:rPr>
        <w:t>2</w:t>
      </w:r>
      <w:r w:rsidRPr="000023C6">
        <w:rPr>
          <w:rFonts w:ascii="Barlow" w:hAnsi="Barlow"/>
          <w:sz w:val="20"/>
          <w:szCs w:val="20"/>
        </w:rPr>
        <w:t xml:space="preserve"> corresponde al registro realizado para verificar la funcionalidad de la cuenta </w:t>
      </w:r>
      <w:r w:rsidR="00BE09EC" w:rsidRPr="000023C6">
        <w:rPr>
          <w:rFonts w:ascii="Barlow" w:hAnsi="Barlow"/>
          <w:sz w:val="20"/>
          <w:szCs w:val="20"/>
        </w:rPr>
        <w:t>para los</w:t>
      </w:r>
      <w:r w:rsidRPr="000023C6">
        <w:rPr>
          <w:rFonts w:ascii="Barlow" w:hAnsi="Barlow"/>
          <w:sz w:val="20"/>
          <w:szCs w:val="20"/>
        </w:rPr>
        <w:t xml:space="preserve"> depósitos referenciados que reali</w:t>
      </w:r>
      <w:r w:rsidR="00954F44" w:rsidRPr="000023C6">
        <w:rPr>
          <w:rFonts w:ascii="Barlow" w:hAnsi="Barlow"/>
          <w:sz w:val="20"/>
          <w:szCs w:val="20"/>
        </w:rPr>
        <w:t>zará</w:t>
      </w:r>
      <w:r w:rsidR="00BE09EC" w:rsidRPr="000023C6">
        <w:rPr>
          <w:rFonts w:ascii="Barlow" w:hAnsi="Barlow"/>
          <w:sz w:val="20"/>
          <w:szCs w:val="20"/>
        </w:rPr>
        <w:t xml:space="preserve"> la comunidad estudiantil</w:t>
      </w:r>
      <w:r w:rsidRPr="000023C6">
        <w:rPr>
          <w:rFonts w:ascii="Barlow" w:hAnsi="Barlow"/>
          <w:sz w:val="20"/>
          <w:szCs w:val="20"/>
        </w:rPr>
        <w:t xml:space="preserve"> </w:t>
      </w:r>
      <w:r w:rsidR="00954F44" w:rsidRPr="000023C6">
        <w:rPr>
          <w:rFonts w:ascii="Barlow" w:hAnsi="Barlow"/>
          <w:sz w:val="20"/>
          <w:szCs w:val="20"/>
        </w:rPr>
        <w:t>por</w:t>
      </w:r>
      <w:r w:rsidRPr="000023C6">
        <w:rPr>
          <w:rFonts w:ascii="Barlow" w:hAnsi="Barlow"/>
          <w:sz w:val="20"/>
          <w:szCs w:val="20"/>
        </w:rPr>
        <w:t xml:space="preserve"> los servicios que ofrece la ESAY</w:t>
      </w:r>
      <w:r w:rsidR="0017572E" w:rsidRPr="000023C6">
        <w:rPr>
          <w:rFonts w:ascii="Barlow" w:hAnsi="Barlow"/>
          <w:sz w:val="20"/>
          <w:szCs w:val="20"/>
        </w:rPr>
        <w:t>.</w:t>
      </w:r>
      <w:r w:rsidR="0017572E" w:rsidRPr="000023C6">
        <w:rPr>
          <w:rFonts w:ascii="Barlow" w:hAnsi="Barlow"/>
          <w:sz w:val="20"/>
          <w:szCs w:val="20"/>
        </w:rPr>
        <w:tab/>
      </w:r>
    </w:p>
    <w:p w:rsidR="0017572E" w:rsidRPr="000023C6" w:rsidRDefault="0017572E" w:rsidP="009D1120">
      <w:pPr>
        <w:pStyle w:val="Prrafodelista"/>
        <w:tabs>
          <w:tab w:val="left" w:pos="284"/>
        </w:tabs>
        <w:spacing w:after="0" w:line="240" w:lineRule="auto"/>
        <w:ind w:left="0"/>
        <w:rPr>
          <w:rFonts w:ascii="Barlow" w:hAnsi="Barlow" w:cs="Calibri"/>
          <w:sz w:val="20"/>
          <w:szCs w:val="20"/>
        </w:rPr>
      </w:pPr>
    </w:p>
    <w:p w:rsidR="00FD388E" w:rsidRPr="000023C6" w:rsidRDefault="00FD388E" w:rsidP="009D1120">
      <w:pPr>
        <w:pStyle w:val="Prrafodelista"/>
        <w:tabs>
          <w:tab w:val="left" w:pos="284"/>
        </w:tabs>
        <w:spacing w:after="0" w:line="240" w:lineRule="auto"/>
        <w:ind w:left="0"/>
        <w:rPr>
          <w:rFonts w:ascii="Barlow" w:hAnsi="Barlow" w:cs="Calibri"/>
          <w:sz w:val="20"/>
          <w:szCs w:val="20"/>
        </w:rPr>
      </w:pPr>
    </w:p>
    <w:p w:rsidR="00EE4224" w:rsidRPr="000023C6" w:rsidRDefault="00EE4224" w:rsidP="009D1120">
      <w:pPr>
        <w:pStyle w:val="Prrafodelista"/>
        <w:tabs>
          <w:tab w:val="left" w:pos="284"/>
        </w:tabs>
        <w:spacing w:after="0" w:line="240" w:lineRule="auto"/>
        <w:ind w:left="0"/>
        <w:rPr>
          <w:rFonts w:ascii="Barlow" w:hAnsi="Barlow" w:cs="Calibri"/>
          <w:sz w:val="20"/>
          <w:szCs w:val="20"/>
        </w:rPr>
      </w:pPr>
    </w:p>
    <w:p w:rsidR="00EE4224" w:rsidRPr="000023C6" w:rsidRDefault="00EE4224" w:rsidP="009D1120">
      <w:pPr>
        <w:pStyle w:val="Prrafodelista"/>
        <w:tabs>
          <w:tab w:val="left" w:pos="284"/>
        </w:tabs>
        <w:spacing w:after="0" w:line="240" w:lineRule="auto"/>
        <w:ind w:left="0"/>
        <w:rPr>
          <w:rFonts w:ascii="Barlow" w:hAnsi="Barlow" w:cs="Calibri"/>
          <w:sz w:val="20"/>
          <w:szCs w:val="20"/>
        </w:rPr>
      </w:pPr>
    </w:p>
    <w:p w:rsidR="00FD388E" w:rsidRPr="000023C6" w:rsidRDefault="00D01EF2" w:rsidP="000023C6">
      <w:pPr>
        <w:spacing w:after="0"/>
        <w:jc w:val="both"/>
        <w:rPr>
          <w:rFonts w:ascii="Barlow" w:hAnsi="Barlow"/>
          <w:b/>
          <w:sz w:val="20"/>
          <w:szCs w:val="20"/>
        </w:rPr>
      </w:pPr>
      <w:r w:rsidRPr="000023C6">
        <w:rPr>
          <w:rFonts w:ascii="Barlow" w:hAnsi="Barlow"/>
          <w:b/>
          <w:sz w:val="20"/>
          <w:szCs w:val="20"/>
        </w:rPr>
        <w:t xml:space="preserve">    </w:t>
      </w:r>
      <w:r w:rsidR="00081869" w:rsidRPr="000023C6">
        <w:rPr>
          <w:rFonts w:ascii="Barlow" w:hAnsi="Barlow"/>
          <w:b/>
          <w:sz w:val="20"/>
          <w:szCs w:val="20"/>
        </w:rPr>
        <w:t xml:space="preserve"> </w:t>
      </w:r>
      <w:r w:rsidR="00FD388E" w:rsidRPr="000023C6">
        <w:rPr>
          <w:rFonts w:ascii="Barlow" w:hAnsi="Barlow"/>
          <w:b/>
          <w:sz w:val="20"/>
          <w:szCs w:val="20"/>
        </w:rPr>
        <w:t>Derechos a Recibir Efectivo o Equivalentes</w:t>
      </w:r>
      <w:r w:rsidR="00F65EEC" w:rsidRPr="000023C6">
        <w:rPr>
          <w:rFonts w:ascii="Barlow" w:hAnsi="Barlow"/>
          <w:b/>
          <w:sz w:val="20"/>
          <w:szCs w:val="20"/>
        </w:rPr>
        <w:t xml:space="preserve"> y Bienes o Servicios a Recibir</w:t>
      </w:r>
    </w:p>
    <w:p w:rsidR="00D01EF2" w:rsidRPr="000023C6" w:rsidRDefault="00D01EF2" w:rsidP="000023C6">
      <w:pPr>
        <w:pStyle w:val="Prrafodelista"/>
        <w:tabs>
          <w:tab w:val="left" w:pos="284"/>
        </w:tabs>
        <w:spacing w:after="0" w:line="240" w:lineRule="auto"/>
        <w:ind w:left="0"/>
        <w:jc w:val="both"/>
        <w:rPr>
          <w:rFonts w:ascii="Barlow" w:hAnsi="Barlow"/>
          <w:sz w:val="20"/>
          <w:szCs w:val="20"/>
        </w:rPr>
      </w:pPr>
      <w:r w:rsidRPr="000023C6">
        <w:rPr>
          <w:rFonts w:ascii="Barlow" w:hAnsi="Barlow"/>
          <w:sz w:val="20"/>
          <w:szCs w:val="20"/>
        </w:rPr>
        <w:t>2. Las cuentas que conforman el rubro "Derechos a recibir efectivo o equivalentes" corresponden al presente ejercicio, no se tienen cuentas por recuperar de ejercicios anteriores ni montos sujetos a algún tipo de juicio. El vencimiento de las cuentas de este rubro es menor a 90 días. La factibilidad de cobro de estas cuentas es asequible. Actualmente la institución no cuenta con fideicomisos.</w:t>
      </w:r>
    </w:p>
    <w:p w:rsidR="00D9583A" w:rsidRPr="000023C6" w:rsidRDefault="00D9583A" w:rsidP="001438B6">
      <w:pPr>
        <w:spacing w:after="0"/>
        <w:jc w:val="center"/>
        <w:rPr>
          <w:rFonts w:ascii="Barlow" w:hAnsi="Barlow"/>
          <w:b/>
          <w:sz w:val="20"/>
          <w:szCs w:val="20"/>
        </w:rPr>
      </w:pPr>
    </w:p>
    <w:p w:rsidR="00081869" w:rsidRPr="000023C6" w:rsidRDefault="007826AF" w:rsidP="001438B6">
      <w:pPr>
        <w:spacing w:after="0"/>
        <w:jc w:val="center"/>
        <w:rPr>
          <w:rFonts w:ascii="Barlow" w:hAnsi="Barlow"/>
          <w:b/>
          <w:sz w:val="20"/>
          <w:szCs w:val="20"/>
        </w:rPr>
      </w:pPr>
      <w:r w:rsidRPr="000023C6">
        <w:rPr>
          <w:rFonts w:ascii="Barlow" w:hAnsi="Barlow"/>
          <w:noProof/>
          <w:sz w:val="20"/>
          <w:szCs w:val="20"/>
        </w:rPr>
        <w:drawing>
          <wp:inline distT="0" distB="0" distL="0" distR="0">
            <wp:extent cx="6858000" cy="1914525"/>
            <wp:effectExtent l="1905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858000" cy="1914525"/>
                    </a:xfrm>
                    <a:prstGeom prst="rect">
                      <a:avLst/>
                    </a:prstGeom>
                    <a:noFill/>
                    <a:ln w="9525">
                      <a:noFill/>
                      <a:miter lim="800000"/>
                      <a:headEnd/>
                      <a:tailEnd/>
                    </a:ln>
                  </pic:spPr>
                </pic:pic>
              </a:graphicData>
            </a:graphic>
          </wp:inline>
        </w:drawing>
      </w:r>
      <w:r w:rsidR="00AE37BC" w:rsidRPr="000023C6">
        <w:rPr>
          <w:rFonts w:ascii="Barlow" w:hAnsi="Barlow"/>
          <w:b/>
          <w:sz w:val="20"/>
          <w:szCs w:val="20"/>
        </w:rPr>
        <w:br w:type="textWrapping" w:clear="all"/>
      </w:r>
    </w:p>
    <w:p w:rsidR="00E5664F" w:rsidRDefault="00E5664F" w:rsidP="001438B6">
      <w:pPr>
        <w:spacing w:after="0"/>
        <w:jc w:val="center"/>
        <w:rPr>
          <w:rFonts w:ascii="Barlow" w:hAnsi="Barlow"/>
          <w:b/>
          <w:sz w:val="20"/>
          <w:szCs w:val="20"/>
        </w:rPr>
      </w:pPr>
    </w:p>
    <w:p w:rsidR="000023C6" w:rsidRDefault="000023C6" w:rsidP="001438B6">
      <w:pPr>
        <w:spacing w:after="0"/>
        <w:jc w:val="center"/>
        <w:rPr>
          <w:rFonts w:ascii="Barlow" w:hAnsi="Barlow"/>
          <w:b/>
          <w:sz w:val="20"/>
          <w:szCs w:val="20"/>
        </w:rPr>
      </w:pPr>
    </w:p>
    <w:p w:rsidR="000023C6" w:rsidRDefault="000023C6" w:rsidP="001438B6">
      <w:pPr>
        <w:spacing w:after="0"/>
        <w:jc w:val="center"/>
        <w:rPr>
          <w:rFonts w:ascii="Barlow" w:hAnsi="Barlow"/>
          <w:b/>
          <w:sz w:val="20"/>
          <w:szCs w:val="20"/>
        </w:rPr>
      </w:pPr>
    </w:p>
    <w:p w:rsidR="000023C6" w:rsidRDefault="000023C6" w:rsidP="001438B6">
      <w:pPr>
        <w:spacing w:after="0"/>
        <w:jc w:val="center"/>
        <w:rPr>
          <w:rFonts w:ascii="Barlow" w:hAnsi="Barlow"/>
          <w:b/>
          <w:sz w:val="20"/>
          <w:szCs w:val="20"/>
        </w:rPr>
      </w:pPr>
    </w:p>
    <w:p w:rsidR="000023C6" w:rsidRDefault="000023C6" w:rsidP="001438B6">
      <w:pPr>
        <w:spacing w:after="0"/>
        <w:jc w:val="center"/>
        <w:rPr>
          <w:rFonts w:ascii="Barlow" w:hAnsi="Barlow"/>
          <w:b/>
          <w:sz w:val="20"/>
          <w:szCs w:val="20"/>
        </w:rPr>
      </w:pPr>
    </w:p>
    <w:p w:rsidR="000023C6" w:rsidRDefault="000023C6" w:rsidP="001438B6">
      <w:pPr>
        <w:spacing w:after="0"/>
        <w:jc w:val="center"/>
        <w:rPr>
          <w:rFonts w:ascii="Barlow" w:hAnsi="Barlow"/>
          <w:b/>
          <w:sz w:val="20"/>
          <w:szCs w:val="20"/>
        </w:rPr>
      </w:pPr>
    </w:p>
    <w:p w:rsidR="000023C6" w:rsidRPr="000023C6" w:rsidRDefault="000023C6" w:rsidP="001438B6">
      <w:pPr>
        <w:spacing w:after="0"/>
        <w:jc w:val="center"/>
        <w:rPr>
          <w:rFonts w:ascii="Barlow" w:hAnsi="Barlow"/>
          <w:b/>
          <w:sz w:val="20"/>
          <w:szCs w:val="20"/>
        </w:rPr>
      </w:pPr>
    </w:p>
    <w:p w:rsidR="00C66C4E" w:rsidRPr="000023C6" w:rsidRDefault="00C66C4E" w:rsidP="00FD388E">
      <w:pPr>
        <w:pStyle w:val="Prrafodelista"/>
        <w:tabs>
          <w:tab w:val="left" w:pos="284"/>
        </w:tabs>
        <w:spacing w:after="0" w:line="240" w:lineRule="auto"/>
        <w:ind w:left="0"/>
        <w:rPr>
          <w:rFonts w:ascii="Barlow" w:hAnsi="Barlow"/>
          <w:sz w:val="20"/>
          <w:szCs w:val="20"/>
        </w:rPr>
      </w:pPr>
    </w:p>
    <w:p w:rsidR="0032376D" w:rsidRPr="000023C6" w:rsidRDefault="0032376D" w:rsidP="0032376D">
      <w:pPr>
        <w:pStyle w:val="Prrafodelista"/>
        <w:tabs>
          <w:tab w:val="left" w:pos="284"/>
        </w:tabs>
        <w:spacing w:after="0" w:line="240" w:lineRule="auto"/>
        <w:ind w:left="0"/>
        <w:rPr>
          <w:rFonts w:ascii="Barlow" w:hAnsi="Barlow"/>
          <w:b/>
          <w:sz w:val="20"/>
          <w:szCs w:val="20"/>
        </w:rPr>
      </w:pPr>
      <w:r w:rsidRPr="000023C6">
        <w:rPr>
          <w:rFonts w:ascii="Barlow" w:hAnsi="Barlow"/>
          <w:b/>
          <w:sz w:val="20"/>
          <w:szCs w:val="20"/>
        </w:rPr>
        <w:t>Derecho a Recibir Efectivo y Equivalentes a Largo Plazo</w:t>
      </w:r>
    </w:p>
    <w:p w:rsidR="0032376D" w:rsidRPr="000023C6" w:rsidRDefault="0032376D" w:rsidP="0032376D">
      <w:pPr>
        <w:pStyle w:val="Prrafodelista"/>
        <w:tabs>
          <w:tab w:val="left" w:pos="284"/>
        </w:tabs>
        <w:spacing w:after="0" w:line="240" w:lineRule="auto"/>
        <w:ind w:left="0"/>
        <w:rPr>
          <w:rFonts w:ascii="Barlow" w:hAnsi="Barlow" w:cs="Calibri"/>
          <w:sz w:val="20"/>
          <w:szCs w:val="20"/>
        </w:rPr>
      </w:pPr>
    </w:p>
    <w:p w:rsidR="0032376D" w:rsidRPr="000023C6" w:rsidRDefault="0032376D" w:rsidP="0032376D">
      <w:pPr>
        <w:pStyle w:val="Prrafodelista"/>
        <w:tabs>
          <w:tab w:val="left" w:pos="284"/>
        </w:tabs>
        <w:spacing w:after="0" w:line="240" w:lineRule="auto"/>
        <w:ind w:left="0"/>
        <w:rPr>
          <w:rFonts w:ascii="Barlow" w:hAnsi="Barlow" w:cs="Calibri"/>
          <w:sz w:val="20"/>
          <w:szCs w:val="20"/>
        </w:rPr>
      </w:pPr>
    </w:p>
    <w:p w:rsidR="0032376D" w:rsidRPr="000023C6" w:rsidRDefault="007826AF" w:rsidP="0032376D">
      <w:pPr>
        <w:pStyle w:val="Prrafodelista"/>
        <w:tabs>
          <w:tab w:val="left" w:pos="284"/>
        </w:tabs>
        <w:spacing w:after="0" w:line="240" w:lineRule="auto"/>
        <w:ind w:left="0"/>
        <w:rPr>
          <w:rFonts w:ascii="Barlow" w:hAnsi="Barlow" w:cs="Calibri"/>
          <w:sz w:val="20"/>
          <w:szCs w:val="20"/>
        </w:rPr>
      </w:pPr>
      <w:r w:rsidRPr="000023C6">
        <w:rPr>
          <w:rFonts w:ascii="Barlow" w:hAnsi="Barlow"/>
          <w:noProof/>
          <w:sz w:val="20"/>
          <w:szCs w:val="20"/>
          <w:lang w:eastAsia="es-MX"/>
        </w:rPr>
        <w:drawing>
          <wp:inline distT="0" distB="0" distL="0" distR="0">
            <wp:extent cx="8618220" cy="1260549"/>
            <wp:effectExtent l="1905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618220" cy="1260549"/>
                    </a:xfrm>
                    <a:prstGeom prst="rect">
                      <a:avLst/>
                    </a:prstGeom>
                    <a:noFill/>
                    <a:ln w="9525">
                      <a:noFill/>
                      <a:miter lim="800000"/>
                      <a:headEnd/>
                      <a:tailEnd/>
                    </a:ln>
                  </pic:spPr>
                </pic:pic>
              </a:graphicData>
            </a:graphic>
          </wp:inline>
        </w:drawing>
      </w:r>
    </w:p>
    <w:p w:rsidR="00C66C4E" w:rsidRPr="000023C6" w:rsidRDefault="00C66C4E" w:rsidP="00FD388E">
      <w:pPr>
        <w:pStyle w:val="Prrafodelista"/>
        <w:tabs>
          <w:tab w:val="left" w:pos="284"/>
        </w:tabs>
        <w:spacing w:after="0" w:line="240" w:lineRule="auto"/>
        <w:ind w:left="0"/>
        <w:rPr>
          <w:rFonts w:ascii="Barlow" w:hAnsi="Barlow"/>
          <w:sz w:val="20"/>
          <w:szCs w:val="20"/>
        </w:rPr>
      </w:pPr>
    </w:p>
    <w:p w:rsidR="00D01EF2" w:rsidRPr="000023C6" w:rsidRDefault="00D01EF2" w:rsidP="00FD388E">
      <w:pPr>
        <w:pStyle w:val="Prrafodelista"/>
        <w:tabs>
          <w:tab w:val="left" w:pos="284"/>
        </w:tabs>
        <w:spacing w:after="0" w:line="240" w:lineRule="auto"/>
        <w:ind w:left="0"/>
        <w:rPr>
          <w:rFonts w:ascii="Barlow" w:hAnsi="Barlow"/>
          <w:sz w:val="20"/>
          <w:szCs w:val="20"/>
        </w:rPr>
      </w:pPr>
    </w:p>
    <w:p w:rsidR="00C66C4E" w:rsidRPr="000023C6" w:rsidRDefault="00D01EF2" w:rsidP="000023C6">
      <w:pPr>
        <w:pStyle w:val="Prrafodelista"/>
        <w:tabs>
          <w:tab w:val="left" w:pos="284"/>
        </w:tabs>
        <w:spacing w:after="0" w:line="240" w:lineRule="auto"/>
        <w:ind w:left="0"/>
        <w:jc w:val="both"/>
        <w:rPr>
          <w:rFonts w:ascii="Barlow" w:hAnsi="Barlow"/>
          <w:b/>
          <w:sz w:val="20"/>
          <w:szCs w:val="20"/>
        </w:rPr>
      </w:pPr>
      <w:r w:rsidRPr="000023C6">
        <w:rPr>
          <w:rFonts w:ascii="Barlow" w:hAnsi="Barlow"/>
          <w:b/>
          <w:sz w:val="20"/>
          <w:szCs w:val="20"/>
        </w:rPr>
        <w:t xml:space="preserve"> </w:t>
      </w:r>
      <w:r w:rsidR="00C66C4E" w:rsidRPr="000023C6">
        <w:rPr>
          <w:rFonts w:ascii="Barlow" w:hAnsi="Barlow"/>
          <w:b/>
          <w:sz w:val="20"/>
          <w:szCs w:val="20"/>
        </w:rPr>
        <w:t>Derecho a Recibir Bienes o Servicios</w:t>
      </w:r>
    </w:p>
    <w:p w:rsidR="00C66C4E" w:rsidRPr="000023C6" w:rsidRDefault="00C66C4E" w:rsidP="000023C6">
      <w:pPr>
        <w:pStyle w:val="Prrafodelista"/>
        <w:tabs>
          <w:tab w:val="left" w:pos="284"/>
        </w:tabs>
        <w:spacing w:after="0" w:line="240" w:lineRule="auto"/>
        <w:ind w:left="0"/>
        <w:jc w:val="both"/>
        <w:rPr>
          <w:rFonts w:ascii="Barlow" w:hAnsi="Barlow"/>
          <w:sz w:val="20"/>
          <w:szCs w:val="20"/>
        </w:rPr>
      </w:pPr>
    </w:p>
    <w:p w:rsidR="00C66C4E" w:rsidRPr="000023C6" w:rsidRDefault="00D01EF2" w:rsidP="000023C6">
      <w:pPr>
        <w:pStyle w:val="Prrafodelista"/>
        <w:tabs>
          <w:tab w:val="left" w:pos="284"/>
        </w:tabs>
        <w:spacing w:after="0" w:line="240" w:lineRule="auto"/>
        <w:ind w:left="0"/>
        <w:jc w:val="both"/>
        <w:rPr>
          <w:rFonts w:ascii="Barlow" w:hAnsi="Barlow"/>
          <w:sz w:val="20"/>
          <w:szCs w:val="20"/>
        </w:rPr>
      </w:pPr>
      <w:r w:rsidRPr="000023C6">
        <w:rPr>
          <w:rFonts w:ascii="Barlow" w:hAnsi="Barlow"/>
          <w:sz w:val="20"/>
          <w:szCs w:val="20"/>
        </w:rPr>
        <w:t xml:space="preserve">3. </w:t>
      </w:r>
      <w:r w:rsidR="00C66C4E" w:rsidRPr="000023C6">
        <w:rPr>
          <w:rFonts w:ascii="Barlow" w:hAnsi="Barlow"/>
          <w:sz w:val="20"/>
          <w:szCs w:val="20"/>
        </w:rPr>
        <w:t>A la fecha de los Estados Financiero no hay información que reportar</w:t>
      </w:r>
      <w:r w:rsidR="00677D7A" w:rsidRPr="000023C6">
        <w:rPr>
          <w:rFonts w:ascii="Barlow" w:hAnsi="Barlow"/>
          <w:sz w:val="20"/>
          <w:szCs w:val="20"/>
        </w:rPr>
        <w:t>.</w:t>
      </w:r>
    </w:p>
    <w:p w:rsidR="00C66C4E" w:rsidRPr="000023C6" w:rsidRDefault="00C66C4E" w:rsidP="000023C6">
      <w:pPr>
        <w:pStyle w:val="Prrafodelista"/>
        <w:tabs>
          <w:tab w:val="left" w:pos="284"/>
        </w:tabs>
        <w:spacing w:after="0" w:line="240" w:lineRule="auto"/>
        <w:ind w:left="0"/>
        <w:jc w:val="both"/>
        <w:rPr>
          <w:rFonts w:ascii="Barlow" w:hAnsi="Barlow"/>
          <w:sz w:val="20"/>
          <w:szCs w:val="20"/>
        </w:rPr>
      </w:pPr>
    </w:p>
    <w:p w:rsidR="00C66C4E" w:rsidRPr="000023C6" w:rsidRDefault="00D01EF2" w:rsidP="000023C6">
      <w:pPr>
        <w:pStyle w:val="Prrafodelista"/>
        <w:tabs>
          <w:tab w:val="left" w:pos="284"/>
        </w:tabs>
        <w:spacing w:after="0" w:line="240" w:lineRule="auto"/>
        <w:ind w:left="0"/>
        <w:jc w:val="both"/>
        <w:rPr>
          <w:rFonts w:ascii="Barlow" w:hAnsi="Barlow"/>
          <w:b/>
          <w:sz w:val="20"/>
          <w:szCs w:val="20"/>
        </w:rPr>
      </w:pPr>
      <w:r w:rsidRPr="000023C6">
        <w:rPr>
          <w:rFonts w:ascii="Barlow" w:hAnsi="Barlow"/>
          <w:b/>
          <w:sz w:val="20"/>
          <w:szCs w:val="20"/>
        </w:rPr>
        <w:t xml:space="preserve"> </w:t>
      </w:r>
      <w:r w:rsidR="00C66C4E" w:rsidRPr="000023C6">
        <w:rPr>
          <w:rFonts w:ascii="Barlow" w:hAnsi="Barlow"/>
          <w:b/>
          <w:sz w:val="20"/>
          <w:szCs w:val="20"/>
        </w:rPr>
        <w:t>Bienes Disponibles para su Transformación o Consumo (Inventarios)</w:t>
      </w:r>
    </w:p>
    <w:p w:rsidR="00C66C4E" w:rsidRPr="000023C6" w:rsidRDefault="00C66C4E" w:rsidP="000023C6">
      <w:pPr>
        <w:pStyle w:val="Prrafodelista"/>
        <w:tabs>
          <w:tab w:val="left" w:pos="284"/>
        </w:tabs>
        <w:spacing w:after="0" w:line="240" w:lineRule="auto"/>
        <w:ind w:left="0"/>
        <w:jc w:val="both"/>
        <w:rPr>
          <w:rFonts w:ascii="Barlow" w:hAnsi="Barlow"/>
          <w:b/>
          <w:sz w:val="20"/>
          <w:szCs w:val="20"/>
        </w:rPr>
      </w:pPr>
    </w:p>
    <w:p w:rsidR="00C66C4E" w:rsidRPr="000023C6" w:rsidRDefault="00D01EF2" w:rsidP="000023C6">
      <w:pPr>
        <w:pStyle w:val="Prrafodelista"/>
        <w:tabs>
          <w:tab w:val="left" w:pos="284"/>
        </w:tabs>
        <w:spacing w:after="0" w:line="240" w:lineRule="auto"/>
        <w:ind w:left="0"/>
        <w:jc w:val="both"/>
        <w:rPr>
          <w:rFonts w:ascii="Barlow" w:hAnsi="Barlow"/>
          <w:sz w:val="20"/>
          <w:szCs w:val="20"/>
        </w:rPr>
      </w:pPr>
      <w:r w:rsidRPr="000023C6">
        <w:rPr>
          <w:rFonts w:ascii="Barlow" w:hAnsi="Barlow"/>
          <w:sz w:val="20"/>
          <w:szCs w:val="20"/>
        </w:rPr>
        <w:t xml:space="preserve">4. </w:t>
      </w:r>
      <w:r w:rsidR="0032376D" w:rsidRPr="000023C6">
        <w:rPr>
          <w:rFonts w:ascii="Barlow" w:hAnsi="Barlow"/>
          <w:sz w:val="20"/>
          <w:szCs w:val="20"/>
        </w:rPr>
        <w:t xml:space="preserve"> La Institución </w:t>
      </w:r>
      <w:r w:rsidR="00C86988" w:rsidRPr="000023C6">
        <w:rPr>
          <w:rFonts w:ascii="Barlow" w:hAnsi="Barlow"/>
          <w:sz w:val="20"/>
          <w:szCs w:val="20"/>
        </w:rPr>
        <w:t>no realiza ningún proceso de transformación y /o elaboración de bienes por lo que a</w:t>
      </w:r>
      <w:r w:rsidR="00C66C4E" w:rsidRPr="000023C6">
        <w:rPr>
          <w:rFonts w:ascii="Barlow" w:hAnsi="Barlow"/>
          <w:sz w:val="20"/>
          <w:szCs w:val="20"/>
        </w:rPr>
        <w:t xml:space="preserve"> la fecha de los Estados Financiero no hay información que reportar</w:t>
      </w:r>
      <w:r w:rsidR="00677D7A" w:rsidRPr="000023C6">
        <w:rPr>
          <w:rFonts w:ascii="Barlow" w:hAnsi="Barlow"/>
          <w:sz w:val="20"/>
          <w:szCs w:val="20"/>
        </w:rPr>
        <w:t>.</w:t>
      </w:r>
    </w:p>
    <w:p w:rsidR="00C66C4E" w:rsidRPr="000023C6" w:rsidRDefault="00C66C4E" w:rsidP="000023C6">
      <w:pPr>
        <w:pStyle w:val="Prrafodelista"/>
        <w:tabs>
          <w:tab w:val="left" w:pos="284"/>
        </w:tabs>
        <w:spacing w:after="0" w:line="240" w:lineRule="auto"/>
        <w:ind w:left="0"/>
        <w:jc w:val="both"/>
        <w:rPr>
          <w:rFonts w:ascii="Barlow" w:hAnsi="Barlow"/>
          <w:sz w:val="20"/>
          <w:szCs w:val="20"/>
        </w:rPr>
      </w:pPr>
    </w:p>
    <w:p w:rsidR="00C66C4E" w:rsidRPr="000023C6" w:rsidRDefault="00C86988" w:rsidP="000023C6">
      <w:pPr>
        <w:pStyle w:val="Prrafodelista"/>
        <w:tabs>
          <w:tab w:val="left" w:pos="284"/>
        </w:tabs>
        <w:spacing w:after="0" w:line="240" w:lineRule="auto"/>
        <w:ind w:left="0"/>
        <w:jc w:val="both"/>
        <w:rPr>
          <w:rFonts w:ascii="Barlow" w:hAnsi="Barlow"/>
          <w:sz w:val="20"/>
          <w:szCs w:val="20"/>
        </w:rPr>
      </w:pPr>
      <w:r w:rsidRPr="000023C6">
        <w:rPr>
          <w:rFonts w:ascii="Barlow" w:hAnsi="Barlow"/>
          <w:sz w:val="20"/>
          <w:szCs w:val="20"/>
        </w:rPr>
        <w:t>5.</w:t>
      </w:r>
      <w:r w:rsidRPr="000023C6">
        <w:rPr>
          <w:rFonts w:ascii="Barlow" w:hAnsi="Barlow"/>
          <w:b/>
          <w:sz w:val="20"/>
          <w:szCs w:val="20"/>
        </w:rPr>
        <w:t xml:space="preserve"> </w:t>
      </w:r>
      <w:r w:rsidR="00D01EF2" w:rsidRPr="000023C6">
        <w:rPr>
          <w:rFonts w:ascii="Barlow" w:hAnsi="Barlow"/>
          <w:sz w:val="20"/>
          <w:szCs w:val="20"/>
        </w:rPr>
        <w:t xml:space="preserve"> </w:t>
      </w:r>
      <w:r w:rsidR="00076499" w:rsidRPr="000023C6">
        <w:rPr>
          <w:rFonts w:ascii="Barlow" w:hAnsi="Barlow"/>
          <w:sz w:val="20"/>
          <w:szCs w:val="20"/>
        </w:rPr>
        <w:t>La Escuela no cuenta con almacenes de materiales y suministros</w:t>
      </w:r>
      <w:r w:rsidR="00677D7A" w:rsidRPr="000023C6">
        <w:rPr>
          <w:rFonts w:ascii="Barlow" w:hAnsi="Barlow"/>
          <w:sz w:val="20"/>
          <w:szCs w:val="20"/>
        </w:rPr>
        <w:t>.</w:t>
      </w:r>
    </w:p>
    <w:p w:rsidR="00A360A7" w:rsidRPr="000023C6" w:rsidRDefault="00A360A7" w:rsidP="000023C6">
      <w:pPr>
        <w:pStyle w:val="Prrafodelista"/>
        <w:tabs>
          <w:tab w:val="left" w:pos="284"/>
        </w:tabs>
        <w:spacing w:after="0" w:line="240" w:lineRule="auto"/>
        <w:ind w:left="0"/>
        <w:jc w:val="both"/>
        <w:rPr>
          <w:rFonts w:ascii="Barlow" w:hAnsi="Barlow"/>
          <w:sz w:val="20"/>
          <w:szCs w:val="20"/>
        </w:rPr>
      </w:pPr>
    </w:p>
    <w:p w:rsidR="00A360A7" w:rsidRPr="000023C6" w:rsidRDefault="00A360A7" w:rsidP="000023C6">
      <w:pPr>
        <w:pStyle w:val="Prrafodelista"/>
        <w:tabs>
          <w:tab w:val="left" w:pos="284"/>
        </w:tabs>
        <w:spacing w:after="0" w:line="240" w:lineRule="auto"/>
        <w:ind w:left="0"/>
        <w:jc w:val="both"/>
        <w:rPr>
          <w:rFonts w:ascii="Barlow" w:hAnsi="Barlow"/>
          <w:b/>
          <w:sz w:val="20"/>
          <w:szCs w:val="20"/>
        </w:rPr>
      </w:pPr>
      <w:r w:rsidRPr="000023C6">
        <w:rPr>
          <w:rFonts w:ascii="Barlow" w:hAnsi="Barlow"/>
          <w:b/>
          <w:sz w:val="20"/>
          <w:szCs w:val="20"/>
        </w:rPr>
        <w:t xml:space="preserve"> Inversiones Financieras</w:t>
      </w:r>
    </w:p>
    <w:p w:rsidR="00A360A7" w:rsidRPr="000023C6" w:rsidRDefault="00A360A7" w:rsidP="000023C6">
      <w:pPr>
        <w:pStyle w:val="Prrafodelista"/>
        <w:tabs>
          <w:tab w:val="left" w:pos="284"/>
        </w:tabs>
        <w:spacing w:after="0" w:line="240" w:lineRule="auto"/>
        <w:ind w:left="0"/>
        <w:jc w:val="both"/>
        <w:rPr>
          <w:rFonts w:ascii="Barlow" w:hAnsi="Barlow"/>
          <w:sz w:val="20"/>
          <w:szCs w:val="20"/>
        </w:rPr>
      </w:pPr>
    </w:p>
    <w:p w:rsidR="00F65EEC" w:rsidRPr="000023C6" w:rsidRDefault="00A360A7" w:rsidP="000023C6">
      <w:pPr>
        <w:pStyle w:val="Prrafodelista"/>
        <w:tabs>
          <w:tab w:val="left" w:pos="284"/>
        </w:tabs>
        <w:spacing w:after="0" w:line="240" w:lineRule="auto"/>
        <w:ind w:left="0"/>
        <w:jc w:val="both"/>
        <w:rPr>
          <w:rFonts w:ascii="Barlow" w:hAnsi="Barlow"/>
          <w:sz w:val="20"/>
          <w:szCs w:val="20"/>
        </w:rPr>
      </w:pPr>
      <w:r w:rsidRPr="000023C6">
        <w:rPr>
          <w:rFonts w:ascii="Barlow" w:hAnsi="Barlow"/>
          <w:sz w:val="20"/>
          <w:szCs w:val="20"/>
        </w:rPr>
        <w:t>6.  Sin información que reporta</w:t>
      </w:r>
      <w:r w:rsidR="00F65EEC" w:rsidRPr="000023C6">
        <w:rPr>
          <w:rFonts w:ascii="Barlow" w:hAnsi="Barlow"/>
          <w:sz w:val="20"/>
          <w:szCs w:val="20"/>
        </w:rPr>
        <w:t>r.</w:t>
      </w:r>
    </w:p>
    <w:p w:rsidR="00677D7A" w:rsidRPr="000023C6" w:rsidRDefault="00677D7A" w:rsidP="000023C6">
      <w:pPr>
        <w:pStyle w:val="Prrafodelista"/>
        <w:tabs>
          <w:tab w:val="left" w:pos="284"/>
        </w:tabs>
        <w:spacing w:after="0" w:line="240" w:lineRule="auto"/>
        <w:ind w:left="0"/>
        <w:jc w:val="both"/>
        <w:rPr>
          <w:rFonts w:ascii="Barlow" w:hAnsi="Barlow"/>
          <w:sz w:val="20"/>
          <w:szCs w:val="20"/>
        </w:rPr>
      </w:pPr>
    </w:p>
    <w:p w:rsidR="00F65EEC" w:rsidRPr="000023C6" w:rsidRDefault="00F65EEC" w:rsidP="000023C6">
      <w:pPr>
        <w:pStyle w:val="Prrafodelista"/>
        <w:tabs>
          <w:tab w:val="left" w:pos="284"/>
        </w:tabs>
        <w:spacing w:after="0" w:line="240" w:lineRule="auto"/>
        <w:ind w:left="0"/>
        <w:jc w:val="both"/>
        <w:rPr>
          <w:rFonts w:ascii="Barlow" w:hAnsi="Barlow"/>
          <w:sz w:val="20"/>
          <w:szCs w:val="20"/>
        </w:rPr>
      </w:pPr>
      <w:r w:rsidRPr="000023C6">
        <w:rPr>
          <w:rFonts w:ascii="Barlow" w:hAnsi="Barlow"/>
          <w:sz w:val="20"/>
          <w:szCs w:val="20"/>
        </w:rPr>
        <w:t xml:space="preserve">7. </w:t>
      </w:r>
      <w:r w:rsidR="00677D7A" w:rsidRPr="000023C6">
        <w:rPr>
          <w:rFonts w:ascii="Barlow" w:hAnsi="Barlow"/>
          <w:sz w:val="20"/>
          <w:szCs w:val="20"/>
        </w:rPr>
        <w:t>La Escuela no cuenta con inversiones financieras.</w:t>
      </w:r>
    </w:p>
    <w:p w:rsidR="00F65EEC" w:rsidRPr="000023C6" w:rsidRDefault="00F65EEC" w:rsidP="00FD388E">
      <w:pPr>
        <w:pStyle w:val="Prrafodelista"/>
        <w:tabs>
          <w:tab w:val="left" w:pos="284"/>
        </w:tabs>
        <w:spacing w:after="0" w:line="240" w:lineRule="auto"/>
        <w:ind w:left="0"/>
        <w:rPr>
          <w:rFonts w:ascii="Barlow" w:hAnsi="Barlow"/>
          <w:sz w:val="20"/>
          <w:szCs w:val="20"/>
        </w:rPr>
      </w:pPr>
    </w:p>
    <w:p w:rsidR="00F65EEC" w:rsidRPr="000023C6" w:rsidRDefault="00F65EEC" w:rsidP="00FD388E">
      <w:pPr>
        <w:pStyle w:val="Prrafodelista"/>
        <w:tabs>
          <w:tab w:val="left" w:pos="284"/>
        </w:tabs>
        <w:spacing w:after="0" w:line="240" w:lineRule="auto"/>
        <w:ind w:left="0"/>
        <w:rPr>
          <w:rFonts w:ascii="Barlow" w:hAnsi="Barlow"/>
          <w:sz w:val="20"/>
          <w:szCs w:val="20"/>
        </w:rPr>
      </w:pPr>
    </w:p>
    <w:p w:rsidR="00A360A7" w:rsidRPr="000023C6" w:rsidRDefault="00A360A7" w:rsidP="00FD388E">
      <w:pPr>
        <w:pStyle w:val="Prrafodelista"/>
        <w:tabs>
          <w:tab w:val="left" w:pos="284"/>
        </w:tabs>
        <w:spacing w:after="0" w:line="240" w:lineRule="auto"/>
        <w:ind w:left="0"/>
        <w:rPr>
          <w:rFonts w:ascii="Barlow" w:hAnsi="Barlow"/>
          <w:b/>
          <w:sz w:val="20"/>
          <w:szCs w:val="20"/>
        </w:rPr>
      </w:pPr>
      <w:r w:rsidRPr="000023C6">
        <w:rPr>
          <w:rFonts w:ascii="Barlow" w:hAnsi="Barlow"/>
          <w:b/>
          <w:sz w:val="20"/>
          <w:szCs w:val="20"/>
        </w:rPr>
        <w:t>Bienes Muebles, Inmuebles e Intangibles</w:t>
      </w:r>
    </w:p>
    <w:p w:rsidR="0097273E" w:rsidRPr="000023C6" w:rsidRDefault="0097273E" w:rsidP="00FD388E">
      <w:pPr>
        <w:pStyle w:val="Prrafodelista"/>
        <w:tabs>
          <w:tab w:val="left" w:pos="284"/>
        </w:tabs>
        <w:spacing w:after="0" w:line="240" w:lineRule="auto"/>
        <w:ind w:left="0"/>
        <w:rPr>
          <w:rFonts w:ascii="Barlow" w:hAnsi="Barlow"/>
          <w:sz w:val="20"/>
          <w:szCs w:val="20"/>
        </w:rPr>
      </w:pPr>
    </w:p>
    <w:p w:rsidR="00A360A7" w:rsidRPr="000023C6" w:rsidRDefault="008728D7" w:rsidP="00FD388E">
      <w:pPr>
        <w:pStyle w:val="Prrafodelista"/>
        <w:tabs>
          <w:tab w:val="left" w:pos="284"/>
        </w:tabs>
        <w:spacing w:after="0" w:line="240" w:lineRule="auto"/>
        <w:ind w:left="0"/>
        <w:rPr>
          <w:rFonts w:ascii="Barlow" w:hAnsi="Barlow"/>
          <w:sz w:val="20"/>
          <w:szCs w:val="20"/>
        </w:rPr>
      </w:pPr>
      <w:r w:rsidRPr="000023C6">
        <w:rPr>
          <w:rFonts w:ascii="Barlow" w:hAnsi="Barlow"/>
          <w:sz w:val="20"/>
          <w:szCs w:val="20"/>
        </w:rPr>
        <w:t>8</w:t>
      </w:r>
      <w:r w:rsidR="004D5CC3" w:rsidRPr="000023C6">
        <w:rPr>
          <w:rFonts w:ascii="Barlow" w:hAnsi="Barlow"/>
          <w:sz w:val="20"/>
          <w:szCs w:val="20"/>
        </w:rPr>
        <w:t>. Los Bienes Muebles son los siguientes:</w:t>
      </w:r>
    </w:p>
    <w:p w:rsidR="0097273E" w:rsidRPr="000023C6" w:rsidRDefault="0097273E" w:rsidP="00FD388E">
      <w:pPr>
        <w:pStyle w:val="Prrafodelista"/>
        <w:tabs>
          <w:tab w:val="left" w:pos="284"/>
        </w:tabs>
        <w:spacing w:after="0" w:line="240" w:lineRule="auto"/>
        <w:ind w:left="0"/>
        <w:rPr>
          <w:rFonts w:ascii="Barlow" w:hAnsi="Barlow"/>
          <w:sz w:val="20"/>
          <w:szCs w:val="20"/>
        </w:rPr>
      </w:pPr>
    </w:p>
    <w:p w:rsidR="00DC771D" w:rsidRPr="000023C6" w:rsidRDefault="00DC771D" w:rsidP="006377B4">
      <w:pPr>
        <w:spacing w:after="0"/>
        <w:rPr>
          <w:rFonts w:ascii="Barlow" w:hAnsi="Barlow" w:cs="Calibri"/>
          <w:b/>
          <w:sz w:val="20"/>
          <w:szCs w:val="20"/>
        </w:rPr>
      </w:pPr>
    </w:p>
    <w:tbl>
      <w:tblPr>
        <w:tblW w:w="14460" w:type="dxa"/>
        <w:jc w:val="center"/>
        <w:tblCellMar>
          <w:left w:w="70" w:type="dxa"/>
          <w:right w:w="70" w:type="dxa"/>
        </w:tblCellMar>
        <w:tblLook w:val="04A0" w:firstRow="1" w:lastRow="0" w:firstColumn="1" w:lastColumn="0" w:noHBand="0" w:noVBand="1"/>
      </w:tblPr>
      <w:tblGrid>
        <w:gridCol w:w="6980"/>
        <w:gridCol w:w="1960"/>
        <w:gridCol w:w="1860"/>
        <w:gridCol w:w="2040"/>
        <w:gridCol w:w="1620"/>
      </w:tblGrid>
      <w:tr w:rsidR="004810A4" w:rsidRPr="000023C6" w:rsidTr="000023C6">
        <w:trPr>
          <w:trHeight w:val="525"/>
          <w:jc w:val="center"/>
        </w:trPr>
        <w:tc>
          <w:tcPr>
            <w:tcW w:w="6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Cuentas</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Importe</w:t>
            </w:r>
          </w:p>
        </w:tc>
        <w:tc>
          <w:tcPr>
            <w:tcW w:w="1860" w:type="dxa"/>
            <w:tcBorders>
              <w:top w:val="single" w:sz="4" w:space="0" w:color="auto"/>
              <w:left w:val="nil"/>
              <w:bottom w:val="single" w:sz="4" w:space="0" w:color="auto"/>
              <w:right w:val="single" w:sz="4" w:space="0" w:color="auto"/>
            </w:tcBorders>
            <w:shd w:val="clear" w:color="000000" w:fill="FFFFFF"/>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Depreciación de Ejercicio</w:t>
            </w:r>
          </w:p>
        </w:tc>
        <w:tc>
          <w:tcPr>
            <w:tcW w:w="2040" w:type="dxa"/>
            <w:tcBorders>
              <w:top w:val="single" w:sz="4" w:space="0" w:color="auto"/>
              <w:left w:val="nil"/>
              <w:bottom w:val="single" w:sz="4" w:space="0" w:color="auto"/>
              <w:right w:val="single" w:sz="4" w:space="0" w:color="auto"/>
            </w:tcBorders>
            <w:shd w:val="clear" w:color="000000" w:fill="FFFFFF"/>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Depreciación Acumulada</w:t>
            </w:r>
          </w:p>
        </w:tc>
        <w:tc>
          <w:tcPr>
            <w:tcW w:w="1620" w:type="dxa"/>
            <w:tcBorders>
              <w:top w:val="single" w:sz="4" w:space="0" w:color="auto"/>
              <w:left w:val="nil"/>
              <w:bottom w:val="single" w:sz="4" w:space="0" w:color="auto"/>
              <w:right w:val="single" w:sz="4" w:space="0" w:color="auto"/>
            </w:tcBorders>
            <w:shd w:val="clear" w:color="000000" w:fill="FFFFFF"/>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Tasa de Depreciación</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MOBILIARIO Y EQUIPO DE ADMINISTRACIÓN</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$7,440,464.82</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$6,977,735.78</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 </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Muebles de oficina y estantería </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$2,838,617.98</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$2,566,333.22</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Muebles, excepto de oficina y estantería </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$12,191.60</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$8,534.13</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Equipo de cómputo y de tecnologías de la información</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$4,145,436.57</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$4,082,015.27</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30%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Otros mobiliarios y equipos de administración</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$444,218.67</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$320,853.16</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MOBILIARIO Y EQUIPO EDUCACIONAL Y RECREATIVO</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$3,349,019.02</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$2,982,313.24</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 </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Equipos y aparatos audiovisuales </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$2,809,758.36</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$2,572,594.68</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Cámaras Fotográficas y de video </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$276,574.60</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$234,171.06</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Otro mobiliario y equipo educacional y recreativo </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$262,686.06</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$175,547.50</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VEHÍCULOS Y EQUIPO DE TRANSPORTE</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$323,000.00</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$323,000.00</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 </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Automóviles y Equipo Terrestre</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$323,000.00</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$323,000.00</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25%</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MAQUINARIA, OTROS EQUIPOS Y HERRAMIENTAS</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$366,877.43</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$279,207.49</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 </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Maquinaria y equipo industrial </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$16,510.40</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$2,153.03</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Sistemas de aire acondicionado, calefacción y de refrigeración industrial y Comercial </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$52,347.60</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$32,585.92</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Equipos de Generación Eléctrica, Aparatos y Accesorios Eléctricos </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$71,244.75</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$29,388.48</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5%</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Herramientas y Máquinas-Herramienta </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$211,175.95</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$208,796.55</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35%</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Otros Equipos </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$15,598.73</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$6,283.51</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10%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lastRenderedPageBreak/>
              <w:t>COLECCIONES, OBRAS DE ARTE Y OBJETOS VALIOSOS</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$568,349.70</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$358,557.82</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 </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Bienes artísticos, culturales y científicos</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$568,349.70</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$358,557.82</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w:t>
            </w:r>
          </w:p>
        </w:tc>
      </w:tr>
      <w:tr w:rsidR="004810A4"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Suma</w:t>
            </w:r>
          </w:p>
        </w:tc>
        <w:tc>
          <w:tcPr>
            <w:tcW w:w="19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$12,047,710.97</w:t>
            </w:r>
          </w:p>
        </w:tc>
        <w:tc>
          <w:tcPr>
            <w:tcW w:w="186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$10,920,814.33</w:t>
            </w:r>
          </w:p>
        </w:tc>
        <w:tc>
          <w:tcPr>
            <w:tcW w:w="1620" w:type="dxa"/>
            <w:tcBorders>
              <w:top w:val="nil"/>
              <w:left w:val="nil"/>
              <w:bottom w:val="single" w:sz="4" w:space="0" w:color="auto"/>
              <w:right w:val="single" w:sz="4" w:space="0" w:color="auto"/>
            </w:tcBorders>
            <w:shd w:val="clear" w:color="000000" w:fill="FFFFFF"/>
            <w:noWrap/>
            <w:vAlign w:val="bottom"/>
            <w:hideMark/>
          </w:tcPr>
          <w:p w:rsidR="004810A4" w:rsidRPr="000023C6" w:rsidRDefault="004810A4" w:rsidP="004810A4">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r>
    </w:tbl>
    <w:p w:rsidR="00DC771D" w:rsidRPr="000023C6" w:rsidRDefault="00DC771D" w:rsidP="006377B4">
      <w:pPr>
        <w:spacing w:after="0"/>
        <w:rPr>
          <w:rFonts w:ascii="Barlow" w:hAnsi="Barlow"/>
          <w:b/>
          <w:sz w:val="20"/>
          <w:szCs w:val="20"/>
        </w:rPr>
      </w:pPr>
    </w:p>
    <w:p w:rsidR="00D11D94" w:rsidRPr="000023C6" w:rsidRDefault="00D11D94" w:rsidP="009D1120">
      <w:pPr>
        <w:pStyle w:val="Prrafodelista"/>
        <w:tabs>
          <w:tab w:val="left" w:pos="284"/>
        </w:tabs>
        <w:spacing w:after="0" w:line="240" w:lineRule="auto"/>
        <w:ind w:left="0"/>
        <w:rPr>
          <w:rFonts w:ascii="Barlow" w:hAnsi="Barlow" w:cs="Calibri"/>
          <w:sz w:val="20"/>
          <w:szCs w:val="20"/>
        </w:rPr>
      </w:pPr>
    </w:p>
    <w:p w:rsidR="00912392" w:rsidRPr="000023C6" w:rsidRDefault="00912392" w:rsidP="009D1120">
      <w:pPr>
        <w:pStyle w:val="Prrafodelista"/>
        <w:tabs>
          <w:tab w:val="left" w:pos="284"/>
        </w:tabs>
        <w:spacing w:after="0" w:line="240" w:lineRule="auto"/>
        <w:ind w:left="0"/>
        <w:rPr>
          <w:rFonts w:ascii="Barlow" w:hAnsi="Barlow" w:cs="Calibri"/>
          <w:sz w:val="20"/>
          <w:szCs w:val="20"/>
        </w:rPr>
      </w:pPr>
    </w:p>
    <w:p w:rsidR="00FD388E" w:rsidRPr="000023C6" w:rsidRDefault="00FD388E"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 Los Bienes Muebles adquiridos durante el periodo se reflejan en cuentas de balance y se regis</w:t>
      </w:r>
      <w:r w:rsidR="00927CDC" w:rsidRPr="000023C6">
        <w:rPr>
          <w:rFonts w:ascii="Barlow" w:hAnsi="Barlow" w:cs="Calibri"/>
          <w:bCs/>
          <w:color w:val="000000"/>
          <w:sz w:val="20"/>
          <w:szCs w:val="20"/>
        </w:rPr>
        <w:t>tran a su costo de adquisición, el método de depreciación utilizado es el de Línea Recta.</w:t>
      </w:r>
    </w:p>
    <w:p w:rsidR="00912392" w:rsidRPr="000023C6" w:rsidRDefault="00912392" w:rsidP="000023C6">
      <w:pPr>
        <w:pStyle w:val="Prrafodelista"/>
        <w:tabs>
          <w:tab w:val="left" w:pos="284"/>
        </w:tabs>
        <w:spacing w:after="0" w:line="240" w:lineRule="auto"/>
        <w:ind w:left="0"/>
        <w:jc w:val="both"/>
        <w:rPr>
          <w:rFonts w:ascii="Barlow" w:hAnsi="Barlow" w:cs="Calibri"/>
          <w:sz w:val="20"/>
          <w:szCs w:val="20"/>
        </w:rPr>
      </w:pPr>
    </w:p>
    <w:p w:rsidR="00912392" w:rsidRPr="000023C6" w:rsidRDefault="00912392" w:rsidP="000023C6">
      <w:pPr>
        <w:pStyle w:val="Prrafodelista"/>
        <w:tabs>
          <w:tab w:val="left" w:pos="284"/>
        </w:tabs>
        <w:spacing w:after="0" w:line="240" w:lineRule="auto"/>
        <w:ind w:left="0"/>
        <w:jc w:val="both"/>
        <w:rPr>
          <w:rFonts w:ascii="Barlow" w:hAnsi="Barlow" w:cs="Calibri"/>
          <w:sz w:val="20"/>
          <w:szCs w:val="20"/>
        </w:rPr>
      </w:pPr>
    </w:p>
    <w:p w:rsidR="000F029F" w:rsidRPr="000023C6" w:rsidRDefault="000F029F"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Bienes Inmuebles</w:t>
      </w:r>
    </w:p>
    <w:p w:rsidR="000F029F" w:rsidRPr="000023C6" w:rsidRDefault="000F029F"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La Escuela Superior de Artes de Yucatán no cuenta con bienes inmuebles propios; los asignados para su operación se encuentran bajo las condiciones siguientes:</w:t>
      </w:r>
    </w:p>
    <w:p w:rsidR="000F029F" w:rsidRPr="000023C6" w:rsidRDefault="000F029F"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 El edificio de las oficinas generales y sede de la Licenciatura en Artes Visuales es propiedad del Gobierno del Estado y se otorga bajo </w:t>
      </w:r>
      <w:r w:rsidR="00435233" w:rsidRPr="000023C6">
        <w:rPr>
          <w:rFonts w:ascii="Barlow" w:hAnsi="Barlow" w:cs="Calibri"/>
          <w:bCs/>
          <w:color w:val="000000"/>
          <w:sz w:val="20"/>
          <w:szCs w:val="20"/>
        </w:rPr>
        <w:t>acuerdo de afectación</w:t>
      </w:r>
      <w:r w:rsidRPr="000023C6">
        <w:rPr>
          <w:rFonts w:ascii="Barlow" w:hAnsi="Barlow" w:cs="Calibri"/>
          <w:bCs/>
          <w:color w:val="000000"/>
          <w:sz w:val="20"/>
          <w:szCs w:val="20"/>
        </w:rPr>
        <w:t>.</w:t>
      </w:r>
    </w:p>
    <w:p w:rsidR="000F029F" w:rsidRPr="000023C6" w:rsidRDefault="000F029F"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 El edificio de la Licenciatura en Teatro es propiedad de la Secretaría de Educación y fue otorgado mediante </w:t>
      </w:r>
      <w:r w:rsidR="00435233" w:rsidRPr="000023C6">
        <w:rPr>
          <w:rFonts w:ascii="Barlow" w:hAnsi="Barlow" w:cs="Calibri"/>
          <w:bCs/>
          <w:color w:val="000000"/>
          <w:sz w:val="20"/>
          <w:szCs w:val="20"/>
        </w:rPr>
        <w:t>acuerdo de afectación</w:t>
      </w:r>
      <w:r w:rsidRPr="000023C6">
        <w:rPr>
          <w:rFonts w:ascii="Barlow" w:hAnsi="Barlow" w:cs="Calibri"/>
          <w:bCs/>
          <w:color w:val="000000"/>
          <w:sz w:val="20"/>
          <w:szCs w:val="20"/>
        </w:rPr>
        <w:t>.</w:t>
      </w:r>
    </w:p>
    <w:p w:rsidR="00720F06" w:rsidRPr="000023C6" w:rsidRDefault="00720F0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El edificio del Centro de Investigación de la ESAY es propiedad del Instituto de Vivienda del Estado de Yucatán (IVEY) y fue otorgado mediante contrato de comodato.</w:t>
      </w:r>
    </w:p>
    <w:p w:rsidR="00720F06" w:rsidRPr="000023C6" w:rsidRDefault="00720F0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912392" w:rsidRPr="000023C6" w:rsidRDefault="00912392" w:rsidP="000023C6">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912392" w:rsidRPr="000023C6" w:rsidRDefault="00912392" w:rsidP="000023C6">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0F029F" w:rsidRPr="000023C6" w:rsidRDefault="008728D7"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 xml:space="preserve"> </w:t>
      </w:r>
      <w:r w:rsidR="000F029F" w:rsidRPr="000023C6">
        <w:rPr>
          <w:rFonts w:ascii="Barlow" w:hAnsi="Barlow" w:cs="Calibri"/>
          <w:b/>
          <w:bCs/>
          <w:color w:val="000000"/>
          <w:sz w:val="20"/>
          <w:szCs w:val="20"/>
        </w:rPr>
        <w:t>Bienes Intangibles</w:t>
      </w:r>
    </w:p>
    <w:p w:rsidR="00EA06BE" w:rsidRPr="000023C6" w:rsidRDefault="008728D7"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9</w:t>
      </w:r>
      <w:r w:rsidR="004D5CC3" w:rsidRPr="000023C6">
        <w:rPr>
          <w:rFonts w:ascii="Barlow" w:hAnsi="Barlow" w:cs="Calibri"/>
          <w:bCs/>
          <w:color w:val="000000"/>
          <w:sz w:val="20"/>
          <w:szCs w:val="20"/>
        </w:rPr>
        <w:t xml:space="preserve">. </w:t>
      </w:r>
      <w:r w:rsidR="000F029F" w:rsidRPr="000023C6">
        <w:rPr>
          <w:rFonts w:ascii="Barlow" w:hAnsi="Barlow" w:cs="Calibri"/>
          <w:bCs/>
          <w:color w:val="000000"/>
          <w:sz w:val="20"/>
          <w:szCs w:val="20"/>
        </w:rPr>
        <w:t>Representa el monto de derechos por el uso de activos de propiedad industrial, comercial, intelectual y otros. Los Bienes Intangibles adquiridos durante el periodo se reflejan en cuentas de balance y se registran a su costo de adquisición</w:t>
      </w:r>
      <w:r w:rsidR="00E053EA" w:rsidRPr="000023C6">
        <w:rPr>
          <w:rFonts w:ascii="Barlow" w:hAnsi="Barlow" w:cs="Calibri"/>
          <w:bCs/>
          <w:color w:val="000000"/>
          <w:sz w:val="20"/>
          <w:szCs w:val="20"/>
        </w:rPr>
        <w:t>.</w:t>
      </w:r>
    </w:p>
    <w:p w:rsidR="004E029D" w:rsidRPr="000023C6" w:rsidRDefault="004E029D"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912392" w:rsidRPr="000023C6" w:rsidRDefault="00912392"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912392" w:rsidRPr="000023C6" w:rsidRDefault="00912392"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EA06BE" w:rsidRPr="000023C6" w:rsidRDefault="00B26224" w:rsidP="00B26224">
      <w:pPr>
        <w:widowControl w:val="0"/>
        <w:autoSpaceDE w:val="0"/>
        <w:autoSpaceDN w:val="0"/>
        <w:adjustRightInd w:val="0"/>
        <w:spacing w:before="26" w:after="0" w:line="240" w:lineRule="auto"/>
        <w:ind w:left="113" w:right="-20"/>
        <w:jc w:val="center"/>
        <w:rPr>
          <w:rFonts w:ascii="Barlow" w:hAnsi="Barlow" w:cs="Calibri"/>
          <w:bCs/>
          <w:color w:val="000000"/>
          <w:sz w:val="20"/>
          <w:szCs w:val="20"/>
        </w:rPr>
      </w:pPr>
      <w:r w:rsidRPr="000023C6">
        <w:rPr>
          <w:rFonts w:ascii="Barlow" w:hAnsi="Barlow"/>
          <w:noProof/>
          <w:sz w:val="20"/>
          <w:szCs w:val="20"/>
        </w:rPr>
        <w:lastRenderedPageBreak/>
        <w:drawing>
          <wp:inline distT="0" distB="0" distL="0" distR="0">
            <wp:extent cx="5676900" cy="1285875"/>
            <wp:effectExtent l="19050" t="0" r="0" b="0"/>
            <wp:docPr id="1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5676900" cy="1285875"/>
                    </a:xfrm>
                    <a:prstGeom prst="rect">
                      <a:avLst/>
                    </a:prstGeom>
                    <a:noFill/>
                    <a:ln w="9525">
                      <a:noFill/>
                      <a:miter lim="800000"/>
                      <a:headEnd/>
                      <a:tailEnd/>
                    </a:ln>
                  </pic:spPr>
                </pic:pic>
              </a:graphicData>
            </a:graphic>
          </wp:inline>
        </w:drawing>
      </w:r>
    </w:p>
    <w:p w:rsidR="000F029F" w:rsidRPr="000023C6" w:rsidRDefault="000F029F" w:rsidP="004D5CC3">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ab/>
      </w:r>
    </w:p>
    <w:p w:rsidR="00912392" w:rsidRPr="000023C6" w:rsidRDefault="00912392"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F029F" w:rsidRPr="000023C6" w:rsidRDefault="000F029F"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t>Estimaciones y Deterioros</w:t>
      </w:r>
    </w:p>
    <w:p w:rsidR="00EA7E85" w:rsidRPr="000023C6" w:rsidRDefault="008728D7"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10</w:t>
      </w:r>
      <w:r w:rsidR="00FD6258" w:rsidRPr="000023C6">
        <w:rPr>
          <w:rFonts w:ascii="Barlow" w:hAnsi="Barlow" w:cs="Calibri"/>
          <w:bCs/>
          <w:color w:val="000000"/>
          <w:sz w:val="20"/>
          <w:szCs w:val="20"/>
        </w:rPr>
        <w:t xml:space="preserve">. </w:t>
      </w:r>
      <w:r w:rsidR="00210093" w:rsidRPr="000023C6">
        <w:rPr>
          <w:rFonts w:ascii="Barlow" w:hAnsi="Barlow" w:cs="Calibri"/>
          <w:bCs/>
          <w:color w:val="000000"/>
          <w:sz w:val="20"/>
          <w:szCs w:val="20"/>
        </w:rPr>
        <w:t>La Escuela Superior de Artes de Yu</w:t>
      </w:r>
      <w:r w:rsidR="00920060" w:rsidRPr="000023C6">
        <w:rPr>
          <w:rFonts w:ascii="Barlow" w:hAnsi="Barlow" w:cs="Calibri"/>
          <w:bCs/>
          <w:color w:val="000000"/>
          <w:sz w:val="20"/>
          <w:szCs w:val="20"/>
        </w:rPr>
        <w:t>catán, durante el ejercicio 202</w:t>
      </w:r>
      <w:r w:rsidR="004810A4" w:rsidRPr="000023C6">
        <w:rPr>
          <w:rFonts w:ascii="Barlow" w:hAnsi="Barlow" w:cs="Calibri"/>
          <w:bCs/>
          <w:color w:val="000000"/>
          <w:sz w:val="20"/>
          <w:szCs w:val="20"/>
        </w:rPr>
        <w:t>1</w:t>
      </w:r>
      <w:r w:rsidR="00210093" w:rsidRPr="000023C6">
        <w:rPr>
          <w:rFonts w:ascii="Barlow" w:hAnsi="Barlow" w:cs="Calibri"/>
          <w:bCs/>
          <w:color w:val="000000"/>
          <w:sz w:val="20"/>
          <w:szCs w:val="20"/>
        </w:rPr>
        <w:t xml:space="preserve">, </w:t>
      </w:r>
      <w:r w:rsidR="000023C6" w:rsidRPr="000023C6">
        <w:rPr>
          <w:rFonts w:ascii="Barlow" w:hAnsi="Barlow" w:cs="Calibri"/>
          <w:bCs/>
          <w:color w:val="000000"/>
          <w:sz w:val="20"/>
          <w:szCs w:val="20"/>
        </w:rPr>
        <w:t>no determinó estimaciones</w:t>
      </w:r>
      <w:r w:rsidR="00210093" w:rsidRPr="000023C6">
        <w:rPr>
          <w:rFonts w:ascii="Barlow" w:hAnsi="Barlow" w:cs="Calibri"/>
          <w:bCs/>
          <w:color w:val="000000"/>
          <w:sz w:val="20"/>
          <w:szCs w:val="20"/>
        </w:rPr>
        <w:t xml:space="preserve"> y deterioros.</w:t>
      </w:r>
    </w:p>
    <w:p w:rsidR="00912392" w:rsidRPr="000023C6" w:rsidRDefault="00912392"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EA7E85" w:rsidRPr="000023C6" w:rsidRDefault="00EA7E85"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t>Otros Activos</w:t>
      </w:r>
    </w:p>
    <w:p w:rsidR="00210093" w:rsidRPr="000023C6" w:rsidRDefault="00210093"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p>
    <w:p w:rsidR="00210093" w:rsidRPr="000023C6" w:rsidRDefault="00FD6258" w:rsidP="000023C6">
      <w:pPr>
        <w:pStyle w:val="Prrafodelista"/>
        <w:tabs>
          <w:tab w:val="left" w:pos="284"/>
        </w:tabs>
        <w:spacing w:after="0" w:line="240" w:lineRule="auto"/>
        <w:ind w:left="0"/>
        <w:jc w:val="both"/>
        <w:rPr>
          <w:rFonts w:ascii="Barlow" w:hAnsi="Barlow"/>
          <w:sz w:val="20"/>
          <w:szCs w:val="20"/>
        </w:rPr>
      </w:pPr>
      <w:r w:rsidRPr="000023C6">
        <w:rPr>
          <w:rFonts w:ascii="Barlow" w:hAnsi="Barlow"/>
          <w:sz w:val="20"/>
          <w:szCs w:val="20"/>
        </w:rPr>
        <w:t>1</w:t>
      </w:r>
      <w:r w:rsidR="008728D7" w:rsidRPr="000023C6">
        <w:rPr>
          <w:rFonts w:ascii="Barlow" w:hAnsi="Barlow"/>
          <w:sz w:val="20"/>
          <w:szCs w:val="20"/>
        </w:rPr>
        <w:t>1</w:t>
      </w:r>
      <w:r w:rsidRPr="000023C6">
        <w:rPr>
          <w:rFonts w:ascii="Barlow" w:hAnsi="Barlow"/>
          <w:sz w:val="20"/>
          <w:szCs w:val="20"/>
        </w:rPr>
        <w:t xml:space="preserve">. </w:t>
      </w:r>
      <w:r w:rsidR="00210093" w:rsidRPr="000023C6">
        <w:rPr>
          <w:rFonts w:ascii="Barlow" w:hAnsi="Barlow"/>
          <w:sz w:val="20"/>
          <w:szCs w:val="20"/>
        </w:rPr>
        <w:t>A la fecha de los Estados Financiero no</w:t>
      </w:r>
      <w:r w:rsidR="00364CB5" w:rsidRPr="000023C6">
        <w:rPr>
          <w:rFonts w:ascii="Barlow" w:hAnsi="Barlow"/>
          <w:sz w:val="20"/>
          <w:szCs w:val="20"/>
        </w:rPr>
        <w:t xml:space="preserve"> se cuenta </w:t>
      </w:r>
      <w:r w:rsidR="000023C6" w:rsidRPr="000023C6">
        <w:rPr>
          <w:rFonts w:ascii="Barlow" w:hAnsi="Barlow"/>
          <w:sz w:val="20"/>
          <w:szCs w:val="20"/>
        </w:rPr>
        <w:t>con información</w:t>
      </w:r>
      <w:r w:rsidR="00364CB5" w:rsidRPr="000023C6">
        <w:rPr>
          <w:rFonts w:ascii="Barlow" w:hAnsi="Barlow"/>
          <w:sz w:val="20"/>
          <w:szCs w:val="20"/>
        </w:rPr>
        <w:t xml:space="preserve"> que</w:t>
      </w:r>
      <w:r w:rsidR="0097273E" w:rsidRPr="000023C6">
        <w:rPr>
          <w:rFonts w:ascii="Barlow" w:hAnsi="Barlow"/>
          <w:sz w:val="20"/>
          <w:szCs w:val="20"/>
        </w:rPr>
        <w:t xml:space="preserve"> revelar</w:t>
      </w:r>
      <w:r w:rsidR="00364CB5" w:rsidRPr="000023C6">
        <w:rPr>
          <w:rFonts w:ascii="Barlow" w:hAnsi="Barlow"/>
          <w:sz w:val="20"/>
          <w:szCs w:val="20"/>
        </w:rPr>
        <w:t>.</w:t>
      </w:r>
    </w:p>
    <w:p w:rsidR="00EE2514" w:rsidRPr="000023C6" w:rsidRDefault="00EE2514" w:rsidP="000023C6">
      <w:pPr>
        <w:pStyle w:val="Prrafodelista"/>
        <w:tabs>
          <w:tab w:val="left" w:pos="284"/>
        </w:tabs>
        <w:spacing w:after="0" w:line="240" w:lineRule="auto"/>
        <w:ind w:left="0"/>
        <w:jc w:val="both"/>
        <w:rPr>
          <w:rFonts w:ascii="Barlow" w:hAnsi="Barlow"/>
          <w:sz w:val="20"/>
          <w:szCs w:val="20"/>
        </w:rPr>
      </w:pPr>
    </w:p>
    <w:p w:rsidR="00210093" w:rsidRPr="000023C6" w:rsidRDefault="00210093" w:rsidP="000023C6">
      <w:pPr>
        <w:pStyle w:val="Prrafodelista"/>
        <w:tabs>
          <w:tab w:val="left" w:pos="284"/>
        </w:tabs>
        <w:spacing w:after="0" w:line="240" w:lineRule="auto"/>
        <w:ind w:left="0"/>
        <w:jc w:val="both"/>
        <w:rPr>
          <w:rFonts w:ascii="Barlow" w:hAnsi="Barlow"/>
          <w:b/>
          <w:sz w:val="20"/>
          <w:szCs w:val="20"/>
        </w:rPr>
      </w:pPr>
      <w:r w:rsidRPr="000023C6">
        <w:rPr>
          <w:rFonts w:ascii="Barlow" w:hAnsi="Barlow"/>
          <w:b/>
          <w:sz w:val="20"/>
          <w:szCs w:val="20"/>
        </w:rPr>
        <w:t>Pasivo</w:t>
      </w:r>
    </w:p>
    <w:p w:rsidR="000F029F" w:rsidRPr="000023C6" w:rsidRDefault="000F029F" w:rsidP="000023C6">
      <w:pPr>
        <w:pStyle w:val="Prrafodelista"/>
        <w:tabs>
          <w:tab w:val="left" w:pos="284"/>
        </w:tabs>
        <w:spacing w:after="0" w:line="240" w:lineRule="auto"/>
        <w:ind w:left="0"/>
        <w:jc w:val="both"/>
        <w:rPr>
          <w:rFonts w:ascii="Barlow" w:hAnsi="Barlow" w:cs="Calibri"/>
          <w:sz w:val="20"/>
          <w:szCs w:val="20"/>
        </w:rPr>
      </w:pPr>
    </w:p>
    <w:p w:rsidR="000F029F" w:rsidRPr="000023C6" w:rsidRDefault="003A66F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1.</w:t>
      </w:r>
      <w:r w:rsidRPr="000023C6">
        <w:rPr>
          <w:rFonts w:ascii="Barlow" w:hAnsi="Barlow" w:cs="Calibri"/>
          <w:b/>
          <w:bCs/>
          <w:color w:val="000000"/>
          <w:sz w:val="20"/>
          <w:szCs w:val="20"/>
        </w:rPr>
        <w:t xml:space="preserve"> </w:t>
      </w:r>
      <w:r w:rsidR="000F029F" w:rsidRPr="000023C6">
        <w:rPr>
          <w:rFonts w:ascii="Barlow" w:hAnsi="Barlow" w:cs="Calibri"/>
          <w:bCs/>
          <w:color w:val="000000"/>
          <w:sz w:val="20"/>
          <w:szCs w:val="20"/>
        </w:rPr>
        <w:t>Cuentas por Pagar a Corto Plazo</w:t>
      </w:r>
    </w:p>
    <w:p w:rsidR="00616949" w:rsidRPr="000023C6" w:rsidRDefault="00616949"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7078F5" w:rsidRPr="000023C6" w:rsidRDefault="00E166CD" w:rsidP="0074235D">
      <w:pPr>
        <w:widowControl w:val="0"/>
        <w:autoSpaceDE w:val="0"/>
        <w:autoSpaceDN w:val="0"/>
        <w:adjustRightInd w:val="0"/>
        <w:spacing w:before="26" w:after="0" w:line="240" w:lineRule="auto"/>
        <w:ind w:left="113" w:right="-20"/>
        <w:jc w:val="center"/>
        <w:rPr>
          <w:rFonts w:ascii="Barlow" w:hAnsi="Barlow" w:cs="Calibri"/>
          <w:b/>
          <w:bCs/>
          <w:color w:val="000000"/>
          <w:sz w:val="20"/>
          <w:szCs w:val="20"/>
        </w:rPr>
      </w:pPr>
      <w:r w:rsidRPr="000023C6">
        <w:rPr>
          <w:rFonts w:ascii="Barlow" w:hAnsi="Barlow"/>
          <w:noProof/>
          <w:sz w:val="20"/>
          <w:szCs w:val="20"/>
        </w:rPr>
        <w:lastRenderedPageBreak/>
        <w:drawing>
          <wp:inline distT="0" distB="0" distL="0" distR="0">
            <wp:extent cx="6010275" cy="2512629"/>
            <wp:effectExtent l="19050" t="0" r="9525"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6010275" cy="2512629"/>
                    </a:xfrm>
                    <a:prstGeom prst="rect">
                      <a:avLst/>
                    </a:prstGeom>
                    <a:noFill/>
                    <a:ln w="9525">
                      <a:noFill/>
                      <a:miter lim="800000"/>
                      <a:headEnd/>
                      <a:tailEnd/>
                    </a:ln>
                  </pic:spPr>
                </pic:pic>
              </a:graphicData>
            </a:graphic>
          </wp:inline>
        </w:drawing>
      </w:r>
    </w:p>
    <w:p w:rsidR="00210093" w:rsidRPr="000023C6" w:rsidRDefault="00210093"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616949" w:rsidRPr="000023C6" w:rsidRDefault="00616949"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616949" w:rsidRPr="000023C6" w:rsidRDefault="00616949"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F029F" w:rsidRPr="000023C6" w:rsidRDefault="000F029F" w:rsidP="000F029F">
      <w:pPr>
        <w:pStyle w:val="Prrafodelista"/>
        <w:tabs>
          <w:tab w:val="left" w:pos="284"/>
        </w:tabs>
        <w:spacing w:after="0" w:line="240" w:lineRule="auto"/>
        <w:ind w:left="0"/>
        <w:rPr>
          <w:rFonts w:ascii="Barlow" w:hAnsi="Barlow" w:cs="Calibri"/>
          <w:bCs/>
          <w:color w:val="000000"/>
          <w:sz w:val="20"/>
          <w:szCs w:val="20"/>
        </w:rPr>
      </w:pPr>
      <w:r w:rsidRPr="000023C6">
        <w:rPr>
          <w:rFonts w:ascii="Barlow" w:hAnsi="Barlow" w:cs="Calibri"/>
          <w:bCs/>
          <w:color w:val="000000"/>
          <w:sz w:val="20"/>
          <w:szCs w:val="20"/>
        </w:rPr>
        <w:t>Todas las cuentas por pagar a corto plazo tienen un vencimiento menor a 90 días y se cuenta con los recursos necesarios para solventar el pago.</w:t>
      </w:r>
      <w:r w:rsidR="00141958" w:rsidRPr="000023C6">
        <w:rPr>
          <w:rFonts w:ascii="Barlow" w:hAnsi="Barlow" w:cs="Calibri"/>
          <w:bCs/>
          <w:color w:val="000000"/>
          <w:sz w:val="20"/>
          <w:szCs w:val="20"/>
        </w:rPr>
        <w:t xml:space="preserve"> </w:t>
      </w:r>
    </w:p>
    <w:p w:rsidR="009B13FB" w:rsidRPr="000023C6" w:rsidRDefault="009B13FB" w:rsidP="000F029F">
      <w:pPr>
        <w:pStyle w:val="Prrafodelista"/>
        <w:tabs>
          <w:tab w:val="left" w:pos="284"/>
        </w:tabs>
        <w:spacing w:after="0" w:line="240" w:lineRule="auto"/>
        <w:ind w:left="0"/>
        <w:rPr>
          <w:rFonts w:ascii="Barlow" w:hAnsi="Barlow" w:cs="Calibri"/>
          <w:bCs/>
          <w:color w:val="000000"/>
          <w:sz w:val="20"/>
          <w:szCs w:val="20"/>
        </w:rPr>
      </w:pPr>
    </w:p>
    <w:p w:rsidR="009B13FB" w:rsidRPr="000023C6" w:rsidRDefault="009B13FB" w:rsidP="000F029F">
      <w:pPr>
        <w:pStyle w:val="Prrafodelista"/>
        <w:tabs>
          <w:tab w:val="left" w:pos="284"/>
        </w:tabs>
        <w:spacing w:after="0" w:line="240" w:lineRule="auto"/>
        <w:ind w:left="0"/>
        <w:rPr>
          <w:rFonts w:ascii="Barlow" w:hAnsi="Barlow" w:cs="Calibri"/>
          <w:bCs/>
          <w:color w:val="000000"/>
          <w:sz w:val="20"/>
          <w:szCs w:val="20"/>
        </w:rPr>
      </w:pPr>
    </w:p>
    <w:p w:rsidR="0074235D" w:rsidRPr="000023C6" w:rsidRDefault="000023C6" w:rsidP="0074235D">
      <w:pPr>
        <w:spacing w:after="0" w:line="240" w:lineRule="auto"/>
        <w:rPr>
          <w:rFonts w:ascii="Barlow" w:hAnsi="Barlow" w:cstheme="minorHAnsi"/>
          <w:color w:val="000000"/>
          <w:sz w:val="20"/>
          <w:szCs w:val="20"/>
          <w:u w:val="single"/>
          <w:lang w:val="es-ES" w:eastAsia="es-ES"/>
        </w:rPr>
      </w:pPr>
      <w:r w:rsidRPr="000023C6">
        <w:rPr>
          <w:rFonts w:ascii="Barlow" w:hAnsi="Barlow" w:cstheme="minorHAnsi"/>
          <w:color w:val="000000"/>
          <w:sz w:val="20"/>
          <w:szCs w:val="20"/>
          <w:u w:val="single"/>
          <w:lang w:val="es-ES" w:eastAsia="es-ES"/>
        </w:rPr>
        <w:t>La relación</w:t>
      </w:r>
      <w:r w:rsidR="0074235D" w:rsidRPr="000023C6">
        <w:rPr>
          <w:rFonts w:ascii="Barlow" w:hAnsi="Barlow" w:cstheme="minorHAnsi"/>
          <w:color w:val="000000"/>
          <w:sz w:val="20"/>
          <w:szCs w:val="20"/>
          <w:u w:val="single"/>
          <w:lang w:val="es-ES" w:eastAsia="es-ES"/>
        </w:rPr>
        <w:t xml:space="preserve"> de los Servicios Personales por Pagar a Corto Plazo es la siguiente:</w:t>
      </w:r>
    </w:p>
    <w:p w:rsidR="0074235D" w:rsidRPr="000023C6" w:rsidRDefault="0074235D" w:rsidP="000F029F">
      <w:pPr>
        <w:pStyle w:val="Prrafodelista"/>
        <w:tabs>
          <w:tab w:val="left" w:pos="284"/>
        </w:tabs>
        <w:spacing w:after="0" w:line="240" w:lineRule="auto"/>
        <w:ind w:left="0"/>
        <w:rPr>
          <w:rFonts w:ascii="Barlow" w:hAnsi="Barlow" w:cs="Calibri"/>
          <w:bCs/>
          <w:color w:val="000000"/>
          <w:sz w:val="20"/>
          <w:szCs w:val="20"/>
        </w:rPr>
      </w:pPr>
    </w:p>
    <w:p w:rsidR="00C1483A" w:rsidRPr="000023C6" w:rsidRDefault="00E166CD" w:rsidP="000F029F">
      <w:pPr>
        <w:pStyle w:val="Prrafodelista"/>
        <w:tabs>
          <w:tab w:val="left" w:pos="284"/>
        </w:tabs>
        <w:spacing w:after="0" w:line="240" w:lineRule="auto"/>
        <w:ind w:left="0"/>
        <w:rPr>
          <w:rFonts w:ascii="Barlow" w:hAnsi="Barlow" w:cs="Calibri"/>
          <w:bCs/>
          <w:color w:val="000000"/>
          <w:sz w:val="20"/>
          <w:szCs w:val="20"/>
        </w:rPr>
      </w:pPr>
      <w:r w:rsidRPr="000023C6">
        <w:rPr>
          <w:rFonts w:ascii="Barlow" w:hAnsi="Barlow"/>
          <w:noProof/>
          <w:sz w:val="20"/>
          <w:szCs w:val="20"/>
          <w:lang w:eastAsia="es-MX"/>
        </w:rPr>
        <w:drawing>
          <wp:inline distT="0" distB="0" distL="0" distR="0">
            <wp:extent cx="8618220" cy="545344"/>
            <wp:effectExtent l="19050" t="0" r="0" b="0"/>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8618220" cy="545344"/>
                    </a:xfrm>
                    <a:prstGeom prst="rect">
                      <a:avLst/>
                    </a:prstGeom>
                    <a:noFill/>
                    <a:ln w="9525">
                      <a:noFill/>
                      <a:miter lim="800000"/>
                      <a:headEnd/>
                      <a:tailEnd/>
                    </a:ln>
                  </pic:spPr>
                </pic:pic>
              </a:graphicData>
            </a:graphic>
          </wp:inline>
        </w:drawing>
      </w:r>
    </w:p>
    <w:p w:rsidR="004E029D" w:rsidRPr="000023C6" w:rsidRDefault="004E029D" w:rsidP="000F029F">
      <w:pPr>
        <w:pStyle w:val="Prrafodelista"/>
        <w:tabs>
          <w:tab w:val="left" w:pos="284"/>
        </w:tabs>
        <w:spacing w:after="0" w:line="240" w:lineRule="auto"/>
        <w:ind w:left="0"/>
        <w:rPr>
          <w:rFonts w:ascii="Barlow" w:hAnsi="Barlow" w:cs="Calibri"/>
          <w:sz w:val="20"/>
          <w:szCs w:val="20"/>
        </w:rPr>
      </w:pPr>
    </w:p>
    <w:p w:rsidR="009F41CB" w:rsidRDefault="009F41CB" w:rsidP="000F029F">
      <w:pPr>
        <w:pStyle w:val="Prrafodelista"/>
        <w:tabs>
          <w:tab w:val="left" w:pos="284"/>
        </w:tabs>
        <w:spacing w:after="0" w:line="240" w:lineRule="auto"/>
        <w:ind w:left="0"/>
        <w:rPr>
          <w:rFonts w:ascii="Barlow" w:hAnsi="Barlow" w:cs="Calibri"/>
          <w:sz w:val="20"/>
          <w:szCs w:val="20"/>
        </w:rPr>
      </w:pPr>
    </w:p>
    <w:p w:rsidR="000023C6" w:rsidRPr="000023C6" w:rsidRDefault="000023C6" w:rsidP="000F029F">
      <w:pPr>
        <w:pStyle w:val="Prrafodelista"/>
        <w:tabs>
          <w:tab w:val="left" w:pos="284"/>
        </w:tabs>
        <w:spacing w:after="0" w:line="240" w:lineRule="auto"/>
        <w:ind w:left="0"/>
        <w:rPr>
          <w:rFonts w:ascii="Barlow" w:hAnsi="Barlow" w:cs="Calibri"/>
          <w:sz w:val="20"/>
          <w:szCs w:val="20"/>
        </w:rPr>
      </w:pPr>
    </w:p>
    <w:p w:rsidR="00431288" w:rsidRPr="000023C6" w:rsidRDefault="000023C6" w:rsidP="00431288">
      <w:pPr>
        <w:spacing w:after="0" w:line="240" w:lineRule="auto"/>
        <w:rPr>
          <w:rFonts w:ascii="Barlow" w:hAnsi="Barlow" w:cstheme="minorHAnsi"/>
          <w:color w:val="000000"/>
          <w:sz w:val="20"/>
          <w:szCs w:val="20"/>
          <w:u w:val="single"/>
          <w:lang w:val="es-ES" w:eastAsia="es-ES"/>
        </w:rPr>
      </w:pPr>
      <w:r w:rsidRPr="000023C6">
        <w:rPr>
          <w:rFonts w:ascii="Barlow" w:hAnsi="Barlow" w:cstheme="minorHAnsi"/>
          <w:color w:val="000000"/>
          <w:sz w:val="20"/>
          <w:szCs w:val="20"/>
          <w:u w:val="single"/>
          <w:lang w:val="es-ES" w:eastAsia="es-ES"/>
        </w:rPr>
        <w:lastRenderedPageBreak/>
        <w:t>La relación</w:t>
      </w:r>
      <w:r w:rsidR="00431288" w:rsidRPr="000023C6">
        <w:rPr>
          <w:rFonts w:ascii="Barlow" w:hAnsi="Barlow" w:cstheme="minorHAnsi"/>
          <w:color w:val="000000"/>
          <w:sz w:val="20"/>
          <w:szCs w:val="20"/>
          <w:u w:val="single"/>
          <w:lang w:val="es-ES" w:eastAsia="es-ES"/>
        </w:rPr>
        <w:t xml:space="preserve"> de los </w:t>
      </w:r>
      <w:r w:rsidRPr="000023C6">
        <w:rPr>
          <w:rFonts w:ascii="Barlow" w:hAnsi="Barlow" w:cstheme="minorHAnsi"/>
          <w:color w:val="000000"/>
          <w:sz w:val="20"/>
          <w:szCs w:val="20"/>
          <w:u w:val="single"/>
          <w:lang w:val="es-ES" w:eastAsia="es-ES"/>
        </w:rPr>
        <w:t>Proveedores por</w:t>
      </w:r>
      <w:r w:rsidR="00431288" w:rsidRPr="000023C6">
        <w:rPr>
          <w:rFonts w:ascii="Barlow" w:hAnsi="Barlow" w:cstheme="minorHAnsi"/>
          <w:color w:val="000000"/>
          <w:sz w:val="20"/>
          <w:szCs w:val="20"/>
          <w:u w:val="single"/>
          <w:lang w:val="es-ES" w:eastAsia="es-ES"/>
        </w:rPr>
        <w:t xml:space="preserve"> Pagar a Corto Plazo es la siguiente:</w:t>
      </w:r>
    </w:p>
    <w:p w:rsidR="00FB4A44" w:rsidRPr="000023C6" w:rsidRDefault="00FB4A44" w:rsidP="00431288">
      <w:pPr>
        <w:spacing w:after="0" w:line="240" w:lineRule="auto"/>
        <w:rPr>
          <w:rFonts w:ascii="Barlow" w:hAnsi="Barlow" w:cstheme="minorHAnsi"/>
          <w:color w:val="000000"/>
          <w:sz w:val="20"/>
          <w:szCs w:val="20"/>
          <w:u w:val="single"/>
          <w:lang w:val="es-ES" w:eastAsia="es-ES"/>
        </w:rPr>
      </w:pPr>
      <w:r w:rsidRPr="000023C6">
        <w:rPr>
          <w:rFonts w:ascii="Barlow" w:hAnsi="Barlow"/>
          <w:noProof/>
          <w:sz w:val="20"/>
          <w:szCs w:val="20"/>
        </w:rPr>
        <w:drawing>
          <wp:inline distT="0" distB="0" distL="0" distR="0">
            <wp:extent cx="8618220" cy="2002574"/>
            <wp:effectExtent l="19050" t="0" r="0"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8618220" cy="2002574"/>
                    </a:xfrm>
                    <a:prstGeom prst="rect">
                      <a:avLst/>
                    </a:prstGeom>
                    <a:noFill/>
                    <a:ln w="9525">
                      <a:noFill/>
                      <a:miter lim="800000"/>
                      <a:headEnd/>
                      <a:tailEnd/>
                    </a:ln>
                  </pic:spPr>
                </pic:pic>
              </a:graphicData>
            </a:graphic>
          </wp:inline>
        </w:drawing>
      </w:r>
    </w:p>
    <w:p w:rsidR="00FD11BB" w:rsidRPr="000023C6" w:rsidRDefault="00431288" w:rsidP="00431288">
      <w:pPr>
        <w:spacing w:after="0" w:line="240" w:lineRule="auto"/>
        <w:rPr>
          <w:rFonts w:ascii="Barlow" w:hAnsi="Barlow" w:cstheme="minorHAnsi"/>
          <w:color w:val="000000"/>
          <w:sz w:val="20"/>
          <w:szCs w:val="20"/>
          <w:u w:val="single"/>
          <w:lang w:val="es-ES" w:eastAsia="es-ES"/>
        </w:rPr>
      </w:pPr>
      <w:r w:rsidRPr="000023C6">
        <w:rPr>
          <w:rFonts w:ascii="Barlow" w:hAnsi="Barlow" w:cstheme="minorHAnsi"/>
          <w:color w:val="000000"/>
          <w:sz w:val="20"/>
          <w:szCs w:val="20"/>
          <w:u w:val="single"/>
          <w:lang w:val="es-ES" w:eastAsia="es-ES"/>
        </w:rPr>
        <w:lastRenderedPageBreak/>
        <w:t>Se presenta a continuación la  relación de las Retenciones y Contribuciones por Pagar a Corto Plazo:</w:t>
      </w:r>
      <w:r w:rsidR="00FB4A44" w:rsidRPr="000023C6">
        <w:rPr>
          <w:rFonts w:ascii="Barlow" w:hAnsi="Barlow"/>
          <w:noProof/>
          <w:sz w:val="20"/>
          <w:szCs w:val="20"/>
        </w:rPr>
        <w:drawing>
          <wp:inline distT="0" distB="0" distL="0" distR="0">
            <wp:extent cx="8618220" cy="2649729"/>
            <wp:effectExtent l="19050" t="0" r="0" b="0"/>
            <wp:docPr id="1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8618220" cy="2649729"/>
                    </a:xfrm>
                    <a:prstGeom prst="rect">
                      <a:avLst/>
                    </a:prstGeom>
                    <a:noFill/>
                    <a:ln w="9525">
                      <a:noFill/>
                      <a:miter lim="800000"/>
                      <a:headEnd/>
                      <a:tailEnd/>
                    </a:ln>
                  </pic:spPr>
                </pic:pic>
              </a:graphicData>
            </a:graphic>
          </wp:inline>
        </w:drawing>
      </w:r>
    </w:p>
    <w:p w:rsidR="00431288" w:rsidRPr="000023C6" w:rsidRDefault="00431288" w:rsidP="00912AA8">
      <w:pPr>
        <w:spacing w:after="0" w:line="240" w:lineRule="auto"/>
        <w:rPr>
          <w:rFonts w:ascii="Barlow" w:hAnsi="Barlow" w:cstheme="minorHAnsi"/>
          <w:color w:val="000000"/>
          <w:sz w:val="20"/>
          <w:szCs w:val="20"/>
          <w:u w:val="single"/>
          <w:lang w:val="es-ES" w:eastAsia="es-ES"/>
        </w:rPr>
      </w:pPr>
    </w:p>
    <w:p w:rsidR="000F029F" w:rsidRPr="000023C6" w:rsidRDefault="000F029F" w:rsidP="000F029F">
      <w:pPr>
        <w:pStyle w:val="Prrafodelista"/>
        <w:tabs>
          <w:tab w:val="left" w:pos="284"/>
        </w:tabs>
        <w:spacing w:after="0" w:line="240" w:lineRule="auto"/>
        <w:ind w:left="0"/>
        <w:rPr>
          <w:rFonts w:ascii="Barlow" w:hAnsi="Barlow" w:cs="Calibri"/>
          <w:sz w:val="20"/>
          <w:szCs w:val="20"/>
        </w:rPr>
      </w:pPr>
    </w:p>
    <w:p w:rsidR="00EE2514" w:rsidRPr="000023C6" w:rsidRDefault="00EE2514" w:rsidP="000F029F">
      <w:pPr>
        <w:pStyle w:val="Prrafodelista"/>
        <w:tabs>
          <w:tab w:val="left" w:pos="284"/>
        </w:tabs>
        <w:spacing w:after="0" w:line="240" w:lineRule="auto"/>
        <w:ind w:left="0"/>
        <w:rPr>
          <w:rFonts w:ascii="Barlow" w:hAnsi="Barlow" w:cs="Calibri"/>
          <w:sz w:val="20"/>
          <w:szCs w:val="20"/>
        </w:rPr>
      </w:pPr>
    </w:p>
    <w:p w:rsidR="00264C62" w:rsidRPr="000023C6" w:rsidRDefault="00264C62" w:rsidP="000F029F">
      <w:pPr>
        <w:pStyle w:val="Prrafodelista"/>
        <w:tabs>
          <w:tab w:val="left" w:pos="284"/>
        </w:tabs>
        <w:spacing w:after="0" w:line="240" w:lineRule="auto"/>
        <w:ind w:left="0"/>
        <w:rPr>
          <w:rFonts w:ascii="Barlow" w:hAnsi="Barlow" w:cs="Calibri"/>
          <w:sz w:val="20"/>
          <w:szCs w:val="20"/>
        </w:rPr>
      </w:pPr>
    </w:p>
    <w:p w:rsidR="000F029F" w:rsidRPr="000023C6" w:rsidRDefault="003A66F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2. </w:t>
      </w:r>
      <w:r w:rsidR="000F029F" w:rsidRPr="000023C6">
        <w:rPr>
          <w:rFonts w:ascii="Barlow" w:hAnsi="Barlow" w:cs="Calibri"/>
          <w:bCs/>
          <w:color w:val="000000"/>
          <w:sz w:val="20"/>
          <w:szCs w:val="20"/>
        </w:rPr>
        <w:t xml:space="preserve">Fondos </w:t>
      </w:r>
      <w:r w:rsidRPr="000023C6">
        <w:rPr>
          <w:rFonts w:ascii="Barlow" w:hAnsi="Barlow" w:cs="Calibri"/>
          <w:bCs/>
          <w:color w:val="000000"/>
          <w:sz w:val="20"/>
          <w:szCs w:val="20"/>
        </w:rPr>
        <w:t>de</w:t>
      </w:r>
      <w:r w:rsidR="000F029F" w:rsidRPr="000023C6">
        <w:rPr>
          <w:rFonts w:ascii="Barlow" w:hAnsi="Barlow" w:cs="Calibri"/>
          <w:bCs/>
          <w:color w:val="000000"/>
          <w:sz w:val="20"/>
          <w:szCs w:val="20"/>
        </w:rPr>
        <w:t xml:space="preserve"> Bienes de Terceros en </w:t>
      </w:r>
      <w:r w:rsidRPr="000023C6">
        <w:rPr>
          <w:rFonts w:ascii="Barlow" w:hAnsi="Barlow" w:cs="Calibri"/>
          <w:bCs/>
          <w:color w:val="000000"/>
          <w:sz w:val="20"/>
          <w:szCs w:val="20"/>
        </w:rPr>
        <w:t>Administración</w:t>
      </w:r>
      <w:r w:rsidR="000F029F" w:rsidRPr="000023C6">
        <w:rPr>
          <w:rFonts w:ascii="Barlow" w:hAnsi="Barlow" w:cs="Calibri"/>
          <w:bCs/>
          <w:color w:val="000000"/>
          <w:sz w:val="20"/>
          <w:szCs w:val="20"/>
        </w:rPr>
        <w:t xml:space="preserve"> y/o </w:t>
      </w:r>
      <w:r w:rsidRPr="000023C6">
        <w:rPr>
          <w:rFonts w:ascii="Barlow" w:hAnsi="Barlow" w:cs="Calibri"/>
          <w:bCs/>
          <w:color w:val="000000"/>
          <w:sz w:val="20"/>
          <w:szCs w:val="20"/>
        </w:rPr>
        <w:t>en Garantía</w:t>
      </w:r>
      <w:r w:rsidR="000F029F" w:rsidRPr="000023C6">
        <w:rPr>
          <w:rFonts w:ascii="Barlow" w:hAnsi="Barlow" w:cs="Calibri"/>
          <w:bCs/>
          <w:color w:val="000000"/>
          <w:sz w:val="20"/>
          <w:szCs w:val="20"/>
        </w:rPr>
        <w:t xml:space="preserve"> a Corto Plazo</w:t>
      </w:r>
    </w:p>
    <w:p w:rsidR="000535C0" w:rsidRPr="000023C6" w:rsidRDefault="000535C0"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0535C0" w:rsidRDefault="000535C0"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Representa los fondos en garantía del cumplimiento de obligaciones contractuales o legales que, eventualmente, se tendrán que devolver a su titular en un plazo menor o igual a doce meses. </w:t>
      </w:r>
    </w:p>
    <w:p w:rsid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0023C6" w:rsidRP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792DA0" w:rsidRPr="000023C6" w:rsidRDefault="00792DA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264C62" w:rsidRPr="000023C6" w:rsidRDefault="00C10868" w:rsidP="00C10868">
      <w:pPr>
        <w:widowControl w:val="0"/>
        <w:autoSpaceDE w:val="0"/>
        <w:autoSpaceDN w:val="0"/>
        <w:adjustRightInd w:val="0"/>
        <w:spacing w:before="26" w:after="0" w:line="240" w:lineRule="auto"/>
        <w:ind w:left="113" w:right="-20"/>
        <w:jc w:val="center"/>
        <w:rPr>
          <w:rFonts w:ascii="Barlow" w:hAnsi="Barlow" w:cs="Calibri"/>
          <w:bCs/>
          <w:color w:val="000000"/>
          <w:sz w:val="20"/>
          <w:szCs w:val="20"/>
        </w:rPr>
      </w:pPr>
      <w:r w:rsidRPr="000023C6">
        <w:rPr>
          <w:rFonts w:ascii="Barlow" w:hAnsi="Barlow"/>
          <w:noProof/>
          <w:sz w:val="20"/>
          <w:szCs w:val="20"/>
        </w:rPr>
        <w:lastRenderedPageBreak/>
        <w:drawing>
          <wp:inline distT="0" distB="0" distL="0" distR="0">
            <wp:extent cx="6858000" cy="581025"/>
            <wp:effectExtent l="19050" t="0" r="0" b="0"/>
            <wp:docPr id="2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6858000" cy="581025"/>
                    </a:xfrm>
                    <a:prstGeom prst="rect">
                      <a:avLst/>
                    </a:prstGeom>
                    <a:noFill/>
                    <a:ln w="9525">
                      <a:noFill/>
                      <a:miter lim="800000"/>
                      <a:headEnd/>
                      <a:tailEnd/>
                    </a:ln>
                  </pic:spPr>
                </pic:pic>
              </a:graphicData>
            </a:graphic>
          </wp:inline>
        </w:drawing>
      </w:r>
    </w:p>
    <w:p w:rsidR="000F029F" w:rsidRPr="000023C6" w:rsidRDefault="000F029F" w:rsidP="000F029F">
      <w:pPr>
        <w:pStyle w:val="Prrafodelista"/>
        <w:tabs>
          <w:tab w:val="left" w:pos="284"/>
        </w:tabs>
        <w:spacing w:after="0" w:line="240" w:lineRule="auto"/>
        <w:ind w:left="0"/>
        <w:rPr>
          <w:rFonts w:ascii="Barlow" w:hAnsi="Barlow" w:cs="Calibri"/>
          <w:sz w:val="20"/>
          <w:szCs w:val="20"/>
        </w:rPr>
      </w:pPr>
    </w:p>
    <w:p w:rsidR="00826150" w:rsidRPr="000023C6" w:rsidRDefault="003A66FA" w:rsidP="000F029F">
      <w:pPr>
        <w:pStyle w:val="Prrafodelista"/>
        <w:tabs>
          <w:tab w:val="left" w:pos="284"/>
        </w:tabs>
        <w:spacing w:after="0" w:line="240" w:lineRule="auto"/>
        <w:ind w:left="0"/>
        <w:rPr>
          <w:rFonts w:ascii="Barlow" w:hAnsi="Barlow" w:cs="Calibri"/>
          <w:sz w:val="20"/>
          <w:szCs w:val="20"/>
        </w:rPr>
      </w:pPr>
      <w:r w:rsidRPr="000023C6">
        <w:rPr>
          <w:rFonts w:ascii="Barlow" w:hAnsi="Barlow" w:cs="Calibri"/>
          <w:sz w:val="20"/>
          <w:szCs w:val="20"/>
        </w:rPr>
        <w:t xml:space="preserve">3. </w:t>
      </w:r>
      <w:r w:rsidR="00826150" w:rsidRPr="000023C6">
        <w:rPr>
          <w:rFonts w:ascii="Barlow" w:hAnsi="Barlow" w:cs="Calibri"/>
          <w:sz w:val="20"/>
          <w:szCs w:val="20"/>
        </w:rPr>
        <w:t xml:space="preserve">Pasivos </w:t>
      </w:r>
      <w:r w:rsidR="00264C62" w:rsidRPr="000023C6">
        <w:rPr>
          <w:rFonts w:ascii="Barlow" w:hAnsi="Barlow" w:cs="Calibri"/>
          <w:sz w:val="20"/>
          <w:szCs w:val="20"/>
        </w:rPr>
        <w:t>Diferidos</w:t>
      </w:r>
      <w:r w:rsidR="008728D7" w:rsidRPr="000023C6">
        <w:rPr>
          <w:rFonts w:ascii="Barlow" w:hAnsi="Barlow" w:cs="Calibri"/>
          <w:sz w:val="20"/>
          <w:szCs w:val="20"/>
        </w:rPr>
        <w:t xml:space="preserve"> y otros pasivos diferidos</w:t>
      </w:r>
    </w:p>
    <w:p w:rsidR="00826150" w:rsidRPr="000023C6" w:rsidRDefault="00826150" w:rsidP="000F029F">
      <w:pPr>
        <w:pStyle w:val="Prrafodelista"/>
        <w:tabs>
          <w:tab w:val="left" w:pos="284"/>
        </w:tabs>
        <w:spacing w:after="0" w:line="240" w:lineRule="auto"/>
        <w:ind w:left="0"/>
        <w:rPr>
          <w:rFonts w:ascii="Barlow" w:hAnsi="Barlow" w:cs="Calibri"/>
          <w:b/>
          <w:sz w:val="20"/>
          <w:szCs w:val="20"/>
        </w:rPr>
      </w:pPr>
    </w:p>
    <w:p w:rsidR="00826150" w:rsidRPr="000023C6" w:rsidRDefault="00264C62" w:rsidP="000F029F">
      <w:pPr>
        <w:pStyle w:val="Prrafodelista"/>
        <w:tabs>
          <w:tab w:val="left" w:pos="284"/>
        </w:tabs>
        <w:spacing w:after="0" w:line="240" w:lineRule="auto"/>
        <w:ind w:left="0"/>
        <w:rPr>
          <w:rFonts w:ascii="Barlow" w:hAnsi="Barlow" w:cs="Calibri"/>
          <w:sz w:val="20"/>
          <w:szCs w:val="20"/>
        </w:rPr>
      </w:pPr>
      <w:r w:rsidRPr="000023C6">
        <w:rPr>
          <w:rFonts w:ascii="Barlow" w:hAnsi="Barlow" w:cs="Calibri"/>
          <w:sz w:val="20"/>
          <w:szCs w:val="20"/>
        </w:rPr>
        <w:t>A la fecha de los Estados Financieros</w:t>
      </w:r>
      <w:r w:rsidR="00826150" w:rsidRPr="000023C6">
        <w:rPr>
          <w:rFonts w:ascii="Barlow" w:hAnsi="Barlow" w:cs="Calibri"/>
          <w:sz w:val="20"/>
          <w:szCs w:val="20"/>
        </w:rPr>
        <w:t xml:space="preserve"> no cuenta con pasivos </w:t>
      </w:r>
      <w:r w:rsidRPr="000023C6">
        <w:rPr>
          <w:rFonts w:ascii="Barlow" w:hAnsi="Barlow" w:cs="Calibri"/>
          <w:sz w:val="20"/>
          <w:szCs w:val="20"/>
        </w:rPr>
        <w:t>diferidos, q</w:t>
      </w:r>
      <w:r w:rsidR="00826150" w:rsidRPr="000023C6">
        <w:rPr>
          <w:rFonts w:ascii="Barlow" w:hAnsi="Barlow" w:cs="Calibri"/>
          <w:sz w:val="20"/>
          <w:szCs w:val="20"/>
        </w:rPr>
        <w:t>ue reporta</w:t>
      </w:r>
      <w:r w:rsidRPr="000023C6">
        <w:rPr>
          <w:rFonts w:ascii="Barlow" w:hAnsi="Barlow" w:cs="Calibri"/>
          <w:sz w:val="20"/>
          <w:szCs w:val="20"/>
        </w:rPr>
        <w:t>r</w:t>
      </w:r>
      <w:r w:rsidR="00826150" w:rsidRPr="000023C6">
        <w:rPr>
          <w:rFonts w:ascii="Barlow" w:hAnsi="Barlow" w:cs="Calibri"/>
          <w:sz w:val="20"/>
          <w:szCs w:val="20"/>
        </w:rPr>
        <w:t>.</w:t>
      </w:r>
    </w:p>
    <w:p w:rsidR="008728D7" w:rsidRPr="000023C6" w:rsidRDefault="008728D7"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75451E" w:rsidRPr="000023C6" w:rsidRDefault="00A45C83"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023C6">
        <w:rPr>
          <w:rFonts w:ascii="Barlow" w:hAnsi="Barlow" w:cs="Calibri"/>
          <w:b/>
          <w:bCs/>
          <w:color w:val="000000"/>
          <w:sz w:val="20"/>
          <w:szCs w:val="20"/>
        </w:rPr>
        <w:t xml:space="preserve">II) </w:t>
      </w:r>
      <w:r w:rsidR="0075451E" w:rsidRPr="000023C6">
        <w:rPr>
          <w:rFonts w:ascii="Barlow" w:hAnsi="Barlow" w:cs="Calibri"/>
          <w:b/>
          <w:bCs/>
          <w:color w:val="000000"/>
          <w:sz w:val="20"/>
          <w:szCs w:val="20"/>
        </w:rPr>
        <w:t xml:space="preserve">NOTAS AL ESTADO DE ACTIVIDADES </w:t>
      </w:r>
    </w:p>
    <w:p w:rsidR="0075451E" w:rsidRPr="000023C6" w:rsidRDefault="0075451E"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75451E" w:rsidRPr="000023C6" w:rsidRDefault="00A45C83"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023C6">
        <w:rPr>
          <w:rFonts w:ascii="Barlow" w:hAnsi="Barlow" w:cs="Calibri"/>
          <w:b/>
          <w:bCs/>
          <w:color w:val="000000"/>
          <w:sz w:val="20"/>
          <w:szCs w:val="20"/>
        </w:rPr>
        <w:t xml:space="preserve">     </w:t>
      </w:r>
      <w:r w:rsidR="0075451E" w:rsidRPr="000023C6">
        <w:rPr>
          <w:rFonts w:ascii="Barlow" w:hAnsi="Barlow" w:cs="Calibri"/>
          <w:b/>
          <w:bCs/>
          <w:color w:val="000000"/>
          <w:sz w:val="20"/>
          <w:szCs w:val="20"/>
        </w:rPr>
        <w:t>INGRESOS DE GESTIÓN</w:t>
      </w:r>
    </w:p>
    <w:p w:rsidR="00EF3C7A" w:rsidRPr="000023C6" w:rsidRDefault="00EF3C7A"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EF3C7A" w:rsidRPr="000023C6" w:rsidRDefault="00EF3C7A" w:rsidP="0075451E">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Cs/>
          <w:color w:val="000000"/>
          <w:sz w:val="20"/>
          <w:szCs w:val="20"/>
        </w:rPr>
        <w:t>1. Se informan los rubros que integran los Ingresos de Gestión</w:t>
      </w:r>
    </w:p>
    <w:p w:rsidR="0075451E" w:rsidRPr="000023C6" w:rsidRDefault="0075451E"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75451E" w:rsidRPr="000023C6" w:rsidRDefault="00FB4A44" w:rsidP="004D1F96">
      <w:pPr>
        <w:pStyle w:val="Prrafodelista"/>
        <w:tabs>
          <w:tab w:val="left" w:pos="284"/>
        </w:tabs>
        <w:spacing w:after="0" w:line="240" w:lineRule="auto"/>
        <w:ind w:left="0"/>
        <w:jc w:val="center"/>
        <w:rPr>
          <w:rFonts w:ascii="Barlow" w:hAnsi="Barlow" w:cs="Calibri"/>
          <w:b/>
          <w:sz w:val="20"/>
          <w:szCs w:val="20"/>
        </w:rPr>
      </w:pPr>
      <w:r w:rsidRPr="000023C6">
        <w:rPr>
          <w:rFonts w:ascii="Barlow" w:hAnsi="Barlow"/>
          <w:noProof/>
          <w:sz w:val="20"/>
          <w:szCs w:val="20"/>
          <w:lang w:eastAsia="es-MX"/>
        </w:rPr>
        <w:drawing>
          <wp:inline distT="0" distB="0" distL="0" distR="0">
            <wp:extent cx="6858000" cy="771525"/>
            <wp:effectExtent l="19050" t="0" r="0" b="0"/>
            <wp:docPr id="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EF3C7A" w:rsidRPr="000023C6" w:rsidRDefault="00EF3C7A" w:rsidP="000F029F">
      <w:pPr>
        <w:pStyle w:val="Prrafodelista"/>
        <w:tabs>
          <w:tab w:val="left" w:pos="284"/>
        </w:tabs>
        <w:spacing w:after="0" w:line="240" w:lineRule="auto"/>
        <w:ind w:left="0"/>
        <w:rPr>
          <w:rFonts w:ascii="Barlow" w:hAnsi="Barlow" w:cs="Calibri"/>
          <w:b/>
          <w:sz w:val="20"/>
          <w:szCs w:val="20"/>
        </w:rPr>
      </w:pPr>
    </w:p>
    <w:p w:rsidR="00EF3C7A" w:rsidRPr="000023C6" w:rsidRDefault="00EF3C7A" w:rsidP="000F029F">
      <w:pPr>
        <w:pStyle w:val="Prrafodelista"/>
        <w:tabs>
          <w:tab w:val="left" w:pos="284"/>
        </w:tabs>
        <w:spacing w:after="0" w:line="240" w:lineRule="auto"/>
        <w:ind w:left="0"/>
        <w:rPr>
          <w:rFonts w:ascii="Barlow" w:hAnsi="Barlow" w:cs="Calibri"/>
          <w:sz w:val="20"/>
          <w:szCs w:val="20"/>
        </w:rPr>
      </w:pPr>
      <w:r w:rsidRPr="000023C6">
        <w:rPr>
          <w:rFonts w:ascii="Barlow" w:hAnsi="Barlow" w:cs="Calibri"/>
          <w:sz w:val="20"/>
          <w:szCs w:val="20"/>
        </w:rPr>
        <w:t>2. Se informan los rubros que integran las Participaciones, Aportaciones, Convenios Derivados de la Colaboración Fiscal, Fondos Distintos de Aportaciones, Transferencias, Asignaciones, Subsidios, y Subvenciones, y Pensiones y Jubilaciones</w:t>
      </w:r>
      <w:r w:rsidR="00A13BDC" w:rsidRPr="000023C6">
        <w:rPr>
          <w:rFonts w:ascii="Barlow" w:hAnsi="Barlow" w:cs="Calibri"/>
          <w:sz w:val="20"/>
          <w:szCs w:val="20"/>
        </w:rPr>
        <w:t>.</w:t>
      </w:r>
    </w:p>
    <w:p w:rsidR="00EF3C7A" w:rsidRPr="000023C6" w:rsidRDefault="00EF3C7A" w:rsidP="000F029F">
      <w:pPr>
        <w:pStyle w:val="Prrafodelista"/>
        <w:tabs>
          <w:tab w:val="left" w:pos="284"/>
        </w:tabs>
        <w:spacing w:after="0" w:line="240" w:lineRule="auto"/>
        <w:ind w:left="0"/>
        <w:rPr>
          <w:rFonts w:ascii="Barlow" w:hAnsi="Barlow" w:cs="Calibri"/>
          <w:sz w:val="20"/>
          <w:szCs w:val="20"/>
        </w:rPr>
      </w:pPr>
    </w:p>
    <w:p w:rsidR="000535C0" w:rsidRPr="000023C6" w:rsidRDefault="000535C0" w:rsidP="000F029F">
      <w:pPr>
        <w:pStyle w:val="Prrafodelista"/>
        <w:tabs>
          <w:tab w:val="left" w:pos="284"/>
        </w:tabs>
        <w:spacing w:after="0" w:line="240" w:lineRule="auto"/>
        <w:ind w:left="0"/>
        <w:rPr>
          <w:rFonts w:ascii="Barlow" w:hAnsi="Barlow" w:cs="Calibri"/>
          <w:sz w:val="20"/>
          <w:szCs w:val="20"/>
        </w:rPr>
      </w:pPr>
    </w:p>
    <w:p w:rsidR="00EF3C7A" w:rsidRPr="000023C6" w:rsidRDefault="00EF3C7A" w:rsidP="000F029F">
      <w:pPr>
        <w:pStyle w:val="Prrafodelista"/>
        <w:tabs>
          <w:tab w:val="left" w:pos="284"/>
        </w:tabs>
        <w:spacing w:after="0" w:line="240" w:lineRule="auto"/>
        <w:ind w:left="0"/>
        <w:rPr>
          <w:rFonts w:ascii="Barlow" w:hAnsi="Barlow" w:cs="Calibri"/>
          <w:sz w:val="20"/>
          <w:szCs w:val="20"/>
        </w:rPr>
      </w:pPr>
    </w:p>
    <w:p w:rsidR="0075451E" w:rsidRPr="000023C6" w:rsidRDefault="00B51C3B" w:rsidP="00825110">
      <w:pPr>
        <w:pStyle w:val="Prrafodelista"/>
        <w:tabs>
          <w:tab w:val="left" w:pos="284"/>
        </w:tabs>
        <w:spacing w:after="0" w:line="240" w:lineRule="auto"/>
        <w:ind w:left="0"/>
        <w:jc w:val="center"/>
        <w:rPr>
          <w:rFonts w:ascii="Barlow" w:hAnsi="Barlow" w:cs="Calibri"/>
          <w:b/>
          <w:sz w:val="20"/>
          <w:szCs w:val="20"/>
        </w:rPr>
      </w:pPr>
      <w:r w:rsidRPr="000023C6">
        <w:rPr>
          <w:rFonts w:ascii="Barlow" w:hAnsi="Barlow"/>
          <w:noProof/>
          <w:sz w:val="20"/>
          <w:szCs w:val="20"/>
          <w:lang w:eastAsia="es-MX"/>
        </w:rPr>
        <w:lastRenderedPageBreak/>
        <w:drawing>
          <wp:inline distT="0" distB="0" distL="0" distR="0">
            <wp:extent cx="6858000" cy="1028700"/>
            <wp:effectExtent l="19050" t="0" r="0" b="0"/>
            <wp:docPr id="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6858000" cy="1028700"/>
                    </a:xfrm>
                    <a:prstGeom prst="rect">
                      <a:avLst/>
                    </a:prstGeom>
                    <a:noFill/>
                    <a:ln w="9525">
                      <a:noFill/>
                      <a:miter lim="800000"/>
                      <a:headEnd/>
                      <a:tailEnd/>
                    </a:ln>
                  </pic:spPr>
                </pic:pic>
              </a:graphicData>
            </a:graphic>
          </wp:inline>
        </w:drawing>
      </w:r>
    </w:p>
    <w:p w:rsidR="002856D1" w:rsidRPr="000023C6" w:rsidRDefault="002856D1" w:rsidP="000F029F">
      <w:pPr>
        <w:pStyle w:val="Prrafodelista"/>
        <w:tabs>
          <w:tab w:val="left" w:pos="284"/>
        </w:tabs>
        <w:spacing w:after="0" w:line="240" w:lineRule="auto"/>
        <w:ind w:left="0"/>
        <w:rPr>
          <w:rFonts w:ascii="Barlow" w:hAnsi="Barlow" w:cs="Calibri"/>
          <w:b/>
          <w:sz w:val="20"/>
          <w:szCs w:val="20"/>
        </w:rPr>
      </w:pPr>
    </w:p>
    <w:p w:rsidR="00FD6258" w:rsidRPr="000023C6" w:rsidRDefault="00FD6258" w:rsidP="000F029F">
      <w:pPr>
        <w:pStyle w:val="Prrafodelista"/>
        <w:tabs>
          <w:tab w:val="left" w:pos="284"/>
        </w:tabs>
        <w:spacing w:after="0" w:line="240" w:lineRule="auto"/>
        <w:ind w:left="0"/>
        <w:rPr>
          <w:rFonts w:ascii="Barlow" w:hAnsi="Barlow" w:cs="Calibri"/>
          <w:b/>
          <w:sz w:val="20"/>
          <w:szCs w:val="20"/>
        </w:rPr>
      </w:pPr>
    </w:p>
    <w:p w:rsidR="00FD6258" w:rsidRPr="000023C6" w:rsidRDefault="00FD6258" w:rsidP="000F029F">
      <w:pPr>
        <w:pStyle w:val="Prrafodelista"/>
        <w:tabs>
          <w:tab w:val="left" w:pos="284"/>
        </w:tabs>
        <w:spacing w:after="0" w:line="240" w:lineRule="auto"/>
        <w:ind w:left="0"/>
        <w:rPr>
          <w:rFonts w:ascii="Barlow" w:hAnsi="Barlow" w:cs="Calibri"/>
          <w:b/>
          <w:sz w:val="20"/>
          <w:szCs w:val="20"/>
        </w:rPr>
      </w:pPr>
      <w:r w:rsidRPr="000023C6">
        <w:rPr>
          <w:rFonts w:ascii="Barlow" w:hAnsi="Barlow" w:cs="Calibri"/>
          <w:b/>
          <w:sz w:val="20"/>
          <w:szCs w:val="20"/>
        </w:rPr>
        <w:t>Otros Ingresos y Beneficios</w:t>
      </w:r>
    </w:p>
    <w:p w:rsidR="002856D1" w:rsidRPr="000023C6" w:rsidRDefault="002856D1" w:rsidP="000F029F">
      <w:pPr>
        <w:pStyle w:val="Prrafodelista"/>
        <w:tabs>
          <w:tab w:val="left" w:pos="284"/>
        </w:tabs>
        <w:spacing w:after="0" w:line="240" w:lineRule="auto"/>
        <w:ind w:left="0"/>
        <w:rPr>
          <w:rFonts w:ascii="Barlow" w:hAnsi="Barlow" w:cs="Calibri"/>
          <w:b/>
          <w:sz w:val="20"/>
          <w:szCs w:val="20"/>
        </w:rPr>
      </w:pPr>
    </w:p>
    <w:p w:rsidR="00EF3C7A" w:rsidRPr="000023C6" w:rsidRDefault="00EF3C7A" w:rsidP="000F029F">
      <w:pPr>
        <w:pStyle w:val="Prrafodelista"/>
        <w:tabs>
          <w:tab w:val="left" w:pos="284"/>
        </w:tabs>
        <w:spacing w:after="0" w:line="240" w:lineRule="auto"/>
        <w:ind w:left="0"/>
        <w:rPr>
          <w:rFonts w:ascii="Barlow" w:hAnsi="Barlow" w:cs="Calibri"/>
          <w:b/>
          <w:sz w:val="20"/>
          <w:szCs w:val="20"/>
        </w:rPr>
      </w:pPr>
    </w:p>
    <w:p w:rsidR="002856D1" w:rsidRPr="000023C6" w:rsidRDefault="002856D1" w:rsidP="000F029F">
      <w:pPr>
        <w:pStyle w:val="Prrafodelista"/>
        <w:tabs>
          <w:tab w:val="left" w:pos="284"/>
        </w:tabs>
        <w:spacing w:after="0" w:line="240" w:lineRule="auto"/>
        <w:ind w:left="0"/>
        <w:rPr>
          <w:rFonts w:ascii="Barlow" w:hAnsi="Barlow" w:cs="Calibri"/>
          <w:sz w:val="20"/>
          <w:szCs w:val="20"/>
        </w:rPr>
      </w:pPr>
      <w:r w:rsidRPr="000023C6">
        <w:rPr>
          <w:rFonts w:ascii="Barlow" w:hAnsi="Barlow" w:cs="Calibri"/>
          <w:sz w:val="20"/>
          <w:szCs w:val="20"/>
        </w:rPr>
        <w:t xml:space="preserve">3. Se informan los rubros que integran los Otros Ingresos y Beneficios </w:t>
      </w:r>
    </w:p>
    <w:p w:rsidR="00825110" w:rsidRPr="000023C6" w:rsidRDefault="00825110" w:rsidP="00825110">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825110" w:rsidRPr="000023C6" w:rsidRDefault="00C10868" w:rsidP="00C1483A">
      <w:pPr>
        <w:widowControl w:val="0"/>
        <w:autoSpaceDE w:val="0"/>
        <w:autoSpaceDN w:val="0"/>
        <w:adjustRightInd w:val="0"/>
        <w:spacing w:before="26" w:after="0" w:line="240" w:lineRule="auto"/>
        <w:ind w:left="113" w:right="-20"/>
        <w:jc w:val="center"/>
        <w:rPr>
          <w:rFonts w:ascii="Barlow" w:hAnsi="Barlow" w:cs="Calibri"/>
          <w:bCs/>
          <w:color w:val="000000"/>
          <w:sz w:val="20"/>
          <w:szCs w:val="20"/>
        </w:rPr>
      </w:pPr>
      <w:r w:rsidRPr="000023C6">
        <w:rPr>
          <w:rFonts w:ascii="Barlow" w:hAnsi="Barlow"/>
          <w:noProof/>
          <w:sz w:val="20"/>
          <w:szCs w:val="20"/>
        </w:rPr>
        <w:drawing>
          <wp:inline distT="0" distB="0" distL="0" distR="0">
            <wp:extent cx="6858000" cy="581025"/>
            <wp:effectExtent l="19050" t="0" r="0" b="0"/>
            <wp:docPr id="2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6858000" cy="581025"/>
                    </a:xfrm>
                    <a:prstGeom prst="rect">
                      <a:avLst/>
                    </a:prstGeom>
                    <a:noFill/>
                    <a:ln w="9525">
                      <a:noFill/>
                      <a:miter lim="800000"/>
                      <a:headEnd/>
                      <a:tailEnd/>
                    </a:ln>
                  </pic:spPr>
                </pic:pic>
              </a:graphicData>
            </a:graphic>
          </wp:inline>
        </w:drawing>
      </w:r>
    </w:p>
    <w:p w:rsidR="00825110" w:rsidRPr="000023C6" w:rsidRDefault="00825110" w:rsidP="000F029F">
      <w:pPr>
        <w:pStyle w:val="Prrafodelista"/>
        <w:tabs>
          <w:tab w:val="left" w:pos="284"/>
        </w:tabs>
        <w:spacing w:after="0" w:line="240" w:lineRule="auto"/>
        <w:ind w:left="0"/>
        <w:rPr>
          <w:rFonts w:ascii="Barlow" w:hAnsi="Barlow" w:cs="Calibri"/>
          <w:sz w:val="20"/>
          <w:szCs w:val="20"/>
        </w:rPr>
      </w:pPr>
    </w:p>
    <w:p w:rsidR="00944D05" w:rsidRPr="000023C6" w:rsidRDefault="00944D05" w:rsidP="00944D0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023C6">
        <w:rPr>
          <w:rFonts w:ascii="Barlow" w:hAnsi="Barlow" w:cs="Calibri"/>
          <w:b/>
          <w:bCs/>
          <w:color w:val="000000"/>
          <w:sz w:val="20"/>
          <w:szCs w:val="20"/>
        </w:rPr>
        <w:t>GASTOS Y OTRAS PÉRDIDAS</w:t>
      </w:r>
    </w:p>
    <w:p w:rsidR="002856D1" w:rsidRPr="000023C6" w:rsidRDefault="002856D1" w:rsidP="00944D0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Cs/>
          <w:color w:val="000000"/>
          <w:sz w:val="20"/>
          <w:szCs w:val="20"/>
        </w:rPr>
        <w:t>1. Se informan las cuentas que integran los Gastos y Otras Pérdidas</w:t>
      </w:r>
    </w:p>
    <w:p w:rsidR="00944D05" w:rsidRPr="000023C6" w:rsidRDefault="00944D05" w:rsidP="00944D0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944D05" w:rsidRPr="000023C6" w:rsidRDefault="00B51C3B" w:rsidP="00704759">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noProof/>
          <w:sz w:val="20"/>
          <w:szCs w:val="20"/>
        </w:rPr>
        <w:lastRenderedPageBreak/>
        <w:drawing>
          <wp:inline distT="0" distB="0" distL="0" distR="0">
            <wp:extent cx="6858000" cy="1943100"/>
            <wp:effectExtent l="19050" t="0" r="0" b="0"/>
            <wp:docPr id="2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6858000" cy="1943100"/>
                    </a:xfrm>
                    <a:prstGeom prst="rect">
                      <a:avLst/>
                    </a:prstGeom>
                    <a:noFill/>
                    <a:ln w="9525">
                      <a:noFill/>
                      <a:miter lim="800000"/>
                      <a:headEnd/>
                      <a:tailEnd/>
                    </a:ln>
                  </pic:spPr>
                </pic:pic>
              </a:graphicData>
            </a:graphic>
          </wp:inline>
        </w:drawing>
      </w:r>
    </w:p>
    <w:p w:rsidR="002856D1" w:rsidRPr="000023C6" w:rsidRDefault="002856D1" w:rsidP="000F029F">
      <w:pPr>
        <w:pStyle w:val="Prrafodelista"/>
        <w:tabs>
          <w:tab w:val="left" w:pos="284"/>
        </w:tabs>
        <w:spacing w:after="0" w:line="240" w:lineRule="auto"/>
        <w:ind w:left="0"/>
        <w:rPr>
          <w:rFonts w:ascii="Barlow" w:hAnsi="Barlow" w:cs="Calibri"/>
          <w:b/>
          <w:sz w:val="20"/>
          <w:szCs w:val="20"/>
        </w:rPr>
      </w:pPr>
    </w:p>
    <w:p w:rsidR="00CD2B6A" w:rsidRPr="000023C6" w:rsidRDefault="00CD2B6A" w:rsidP="000F029F">
      <w:pPr>
        <w:pStyle w:val="Prrafodelista"/>
        <w:tabs>
          <w:tab w:val="left" w:pos="284"/>
        </w:tabs>
        <w:spacing w:after="0" w:line="240" w:lineRule="auto"/>
        <w:ind w:left="0"/>
        <w:rPr>
          <w:rFonts w:ascii="Barlow" w:hAnsi="Barlow" w:cs="Calibri"/>
          <w:sz w:val="20"/>
          <w:szCs w:val="20"/>
        </w:rPr>
      </w:pPr>
    </w:p>
    <w:p w:rsidR="00C140C2" w:rsidRPr="000023C6" w:rsidRDefault="002856D1" w:rsidP="00C140C2">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023C6">
        <w:rPr>
          <w:rFonts w:ascii="Barlow" w:hAnsi="Barlow" w:cs="Calibri"/>
          <w:b/>
          <w:bCs/>
          <w:color w:val="000000"/>
          <w:sz w:val="20"/>
          <w:szCs w:val="20"/>
        </w:rPr>
        <w:t xml:space="preserve">III) </w:t>
      </w:r>
      <w:r w:rsidR="00C140C2" w:rsidRPr="000023C6">
        <w:rPr>
          <w:rFonts w:ascii="Barlow" w:hAnsi="Barlow" w:cs="Calibri"/>
          <w:b/>
          <w:bCs/>
          <w:color w:val="000000"/>
          <w:sz w:val="20"/>
          <w:szCs w:val="20"/>
        </w:rPr>
        <w:t xml:space="preserve"> NOTAS AL ESTADO DE VARIACION EN LA HACIENDA PÚBLICA</w:t>
      </w:r>
    </w:p>
    <w:p w:rsidR="008728D7" w:rsidRPr="000023C6" w:rsidRDefault="008728D7" w:rsidP="00C140C2">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C140C2" w:rsidRPr="000023C6" w:rsidRDefault="008728D7" w:rsidP="00C140C2">
      <w:pPr>
        <w:pStyle w:val="Prrafodelista"/>
        <w:tabs>
          <w:tab w:val="left" w:pos="284"/>
        </w:tabs>
        <w:spacing w:after="0" w:line="240" w:lineRule="auto"/>
        <w:ind w:left="0"/>
        <w:rPr>
          <w:rFonts w:ascii="Barlow" w:hAnsi="Barlow" w:cs="Calibri"/>
          <w:sz w:val="20"/>
          <w:szCs w:val="20"/>
        </w:rPr>
      </w:pPr>
      <w:r w:rsidRPr="000023C6">
        <w:rPr>
          <w:rFonts w:ascii="Barlow" w:hAnsi="Barlow" w:cs="Calibri"/>
          <w:sz w:val="20"/>
          <w:szCs w:val="20"/>
        </w:rPr>
        <w:t>1</w:t>
      </w:r>
      <w:r w:rsidR="003F3233" w:rsidRPr="000023C6">
        <w:rPr>
          <w:rFonts w:ascii="Barlow" w:hAnsi="Barlow" w:cs="Calibri"/>
          <w:sz w:val="20"/>
          <w:szCs w:val="20"/>
        </w:rPr>
        <w:t xml:space="preserve">. </w:t>
      </w:r>
      <w:r w:rsidRPr="000023C6">
        <w:rPr>
          <w:rFonts w:ascii="Barlow" w:hAnsi="Barlow" w:cs="Calibri"/>
          <w:sz w:val="20"/>
          <w:szCs w:val="20"/>
        </w:rPr>
        <w:t xml:space="preserve"> Se informa el patrimonio </w:t>
      </w:r>
    </w:p>
    <w:p w:rsidR="003F3233" w:rsidRPr="000023C6" w:rsidRDefault="003F3233" w:rsidP="00C140C2">
      <w:pPr>
        <w:pStyle w:val="Prrafodelista"/>
        <w:tabs>
          <w:tab w:val="left" w:pos="284"/>
        </w:tabs>
        <w:spacing w:after="0" w:line="240" w:lineRule="auto"/>
        <w:ind w:left="0"/>
        <w:rPr>
          <w:rFonts w:ascii="Barlow" w:hAnsi="Barlow" w:cs="Calibri"/>
          <w:sz w:val="20"/>
          <w:szCs w:val="20"/>
        </w:rPr>
      </w:pPr>
    </w:p>
    <w:p w:rsidR="008728D7" w:rsidRPr="000023C6" w:rsidRDefault="00C140C2" w:rsidP="000023C6">
      <w:pPr>
        <w:pStyle w:val="Prrafodelista"/>
        <w:tabs>
          <w:tab w:val="left" w:pos="284"/>
        </w:tabs>
        <w:spacing w:after="0" w:line="240" w:lineRule="auto"/>
        <w:ind w:left="0"/>
        <w:jc w:val="center"/>
        <w:rPr>
          <w:rFonts w:ascii="Barlow" w:hAnsi="Barlow" w:cs="Calibri"/>
          <w:sz w:val="20"/>
          <w:szCs w:val="20"/>
        </w:rPr>
      </w:pPr>
      <w:r w:rsidRPr="000023C6">
        <w:rPr>
          <w:rFonts w:ascii="Barlow" w:hAnsi="Barlow" w:cs="Calibri"/>
          <w:sz w:val="20"/>
          <w:szCs w:val="20"/>
        </w:rPr>
        <w:object w:dxaOrig="9604" w:dyaOrig="2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32pt" o:ole="">
            <v:imagedata r:id="rId21" o:title=""/>
          </v:shape>
          <o:OLEObject Type="Embed" ProgID="Excel.Sheet.12" ShapeID="_x0000_i1025" DrawAspect="Content" ObjectID="_1681285469" r:id="rId22"/>
        </w:object>
      </w:r>
    </w:p>
    <w:p w:rsidR="008728D7" w:rsidRPr="000023C6" w:rsidRDefault="008728D7" w:rsidP="00354B00">
      <w:pPr>
        <w:pStyle w:val="Prrafodelista"/>
        <w:tabs>
          <w:tab w:val="left" w:pos="284"/>
        </w:tabs>
        <w:spacing w:after="0" w:line="240" w:lineRule="auto"/>
        <w:ind w:left="0"/>
        <w:rPr>
          <w:rFonts w:ascii="Barlow" w:hAnsi="Barlow" w:cs="Calibri"/>
          <w:sz w:val="20"/>
          <w:szCs w:val="20"/>
        </w:rPr>
      </w:pPr>
    </w:p>
    <w:p w:rsidR="008728D7" w:rsidRPr="000023C6" w:rsidRDefault="008728D7" w:rsidP="00354B00">
      <w:pPr>
        <w:pStyle w:val="Prrafodelista"/>
        <w:tabs>
          <w:tab w:val="left" w:pos="284"/>
        </w:tabs>
        <w:spacing w:after="0" w:line="240" w:lineRule="auto"/>
        <w:ind w:left="0"/>
        <w:rPr>
          <w:rFonts w:ascii="Barlow" w:hAnsi="Barlow" w:cs="Calibri"/>
          <w:sz w:val="20"/>
          <w:szCs w:val="20"/>
        </w:rPr>
      </w:pPr>
    </w:p>
    <w:p w:rsidR="008728D7" w:rsidRPr="000023C6" w:rsidRDefault="008728D7" w:rsidP="00354B00">
      <w:pPr>
        <w:pStyle w:val="Prrafodelista"/>
        <w:tabs>
          <w:tab w:val="left" w:pos="284"/>
        </w:tabs>
        <w:spacing w:after="0" w:line="240" w:lineRule="auto"/>
        <w:ind w:left="0"/>
        <w:rPr>
          <w:rFonts w:ascii="Barlow" w:hAnsi="Barlow" w:cs="Calibri"/>
          <w:sz w:val="20"/>
          <w:szCs w:val="20"/>
        </w:rPr>
      </w:pPr>
      <w:r w:rsidRPr="000023C6">
        <w:rPr>
          <w:rFonts w:ascii="Barlow" w:hAnsi="Barlow" w:cs="Calibri"/>
          <w:sz w:val="20"/>
          <w:szCs w:val="20"/>
        </w:rPr>
        <w:lastRenderedPageBreak/>
        <w:t>2</w:t>
      </w:r>
      <w:r w:rsidR="004B5A5C" w:rsidRPr="000023C6">
        <w:rPr>
          <w:rFonts w:ascii="Barlow" w:hAnsi="Barlow" w:cs="Calibri"/>
          <w:sz w:val="20"/>
          <w:szCs w:val="20"/>
        </w:rPr>
        <w:t>.</w:t>
      </w:r>
      <w:r w:rsidRPr="000023C6">
        <w:rPr>
          <w:rFonts w:ascii="Barlow" w:hAnsi="Barlow" w:cs="Calibri"/>
          <w:sz w:val="20"/>
          <w:szCs w:val="20"/>
        </w:rPr>
        <w:t xml:space="preserve"> </w:t>
      </w:r>
      <w:r w:rsidR="004B5A5C" w:rsidRPr="000023C6">
        <w:rPr>
          <w:rFonts w:ascii="Barlow" w:hAnsi="Barlow" w:cs="Calibri"/>
          <w:sz w:val="20"/>
          <w:szCs w:val="20"/>
        </w:rPr>
        <w:t xml:space="preserve"> </w:t>
      </w:r>
      <w:r w:rsidRPr="000023C6">
        <w:rPr>
          <w:rFonts w:ascii="Barlow" w:hAnsi="Barlow" w:cs="Calibri"/>
          <w:sz w:val="20"/>
          <w:szCs w:val="20"/>
        </w:rPr>
        <w:t>Se informa el patrimonio generado</w:t>
      </w:r>
    </w:p>
    <w:p w:rsidR="004B5A5C" w:rsidRPr="000023C6" w:rsidRDefault="004B5A5C" w:rsidP="00354B00">
      <w:pPr>
        <w:pStyle w:val="Prrafodelista"/>
        <w:tabs>
          <w:tab w:val="left" w:pos="284"/>
        </w:tabs>
        <w:spacing w:after="0" w:line="240" w:lineRule="auto"/>
        <w:ind w:left="0"/>
        <w:rPr>
          <w:rFonts w:ascii="Barlow" w:hAnsi="Barlow" w:cs="Calibri"/>
          <w:sz w:val="20"/>
          <w:szCs w:val="20"/>
        </w:rPr>
      </w:pPr>
    </w:p>
    <w:tbl>
      <w:tblPr>
        <w:tblW w:w="10848" w:type="dxa"/>
        <w:jc w:val="center"/>
        <w:tblCellMar>
          <w:left w:w="70" w:type="dxa"/>
          <w:right w:w="70" w:type="dxa"/>
        </w:tblCellMar>
        <w:tblLook w:val="04A0" w:firstRow="1" w:lastRow="0" w:firstColumn="1" w:lastColumn="0" w:noHBand="0" w:noVBand="1"/>
      </w:tblPr>
      <w:tblGrid>
        <w:gridCol w:w="6996"/>
        <w:gridCol w:w="1976"/>
        <w:gridCol w:w="1876"/>
      </w:tblGrid>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HACIENDA PÚBLICA /PATRIMONIO GENERADO</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b/>
                <w:bCs/>
                <w:color w:val="000000"/>
                <w:sz w:val="20"/>
                <w:szCs w:val="20"/>
              </w:rPr>
            </w:pPr>
            <w:r w:rsidRPr="000023C6">
              <w:rPr>
                <w:rFonts w:ascii="Barlow" w:hAnsi="Barlow" w:cs="Calibri"/>
                <w:b/>
                <w:bCs/>
                <w:color w:val="000000"/>
                <w:sz w:val="20"/>
                <w:szCs w:val="20"/>
              </w:rPr>
              <w:t xml:space="preserve">634,907.33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u w:val="single"/>
              </w:rPr>
            </w:pPr>
            <w:r w:rsidRPr="000023C6">
              <w:rPr>
                <w:rFonts w:ascii="Barlow" w:hAnsi="Barlow" w:cs="Calibri"/>
                <w:color w:val="000000"/>
                <w:sz w:val="20"/>
                <w:szCs w:val="20"/>
                <w:u w:val="single"/>
              </w:rPr>
              <w:t>RESULTADOS DEL EJERCICIO (AHORRO/ DESAHORRO)</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b/>
                <w:bCs/>
                <w:color w:val="000000"/>
                <w:sz w:val="20"/>
                <w:szCs w:val="20"/>
              </w:rPr>
            </w:pPr>
            <w:r w:rsidRPr="000023C6">
              <w:rPr>
                <w:rFonts w:ascii="Barlow" w:hAnsi="Barlow" w:cs="Calibri"/>
                <w:b/>
                <w:bCs/>
                <w:color w:val="000000"/>
                <w:sz w:val="20"/>
                <w:szCs w:val="20"/>
              </w:rPr>
              <w:t xml:space="preserve">3,432,454.13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u w:val="single"/>
              </w:rPr>
            </w:pPr>
            <w:r w:rsidRPr="000023C6">
              <w:rPr>
                <w:rFonts w:ascii="Barlow" w:hAnsi="Barlow" w:cs="Calibri"/>
                <w:color w:val="000000"/>
                <w:sz w:val="20"/>
                <w:szCs w:val="20"/>
                <w:u w:val="single"/>
              </w:rPr>
              <w:t>RESULTADOS DE EJERCICIOS ANTERIORES</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b/>
                <w:bCs/>
                <w:color w:val="000000"/>
                <w:sz w:val="20"/>
                <w:szCs w:val="20"/>
              </w:rPr>
            </w:pPr>
            <w:r w:rsidRPr="000023C6">
              <w:rPr>
                <w:rFonts w:ascii="Barlow" w:hAnsi="Barlow" w:cs="Calibri"/>
                <w:b/>
                <w:bCs/>
                <w:color w:val="FF0000"/>
                <w:sz w:val="20"/>
                <w:szCs w:val="20"/>
              </w:rPr>
              <w:t xml:space="preserve">-2,996,913.51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Ajustes por Bajas de Activo Fijo</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000000"/>
                <w:sz w:val="20"/>
                <w:szCs w:val="20"/>
              </w:rPr>
              <w:t xml:space="preserve">783,159.60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2004</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000000"/>
                <w:sz w:val="20"/>
                <w:szCs w:val="20"/>
              </w:rPr>
              <w:t xml:space="preserve">1,000,111.42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2005</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-891,583.55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2005 (ajuste)</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000000"/>
                <w:sz w:val="20"/>
                <w:szCs w:val="20"/>
              </w:rPr>
              <w:t xml:space="preserve">35,892.22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2006</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000000"/>
                <w:sz w:val="20"/>
                <w:szCs w:val="20"/>
              </w:rPr>
              <w:t xml:space="preserve">1,643,166.08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2007</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-178,052.39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2008</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-834,665.63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2009</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-185,068.33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Ajuste por Depreciaciones 2005-2009</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-1,822,880.47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2010</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-825,507.75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2011</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-665,023.79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2012</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000000"/>
                <w:sz w:val="20"/>
                <w:szCs w:val="20"/>
              </w:rPr>
              <w:t xml:space="preserve">557,460.02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2013</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-297,814.61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2014</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000000"/>
                <w:sz w:val="20"/>
                <w:szCs w:val="20"/>
              </w:rPr>
              <w:t xml:space="preserve">781,765.08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Ajuste por Cancelación de Cuentas por Cobrar</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-26,193.24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2015</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-1,035,684.22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2016</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-53,412.32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2017</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-799,646.72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2018</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FF0000"/>
                <w:sz w:val="20"/>
                <w:szCs w:val="20"/>
              </w:rPr>
              <w:t xml:space="preserve">-630,605.20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2019</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000000"/>
                <w:sz w:val="20"/>
                <w:szCs w:val="20"/>
              </w:rPr>
              <w:t xml:space="preserve">410,462.08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Resultado del Ejercicio 2020</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000000"/>
                <w:sz w:val="20"/>
                <w:szCs w:val="20"/>
              </w:rPr>
              <w:t xml:space="preserve">37,208.21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u w:val="single"/>
              </w:rPr>
            </w:pPr>
            <w:r w:rsidRPr="000023C6">
              <w:rPr>
                <w:rFonts w:ascii="Barlow" w:hAnsi="Barlow" w:cs="Calibri"/>
                <w:color w:val="000000"/>
                <w:sz w:val="20"/>
                <w:szCs w:val="20"/>
                <w:u w:val="single"/>
              </w:rPr>
              <w:lastRenderedPageBreak/>
              <w:t>RECTIFICACIONES DE RESULTADOS DE EJERCICIOS ANTERIORES</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b/>
                <w:bCs/>
                <w:color w:val="000000"/>
                <w:sz w:val="20"/>
                <w:szCs w:val="20"/>
              </w:rPr>
            </w:pPr>
            <w:r w:rsidRPr="000023C6">
              <w:rPr>
                <w:rFonts w:ascii="Barlow" w:hAnsi="Barlow" w:cs="Calibri"/>
                <w:b/>
                <w:bCs/>
                <w:color w:val="000000"/>
                <w:sz w:val="20"/>
                <w:szCs w:val="20"/>
              </w:rPr>
              <w:t xml:space="preserve">199,366.71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CAMBIOS EN POLÍTICAS CONTABLES</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000000"/>
                <w:sz w:val="20"/>
                <w:szCs w:val="20"/>
              </w:rPr>
              <w:t xml:space="preserve">11,714.77 </w:t>
            </w:r>
          </w:p>
        </w:tc>
      </w:tr>
      <w:tr w:rsidR="00B51C3B" w:rsidRPr="000023C6" w:rsidTr="000023C6">
        <w:trPr>
          <w:trHeight w:val="300"/>
          <w:jc w:val="center"/>
        </w:trPr>
        <w:tc>
          <w:tcPr>
            <w:tcW w:w="699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CAMBIOS POR ERRORES CONTABLES</w:t>
            </w:r>
          </w:p>
        </w:tc>
        <w:tc>
          <w:tcPr>
            <w:tcW w:w="19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rPr>
                <w:rFonts w:ascii="Barlow" w:hAnsi="Barlow" w:cs="Calibri"/>
                <w:color w:val="000000"/>
                <w:sz w:val="20"/>
                <w:szCs w:val="20"/>
              </w:rPr>
            </w:pPr>
            <w:r w:rsidRPr="000023C6">
              <w:rPr>
                <w:rFonts w:ascii="Barlow" w:hAnsi="Barlow" w:cs="Calibri"/>
                <w:color w:val="000000"/>
                <w:sz w:val="20"/>
                <w:szCs w:val="20"/>
              </w:rPr>
              <w:t> </w:t>
            </w:r>
          </w:p>
        </w:tc>
        <w:tc>
          <w:tcPr>
            <w:tcW w:w="1876" w:type="dxa"/>
            <w:tcBorders>
              <w:top w:val="nil"/>
              <w:left w:val="nil"/>
              <w:bottom w:val="nil"/>
              <w:right w:val="nil"/>
            </w:tcBorders>
            <w:shd w:val="clear" w:color="000000" w:fill="FFFFFF"/>
            <w:noWrap/>
            <w:vAlign w:val="bottom"/>
            <w:hideMark/>
          </w:tcPr>
          <w:p w:rsidR="00B51C3B" w:rsidRPr="000023C6" w:rsidRDefault="00B51C3B" w:rsidP="00B51C3B">
            <w:pPr>
              <w:spacing w:after="0" w:line="240" w:lineRule="auto"/>
              <w:jc w:val="right"/>
              <w:rPr>
                <w:rFonts w:ascii="Barlow" w:hAnsi="Barlow" w:cs="Calibri"/>
                <w:color w:val="000000"/>
                <w:sz w:val="20"/>
                <w:szCs w:val="20"/>
              </w:rPr>
            </w:pPr>
            <w:r w:rsidRPr="000023C6">
              <w:rPr>
                <w:rFonts w:ascii="Barlow" w:hAnsi="Barlow" w:cs="Calibri"/>
                <w:color w:val="000000"/>
                <w:sz w:val="20"/>
                <w:szCs w:val="20"/>
              </w:rPr>
              <w:t xml:space="preserve">187,651.94 </w:t>
            </w:r>
          </w:p>
        </w:tc>
      </w:tr>
    </w:tbl>
    <w:p w:rsidR="00354B00" w:rsidRPr="000023C6" w:rsidRDefault="00354B00" w:rsidP="00354B00">
      <w:pPr>
        <w:pStyle w:val="Prrafodelista"/>
        <w:tabs>
          <w:tab w:val="left" w:pos="284"/>
        </w:tabs>
        <w:spacing w:after="0" w:line="240" w:lineRule="auto"/>
        <w:ind w:left="0"/>
        <w:rPr>
          <w:rFonts w:ascii="Barlow" w:hAnsi="Barlow" w:cs="Calibri"/>
          <w:sz w:val="20"/>
          <w:szCs w:val="20"/>
        </w:rPr>
      </w:pPr>
    </w:p>
    <w:p w:rsidR="004B5A5C" w:rsidRPr="000023C6" w:rsidRDefault="004B5A5C" w:rsidP="00354B00">
      <w:pPr>
        <w:pStyle w:val="Prrafodelista"/>
        <w:tabs>
          <w:tab w:val="left" w:pos="284"/>
        </w:tabs>
        <w:spacing w:after="0" w:line="240" w:lineRule="auto"/>
        <w:ind w:left="0"/>
        <w:rPr>
          <w:rFonts w:ascii="Barlow" w:hAnsi="Barlow" w:cs="Calibri"/>
          <w:sz w:val="20"/>
          <w:szCs w:val="20"/>
        </w:rPr>
      </w:pPr>
    </w:p>
    <w:p w:rsidR="004B5A5C" w:rsidRPr="000023C6" w:rsidRDefault="004B5A5C" w:rsidP="00354B00">
      <w:pPr>
        <w:pStyle w:val="Prrafodelista"/>
        <w:tabs>
          <w:tab w:val="left" w:pos="284"/>
        </w:tabs>
        <w:spacing w:after="0" w:line="240" w:lineRule="auto"/>
        <w:ind w:left="0"/>
        <w:rPr>
          <w:rFonts w:ascii="Barlow" w:hAnsi="Barlow" w:cs="Calibri"/>
          <w:sz w:val="20"/>
          <w:szCs w:val="20"/>
        </w:rPr>
      </w:pPr>
    </w:p>
    <w:p w:rsidR="00354B00" w:rsidRPr="000023C6" w:rsidRDefault="00354B00" w:rsidP="00354B00">
      <w:pPr>
        <w:pStyle w:val="Prrafodelista"/>
        <w:tabs>
          <w:tab w:val="left" w:pos="284"/>
        </w:tabs>
        <w:spacing w:after="0" w:line="240" w:lineRule="auto"/>
        <w:ind w:left="0"/>
        <w:jc w:val="both"/>
        <w:rPr>
          <w:rFonts w:ascii="Barlow" w:hAnsi="Barlow" w:cs="Calibri"/>
          <w:bCs/>
          <w:color w:val="000000"/>
          <w:sz w:val="20"/>
          <w:szCs w:val="20"/>
        </w:rPr>
      </w:pPr>
      <w:r w:rsidRPr="000023C6">
        <w:rPr>
          <w:rFonts w:ascii="Barlow" w:hAnsi="Barlow" w:cs="Calibri"/>
          <w:bCs/>
          <w:color w:val="000000"/>
          <w:sz w:val="20"/>
          <w:szCs w:val="20"/>
        </w:rPr>
        <w:t>A partir del ejercicio 2012 y en apego a los modelos de asientos, al plan de cuentas, y a la matriz de egresos emitidos por el CONAC, la ESAY dejó de registrar las compras de activo fijo como un gasto contable. Se dejó de utilizar el doble asiento contable para las compras de activo fijo (activo fijo vs bancos; gastos por equipamiento vs patrimonio contribuido) quedando un saldo en la cuenta de patrimonio contribuido que representa el total de compras de activo fijo efectuadas desde el inicio de operaciones de la escuela en 2005 y hasta el 31 de diciembre de 2011. Como política contable se ha determinado mantener el saldo en la cuenta de patrimonio contribuido en tanto los bienes incluidos en ese rubro no sean dados de baja y el CONAC emita alguna disposición al respecto.</w:t>
      </w:r>
    </w:p>
    <w:p w:rsidR="00C323B4" w:rsidRPr="000023C6" w:rsidRDefault="00C323B4" w:rsidP="000023C6">
      <w:pPr>
        <w:widowControl w:val="0"/>
        <w:autoSpaceDE w:val="0"/>
        <w:autoSpaceDN w:val="0"/>
        <w:adjustRightInd w:val="0"/>
        <w:spacing w:before="26" w:after="0" w:line="240" w:lineRule="auto"/>
        <w:ind w:right="-20"/>
        <w:rPr>
          <w:rFonts w:ascii="Barlow" w:hAnsi="Barlow" w:cs="Calibri"/>
          <w:bCs/>
          <w:color w:val="000000"/>
          <w:sz w:val="20"/>
          <w:szCs w:val="20"/>
        </w:rPr>
      </w:pPr>
    </w:p>
    <w:p w:rsidR="00152154" w:rsidRPr="000023C6" w:rsidRDefault="002856D1" w:rsidP="00C323B4">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023C6">
        <w:rPr>
          <w:rFonts w:ascii="Barlow" w:hAnsi="Barlow" w:cs="Calibri"/>
          <w:b/>
          <w:bCs/>
          <w:color w:val="000000"/>
          <w:sz w:val="20"/>
          <w:szCs w:val="20"/>
        </w:rPr>
        <w:t xml:space="preserve">IV)  </w:t>
      </w:r>
      <w:r w:rsidR="00E75E99" w:rsidRPr="000023C6">
        <w:rPr>
          <w:rFonts w:ascii="Barlow" w:hAnsi="Barlow" w:cs="Calibri"/>
          <w:b/>
          <w:bCs/>
          <w:color w:val="000000"/>
          <w:sz w:val="20"/>
          <w:szCs w:val="20"/>
        </w:rPr>
        <w:t>NOTAS AL ESTADO DE FLUJOS DE EFECTIVO</w:t>
      </w:r>
    </w:p>
    <w:tbl>
      <w:tblPr>
        <w:tblW w:w="22156" w:type="dxa"/>
        <w:tblInd w:w="70" w:type="dxa"/>
        <w:tblCellMar>
          <w:left w:w="70" w:type="dxa"/>
          <w:right w:w="70" w:type="dxa"/>
        </w:tblCellMar>
        <w:tblLook w:val="04A0" w:firstRow="1" w:lastRow="0" w:firstColumn="1" w:lastColumn="0" w:noHBand="0" w:noVBand="1"/>
      </w:tblPr>
      <w:tblGrid>
        <w:gridCol w:w="13608"/>
        <w:gridCol w:w="2696"/>
        <w:gridCol w:w="2752"/>
        <w:gridCol w:w="3100"/>
      </w:tblGrid>
      <w:tr w:rsidR="00F0292E" w:rsidRPr="000023C6" w:rsidTr="00635309">
        <w:trPr>
          <w:trHeight w:val="300"/>
        </w:trPr>
        <w:tc>
          <w:tcPr>
            <w:tcW w:w="13608"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b/>
                <w:bCs/>
                <w:color w:val="000000"/>
                <w:sz w:val="20"/>
                <w:szCs w:val="20"/>
                <w:lang w:val="es-ES" w:eastAsia="es-ES"/>
              </w:rPr>
            </w:pPr>
          </w:p>
        </w:tc>
        <w:tc>
          <w:tcPr>
            <w:tcW w:w="2696"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color w:val="000000"/>
                <w:sz w:val="20"/>
                <w:szCs w:val="20"/>
                <w:lang w:val="es-ES" w:eastAsia="es-ES"/>
              </w:rPr>
            </w:pPr>
          </w:p>
        </w:tc>
        <w:tc>
          <w:tcPr>
            <w:tcW w:w="2752"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color w:val="000000"/>
                <w:sz w:val="20"/>
                <w:szCs w:val="20"/>
                <w:lang w:val="es-ES" w:eastAsia="es-ES"/>
              </w:rPr>
            </w:pPr>
          </w:p>
        </w:tc>
        <w:tc>
          <w:tcPr>
            <w:tcW w:w="3100"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b/>
                <w:bCs/>
                <w:color w:val="000000"/>
                <w:sz w:val="20"/>
                <w:szCs w:val="20"/>
                <w:lang w:val="es-ES" w:eastAsia="es-ES"/>
              </w:rPr>
            </w:pPr>
          </w:p>
        </w:tc>
      </w:tr>
      <w:tr w:rsidR="00F0292E" w:rsidRPr="000023C6" w:rsidTr="00635309">
        <w:trPr>
          <w:trHeight w:val="300"/>
        </w:trPr>
        <w:tc>
          <w:tcPr>
            <w:tcW w:w="13608" w:type="dxa"/>
            <w:tcBorders>
              <w:top w:val="nil"/>
              <w:left w:val="nil"/>
              <w:bottom w:val="nil"/>
              <w:right w:val="nil"/>
            </w:tcBorders>
            <w:shd w:val="clear" w:color="000000" w:fill="FFFFFF"/>
            <w:noWrap/>
            <w:vAlign w:val="bottom"/>
            <w:hideMark/>
          </w:tcPr>
          <w:p w:rsidR="00E75E99" w:rsidRPr="000023C6" w:rsidRDefault="00E75E99" w:rsidP="00E75E99">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023C6">
              <w:rPr>
                <w:rFonts w:ascii="Barlow" w:hAnsi="Barlow" w:cs="Calibri"/>
                <w:b/>
                <w:bCs/>
                <w:color w:val="000000"/>
                <w:sz w:val="20"/>
                <w:szCs w:val="20"/>
              </w:rPr>
              <w:t>Efectivo y Equivalentes</w:t>
            </w:r>
          </w:p>
          <w:p w:rsidR="00E75E99" w:rsidRPr="000023C6" w:rsidRDefault="00E75E99" w:rsidP="00E75E99">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E75E99" w:rsidRPr="000023C6" w:rsidRDefault="002856D1" w:rsidP="00E75E99">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Cs/>
                <w:color w:val="000000"/>
                <w:sz w:val="20"/>
                <w:szCs w:val="20"/>
              </w:rPr>
              <w:t xml:space="preserve">1. </w:t>
            </w:r>
            <w:r w:rsidR="00E75E99" w:rsidRPr="000023C6">
              <w:rPr>
                <w:rFonts w:ascii="Barlow" w:hAnsi="Barlow" w:cs="Calibri"/>
                <w:bCs/>
                <w:color w:val="000000"/>
                <w:sz w:val="20"/>
                <w:szCs w:val="20"/>
              </w:rPr>
              <w:t>El análisis de los saldos inicial y final que figuran en la última parte del</w:t>
            </w:r>
            <w:r w:rsidR="00635309" w:rsidRPr="000023C6">
              <w:rPr>
                <w:rFonts w:ascii="Barlow" w:hAnsi="Barlow" w:cs="Calibri"/>
                <w:bCs/>
                <w:color w:val="000000"/>
                <w:sz w:val="20"/>
                <w:szCs w:val="20"/>
              </w:rPr>
              <w:t xml:space="preserve"> </w:t>
            </w:r>
            <w:r w:rsidR="00E75E99" w:rsidRPr="000023C6">
              <w:rPr>
                <w:rFonts w:ascii="Barlow" w:hAnsi="Barlow" w:cs="Calibri"/>
                <w:bCs/>
                <w:color w:val="000000"/>
                <w:sz w:val="20"/>
                <w:szCs w:val="20"/>
              </w:rPr>
              <w:t>Estado de Flujo de Efectivo en la cuenta de efectivo y equivalentes es el siguiente:</w:t>
            </w:r>
          </w:p>
          <w:p w:rsidR="000B322D" w:rsidRPr="000023C6" w:rsidRDefault="000B322D" w:rsidP="00E75E99">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F53DF" w:rsidRPr="000023C6" w:rsidRDefault="001F53DF" w:rsidP="00E75E99">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F53DF" w:rsidRPr="000023C6" w:rsidRDefault="001F53DF" w:rsidP="00E75E99">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8728D7" w:rsidRDefault="008D4F91" w:rsidP="005970EC">
            <w:pPr>
              <w:spacing w:after="0" w:line="240" w:lineRule="auto"/>
              <w:jc w:val="center"/>
              <w:rPr>
                <w:rFonts w:ascii="Barlow" w:hAnsi="Barlow" w:cs="Calibri"/>
                <w:b/>
                <w:bCs/>
                <w:color w:val="000000"/>
                <w:sz w:val="20"/>
                <w:szCs w:val="20"/>
                <w:lang w:val="es-ES" w:eastAsia="es-ES"/>
              </w:rPr>
            </w:pPr>
            <w:r w:rsidRPr="000023C6">
              <w:rPr>
                <w:rFonts w:ascii="Barlow" w:hAnsi="Barlow" w:cs="Calibri"/>
                <w:b/>
                <w:bCs/>
                <w:noProof/>
                <w:color w:val="000000"/>
                <w:sz w:val="20"/>
                <w:szCs w:val="20"/>
              </w:rPr>
              <w:drawing>
                <wp:inline distT="0" distB="0" distL="0" distR="0">
                  <wp:extent cx="6858000" cy="962025"/>
                  <wp:effectExtent l="1905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srcRect/>
                          <a:stretch>
                            <a:fillRect/>
                          </a:stretch>
                        </pic:blipFill>
                        <pic:spPr bwMode="auto">
                          <a:xfrm>
                            <a:off x="0" y="0"/>
                            <a:ext cx="6858000" cy="962025"/>
                          </a:xfrm>
                          <a:prstGeom prst="rect">
                            <a:avLst/>
                          </a:prstGeom>
                          <a:noFill/>
                          <a:ln w="9525">
                            <a:noFill/>
                            <a:miter lim="800000"/>
                            <a:headEnd/>
                            <a:tailEnd/>
                          </a:ln>
                        </pic:spPr>
                      </pic:pic>
                    </a:graphicData>
                  </a:graphic>
                </wp:inline>
              </w:drawing>
            </w:r>
          </w:p>
          <w:p w:rsidR="000023C6" w:rsidRDefault="000023C6" w:rsidP="005970EC">
            <w:pPr>
              <w:spacing w:after="0" w:line="240" w:lineRule="auto"/>
              <w:jc w:val="center"/>
              <w:rPr>
                <w:rFonts w:ascii="Barlow" w:hAnsi="Barlow" w:cs="Calibri"/>
                <w:b/>
                <w:bCs/>
                <w:color w:val="000000"/>
                <w:sz w:val="20"/>
                <w:szCs w:val="20"/>
                <w:lang w:val="es-ES" w:eastAsia="es-ES"/>
              </w:rPr>
            </w:pPr>
          </w:p>
          <w:p w:rsidR="000023C6" w:rsidRPr="000023C6" w:rsidRDefault="000023C6" w:rsidP="005970EC">
            <w:pPr>
              <w:spacing w:after="0" w:line="240" w:lineRule="auto"/>
              <w:jc w:val="center"/>
              <w:rPr>
                <w:rFonts w:ascii="Barlow" w:hAnsi="Barlow" w:cs="Calibri"/>
                <w:b/>
                <w:bCs/>
                <w:color w:val="000000"/>
                <w:sz w:val="20"/>
                <w:szCs w:val="20"/>
                <w:lang w:val="es-ES" w:eastAsia="es-ES"/>
              </w:rPr>
            </w:pPr>
          </w:p>
          <w:p w:rsidR="008728D7" w:rsidRPr="000023C6" w:rsidRDefault="008728D7" w:rsidP="00D6143A">
            <w:pPr>
              <w:spacing w:after="0" w:line="240" w:lineRule="auto"/>
              <w:rPr>
                <w:rFonts w:ascii="Barlow" w:hAnsi="Barlow" w:cs="Calibri"/>
                <w:b/>
                <w:bCs/>
                <w:color w:val="000000"/>
                <w:sz w:val="20"/>
                <w:szCs w:val="20"/>
                <w:lang w:val="es-ES" w:eastAsia="es-ES"/>
              </w:rPr>
            </w:pPr>
          </w:p>
        </w:tc>
        <w:tc>
          <w:tcPr>
            <w:tcW w:w="2696" w:type="dxa"/>
            <w:tcBorders>
              <w:top w:val="nil"/>
              <w:left w:val="nil"/>
              <w:bottom w:val="nil"/>
              <w:right w:val="nil"/>
            </w:tcBorders>
            <w:shd w:val="clear" w:color="000000" w:fill="FFFFFF"/>
            <w:noWrap/>
            <w:vAlign w:val="bottom"/>
            <w:hideMark/>
          </w:tcPr>
          <w:p w:rsidR="00F0292E" w:rsidRPr="000023C6" w:rsidRDefault="00F0292E" w:rsidP="00635309">
            <w:pPr>
              <w:spacing w:after="0" w:line="240" w:lineRule="auto"/>
              <w:ind w:left="6512" w:right="-4806" w:hanging="1692"/>
              <w:rPr>
                <w:rFonts w:ascii="Barlow" w:hAnsi="Barlow" w:cs="Calibri"/>
                <w:color w:val="000000"/>
                <w:sz w:val="20"/>
                <w:szCs w:val="20"/>
                <w:lang w:val="es-ES" w:eastAsia="es-ES"/>
              </w:rPr>
            </w:pPr>
          </w:p>
        </w:tc>
        <w:tc>
          <w:tcPr>
            <w:tcW w:w="2752"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color w:val="000000"/>
                <w:sz w:val="20"/>
                <w:szCs w:val="20"/>
                <w:lang w:val="es-ES" w:eastAsia="es-ES"/>
              </w:rPr>
            </w:pPr>
          </w:p>
        </w:tc>
        <w:tc>
          <w:tcPr>
            <w:tcW w:w="3100" w:type="dxa"/>
            <w:tcBorders>
              <w:top w:val="nil"/>
              <w:left w:val="nil"/>
              <w:bottom w:val="nil"/>
              <w:right w:val="nil"/>
            </w:tcBorders>
            <w:shd w:val="clear" w:color="000000" w:fill="FFFFFF"/>
            <w:noWrap/>
            <w:vAlign w:val="bottom"/>
            <w:hideMark/>
          </w:tcPr>
          <w:p w:rsidR="00F0292E" w:rsidRPr="000023C6" w:rsidRDefault="00F0292E" w:rsidP="00F76870">
            <w:pPr>
              <w:spacing w:after="0" w:line="240" w:lineRule="auto"/>
              <w:rPr>
                <w:rFonts w:ascii="Barlow" w:hAnsi="Barlow" w:cs="Calibri"/>
                <w:b/>
                <w:bCs/>
                <w:color w:val="000000"/>
                <w:sz w:val="20"/>
                <w:szCs w:val="20"/>
                <w:lang w:val="es-ES" w:eastAsia="es-ES"/>
              </w:rPr>
            </w:pPr>
          </w:p>
        </w:tc>
      </w:tr>
    </w:tbl>
    <w:p w:rsidR="00AB64D8" w:rsidRPr="000023C6" w:rsidRDefault="002856D1" w:rsidP="00AB64D8">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Cs/>
          <w:color w:val="000000"/>
          <w:sz w:val="20"/>
          <w:szCs w:val="20"/>
        </w:rPr>
        <w:lastRenderedPageBreak/>
        <w:t xml:space="preserve">2. </w:t>
      </w:r>
      <w:r w:rsidR="00AB64D8" w:rsidRPr="000023C6">
        <w:rPr>
          <w:rFonts w:ascii="Barlow" w:hAnsi="Barlow" w:cs="Calibri"/>
          <w:bCs/>
          <w:color w:val="000000"/>
          <w:sz w:val="20"/>
          <w:szCs w:val="20"/>
        </w:rPr>
        <w:t xml:space="preserve">A continuación se detallan las </w:t>
      </w:r>
      <w:r w:rsidR="000023C6" w:rsidRPr="000023C6">
        <w:rPr>
          <w:rFonts w:ascii="Barlow" w:hAnsi="Barlow" w:cs="Calibri"/>
          <w:bCs/>
          <w:color w:val="000000"/>
          <w:sz w:val="20"/>
          <w:szCs w:val="20"/>
        </w:rPr>
        <w:t>adquisiciones de</w:t>
      </w:r>
      <w:r w:rsidR="00AB64D8" w:rsidRPr="000023C6">
        <w:rPr>
          <w:rFonts w:ascii="Barlow" w:hAnsi="Barlow" w:cs="Calibri"/>
          <w:bCs/>
          <w:color w:val="000000"/>
          <w:sz w:val="20"/>
          <w:szCs w:val="20"/>
        </w:rPr>
        <w:t xml:space="preserve"> bienes muebles, inmuebles e intangibles </w:t>
      </w:r>
      <w:r w:rsidR="00335AEB" w:rsidRPr="000023C6">
        <w:rPr>
          <w:rFonts w:ascii="Barlow" w:hAnsi="Barlow" w:cs="Calibri"/>
          <w:bCs/>
          <w:color w:val="000000"/>
          <w:sz w:val="20"/>
          <w:szCs w:val="20"/>
        </w:rPr>
        <w:t>del</w:t>
      </w:r>
      <w:r w:rsidR="00AB64D8" w:rsidRPr="000023C6">
        <w:rPr>
          <w:rFonts w:ascii="Barlow" w:hAnsi="Barlow" w:cs="Calibri"/>
          <w:bCs/>
          <w:color w:val="000000"/>
          <w:sz w:val="20"/>
          <w:szCs w:val="20"/>
        </w:rPr>
        <w:t xml:space="preserve"> periodo</w:t>
      </w:r>
      <w:r w:rsidR="00335AEB" w:rsidRPr="000023C6">
        <w:rPr>
          <w:rFonts w:ascii="Barlow" w:hAnsi="Barlow" w:cs="Calibri"/>
          <w:bCs/>
          <w:color w:val="000000"/>
          <w:sz w:val="20"/>
          <w:szCs w:val="20"/>
        </w:rPr>
        <w:t>.</w:t>
      </w:r>
    </w:p>
    <w:p w:rsidR="002856D1" w:rsidRPr="000023C6" w:rsidRDefault="002856D1" w:rsidP="00961295">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961295" w:rsidRPr="000023C6" w:rsidRDefault="00961295" w:rsidP="00961295">
      <w:pPr>
        <w:widowControl w:val="0"/>
        <w:autoSpaceDE w:val="0"/>
        <w:autoSpaceDN w:val="0"/>
        <w:adjustRightInd w:val="0"/>
        <w:spacing w:before="26" w:after="0" w:line="240" w:lineRule="auto"/>
        <w:ind w:left="113" w:right="-20"/>
        <w:rPr>
          <w:rFonts w:ascii="Barlow" w:hAnsi="Barlow" w:cs="Calibri"/>
          <w:b/>
          <w:bCs/>
          <w:color w:val="000000"/>
          <w:sz w:val="20"/>
          <w:szCs w:val="20"/>
        </w:rPr>
      </w:pPr>
    </w:p>
    <w:tbl>
      <w:tblPr>
        <w:tblW w:w="14460" w:type="dxa"/>
        <w:jc w:val="center"/>
        <w:tblCellMar>
          <w:left w:w="70" w:type="dxa"/>
          <w:right w:w="70" w:type="dxa"/>
        </w:tblCellMar>
        <w:tblLook w:val="04A0" w:firstRow="1" w:lastRow="0" w:firstColumn="1" w:lastColumn="0" w:noHBand="0" w:noVBand="1"/>
      </w:tblPr>
      <w:tblGrid>
        <w:gridCol w:w="6980"/>
        <w:gridCol w:w="1960"/>
        <w:gridCol w:w="1860"/>
        <w:gridCol w:w="2040"/>
        <w:gridCol w:w="1620"/>
      </w:tblGrid>
      <w:tr w:rsidR="006F0869" w:rsidRPr="000023C6" w:rsidTr="000023C6">
        <w:trPr>
          <w:trHeight w:val="1020"/>
          <w:jc w:val="center"/>
        </w:trPr>
        <w:tc>
          <w:tcPr>
            <w:tcW w:w="6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Cuentas</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Monto</w:t>
            </w:r>
          </w:p>
        </w:tc>
        <w:tc>
          <w:tcPr>
            <w:tcW w:w="1860" w:type="dxa"/>
            <w:tcBorders>
              <w:top w:val="single" w:sz="4" w:space="0" w:color="auto"/>
              <w:left w:val="nil"/>
              <w:bottom w:val="single" w:sz="4" w:space="0" w:color="auto"/>
              <w:right w:val="single" w:sz="4" w:space="0" w:color="auto"/>
            </w:tcBorders>
            <w:shd w:val="clear" w:color="000000" w:fill="FFFFFF"/>
            <w:vAlign w:val="center"/>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Porcentaje adquirido mediante subsidios de capital del sector central</w:t>
            </w:r>
          </w:p>
        </w:tc>
        <w:tc>
          <w:tcPr>
            <w:tcW w:w="2040" w:type="dxa"/>
            <w:tcBorders>
              <w:top w:val="single" w:sz="4" w:space="0" w:color="auto"/>
              <w:left w:val="nil"/>
              <w:bottom w:val="single" w:sz="4" w:space="0" w:color="auto"/>
              <w:right w:val="single" w:sz="4" w:space="0" w:color="auto"/>
            </w:tcBorders>
            <w:shd w:val="clear" w:color="000000" w:fill="FFFFFF"/>
            <w:vAlign w:val="center"/>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Porcentaje adquirido mediante ingresos de gestión</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Importe pagado durante el período</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BIENES MUEBLES</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MOBILIARIO Y EQUIPO DE ADMINISTRACIÓN</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Muebles de oficina y estantería </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Equipo de cómputo y de tecnologías de la información</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Otros mobiliarios y equipos de administración</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MOBILIARIO Y EQUIPO EDUCACIONAL Y RECREATIVO</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Equipos y aparatos audiovisuales </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Cámaras Fotográficas y de video </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Otro mobiliario y equipo educacional y recreativo </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MAQUINARIA, OTROS EQUIPOS Y HERRAMIENTAS</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Otros Equipos </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Maquinaria y equipo industrial </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Herramientas y Máquinas-Herramienta </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 xml:space="preserve">Otros Equipos </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ACTIVOS INTANGIBLES</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b/>
                <w:bCs/>
                <w:color w:val="000000"/>
                <w:sz w:val="20"/>
                <w:szCs w:val="20"/>
              </w:rPr>
            </w:pPr>
            <w:r w:rsidRPr="000023C6">
              <w:rPr>
                <w:rFonts w:ascii="Barlow" w:hAnsi="Barlow" w:cs="Calibri"/>
                <w:b/>
                <w:bCs/>
                <w:color w:val="000000"/>
                <w:sz w:val="20"/>
                <w:szCs w:val="20"/>
              </w:rPr>
              <w:t>SOFTWARE</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b/>
                <w:bCs/>
                <w:color w:val="000000"/>
                <w:sz w:val="20"/>
                <w:szCs w:val="20"/>
              </w:rPr>
            </w:pPr>
            <w:r w:rsidRPr="000023C6">
              <w:rPr>
                <w:rFonts w:ascii="Barlow" w:hAnsi="Barlow" w:cs="Calibri"/>
                <w:b/>
                <w:bCs/>
                <w:color w:val="000000"/>
                <w:sz w:val="20"/>
                <w:szCs w:val="20"/>
              </w:rPr>
              <w:t>$0.00</w:t>
            </w:r>
          </w:p>
        </w:tc>
      </w:tr>
      <w:tr w:rsidR="006F0869" w:rsidRPr="000023C6" w:rsidTr="000023C6">
        <w:trPr>
          <w:trHeight w:val="300"/>
          <w:jc w:val="center"/>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rPr>
                <w:rFonts w:ascii="Barlow" w:hAnsi="Barlow" w:cs="Calibri"/>
                <w:color w:val="000000"/>
                <w:sz w:val="20"/>
                <w:szCs w:val="20"/>
              </w:rPr>
            </w:pPr>
            <w:r w:rsidRPr="000023C6">
              <w:rPr>
                <w:rFonts w:ascii="Barlow" w:hAnsi="Barlow" w:cs="Calibri"/>
                <w:color w:val="000000"/>
                <w:sz w:val="20"/>
                <w:szCs w:val="20"/>
              </w:rPr>
              <w:t>Software</w:t>
            </w:r>
          </w:p>
        </w:tc>
        <w:tc>
          <w:tcPr>
            <w:tcW w:w="19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86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204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c>
          <w:tcPr>
            <w:tcW w:w="1620" w:type="dxa"/>
            <w:tcBorders>
              <w:top w:val="nil"/>
              <w:left w:val="nil"/>
              <w:bottom w:val="single" w:sz="4" w:space="0" w:color="auto"/>
              <w:right w:val="single" w:sz="4" w:space="0" w:color="auto"/>
            </w:tcBorders>
            <w:shd w:val="clear" w:color="000000" w:fill="FFFFFF"/>
            <w:noWrap/>
            <w:vAlign w:val="bottom"/>
            <w:hideMark/>
          </w:tcPr>
          <w:p w:rsidR="006F0869" w:rsidRPr="000023C6" w:rsidRDefault="006F0869" w:rsidP="006F0869">
            <w:pPr>
              <w:spacing w:after="0" w:line="240" w:lineRule="auto"/>
              <w:jc w:val="center"/>
              <w:rPr>
                <w:rFonts w:ascii="Barlow" w:hAnsi="Barlow" w:cs="Calibri"/>
                <w:color w:val="000000"/>
                <w:sz w:val="20"/>
                <w:szCs w:val="20"/>
              </w:rPr>
            </w:pPr>
            <w:r w:rsidRPr="000023C6">
              <w:rPr>
                <w:rFonts w:ascii="Barlow" w:hAnsi="Barlow" w:cs="Calibri"/>
                <w:color w:val="000000"/>
                <w:sz w:val="20"/>
                <w:szCs w:val="20"/>
              </w:rPr>
              <w:t>$0.00</w:t>
            </w:r>
          </w:p>
        </w:tc>
      </w:tr>
    </w:tbl>
    <w:p w:rsidR="00C27039" w:rsidRPr="000023C6" w:rsidRDefault="00C27039" w:rsidP="00321EE7">
      <w:pPr>
        <w:widowControl w:val="0"/>
        <w:autoSpaceDE w:val="0"/>
        <w:autoSpaceDN w:val="0"/>
        <w:adjustRightInd w:val="0"/>
        <w:spacing w:before="26" w:after="0" w:line="240" w:lineRule="auto"/>
        <w:ind w:right="-20"/>
        <w:rPr>
          <w:rFonts w:ascii="Barlow" w:hAnsi="Barlow" w:cs="Calibri"/>
          <w:b/>
          <w:bCs/>
          <w:color w:val="000000"/>
          <w:sz w:val="20"/>
          <w:szCs w:val="20"/>
        </w:rPr>
      </w:pPr>
    </w:p>
    <w:p w:rsidR="00786185" w:rsidRPr="000023C6" w:rsidRDefault="00786185" w:rsidP="00C323B4">
      <w:pPr>
        <w:widowControl w:val="0"/>
        <w:autoSpaceDE w:val="0"/>
        <w:autoSpaceDN w:val="0"/>
        <w:adjustRightInd w:val="0"/>
        <w:spacing w:before="26" w:after="0" w:line="240" w:lineRule="auto"/>
        <w:ind w:right="-20" w:firstLine="113"/>
        <w:rPr>
          <w:rFonts w:ascii="Barlow" w:hAnsi="Barlow" w:cs="Calibri"/>
          <w:b/>
          <w:bCs/>
          <w:color w:val="000000"/>
          <w:sz w:val="20"/>
          <w:szCs w:val="20"/>
        </w:rPr>
      </w:pPr>
    </w:p>
    <w:tbl>
      <w:tblPr>
        <w:tblW w:w="27508" w:type="dxa"/>
        <w:tblInd w:w="70" w:type="dxa"/>
        <w:tblCellMar>
          <w:left w:w="70" w:type="dxa"/>
          <w:right w:w="70" w:type="dxa"/>
        </w:tblCellMar>
        <w:tblLook w:val="04A0" w:firstRow="1" w:lastRow="0" w:firstColumn="1" w:lastColumn="0" w:noHBand="0" w:noVBand="1"/>
      </w:tblPr>
      <w:tblGrid>
        <w:gridCol w:w="13750"/>
        <w:gridCol w:w="7368"/>
        <w:gridCol w:w="4814"/>
        <w:gridCol w:w="1576"/>
      </w:tblGrid>
      <w:tr w:rsidR="00F0292E" w:rsidRPr="000023C6" w:rsidTr="00335AEB">
        <w:trPr>
          <w:trHeight w:val="345"/>
        </w:trPr>
        <w:tc>
          <w:tcPr>
            <w:tcW w:w="13750" w:type="dxa"/>
            <w:tcBorders>
              <w:top w:val="nil"/>
              <w:left w:val="nil"/>
              <w:bottom w:val="nil"/>
              <w:right w:val="nil"/>
            </w:tcBorders>
            <w:shd w:val="clear" w:color="000000" w:fill="FFFFFF"/>
            <w:noWrap/>
            <w:vAlign w:val="bottom"/>
            <w:hideMark/>
          </w:tcPr>
          <w:p w:rsidR="00335AEB" w:rsidRPr="000023C6" w:rsidRDefault="002856D1" w:rsidP="00335AEB">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Cs/>
                <w:color w:val="000000"/>
                <w:sz w:val="20"/>
                <w:szCs w:val="20"/>
              </w:rPr>
              <w:t xml:space="preserve">3. Se presenta la </w:t>
            </w:r>
            <w:r w:rsidR="00335AEB" w:rsidRPr="000023C6">
              <w:rPr>
                <w:rFonts w:ascii="Barlow" w:hAnsi="Barlow" w:cs="Calibri"/>
                <w:bCs/>
                <w:color w:val="000000"/>
                <w:sz w:val="20"/>
                <w:szCs w:val="20"/>
              </w:rPr>
              <w:t>Conciliación de los Flujos de Efectivo Netos de las Actividades de Operación y la cuenta Ahorro/Desahorro</w:t>
            </w:r>
            <w:r w:rsidR="00786185" w:rsidRPr="000023C6">
              <w:rPr>
                <w:rFonts w:ascii="Barlow" w:hAnsi="Barlow" w:cs="Calibri"/>
                <w:bCs/>
                <w:color w:val="000000"/>
                <w:sz w:val="20"/>
                <w:szCs w:val="20"/>
              </w:rPr>
              <w:t xml:space="preserve"> antes de Rubros Extraordinarios</w:t>
            </w:r>
          </w:p>
          <w:p w:rsidR="00321EE7" w:rsidRPr="000023C6" w:rsidRDefault="00321EE7" w:rsidP="00D6143A">
            <w:pPr>
              <w:spacing w:after="0" w:line="240" w:lineRule="auto"/>
              <w:rPr>
                <w:rFonts w:ascii="Barlow" w:hAnsi="Barlow" w:cs="Calibri"/>
                <w:b/>
                <w:bCs/>
                <w:color w:val="000000"/>
                <w:sz w:val="20"/>
                <w:szCs w:val="20"/>
                <w:lang w:val="es-ES" w:eastAsia="es-ES"/>
              </w:rPr>
            </w:pPr>
          </w:p>
          <w:p w:rsidR="00321EE7" w:rsidRPr="000023C6" w:rsidRDefault="00321EE7" w:rsidP="00D6143A">
            <w:pPr>
              <w:spacing w:after="0" w:line="240" w:lineRule="auto"/>
              <w:rPr>
                <w:rFonts w:ascii="Barlow" w:hAnsi="Barlow" w:cs="Calibri"/>
                <w:b/>
                <w:bCs/>
                <w:color w:val="000000"/>
                <w:sz w:val="20"/>
                <w:szCs w:val="20"/>
                <w:lang w:val="es-ES" w:eastAsia="es-ES"/>
              </w:rPr>
            </w:pPr>
          </w:p>
        </w:tc>
        <w:tc>
          <w:tcPr>
            <w:tcW w:w="7368"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b/>
                <w:bCs/>
                <w:color w:val="000000"/>
                <w:sz w:val="20"/>
                <w:szCs w:val="20"/>
                <w:lang w:val="es-ES" w:eastAsia="es-ES"/>
              </w:rPr>
            </w:pPr>
          </w:p>
        </w:tc>
      </w:tr>
      <w:tr w:rsidR="00F0292E" w:rsidRPr="000023C6" w:rsidTr="00335AEB">
        <w:trPr>
          <w:trHeight w:val="300"/>
        </w:trPr>
        <w:tc>
          <w:tcPr>
            <w:tcW w:w="13750"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b/>
                <w:bCs/>
                <w:color w:val="000000"/>
                <w:sz w:val="20"/>
                <w:szCs w:val="20"/>
                <w:lang w:val="es-ES" w:eastAsia="es-ES"/>
              </w:rPr>
            </w:pPr>
          </w:p>
        </w:tc>
        <w:tc>
          <w:tcPr>
            <w:tcW w:w="7368"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b/>
                <w:bCs/>
                <w:color w:val="000000"/>
                <w:sz w:val="20"/>
                <w:szCs w:val="20"/>
                <w:lang w:val="es-ES" w:eastAsia="es-ES"/>
              </w:rPr>
            </w:pPr>
          </w:p>
        </w:tc>
      </w:tr>
      <w:tr w:rsidR="00F0292E" w:rsidRPr="000023C6" w:rsidTr="00335AEB">
        <w:trPr>
          <w:trHeight w:val="300"/>
        </w:trPr>
        <w:tc>
          <w:tcPr>
            <w:tcW w:w="13750" w:type="dxa"/>
            <w:tcBorders>
              <w:top w:val="nil"/>
              <w:left w:val="nil"/>
              <w:bottom w:val="nil"/>
              <w:right w:val="nil"/>
            </w:tcBorders>
            <w:shd w:val="clear" w:color="000000" w:fill="FFFFFF"/>
            <w:noWrap/>
            <w:vAlign w:val="bottom"/>
            <w:hideMark/>
          </w:tcPr>
          <w:p w:rsidR="00F0292E" w:rsidRPr="000023C6" w:rsidRDefault="008D4F91" w:rsidP="00F87D20">
            <w:pPr>
              <w:spacing w:after="0" w:line="240" w:lineRule="auto"/>
              <w:jc w:val="center"/>
              <w:rPr>
                <w:rFonts w:ascii="Barlow" w:hAnsi="Barlow" w:cs="Calibri"/>
                <w:color w:val="000000"/>
                <w:sz w:val="20"/>
                <w:szCs w:val="20"/>
                <w:lang w:val="es-ES" w:eastAsia="es-ES"/>
              </w:rPr>
            </w:pPr>
            <w:r w:rsidRPr="000023C6">
              <w:rPr>
                <w:rFonts w:ascii="Barlow" w:hAnsi="Barlow" w:cs="Calibri"/>
                <w:noProof/>
                <w:color w:val="000000"/>
                <w:sz w:val="20"/>
                <w:szCs w:val="20"/>
              </w:rPr>
              <w:drawing>
                <wp:inline distT="0" distB="0" distL="0" distR="0">
                  <wp:extent cx="8610600" cy="1800225"/>
                  <wp:effectExtent l="19050" t="0" r="0" b="0"/>
                  <wp:docPr id="2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a:stretch>
                            <a:fillRect/>
                          </a:stretch>
                        </pic:blipFill>
                        <pic:spPr bwMode="auto">
                          <a:xfrm>
                            <a:off x="0" y="0"/>
                            <a:ext cx="8610600" cy="1800225"/>
                          </a:xfrm>
                          <a:prstGeom prst="rect">
                            <a:avLst/>
                          </a:prstGeom>
                          <a:noFill/>
                          <a:ln w="9525">
                            <a:noFill/>
                            <a:miter lim="800000"/>
                            <a:headEnd/>
                            <a:tailEnd/>
                          </a:ln>
                        </pic:spPr>
                      </pic:pic>
                    </a:graphicData>
                  </a:graphic>
                </wp:inline>
              </w:drawing>
            </w:r>
          </w:p>
        </w:tc>
        <w:tc>
          <w:tcPr>
            <w:tcW w:w="7368"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color w:val="000000"/>
                <w:sz w:val="20"/>
                <w:szCs w:val="20"/>
                <w:lang w:val="es-ES" w:eastAsia="es-ES"/>
              </w:rPr>
            </w:pPr>
          </w:p>
          <w:p w:rsidR="00795679" w:rsidRPr="000023C6" w:rsidRDefault="00795679" w:rsidP="00D6143A">
            <w:pPr>
              <w:spacing w:after="0" w:line="240" w:lineRule="auto"/>
              <w:rPr>
                <w:rFonts w:ascii="Barlow" w:hAnsi="Barlow" w:cs="Calibri"/>
                <w:color w:val="000000"/>
                <w:sz w:val="20"/>
                <w:szCs w:val="20"/>
                <w:lang w:val="es-ES" w:eastAsia="es-ES"/>
              </w:rPr>
            </w:pPr>
          </w:p>
          <w:p w:rsidR="00795679" w:rsidRPr="000023C6" w:rsidRDefault="00795679" w:rsidP="00D6143A">
            <w:pPr>
              <w:spacing w:after="0" w:line="240" w:lineRule="auto"/>
              <w:rPr>
                <w:rFonts w:ascii="Barlow" w:hAnsi="Barlow" w:cs="Calibri"/>
                <w:color w:val="000000"/>
                <w:sz w:val="20"/>
                <w:szCs w:val="20"/>
                <w:lang w:val="es-ES" w:eastAsia="es-ES"/>
              </w:rPr>
            </w:pPr>
          </w:p>
          <w:p w:rsidR="00795679" w:rsidRPr="000023C6" w:rsidRDefault="00795679" w:rsidP="00D6143A">
            <w:pPr>
              <w:spacing w:after="0" w:line="240" w:lineRule="auto"/>
              <w:rPr>
                <w:rFonts w:ascii="Barlow" w:hAnsi="Barlow" w:cs="Calibri"/>
                <w:color w:val="000000"/>
                <w:sz w:val="20"/>
                <w:szCs w:val="20"/>
                <w:lang w:val="es-ES" w:eastAsia="es-ES"/>
              </w:rPr>
            </w:pPr>
          </w:p>
          <w:p w:rsidR="00795679" w:rsidRPr="000023C6" w:rsidRDefault="00795679" w:rsidP="00D6143A">
            <w:pPr>
              <w:spacing w:after="0" w:line="240" w:lineRule="auto"/>
              <w:rPr>
                <w:rFonts w:ascii="Barlow" w:hAnsi="Barlow"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0023C6" w:rsidRDefault="00F0292E" w:rsidP="00D6143A">
            <w:pPr>
              <w:spacing w:after="0" w:line="240" w:lineRule="auto"/>
              <w:rPr>
                <w:rFonts w:ascii="Barlow" w:hAnsi="Barlow" w:cs="Calibri"/>
                <w:color w:val="000000"/>
                <w:sz w:val="20"/>
                <w:szCs w:val="20"/>
                <w:lang w:val="es-ES" w:eastAsia="es-ES"/>
              </w:rPr>
            </w:pPr>
          </w:p>
        </w:tc>
      </w:tr>
    </w:tbl>
    <w:p w:rsidR="00A818B2" w:rsidRPr="000023C6" w:rsidRDefault="00A818B2"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EA74D5" w:rsidRPr="000023C6" w:rsidRDefault="00EA74D5"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EA74D5" w:rsidRPr="000023C6" w:rsidRDefault="00EA74D5"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EA74D5" w:rsidRDefault="00EA74D5"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0023C6" w:rsidRDefault="000023C6"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0023C6" w:rsidRDefault="000023C6"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0023C6" w:rsidRDefault="000023C6"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0023C6" w:rsidRDefault="000023C6"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0023C6" w:rsidRDefault="000023C6"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0023C6" w:rsidRDefault="000023C6"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0023C6" w:rsidRDefault="000023C6"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0023C6" w:rsidRPr="000023C6" w:rsidRDefault="000023C6"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A818B2" w:rsidRPr="000023C6" w:rsidRDefault="00A818B2" w:rsidP="00A818B2">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0023C6">
        <w:rPr>
          <w:rFonts w:ascii="Barlow" w:hAnsi="Barlow" w:cs="Calibri"/>
          <w:b/>
          <w:bCs/>
          <w:color w:val="000000"/>
          <w:sz w:val="20"/>
          <w:szCs w:val="20"/>
        </w:rPr>
        <w:lastRenderedPageBreak/>
        <w:t xml:space="preserve">V)  CONCILIACIÓN ENTRE LOS INGRESOS PRESUPUESTARIOS Y CONTABLES, ASÍ COMO ENTRE LOS EGRESOS PRESUPUESTARIOS Y LOS GASTOS CONTABLES </w:t>
      </w:r>
    </w:p>
    <w:p w:rsidR="007C218A" w:rsidRPr="000023C6" w:rsidRDefault="007C218A"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A818B2" w:rsidRPr="000023C6" w:rsidRDefault="00A818B2" w:rsidP="00A818B2">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w:t>
      </w:r>
    </w:p>
    <w:p w:rsidR="00A818B2" w:rsidRPr="000023C6" w:rsidRDefault="00A818B2"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Cs/>
          <w:color w:val="000000"/>
          <w:sz w:val="20"/>
          <w:szCs w:val="20"/>
        </w:rPr>
        <w:t>La conciliación se presenta atendiendo a lo dispuesto por el Acuerdo por el que se emite el formato de conciliación entre los ingresos presupuestarios y contables, así como entre los egresos presupuestarios y los gastos contables, publicado en el Diario Oficial de la Federación el 6 de octubre de 2014, última reforma publicada en el DOF el 27/09/2019, emitido por el Consejo de Armonización Contable, CONAC.</w:t>
      </w:r>
    </w:p>
    <w:p w:rsidR="006F0869" w:rsidRPr="000023C6" w:rsidRDefault="006F0869"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6F0869" w:rsidRPr="000023C6" w:rsidRDefault="006F0869"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D74759" w:rsidRPr="000023C6" w:rsidRDefault="00D74759"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tbl>
      <w:tblPr>
        <w:tblW w:w="9600" w:type="dxa"/>
        <w:jc w:val="center"/>
        <w:tblCellMar>
          <w:left w:w="70" w:type="dxa"/>
          <w:right w:w="70" w:type="dxa"/>
        </w:tblCellMar>
        <w:tblLook w:val="04A0" w:firstRow="1" w:lastRow="0" w:firstColumn="1" w:lastColumn="0" w:noHBand="0" w:noVBand="1"/>
      </w:tblPr>
      <w:tblGrid>
        <w:gridCol w:w="633"/>
        <w:gridCol w:w="6167"/>
        <w:gridCol w:w="730"/>
        <w:gridCol w:w="2070"/>
      </w:tblGrid>
      <w:tr w:rsidR="00830835" w:rsidRPr="000023C6" w:rsidTr="000023C6">
        <w:trPr>
          <w:trHeight w:val="240"/>
          <w:jc w:val="center"/>
        </w:trPr>
        <w:tc>
          <w:tcPr>
            <w:tcW w:w="96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830835" w:rsidRPr="000023C6" w:rsidRDefault="00830835" w:rsidP="00830835">
            <w:pPr>
              <w:spacing w:after="0" w:line="240" w:lineRule="auto"/>
              <w:jc w:val="center"/>
              <w:rPr>
                <w:rFonts w:ascii="Barlow" w:hAnsi="Barlow" w:cs="Arial"/>
                <w:b/>
                <w:bCs/>
                <w:color w:val="000000"/>
                <w:sz w:val="20"/>
                <w:szCs w:val="20"/>
              </w:rPr>
            </w:pPr>
            <w:r w:rsidRPr="000023C6">
              <w:rPr>
                <w:rFonts w:ascii="Barlow" w:hAnsi="Barlow" w:cs="Arial"/>
                <w:b/>
                <w:bCs/>
                <w:color w:val="000000"/>
                <w:sz w:val="20"/>
                <w:szCs w:val="20"/>
              </w:rPr>
              <w:t>Escuela Superior de Artes de Yucatán</w:t>
            </w:r>
          </w:p>
        </w:tc>
      </w:tr>
      <w:tr w:rsidR="00830835" w:rsidRPr="000023C6" w:rsidTr="000023C6">
        <w:trPr>
          <w:trHeight w:val="240"/>
          <w:jc w:val="center"/>
        </w:trPr>
        <w:tc>
          <w:tcPr>
            <w:tcW w:w="9600" w:type="dxa"/>
            <w:gridSpan w:val="4"/>
            <w:tcBorders>
              <w:top w:val="nil"/>
              <w:left w:val="single" w:sz="4" w:space="0" w:color="auto"/>
              <w:bottom w:val="nil"/>
              <w:right w:val="single" w:sz="4" w:space="0" w:color="000000"/>
            </w:tcBorders>
            <w:shd w:val="clear" w:color="000000" w:fill="BFBFBF"/>
            <w:vAlign w:val="center"/>
            <w:hideMark/>
          </w:tcPr>
          <w:p w:rsidR="00830835" w:rsidRPr="000023C6" w:rsidRDefault="00830835" w:rsidP="00830835">
            <w:pPr>
              <w:spacing w:after="0" w:line="240" w:lineRule="auto"/>
              <w:jc w:val="center"/>
              <w:rPr>
                <w:rFonts w:ascii="Barlow" w:hAnsi="Barlow" w:cs="Arial"/>
                <w:b/>
                <w:bCs/>
                <w:color w:val="000000"/>
                <w:sz w:val="20"/>
                <w:szCs w:val="20"/>
              </w:rPr>
            </w:pPr>
            <w:r w:rsidRPr="000023C6">
              <w:rPr>
                <w:rFonts w:ascii="Barlow" w:hAnsi="Barlow" w:cs="Arial"/>
                <w:b/>
                <w:bCs/>
                <w:color w:val="000000"/>
                <w:sz w:val="20"/>
                <w:szCs w:val="20"/>
              </w:rPr>
              <w:t>Conciliación entre los Ingresos Presupuestarios y Contables</w:t>
            </w:r>
          </w:p>
        </w:tc>
      </w:tr>
      <w:tr w:rsidR="00830835" w:rsidRPr="000023C6" w:rsidTr="000023C6">
        <w:trPr>
          <w:trHeight w:val="240"/>
          <w:jc w:val="center"/>
        </w:trPr>
        <w:tc>
          <w:tcPr>
            <w:tcW w:w="9600" w:type="dxa"/>
            <w:gridSpan w:val="4"/>
            <w:tcBorders>
              <w:top w:val="nil"/>
              <w:left w:val="single" w:sz="4" w:space="0" w:color="auto"/>
              <w:bottom w:val="nil"/>
              <w:right w:val="single" w:sz="4" w:space="0" w:color="000000"/>
            </w:tcBorders>
            <w:shd w:val="clear" w:color="000000" w:fill="BFBFBF"/>
            <w:noWrap/>
            <w:vAlign w:val="center"/>
            <w:hideMark/>
          </w:tcPr>
          <w:p w:rsidR="00830835" w:rsidRPr="000023C6" w:rsidRDefault="00830835" w:rsidP="00830835">
            <w:pPr>
              <w:spacing w:after="0" w:line="240" w:lineRule="auto"/>
              <w:jc w:val="center"/>
              <w:rPr>
                <w:rFonts w:ascii="Barlow" w:hAnsi="Barlow" w:cs="Arial"/>
                <w:b/>
                <w:bCs/>
                <w:color w:val="000000"/>
                <w:sz w:val="20"/>
                <w:szCs w:val="20"/>
              </w:rPr>
            </w:pPr>
            <w:r w:rsidRPr="000023C6">
              <w:rPr>
                <w:rFonts w:ascii="Barlow" w:hAnsi="Barlow" w:cs="Arial"/>
                <w:b/>
                <w:bCs/>
                <w:color w:val="000000"/>
                <w:sz w:val="20"/>
                <w:szCs w:val="20"/>
              </w:rPr>
              <w:t>Correspondiente del 1 de Enero al 31 de Marzo de 2021</w:t>
            </w:r>
          </w:p>
        </w:tc>
      </w:tr>
      <w:tr w:rsidR="00830835" w:rsidRPr="000023C6" w:rsidTr="000023C6">
        <w:trPr>
          <w:trHeight w:val="240"/>
          <w:jc w:val="center"/>
        </w:trPr>
        <w:tc>
          <w:tcPr>
            <w:tcW w:w="96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830835" w:rsidRPr="000023C6" w:rsidRDefault="00830835" w:rsidP="00830835">
            <w:pPr>
              <w:spacing w:after="0" w:line="240" w:lineRule="auto"/>
              <w:jc w:val="center"/>
              <w:rPr>
                <w:rFonts w:ascii="Barlow" w:hAnsi="Barlow" w:cs="Arial"/>
                <w:b/>
                <w:bCs/>
                <w:color w:val="000000"/>
                <w:sz w:val="20"/>
                <w:szCs w:val="20"/>
              </w:rPr>
            </w:pPr>
            <w:r w:rsidRPr="000023C6">
              <w:rPr>
                <w:rFonts w:ascii="Barlow" w:hAnsi="Barlow" w:cs="Arial"/>
                <w:b/>
                <w:bCs/>
                <w:color w:val="000000"/>
                <w:sz w:val="20"/>
                <w:szCs w:val="20"/>
              </w:rPr>
              <w:t>(Cifras en pesos)</w:t>
            </w:r>
          </w:p>
        </w:tc>
      </w:tr>
      <w:tr w:rsidR="00830835" w:rsidRPr="000023C6" w:rsidTr="000023C6">
        <w:trPr>
          <w:trHeight w:val="240"/>
          <w:jc w:val="center"/>
        </w:trPr>
        <w:tc>
          <w:tcPr>
            <w:tcW w:w="6800"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830835" w:rsidRPr="000023C6" w:rsidRDefault="00830835" w:rsidP="00830835">
            <w:pPr>
              <w:spacing w:after="0" w:line="240" w:lineRule="auto"/>
              <w:rPr>
                <w:rFonts w:ascii="Barlow" w:hAnsi="Barlow" w:cs="Arial"/>
                <w:b/>
                <w:bCs/>
                <w:color w:val="000000"/>
                <w:sz w:val="20"/>
                <w:szCs w:val="20"/>
              </w:rPr>
            </w:pPr>
            <w:r w:rsidRPr="000023C6">
              <w:rPr>
                <w:rFonts w:ascii="Barlow" w:hAnsi="Barlow" w:cs="Arial"/>
                <w:b/>
                <w:bCs/>
                <w:color w:val="000000"/>
                <w:sz w:val="20"/>
                <w:szCs w:val="20"/>
              </w:rPr>
              <w:t>1. Ingresos Presupuestarios</w:t>
            </w:r>
          </w:p>
        </w:tc>
        <w:tc>
          <w:tcPr>
            <w:tcW w:w="730" w:type="dxa"/>
            <w:tcBorders>
              <w:top w:val="nil"/>
              <w:left w:val="nil"/>
              <w:bottom w:val="nil"/>
              <w:right w:val="nil"/>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p>
        </w:tc>
        <w:tc>
          <w:tcPr>
            <w:tcW w:w="2070" w:type="dxa"/>
            <w:tcBorders>
              <w:top w:val="nil"/>
              <w:left w:val="single" w:sz="4" w:space="0" w:color="auto"/>
              <w:bottom w:val="single" w:sz="4" w:space="0" w:color="auto"/>
              <w:right w:val="single" w:sz="4" w:space="0" w:color="auto"/>
            </w:tcBorders>
            <w:shd w:val="clear" w:color="000000" w:fill="BFBFBF"/>
            <w:noWrap/>
            <w:vAlign w:val="center"/>
            <w:hideMark/>
          </w:tcPr>
          <w:p w:rsidR="00830835" w:rsidRPr="000023C6" w:rsidRDefault="00830835" w:rsidP="00830835">
            <w:pPr>
              <w:spacing w:after="0" w:line="240" w:lineRule="auto"/>
              <w:jc w:val="right"/>
              <w:rPr>
                <w:rFonts w:ascii="Barlow" w:hAnsi="Barlow" w:cs="Arial"/>
                <w:b/>
                <w:bCs/>
                <w:color w:val="000000"/>
                <w:sz w:val="20"/>
                <w:szCs w:val="20"/>
              </w:rPr>
            </w:pPr>
            <w:r w:rsidRPr="000023C6">
              <w:rPr>
                <w:rFonts w:ascii="Barlow" w:hAnsi="Barlow" w:cs="Arial"/>
                <w:b/>
                <w:bCs/>
                <w:color w:val="000000"/>
                <w:sz w:val="20"/>
                <w:szCs w:val="20"/>
              </w:rPr>
              <w:t>9,336,878.01</w:t>
            </w:r>
          </w:p>
        </w:tc>
      </w:tr>
      <w:tr w:rsidR="00830835" w:rsidRPr="000023C6" w:rsidTr="000023C6">
        <w:trPr>
          <w:trHeight w:val="240"/>
          <w:jc w:val="center"/>
        </w:trPr>
        <w:tc>
          <w:tcPr>
            <w:tcW w:w="6800" w:type="dxa"/>
            <w:gridSpan w:val="2"/>
            <w:tcBorders>
              <w:top w:val="nil"/>
              <w:left w:val="nil"/>
              <w:bottom w:val="nil"/>
              <w:right w:val="nil"/>
            </w:tcBorders>
            <w:shd w:val="clear" w:color="000000" w:fill="FFFFFF"/>
            <w:noWrap/>
            <w:vAlign w:val="bottom"/>
            <w:hideMark/>
          </w:tcPr>
          <w:p w:rsidR="00830835" w:rsidRPr="000023C6" w:rsidRDefault="00830835" w:rsidP="00830835">
            <w:pPr>
              <w:spacing w:after="0" w:line="240" w:lineRule="auto"/>
              <w:rPr>
                <w:rFonts w:ascii="Barlow" w:hAnsi="Barlow" w:cs="Arial"/>
                <w:color w:val="000000"/>
                <w:sz w:val="20"/>
                <w:szCs w:val="20"/>
              </w:rPr>
            </w:pPr>
            <w:r w:rsidRPr="000023C6">
              <w:rPr>
                <w:rFonts w:ascii="Barlow" w:hAnsi="Barlow" w:cs="Arial"/>
                <w:color w:val="000000"/>
                <w:sz w:val="20"/>
                <w:szCs w:val="20"/>
              </w:rPr>
              <w:t> </w:t>
            </w:r>
          </w:p>
        </w:tc>
        <w:tc>
          <w:tcPr>
            <w:tcW w:w="730" w:type="dxa"/>
            <w:tcBorders>
              <w:top w:val="nil"/>
              <w:left w:val="nil"/>
              <w:bottom w:val="nil"/>
              <w:right w:val="nil"/>
            </w:tcBorders>
            <w:shd w:val="clear" w:color="000000" w:fill="FFFFFF"/>
            <w:noWrap/>
            <w:vAlign w:val="bottom"/>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070" w:type="dxa"/>
            <w:tcBorders>
              <w:top w:val="nil"/>
              <w:left w:val="nil"/>
              <w:bottom w:val="nil"/>
              <w:right w:val="nil"/>
            </w:tcBorders>
            <w:shd w:val="clear" w:color="000000" w:fill="FFFFFF"/>
            <w:noWrap/>
            <w:vAlign w:val="bottom"/>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8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30835" w:rsidRPr="000023C6" w:rsidRDefault="00830835" w:rsidP="00830835">
            <w:pPr>
              <w:spacing w:after="0" w:line="240" w:lineRule="auto"/>
              <w:rPr>
                <w:rFonts w:ascii="Barlow" w:hAnsi="Barlow" w:cs="Arial"/>
                <w:b/>
                <w:bCs/>
                <w:color w:val="000000"/>
                <w:sz w:val="20"/>
                <w:szCs w:val="20"/>
              </w:rPr>
            </w:pPr>
            <w:r w:rsidRPr="000023C6">
              <w:rPr>
                <w:rFonts w:ascii="Barlow" w:hAnsi="Barlow" w:cs="Arial"/>
                <w:b/>
                <w:bCs/>
                <w:color w:val="000000"/>
                <w:sz w:val="20"/>
                <w:szCs w:val="20"/>
              </w:rPr>
              <w:t>2. Más ingresos contables no presupuestarios</w:t>
            </w:r>
          </w:p>
        </w:tc>
        <w:tc>
          <w:tcPr>
            <w:tcW w:w="730" w:type="dxa"/>
            <w:tcBorders>
              <w:top w:val="single" w:sz="4" w:space="0" w:color="auto"/>
              <w:left w:val="nil"/>
              <w:bottom w:val="single" w:sz="4" w:space="0" w:color="auto"/>
              <w:right w:val="single" w:sz="4" w:space="0" w:color="auto"/>
            </w:tcBorders>
            <w:shd w:val="clear" w:color="000000" w:fill="FFFFFF"/>
            <w:noWrap/>
            <w:vAlign w:val="bottom"/>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070" w:type="dxa"/>
            <w:tcBorders>
              <w:top w:val="single" w:sz="4" w:space="0" w:color="auto"/>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r>
      <w:tr w:rsidR="00830835" w:rsidRPr="000023C6" w:rsidTr="000023C6">
        <w:trPr>
          <w:trHeight w:val="240"/>
          <w:jc w:val="center"/>
        </w:trPr>
        <w:tc>
          <w:tcPr>
            <w:tcW w:w="633" w:type="dxa"/>
            <w:tcBorders>
              <w:top w:val="nil"/>
              <w:left w:val="single" w:sz="4" w:space="0" w:color="auto"/>
              <w:bottom w:val="single" w:sz="4" w:space="0" w:color="auto"/>
              <w:right w:val="nil"/>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6167" w:type="dxa"/>
            <w:tcBorders>
              <w:top w:val="nil"/>
              <w:left w:val="nil"/>
              <w:bottom w:val="single" w:sz="4" w:space="0" w:color="auto"/>
              <w:right w:val="single" w:sz="4" w:space="0" w:color="auto"/>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 Ingresos Financieros </w:t>
            </w:r>
          </w:p>
        </w:tc>
        <w:tc>
          <w:tcPr>
            <w:tcW w:w="730" w:type="dxa"/>
            <w:tcBorders>
              <w:top w:val="nil"/>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070" w:type="dxa"/>
            <w:tcBorders>
              <w:top w:val="nil"/>
              <w:left w:val="nil"/>
              <w:bottom w:val="nil"/>
              <w:right w:val="nil"/>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33" w:type="dxa"/>
            <w:tcBorders>
              <w:top w:val="nil"/>
              <w:left w:val="single" w:sz="4" w:space="0" w:color="auto"/>
              <w:bottom w:val="single" w:sz="4" w:space="0" w:color="auto"/>
              <w:right w:val="nil"/>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6167" w:type="dxa"/>
            <w:tcBorders>
              <w:top w:val="nil"/>
              <w:left w:val="nil"/>
              <w:bottom w:val="single" w:sz="4" w:space="0" w:color="auto"/>
              <w:right w:val="single" w:sz="4" w:space="0" w:color="auto"/>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2.2 Incremento por Variación de Inventarios</w:t>
            </w:r>
          </w:p>
        </w:tc>
        <w:tc>
          <w:tcPr>
            <w:tcW w:w="730" w:type="dxa"/>
            <w:tcBorders>
              <w:top w:val="nil"/>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070" w:type="dxa"/>
            <w:tcBorders>
              <w:top w:val="nil"/>
              <w:left w:val="nil"/>
              <w:bottom w:val="nil"/>
              <w:right w:val="nil"/>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480"/>
          <w:jc w:val="center"/>
        </w:trPr>
        <w:tc>
          <w:tcPr>
            <w:tcW w:w="633" w:type="dxa"/>
            <w:tcBorders>
              <w:top w:val="nil"/>
              <w:left w:val="single" w:sz="4" w:space="0" w:color="auto"/>
              <w:bottom w:val="single" w:sz="4" w:space="0" w:color="auto"/>
              <w:right w:val="nil"/>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6167" w:type="dxa"/>
            <w:tcBorders>
              <w:top w:val="nil"/>
              <w:left w:val="nil"/>
              <w:bottom w:val="single" w:sz="4" w:space="0" w:color="auto"/>
              <w:right w:val="single" w:sz="4" w:space="0" w:color="auto"/>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2.3 Disminución del exceso de estimaciones por pérdida o deterioro u obsolescencia</w:t>
            </w:r>
          </w:p>
        </w:tc>
        <w:tc>
          <w:tcPr>
            <w:tcW w:w="730" w:type="dxa"/>
            <w:tcBorders>
              <w:top w:val="nil"/>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070" w:type="dxa"/>
            <w:tcBorders>
              <w:top w:val="nil"/>
              <w:left w:val="nil"/>
              <w:bottom w:val="nil"/>
              <w:right w:val="nil"/>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33" w:type="dxa"/>
            <w:tcBorders>
              <w:top w:val="nil"/>
              <w:left w:val="single" w:sz="4" w:space="0" w:color="auto"/>
              <w:bottom w:val="single" w:sz="4" w:space="0" w:color="auto"/>
              <w:right w:val="nil"/>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6167" w:type="dxa"/>
            <w:tcBorders>
              <w:top w:val="nil"/>
              <w:left w:val="nil"/>
              <w:bottom w:val="single" w:sz="4" w:space="0" w:color="auto"/>
              <w:right w:val="single" w:sz="4" w:space="0" w:color="auto"/>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2.4 Disminución del exceso de provisiones</w:t>
            </w:r>
          </w:p>
        </w:tc>
        <w:tc>
          <w:tcPr>
            <w:tcW w:w="730" w:type="dxa"/>
            <w:tcBorders>
              <w:top w:val="nil"/>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070" w:type="dxa"/>
            <w:tcBorders>
              <w:top w:val="nil"/>
              <w:left w:val="nil"/>
              <w:bottom w:val="nil"/>
              <w:right w:val="nil"/>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33" w:type="dxa"/>
            <w:tcBorders>
              <w:top w:val="nil"/>
              <w:left w:val="single" w:sz="4" w:space="0" w:color="auto"/>
              <w:bottom w:val="single" w:sz="4" w:space="0" w:color="auto"/>
              <w:right w:val="nil"/>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6167" w:type="dxa"/>
            <w:tcBorders>
              <w:top w:val="nil"/>
              <w:left w:val="nil"/>
              <w:bottom w:val="single" w:sz="4" w:space="0" w:color="auto"/>
              <w:right w:val="single" w:sz="4" w:space="0" w:color="auto"/>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2.5 Otros ingresos y beneficios varios</w:t>
            </w:r>
          </w:p>
        </w:tc>
        <w:tc>
          <w:tcPr>
            <w:tcW w:w="730" w:type="dxa"/>
            <w:tcBorders>
              <w:top w:val="nil"/>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070" w:type="dxa"/>
            <w:tcBorders>
              <w:top w:val="nil"/>
              <w:left w:val="nil"/>
              <w:bottom w:val="nil"/>
              <w:right w:val="nil"/>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8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 2.6 Otros ingresos contables no presupuestarios</w:t>
            </w:r>
          </w:p>
        </w:tc>
        <w:tc>
          <w:tcPr>
            <w:tcW w:w="730" w:type="dxa"/>
            <w:tcBorders>
              <w:top w:val="nil"/>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070" w:type="dxa"/>
            <w:tcBorders>
              <w:top w:val="nil"/>
              <w:left w:val="nil"/>
              <w:bottom w:val="nil"/>
              <w:right w:val="nil"/>
            </w:tcBorders>
            <w:shd w:val="clear" w:color="000000" w:fill="FFFFFF"/>
            <w:noWrap/>
            <w:vAlign w:val="bottom"/>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800" w:type="dxa"/>
            <w:gridSpan w:val="2"/>
            <w:tcBorders>
              <w:top w:val="nil"/>
              <w:left w:val="nil"/>
              <w:bottom w:val="nil"/>
              <w:right w:val="nil"/>
            </w:tcBorders>
            <w:shd w:val="clear" w:color="000000" w:fill="FFFFFF"/>
            <w:noWrap/>
            <w:vAlign w:val="bottom"/>
            <w:hideMark/>
          </w:tcPr>
          <w:p w:rsidR="00830835" w:rsidRPr="000023C6" w:rsidRDefault="00830835" w:rsidP="00830835">
            <w:pPr>
              <w:spacing w:after="0" w:line="240" w:lineRule="auto"/>
              <w:rPr>
                <w:rFonts w:ascii="Barlow" w:hAnsi="Barlow" w:cs="Arial"/>
                <w:color w:val="000000"/>
                <w:sz w:val="20"/>
                <w:szCs w:val="20"/>
              </w:rPr>
            </w:pPr>
            <w:r w:rsidRPr="000023C6">
              <w:rPr>
                <w:rFonts w:ascii="Barlow" w:hAnsi="Barlow" w:cs="Arial"/>
                <w:color w:val="000000"/>
                <w:sz w:val="20"/>
                <w:szCs w:val="20"/>
              </w:rPr>
              <w:t> </w:t>
            </w:r>
          </w:p>
        </w:tc>
        <w:tc>
          <w:tcPr>
            <w:tcW w:w="730" w:type="dxa"/>
            <w:tcBorders>
              <w:top w:val="nil"/>
              <w:left w:val="nil"/>
              <w:bottom w:val="nil"/>
              <w:right w:val="nil"/>
            </w:tcBorders>
            <w:shd w:val="clear" w:color="000000" w:fill="FFFFFF"/>
            <w:noWrap/>
            <w:vAlign w:val="bottom"/>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070" w:type="dxa"/>
            <w:tcBorders>
              <w:top w:val="single" w:sz="4" w:space="0" w:color="auto"/>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r>
      <w:tr w:rsidR="00830835" w:rsidRPr="000023C6" w:rsidTr="000023C6">
        <w:trPr>
          <w:trHeight w:val="240"/>
          <w:jc w:val="center"/>
        </w:trPr>
        <w:tc>
          <w:tcPr>
            <w:tcW w:w="68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30835" w:rsidRPr="000023C6" w:rsidRDefault="00830835" w:rsidP="00830835">
            <w:pPr>
              <w:spacing w:after="0" w:line="240" w:lineRule="auto"/>
              <w:rPr>
                <w:rFonts w:ascii="Barlow" w:hAnsi="Barlow" w:cs="Arial"/>
                <w:b/>
                <w:bCs/>
                <w:color w:val="000000"/>
                <w:sz w:val="20"/>
                <w:szCs w:val="20"/>
              </w:rPr>
            </w:pPr>
            <w:r w:rsidRPr="000023C6">
              <w:rPr>
                <w:rFonts w:ascii="Barlow" w:hAnsi="Barlow" w:cs="Arial"/>
                <w:b/>
                <w:bCs/>
                <w:color w:val="000000"/>
                <w:sz w:val="20"/>
                <w:szCs w:val="20"/>
              </w:rPr>
              <w:t>3. Menos ingresos presupuestarios no contables</w:t>
            </w:r>
          </w:p>
        </w:tc>
        <w:tc>
          <w:tcPr>
            <w:tcW w:w="730" w:type="dxa"/>
            <w:tcBorders>
              <w:top w:val="single" w:sz="4" w:space="0" w:color="auto"/>
              <w:left w:val="nil"/>
              <w:bottom w:val="single" w:sz="4" w:space="0" w:color="auto"/>
              <w:right w:val="single" w:sz="4" w:space="0" w:color="auto"/>
            </w:tcBorders>
            <w:shd w:val="clear" w:color="000000" w:fill="FFFFFF"/>
            <w:noWrap/>
            <w:vAlign w:val="bottom"/>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070" w:type="dxa"/>
            <w:tcBorders>
              <w:top w:val="nil"/>
              <w:left w:val="nil"/>
              <w:bottom w:val="nil"/>
              <w:right w:val="nil"/>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33" w:type="dxa"/>
            <w:tcBorders>
              <w:top w:val="nil"/>
              <w:left w:val="single" w:sz="4" w:space="0" w:color="auto"/>
              <w:bottom w:val="single" w:sz="4" w:space="0" w:color="auto"/>
              <w:right w:val="nil"/>
            </w:tcBorders>
            <w:shd w:val="clear" w:color="000000" w:fill="FFFFFF"/>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6167" w:type="dxa"/>
            <w:tcBorders>
              <w:top w:val="nil"/>
              <w:left w:val="nil"/>
              <w:bottom w:val="single" w:sz="4" w:space="0" w:color="auto"/>
              <w:right w:val="single" w:sz="4" w:space="0" w:color="auto"/>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3.1 Aprovechamientos Patrimoniales</w:t>
            </w:r>
          </w:p>
        </w:tc>
        <w:tc>
          <w:tcPr>
            <w:tcW w:w="730" w:type="dxa"/>
            <w:tcBorders>
              <w:top w:val="nil"/>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070" w:type="dxa"/>
            <w:tcBorders>
              <w:top w:val="nil"/>
              <w:left w:val="nil"/>
              <w:bottom w:val="nil"/>
              <w:right w:val="nil"/>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33" w:type="dxa"/>
            <w:tcBorders>
              <w:top w:val="nil"/>
              <w:left w:val="single" w:sz="4" w:space="0" w:color="auto"/>
              <w:bottom w:val="single" w:sz="4" w:space="0" w:color="auto"/>
              <w:right w:val="nil"/>
            </w:tcBorders>
            <w:shd w:val="clear" w:color="000000" w:fill="FFFFFF"/>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6167" w:type="dxa"/>
            <w:tcBorders>
              <w:top w:val="nil"/>
              <w:left w:val="nil"/>
              <w:bottom w:val="single" w:sz="4" w:space="0" w:color="auto"/>
              <w:right w:val="single" w:sz="4" w:space="0" w:color="auto"/>
            </w:tcBorders>
            <w:shd w:val="clear" w:color="000000" w:fill="FFFFFF"/>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3.2 Ingresos derivados de financiamientos</w:t>
            </w:r>
          </w:p>
        </w:tc>
        <w:tc>
          <w:tcPr>
            <w:tcW w:w="730" w:type="dxa"/>
            <w:tcBorders>
              <w:top w:val="nil"/>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070" w:type="dxa"/>
            <w:tcBorders>
              <w:top w:val="nil"/>
              <w:left w:val="nil"/>
              <w:bottom w:val="nil"/>
              <w:right w:val="nil"/>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8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3.3 Otros Ingresos presupuestarios no contables</w:t>
            </w:r>
          </w:p>
        </w:tc>
        <w:tc>
          <w:tcPr>
            <w:tcW w:w="730" w:type="dxa"/>
            <w:tcBorders>
              <w:top w:val="nil"/>
              <w:left w:val="nil"/>
              <w:bottom w:val="single" w:sz="4" w:space="0" w:color="auto"/>
              <w:right w:val="single" w:sz="4" w:space="0" w:color="auto"/>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070" w:type="dxa"/>
            <w:tcBorders>
              <w:top w:val="nil"/>
              <w:left w:val="nil"/>
              <w:bottom w:val="nil"/>
              <w:right w:val="nil"/>
            </w:tcBorders>
            <w:shd w:val="clear" w:color="000000" w:fill="FFFFFF"/>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800" w:type="dxa"/>
            <w:gridSpan w:val="2"/>
            <w:tcBorders>
              <w:top w:val="nil"/>
              <w:left w:val="nil"/>
              <w:bottom w:val="nil"/>
              <w:right w:val="nil"/>
            </w:tcBorders>
            <w:shd w:val="clear" w:color="000000" w:fill="FFFFFF"/>
            <w:noWrap/>
            <w:vAlign w:val="bottom"/>
            <w:hideMark/>
          </w:tcPr>
          <w:p w:rsidR="00830835" w:rsidRPr="000023C6" w:rsidRDefault="00830835" w:rsidP="00830835">
            <w:pPr>
              <w:spacing w:after="0" w:line="240" w:lineRule="auto"/>
              <w:rPr>
                <w:rFonts w:ascii="Barlow" w:hAnsi="Barlow" w:cs="Arial"/>
                <w:color w:val="000000"/>
                <w:sz w:val="20"/>
                <w:szCs w:val="20"/>
              </w:rPr>
            </w:pPr>
            <w:r w:rsidRPr="000023C6">
              <w:rPr>
                <w:rFonts w:ascii="Barlow" w:hAnsi="Barlow" w:cs="Arial"/>
                <w:color w:val="000000"/>
                <w:sz w:val="20"/>
                <w:szCs w:val="20"/>
              </w:rPr>
              <w:t> </w:t>
            </w:r>
          </w:p>
        </w:tc>
        <w:tc>
          <w:tcPr>
            <w:tcW w:w="730" w:type="dxa"/>
            <w:tcBorders>
              <w:top w:val="nil"/>
              <w:left w:val="nil"/>
              <w:bottom w:val="nil"/>
              <w:right w:val="nil"/>
            </w:tcBorders>
            <w:shd w:val="clear" w:color="000000" w:fill="FFFFFF"/>
            <w:noWrap/>
            <w:vAlign w:val="bottom"/>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070" w:type="dxa"/>
            <w:tcBorders>
              <w:top w:val="nil"/>
              <w:left w:val="nil"/>
              <w:bottom w:val="nil"/>
              <w:right w:val="nil"/>
            </w:tcBorders>
            <w:shd w:val="clear" w:color="000000" w:fill="FFFFFF"/>
            <w:noWrap/>
            <w:vAlign w:val="bottom"/>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r>
      <w:tr w:rsidR="00830835" w:rsidRPr="000023C6" w:rsidTr="000023C6">
        <w:trPr>
          <w:trHeight w:val="240"/>
          <w:jc w:val="center"/>
        </w:trPr>
        <w:tc>
          <w:tcPr>
            <w:tcW w:w="6800"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830835" w:rsidRPr="000023C6" w:rsidRDefault="00830835" w:rsidP="00830835">
            <w:pPr>
              <w:spacing w:after="0" w:line="240" w:lineRule="auto"/>
              <w:rPr>
                <w:rFonts w:ascii="Barlow" w:hAnsi="Barlow" w:cs="Arial"/>
                <w:b/>
                <w:bCs/>
                <w:color w:val="000000"/>
                <w:sz w:val="20"/>
                <w:szCs w:val="20"/>
              </w:rPr>
            </w:pPr>
            <w:r w:rsidRPr="000023C6">
              <w:rPr>
                <w:rFonts w:ascii="Barlow" w:hAnsi="Barlow" w:cs="Arial"/>
                <w:b/>
                <w:bCs/>
                <w:color w:val="000000"/>
                <w:sz w:val="20"/>
                <w:szCs w:val="20"/>
              </w:rPr>
              <w:lastRenderedPageBreak/>
              <w:t>4. Ingresos Contables (4 = 1 + 2 - 3)</w:t>
            </w:r>
          </w:p>
        </w:tc>
        <w:tc>
          <w:tcPr>
            <w:tcW w:w="730" w:type="dxa"/>
            <w:tcBorders>
              <w:top w:val="nil"/>
              <w:left w:val="nil"/>
              <w:bottom w:val="nil"/>
              <w:right w:val="nil"/>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30835" w:rsidRPr="000023C6" w:rsidRDefault="00830835" w:rsidP="00830835">
            <w:pPr>
              <w:spacing w:after="0" w:line="240" w:lineRule="auto"/>
              <w:jc w:val="right"/>
              <w:rPr>
                <w:rFonts w:ascii="Barlow" w:hAnsi="Barlow" w:cs="Arial"/>
                <w:b/>
                <w:bCs/>
                <w:color w:val="000000"/>
                <w:sz w:val="20"/>
                <w:szCs w:val="20"/>
              </w:rPr>
            </w:pPr>
            <w:r w:rsidRPr="000023C6">
              <w:rPr>
                <w:rFonts w:ascii="Barlow" w:hAnsi="Barlow" w:cs="Arial"/>
                <w:b/>
                <w:bCs/>
                <w:color w:val="000000"/>
                <w:sz w:val="20"/>
                <w:szCs w:val="20"/>
              </w:rPr>
              <w:t>9,336,878.01</w:t>
            </w:r>
          </w:p>
        </w:tc>
      </w:tr>
    </w:tbl>
    <w:p w:rsidR="00830835" w:rsidRPr="000023C6" w:rsidRDefault="00830835" w:rsidP="000023C6">
      <w:pPr>
        <w:widowControl w:val="0"/>
        <w:autoSpaceDE w:val="0"/>
        <w:autoSpaceDN w:val="0"/>
        <w:adjustRightInd w:val="0"/>
        <w:spacing w:before="26" w:after="0" w:line="240" w:lineRule="auto"/>
        <w:ind w:right="-20"/>
        <w:rPr>
          <w:rFonts w:ascii="Barlow" w:hAnsi="Barlow" w:cs="Calibri"/>
          <w:bCs/>
          <w:color w:val="000000"/>
          <w:sz w:val="20"/>
          <w:szCs w:val="20"/>
        </w:rPr>
      </w:pPr>
    </w:p>
    <w:p w:rsidR="00830835" w:rsidRPr="000023C6" w:rsidRDefault="00830835"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tbl>
      <w:tblPr>
        <w:tblW w:w="12000" w:type="dxa"/>
        <w:jc w:val="center"/>
        <w:tblCellMar>
          <w:left w:w="70" w:type="dxa"/>
          <w:right w:w="70" w:type="dxa"/>
        </w:tblCellMar>
        <w:tblLook w:val="04A0" w:firstRow="1" w:lastRow="0" w:firstColumn="1" w:lastColumn="0" w:noHBand="0" w:noVBand="1"/>
      </w:tblPr>
      <w:tblGrid>
        <w:gridCol w:w="380"/>
        <w:gridCol w:w="7936"/>
        <w:gridCol w:w="698"/>
        <w:gridCol w:w="2986"/>
      </w:tblGrid>
      <w:tr w:rsidR="00830835" w:rsidRPr="000023C6" w:rsidTr="000023C6">
        <w:trPr>
          <w:trHeight w:val="240"/>
          <w:jc w:val="center"/>
        </w:trPr>
        <w:tc>
          <w:tcPr>
            <w:tcW w:w="120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830835" w:rsidRPr="000023C6" w:rsidRDefault="00830835" w:rsidP="00830835">
            <w:pPr>
              <w:spacing w:after="0" w:line="240" w:lineRule="auto"/>
              <w:jc w:val="center"/>
              <w:rPr>
                <w:rFonts w:ascii="Barlow" w:hAnsi="Barlow" w:cs="Arial"/>
                <w:b/>
                <w:bCs/>
                <w:color w:val="000000"/>
                <w:sz w:val="20"/>
                <w:szCs w:val="20"/>
              </w:rPr>
            </w:pPr>
            <w:r w:rsidRPr="000023C6">
              <w:rPr>
                <w:rFonts w:ascii="Barlow" w:hAnsi="Barlow" w:cs="Arial"/>
                <w:b/>
                <w:bCs/>
                <w:color w:val="000000"/>
                <w:sz w:val="20"/>
                <w:szCs w:val="20"/>
              </w:rPr>
              <w:t>Escuela Superior de Artes de Yucatán</w:t>
            </w:r>
          </w:p>
        </w:tc>
      </w:tr>
      <w:tr w:rsidR="00830835" w:rsidRPr="000023C6" w:rsidTr="000023C6">
        <w:trPr>
          <w:trHeight w:val="240"/>
          <w:jc w:val="center"/>
        </w:trPr>
        <w:tc>
          <w:tcPr>
            <w:tcW w:w="12000" w:type="dxa"/>
            <w:gridSpan w:val="4"/>
            <w:tcBorders>
              <w:top w:val="nil"/>
              <w:left w:val="single" w:sz="4" w:space="0" w:color="auto"/>
              <w:bottom w:val="nil"/>
              <w:right w:val="single" w:sz="4" w:space="0" w:color="000000"/>
            </w:tcBorders>
            <w:shd w:val="clear" w:color="000000" w:fill="BFBFBF"/>
            <w:vAlign w:val="center"/>
            <w:hideMark/>
          </w:tcPr>
          <w:p w:rsidR="00830835" w:rsidRPr="000023C6" w:rsidRDefault="00830835" w:rsidP="00830835">
            <w:pPr>
              <w:spacing w:after="0" w:line="240" w:lineRule="auto"/>
              <w:jc w:val="center"/>
              <w:rPr>
                <w:rFonts w:ascii="Barlow" w:hAnsi="Barlow" w:cs="Arial"/>
                <w:b/>
                <w:bCs/>
                <w:color w:val="000000"/>
                <w:sz w:val="20"/>
                <w:szCs w:val="20"/>
              </w:rPr>
            </w:pPr>
            <w:r w:rsidRPr="000023C6">
              <w:rPr>
                <w:rFonts w:ascii="Barlow" w:hAnsi="Barlow" w:cs="Arial"/>
                <w:b/>
                <w:bCs/>
                <w:color w:val="000000"/>
                <w:sz w:val="20"/>
                <w:szCs w:val="20"/>
              </w:rPr>
              <w:t>Conciliación entre los Egresos Presupuestarios y los Gastos Contables</w:t>
            </w:r>
          </w:p>
        </w:tc>
      </w:tr>
      <w:tr w:rsidR="00830835" w:rsidRPr="000023C6" w:rsidTr="000023C6">
        <w:trPr>
          <w:trHeight w:val="240"/>
          <w:jc w:val="center"/>
        </w:trPr>
        <w:tc>
          <w:tcPr>
            <w:tcW w:w="120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830835" w:rsidRPr="000023C6" w:rsidRDefault="00830835" w:rsidP="00830835">
            <w:pPr>
              <w:spacing w:after="0" w:line="240" w:lineRule="auto"/>
              <w:jc w:val="center"/>
              <w:rPr>
                <w:rFonts w:ascii="Barlow" w:hAnsi="Barlow" w:cs="Arial"/>
                <w:b/>
                <w:bCs/>
                <w:color w:val="000000"/>
                <w:sz w:val="20"/>
                <w:szCs w:val="20"/>
              </w:rPr>
            </w:pPr>
            <w:r w:rsidRPr="000023C6">
              <w:rPr>
                <w:rFonts w:ascii="Barlow" w:hAnsi="Barlow" w:cs="Arial"/>
                <w:b/>
                <w:bCs/>
                <w:color w:val="000000"/>
                <w:sz w:val="20"/>
                <w:szCs w:val="20"/>
              </w:rPr>
              <w:t>Correspondiente del 1 de Enero al 31 de Marzo de 2021</w:t>
            </w:r>
          </w:p>
        </w:tc>
      </w:tr>
      <w:tr w:rsidR="00830835" w:rsidRPr="000023C6" w:rsidTr="000023C6">
        <w:trPr>
          <w:trHeight w:val="240"/>
          <w:jc w:val="center"/>
        </w:trPr>
        <w:tc>
          <w:tcPr>
            <w:tcW w:w="831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830835" w:rsidRPr="000023C6" w:rsidRDefault="00830835" w:rsidP="00830835">
            <w:pPr>
              <w:spacing w:after="0" w:line="240" w:lineRule="auto"/>
              <w:rPr>
                <w:rFonts w:ascii="Barlow" w:hAnsi="Barlow" w:cs="Arial"/>
                <w:b/>
                <w:bCs/>
                <w:color w:val="000000"/>
                <w:sz w:val="20"/>
                <w:szCs w:val="20"/>
              </w:rPr>
            </w:pPr>
            <w:r w:rsidRPr="000023C6">
              <w:rPr>
                <w:rFonts w:ascii="Barlow" w:hAnsi="Barlow" w:cs="Arial"/>
                <w:b/>
                <w:bCs/>
                <w:color w:val="000000"/>
                <w:sz w:val="20"/>
                <w:szCs w:val="20"/>
              </w:rPr>
              <w:t>1. Total de egresos presupuestarios</w:t>
            </w:r>
          </w:p>
        </w:tc>
        <w:tc>
          <w:tcPr>
            <w:tcW w:w="698" w:type="dxa"/>
            <w:tcBorders>
              <w:top w:val="nil"/>
              <w:left w:val="nil"/>
              <w:bottom w:val="nil"/>
              <w:right w:val="nil"/>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p>
        </w:tc>
        <w:tc>
          <w:tcPr>
            <w:tcW w:w="2986" w:type="dxa"/>
            <w:tcBorders>
              <w:top w:val="nil"/>
              <w:left w:val="single" w:sz="4" w:space="0" w:color="auto"/>
              <w:bottom w:val="single" w:sz="4" w:space="0" w:color="auto"/>
              <w:right w:val="single" w:sz="4" w:space="0" w:color="auto"/>
            </w:tcBorders>
            <w:shd w:val="clear" w:color="000000" w:fill="BFBFBF"/>
            <w:noWrap/>
            <w:vAlign w:val="center"/>
            <w:hideMark/>
          </w:tcPr>
          <w:p w:rsidR="00830835" w:rsidRPr="000023C6" w:rsidRDefault="00830835" w:rsidP="00830835">
            <w:pPr>
              <w:spacing w:after="0" w:line="240" w:lineRule="auto"/>
              <w:jc w:val="right"/>
              <w:rPr>
                <w:rFonts w:ascii="Barlow" w:hAnsi="Barlow" w:cs="Arial"/>
                <w:b/>
                <w:bCs/>
                <w:color w:val="000000"/>
                <w:sz w:val="20"/>
                <w:szCs w:val="20"/>
              </w:rPr>
            </w:pPr>
            <w:r w:rsidRPr="000023C6">
              <w:rPr>
                <w:rFonts w:ascii="Barlow" w:hAnsi="Barlow" w:cs="Arial"/>
                <w:b/>
                <w:bCs/>
                <w:color w:val="000000"/>
                <w:sz w:val="20"/>
                <w:szCs w:val="20"/>
              </w:rPr>
              <w:t>5,904,423.88</w:t>
            </w:r>
          </w:p>
        </w:tc>
      </w:tr>
      <w:tr w:rsidR="00830835" w:rsidRPr="000023C6" w:rsidTr="000023C6">
        <w:trPr>
          <w:trHeight w:val="240"/>
          <w:jc w:val="center"/>
        </w:trPr>
        <w:tc>
          <w:tcPr>
            <w:tcW w:w="8316" w:type="dxa"/>
            <w:gridSpan w:val="2"/>
            <w:tcBorders>
              <w:top w:val="nil"/>
              <w:left w:val="nil"/>
              <w:bottom w:val="nil"/>
              <w:right w:val="nil"/>
            </w:tcBorders>
            <w:shd w:val="clear" w:color="auto" w:fill="auto"/>
            <w:noWrap/>
            <w:vAlign w:val="bottom"/>
            <w:hideMark/>
          </w:tcPr>
          <w:p w:rsidR="00830835" w:rsidRPr="000023C6" w:rsidRDefault="00830835" w:rsidP="00830835">
            <w:pPr>
              <w:spacing w:after="0" w:line="240" w:lineRule="auto"/>
              <w:rPr>
                <w:rFonts w:ascii="Barlow" w:hAnsi="Barlow" w:cs="Arial"/>
                <w:color w:val="000000"/>
                <w:sz w:val="20"/>
                <w:szCs w:val="20"/>
              </w:rPr>
            </w:pPr>
          </w:p>
        </w:tc>
        <w:tc>
          <w:tcPr>
            <w:tcW w:w="698" w:type="dxa"/>
            <w:tcBorders>
              <w:top w:val="nil"/>
              <w:left w:val="nil"/>
              <w:bottom w:val="nil"/>
              <w:right w:val="nil"/>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p>
        </w:tc>
        <w:tc>
          <w:tcPr>
            <w:tcW w:w="2986" w:type="dxa"/>
            <w:tcBorders>
              <w:top w:val="nil"/>
              <w:left w:val="nil"/>
              <w:bottom w:val="nil"/>
              <w:right w:val="nil"/>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83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rPr>
                <w:rFonts w:ascii="Barlow" w:hAnsi="Barlow" w:cs="Arial"/>
                <w:b/>
                <w:bCs/>
                <w:color w:val="000000"/>
                <w:sz w:val="20"/>
                <w:szCs w:val="20"/>
              </w:rPr>
            </w:pPr>
            <w:r w:rsidRPr="000023C6">
              <w:rPr>
                <w:rFonts w:ascii="Barlow" w:hAnsi="Barlow" w:cs="Arial"/>
                <w:b/>
                <w:bCs/>
                <w:color w:val="000000"/>
                <w:sz w:val="20"/>
                <w:szCs w:val="20"/>
              </w:rPr>
              <w:t>2. Menos egresos presupuestarios no contables</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986" w:type="dxa"/>
            <w:tcBorders>
              <w:top w:val="single" w:sz="4" w:space="0" w:color="auto"/>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b/>
                <w:bCs/>
                <w:color w:val="000000"/>
                <w:sz w:val="20"/>
                <w:szCs w:val="20"/>
              </w:rPr>
            </w:pPr>
            <w:r w:rsidRPr="000023C6">
              <w:rPr>
                <w:rFonts w:ascii="Barlow" w:hAnsi="Barlow" w:cs="Arial"/>
                <w:b/>
                <w:bCs/>
                <w:color w:val="000000"/>
                <w:sz w:val="20"/>
                <w:szCs w:val="20"/>
              </w:rPr>
              <w:t>0.00</w:t>
            </w: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 Materias Primas y Materiales de Producción y Comercialización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2.2 Materiales y Suministros</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2.3 Mobiliario y Equipo de Administración</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2.4 Mobiliario y Equipo Educacional y Recreativo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2.5 Equipo e Instrumental Médico y de Laboratorio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2.6 Vehículos y Equipo de Transporte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2.7 Equipo de Defensa y Seguridad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2.8 Maquinaria, Otros Equipos y Herramientas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2.9 Activos Biológicos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2.10 Bienes Inmuebles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2.11 Activos Intangibles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2.12 Obra Pública en Bienes de Dominio Público</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2.13 Obra Pública en Bienes Propios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2.14 Acciones y Participaciones de Capital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2.15 Compra de Títulos y Valores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2.16 Concesión de Préstamos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2.17 Inversiones en Fideicomisos, Mandatos y Otros Análogos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2.18 Provisiones para Contingencias y Otras Erogaciones Especiales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2.19 Amortización de la Deuda Pública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xml:space="preserve">2.20 Adeudos de Ejercicios Fiscales Anteriores (ADEFAS) </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2.21 Otros Egresos Presupuestales No Contables</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8316" w:type="dxa"/>
            <w:gridSpan w:val="2"/>
            <w:tcBorders>
              <w:top w:val="nil"/>
              <w:left w:val="nil"/>
              <w:bottom w:val="nil"/>
              <w:right w:val="nil"/>
            </w:tcBorders>
            <w:shd w:val="clear" w:color="auto" w:fill="auto"/>
            <w:noWrap/>
            <w:vAlign w:val="bottom"/>
            <w:hideMark/>
          </w:tcPr>
          <w:p w:rsidR="00830835" w:rsidRPr="000023C6" w:rsidRDefault="00830835" w:rsidP="00830835">
            <w:pPr>
              <w:spacing w:after="0" w:line="240" w:lineRule="auto"/>
              <w:rPr>
                <w:rFonts w:ascii="Barlow" w:hAnsi="Barlow" w:cs="Arial"/>
                <w:color w:val="000000"/>
                <w:sz w:val="20"/>
                <w:szCs w:val="20"/>
              </w:rPr>
            </w:pPr>
          </w:p>
        </w:tc>
        <w:tc>
          <w:tcPr>
            <w:tcW w:w="698" w:type="dxa"/>
            <w:tcBorders>
              <w:top w:val="nil"/>
              <w:left w:val="nil"/>
              <w:bottom w:val="nil"/>
              <w:right w:val="nil"/>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p>
        </w:tc>
        <w:tc>
          <w:tcPr>
            <w:tcW w:w="2986" w:type="dxa"/>
            <w:tcBorders>
              <w:top w:val="nil"/>
              <w:left w:val="nil"/>
              <w:bottom w:val="nil"/>
              <w:right w:val="nil"/>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83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rPr>
                <w:rFonts w:ascii="Barlow" w:hAnsi="Barlow" w:cs="Arial"/>
                <w:b/>
                <w:bCs/>
                <w:color w:val="000000"/>
                <w:sz w:val="20"/>
                <w:szCs w:val="20"/>
              </w:rPr>
            </w:pPr>
            <w:r w:rsidRPr="000023C6">
              <w:rPr>
                <w:rFonts w:ascii="Barlow" w:hAnsi="Barlow" w:cs="Arial"/>
                <w:b/>
                <w:bCs/>
                <w:color w:val="000000"/>
                <w:sz w:val="20"/>
                <w:szCs w:val="20"/>
              </w:rPr>
              <w:t>3. Más Gastos Contables No Presupuestarios</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 </w:t>
            </w:r>
          </w:p>
        </w:tc>
        <w:tc>
          <w:tcPr>
            <w:tcW w:w="2986" w:type="dxa"/>
            <w:tcBorders>
              <w:top w:val="single" w:sz="4" w:space="0" w:color="auto"/>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b/>
                <w:bCs/>
                <w:color w:val="000000"/>
                <w:sz w:val="20"/>
                <w:szCs w:val="20"/>
              </w:rPr>
            </w:pPr>
            <w:r w:rsidRPr="000023C6">
              <w:rPr>
                <w:rFonts w:ascii="Barlow" w:hAnsi="Barlow" w:cs="Arial"/>
                <w:b/>
                <w:bCs/>
                <w:color w:val="000000"/>
                <w:sz w:val="20"/>
                <w:szCs w:val="20"/>
              </w:rPr>
              <w:t>0.00</w:t>
            </w: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3.1 Estimaciones, Depreciaciones, Deterioros, Obsolescencia y Amortizaciones</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3.2 Provisiones</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3.3 Disminución de inventarios</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48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3.4 Aumento por insuficiencia de estimaciones por pérdida o deterioro u obsolescencia</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3.5 Aumento por insuficiencia de provisiones</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3.6 Otros Gastos</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368" w:type="dxa"/>
            <w:tcBorders>
              <w:top w:val="nil"/>
              <w:left w:val="single" w:sz="4" w:space="0" w:color="auto"/>
              <w:bottom w:val="single" w:sz="4" w:space="0" w:color="auto"/>
              <w:right w:val="nil"/>
            </w:tcBorders>
            <w:shd w:val="clear" w:color="auto" w:fill="auto"/>
            <w:noWrap/>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 </w:t>
            </w:r>
          </w:p>
        </w:tc>
        <w:tc>
          <w:tcPr>
            <w:tcW w:w="7948" w:type="dxa"/>
            <w:tcBorders>
              <w:top w:val="nil"/>
              <w:left w:val="nil"/>
              <w:bottom w:val="single" w:sz="4" w:space="0" w:color="auto"/>
              <w:right w:val="single" w:sz="4" w:space="0" w:color="auto"/>
            </w:tcBorders>
            <w:shd w:val="clear" w:color="auto" w:fill="auto"/>
            <w:vAlign w:val="center"/>
            <w:hideMark/>
          </w:tcPr>
          <w:p w:rsidR="00830835" w:rsidRPr="000023C6" w:rsidRDefault="00830835" w:rsidP="00830835">
            <w:pPr>
              <w:spacing w:after="0" w:line="240" w:lineRule="auto"/>
              <w:ind w:firstLineChars="100" w:firstLine="200"/>
              <w:rPr>
                <w:rFonts w:ascii="Barlow" w:hAnsi="Barlow" w:cs="Arial"/>
                <w:color w:val="000000"/>
                <w:sz w:val="20"/>
                <w:szCs w:val="20"/>
              </w:rPr>
            </w:pPr>
            <w:r w:rsidRPr="000023C6">
              <w:rPr>
                <w:rFonts w:ascii="Barlow" w:hAnsi="Barlow" w:cs="Arial"/>
                <w:color w:val="000000"/>
                <w:sz w:val="20"/>
                <w:szCs w:val="20"/>
              </w:rPr>
              <w:t>3.7 Otros Gastos Contables No Presupuestales</w:t>
            </w:r>
          </w:p>
        </w:tc>
        <w:tc>
          <w:tcPr>
            <w:tcW w:w="698" w:type="dxa"/>
            <w:tcBorders>
              <w:top w:val="nil"/>
              <w:left w:val="nil"/>
              <w:bottom w:val="single" w:sz="4" w:space="0" w:color="auto"/>
              <w:right w:val="single" w:sz="4" w:space="0" w:color="auto"/>
            </w:tcBorders>
            <w:shd w:val="clear" w:color="auto" w:fill="auto"/>
            <w:noWrap/>
            <w:vAlign w:val="center"/>
            <w:hideMark/>
          </w:tcPr>
          <w:p w:rsidR="00830835" w:rsidRPr="000023C6" w:rsidRDefault="00830835" w:rsidP="00830835">
            <w:pPr>
              <w:spacing w:after="0" w:line="240" w:lineRule="auto"/>
              <w:jc w:val="right"/>
              <w:rPr>
                <w:rFonts w:ascii="Barlow" w:hAnsi="Barlow" w:cs="Arial"/>
                <w:color w:val="000000"/>
                <w:sz w:val="20"/>
                <w:szCs w:val="20"/>
              </w:rPr>
            </w:pPr>
            <w:r w:rsidRPr="000023C6">
              <w:rPr>
                <w:rFonts w:ascii="Barlow" w:hAnsi="Barlow" w:cs="Arial"/>
                <w:color w:val="000000"/>
                <w:sz w:val="20"/>
                <w:szCs w:val="20"/>
              </w:rPr>
              <w:t>0.00</w:t>
            </w:r>
          </w:p>
        </w:tc>
        <w:tc>
          <w:tcPr>
            <w:tcW w:w="2986" w:type="dxa"/>
            <w:tcBorders>
              <w:top w:val="nil"/>
              <w:left w:val="nil"/>
              <w:bottom w:val="nil"/>
              <w:right w:val="nil"/>
            </w:tcBorders>
            <w:shd w:val="clear" w:color="auto" w:fill="auto"/>
            <w:vAlign w:val="center"/>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8316" w:type="dxa"/>
            <w:gridSpan w:val="2"/>
            <w:tcBorders>
              <w:top w:val="nil"/>
              <w:left w:val="nil"/>
              <w:bottom w:val="nil"/>
              <w:right w:val="nil"/>
            </w:tcBorders>
            <w:shd w:val="clear" w:color="auto" w:fill="auto"/>
            <w:noWrap/>
            <w:vAlign w:val="bottom"/>
            <w:hideMark/>
          </w:tcPr>
          <w:p w:rsidR="00830835" w:rsidRPr="000023C6" w:rsidRDefault="00830835" w:rsidP="00830835">
            <w:pPr>
              <w:spacing w:after="0" w:line="240" w:lineRule="auto"/>
              <w:rPr>
                <w:rFonts w:ascii="Barlow" w:hAnsi="Barlow" w:cs="Arial"/>
                <w:color w:val="000000"/>
                <w:sz w:val="20"/>
                <w:szCs w:val="20"/>
              </w:rPr>
            </w:pPr>
          </w:p>
        </w:tc>
        <w:tc>
          <w:tcPr>
            <w:tcW w:w="698" w:type="dxa"/>
            <w:tcBorders>
              <w:top w:val="nil"/>
              <w:left w:val="nil"/>
              <w:bottom w:val="nil"/>
              <w:right w:val="nil"/>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p>
        </w:tc>
        <w:tc>
          <w:tcPr>
            <w:tcW w:w="2986" w:type="dxa"/>
            <w:tcBorders>
              <w:top w:val="nil"/>
              <w:left w:val="nil"/>
              <w:bottom w:val="nil"/>
              <w:right w:val="nil"/>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p>
        </w:tc>
      </w:tr>
      <w:tr w:rsidR="00830835" w:rsidRPr="000023C6" w:rsidTr="000023C6">
        <w:trPr>
          <w:trHeight w:val="240"/>
          <w:jc w:val="center"/>
        </w:trPr>
        <w:tc>
          <w:tcPr>
            <w:tcW w:w="831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830835" w:rsidRPr="000023C6" w:rsidRDefault="00830835" w:rsidP="00830835">
            <w:pPr>
              <w:spacing w:after="0" w:line="240" w:lineRule="auto"/>
              <w:rPr>
                <w:rFonts w:ascii="Barlow" w:hAnsi="Barlow" w:cs="Arial"/>
                <w:b/>
                <w:bCs/>
                <w:color w:val="000000"/>
                <w:sz w:val="20"/>
                <w:szCs w:val="20"/>
              </w:rPr>
            </w:pPr>
            <w:r w:rsidRPr="000023C6">
              <w:rPr>
                <w:rFonts w:ascii="Barlow" w:hAnsi="Barlow" w:cs="Arial"/>
                <w:b/>
                <w:bCs/>
                <w:color w:val="000000"/>
                <w:sz w:val="20"/>
                <w:szCs w:val="20"/>
              </w:rPr>
              <w:t>4. Total de Gasto Contable</w:t>
            </w:r>
          </w:p>
        </w:tc>
        <w:tc>
          <w:tcPr>
            <w:tcW w:w="698" w:type="dxa"/>
            <w:tcBorders>
              <w:top w:val="nil"/>
              <w:left w:val="nil"/>
              <w:bottom w:val="nil"/>
              <w:right w:val="nil"/>
            </w:tcBorders>
            <w:shd w:val="clear" w:color="auto" w:fill="auto"/>
            <w:noWrap/>
            <w:vAlign w:val="bottom"/>
            <w:hideMark/>
          </w:tcPr>
          <w:p w:rsidR="00830835" w:rsidRPr="000023C6" w:rsidRDefault="00830835" w:rsidP="00830835">
            <w:pPr>
              <w:spacing w:after="0" w:line="240" w:lineRule="auto"/>
              <w:jc w:val="right"/>
              <w:rPr>
                <w:rFonts w:ascii="Barlow" w:hAnsi="Barlow" w:cs="Arial"/>
                <w:color w:val="000000"/>
                <w:sz w:val="20"/>
                <w:szCs w:val="20"/>
              </w:rPr>
            </w:pPr>
          </w:p>
        </w:tc>
        <w:tc>
          <w:tcPr>
            <w:tcW w:w="298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30835" w:rsidRPr="000023C6" w:rsidRDefault="00830835" w:rsidP="00830835">
            <w:pPr>
              <w:spacing w:after="0" w:line="240" w:lineRule="auto"/>
              <w:jc w:val="right"/>
              <w:rPr>
                <w:rFonts w:ascii="Barlow" w:hAnsi="Barlow" w:cs="Arial"/>
                <w:b/>
                <w:bCs/>
                <w:color w:val="000000"/>
                <w:sz w:val="20"/>
                <w:szCs w:val="20"/>
              </w:rPr>
            </w:pPr>
            <w:r w:rsidRPr="000023C6">
              <w:rPr>
                <w:rFonts w:ascii="Barlow" w:hAnsi="Barlow" w:cs="Arial"/>
                <w:b/>
                <w:bCs/>
                <w:color w:val="000000"/>
                <w:sz w:val="20"/>
                <w:szCs w:val="20"/>
              </w:rPr>
              <w:t>5,904,423.88</w:t>
            </w:r>
          </w:p>
        </w:tc>
      </w:tr>
    </w:tbl>
    <w:p w:rsidR="00A818B2" w:rsidRPr="000023C6" w:rsidRDefault="00A818B2" w:rsidP="000023C6">
      <w:pPr>
        <w:widowControl w:val="0"/>
        <w:autoSpaceDE w:val="0"/>
        <w:autoSpaceDN w:val="0"/>
        <w:adjustRightInd w:val="0"/>
        <w:spacing w:before="26" w:after="0" w:line="240" w:lineRule="auto"/>
        <w:ind w:right="-20"/>
        <w:rPr>
          <w:rFonts w:ascii="Barlow" w:hAnsi="Barlow" w:cs="Calibri"/>
          <w:b/>
          <w:sz w:val="20"/>
          <w:szCs w:val="20"/>
        </w:rPr>
      </w:pPr>
    </w:p>
    <w:p w:rsidR="00155EBA" w:rsidRPr="000023C6" w:rsidRDefault="00155EBA" w:rsidP="00155EBA">
      <w:pPr>
        <w:widowControl w:val="0"/>
        <w:autoSpaceDE w:val="0"/>
        <w:autoSpaceDN w:val="0"/>
        <w:adjustRightInd w:val="0"/>
        <w:spacing w:before="26" w:after="0" w:line="240" w:lineRule="auto"/>
        <w:ind w:left="113" w:right="-20"/>
        <w:jc w:val="center"/>
        <w:rPr>
          <w:rFonts w:ascii="Barlow" w:hAnsi="Barlow"/>
          <w:b/>
          <w:sz w:val="20"/>
          <w:szCs w:val="20"/>
        </w:rPr>
      </w:pPr>
      <w:r w:rsidRPr="000023C6">
        <w:rPr>
          <w:rFonts w:ascii="Barlow" w:hAnsi="Barlow" w:cs="Calibri"/>
          <w:b/>
          <w:sz w:val="20"/>
          <w:szCs w:val="20"/>
        </w:rPr>
        <w:t>b)  NOTAS DE MEMORIA (CUENTAS DE ORDEN)</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Las cuentas de orden se utilizan para registrar movimientos de valores que no afecten o modifiquen el </w:t>
      </w:r>
      <w:r w:rsidR="000023C6" w:rsidRPr="000023C6">
        <w:rPr>
          <w:rFonts w:ascii="Barlow" w:hAnsi="Barlow" w:cs="Calibri"/>
          <w:bCs/>
          <w:color w:val="000000"/>
          <w:sz w:val="20"/>
          <w:szCs w:val="20"/>
        </w:rPr>
        <w:t>balance contable</w:t>
      </w:r>
      <w:r w:rsidRPr="000023C6">
        <w:rPr>
          <w:rFonts w:ascii="Barlow" w:hAnsi="Barlow" w:cs="Calibri"/>
          <w:bCs/>
          <w:color w:val="000000"/>
          <w:sz w:val="20"/>
          <w:szCs w:val="20"/>
        </w:rPr>
        <w:t>. Su incorporación en libros es necesaria con fines de recordatorio contable, de control y en general sobre los aspectos administrativos, o bien, para consignar sus derechos o responsabilidades contingentes que puedan, o no, presentarse en el futuro.</w:t>
      </w:r>
    </w:p>
    <w:p w:rsidR="00155EBA" w:rsidRPr="000023C6" w:rsidRDefault="00155EBA" w:rsidP="00155EBA">
      <w:pPr>
        <w:pStyle w:val="Prrafodelista"/>
        <w:tabs>
          <w:tab w:val="left" w:pos="284"/>
        </w:tabs>
        <w:spacing w:after="0" w:line="240" w:lineRule="auto"/>
        <w:ind w:left="0"/>
        <w:rPr>
          <w:rFonts w:ascii="Barlow" w:hAnsi="Barlow" w:cs="Calibri"/>
          <w:sz w:val="20"/>
          <w:szCs w:val="20"/>
        </w:rPr>
      </w:pP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Las cuentas que se pueden manejar para efectos de estas Notas son las siguientes:</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0023C6" w:rsidRDefault="00155EBA" w:rsidP="00155EBA">
      <w:pPr>
        <w:widowControl w:val="0"/>
        <w:autoSpaceDE w:val="0"/>
        <w:autoSpaceDN w:val="0"/>
        <w:adjustRightInd w:val="0"/>
        <w:spacing w:before="26" w:after="0" w:line="240" w:lineRule="auto"/>
        <w:ind w:right="-20"/>
        <w:rPr>
          <w:rFonts w:ascii="Barlow" w:hAnsi="Barlow" w:cs="Calibri"/>
          <w:b/>
          <w:bCs/>
          <w:color w:val="000000"/>
          <w:sz w:val="20"/>
          <w:szCs w:val="20"/>
        </w:rPr>
      </w:pPr>
      <w:r w:rsidRPr="000023C6">
        <w:rPr>
          <w:rFonts w:ascii="Barlow" w:hAnsi="Barlow" w:cs="Calibri"/>
          <w:b/>
          <w:bCs/>
          <w:color w:val="000000"/>
          <w:sz w:val="20"/>
          <w:szCs w:val="20"/>
        </w:rPr>
        <w:t>Cuentas de Orden Contables y Presupuestarias:</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i/>
          <w:color w:val="000000"/>
          <w:sz w:val="20"/>
          <w:szCs w:val="20"/>
        </w:rPr>
      </w:pPr>
      <w:r w:rsidRPr="000023C6">
        <w:rPr>
          <w:rFonts w:ascii="Barlow" w:hAnsi="Barlow" w:cs="Calibri"/>
          <w:bCs/>
          <w:i/>
          <w:color w:val="000000"/>
          <w:sz w:val="20"/>
          <w:szCs w:val="20"/>
        </w:rPr>
        <w:t>Contables:</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Valores</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Emisión de obligaciones</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Avales y garantías</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Juicios</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Contratos para Inversión Mediante Proyectos para Prestación de Servicios (PPS) y Similares</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Bienes concesionados o en comodato</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i/>
          <w:color w:val="000000"/>
          <w:sz w:val="20"/>
          <w:szCs w:val="20"/>
        </w:rPr>
      </w:pPr>
      <w:r w:rsidRPr="000023C6">
        <w:rPr>
          <w:rFonts w:ascii="Barlow" w:hAnsi="Barlow" w:cs="Calibri"/>
          <w:bCs/>
          <w:i/>
          <w:color w:val="000000"/>
          <w:sz w:val="20"/>
          <w:szCs w:val="20"/>
        </w:rPr>
        <w:lastRenderedPageBreak/>
        <w:t>Presupuestarias:</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Ley de Ingresos Estimada</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Ley de Ingresos por Ejecutar</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Modificaciones a la Ley de Ingresos Estimada</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Ley de Ingresos Devengada</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Ley de Ingresos Recaudada</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Presupuesto de Egresos Aprobado</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Presupuesto de Egresos por Ejercer</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Modificaciones al Presupuesto de Egresos Aprobado</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Presupuesto de Egresos Comprometido</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Presupuesto de Egresos Devengado</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Presupuesto de Egresos Ejercido</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Presupuesto de Egresos Pagado</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Cuentas de Orden Contables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La ESAY cuenta con bienes recibidos en comodato y en concesión a través de convenios celebrados con las siguientes instituciones: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1. Secretaría de la Cultura y las Artes del Gobierno del Estado, (SEDECULTA).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Con esta institución se celebraron los contratos de comodato SEDECULTA-DASJ-COM-121-04-18 y DASJ-CE-063-001-001-003-11 Serie 0026-CE-03 a través de los cuales se recibió mobiliario diverso. La ESAY ha solicitado el valor de los bienes a SEDECULTA y se encuentra en espera de la respuesta para su registro.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2. Secretaría de Administración y Finanzas del Gobierno del Estado (SAF).</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Con esta entidad se celebró un </w:t>
      </w:r>
      <w:r w:rsidR="00435233" w:rsidRPr="000023C6">
        <w:rPr>
          <w:rFonts w:ascii="Barlow" w:hAnsi="Barlow" w:cs="Calibri"/>
          <w:bCs/>
          <w:color w:val="000000"/>
          <w:sz w:val="20"/>
          <w:szCs w:val="20"/>
        </w:rPr>
        <w:t>acuerdo de afectación</w:t>
      </w:r>
      <w:r w:rsidRPr="000023C6">
        <w:rPr>
          <w:rFonts w:ascii="Barlow" w:hAnsi="Barlow" w:cs="Calibri"/>
          <w:bCs/>
          <w:color w:val="000000"/>
          <w:sz w:val="20"/>
          <w:szCs w:val="20"/>
        </w:rPr>
        <w:t xml:space="preserve"> por medio del cual se </w:t>
      </w:r>
      <w:r w:rsidR="00435233" w:rsidRPr="000023C6">
        <w:rPr>
          <w:rFonts w:ascii="Barlow" w:hAnsi="Barlow" w:cs="Calibri"/>
          <w:bCs/>
          <w:color w:val="000000"/>
          <w:sz w:val="20"/>
          <w:szCs w:val="20"/>
        </w:rPr>
        <w:t>formaliza la ocupación</w:t>
      </w:r>
      <w:r w:rsidRPr="000023C6">
        <w:rPr>
          <w:rFonts w:ascii="Barlow" w:hAnsi="Barlow" w:cs="Calibri"/>
          <w:bCs/>
          <w:color w:val="000000"/>
          <w:sz w:val="20"/>
          <w:szCs w:val="20"/>
        </w:rPr>
        <w:t xml:space="preserve"> </w:t>
      </w:r>
      <w:r w:rsidR="00435233" w:rsidRPr="000023C6">
        <w:rPr>
          <w:rFonts w:ascii="Barlow" w:hAnsi="Barlow" w:cs="Calibri"/>
          <w:bCs/>
          <w:color w:val="000000"/>
          <w:sz w:val="20"/>
          <w:szCs w:val="20"/>
        </w:rPr>
        <w:t>d</w:t>
      </w:r>
      <w:r w:rsidRPr="000023C6">
        <w:rPr>
          <w:rFonts w:ascii="Barlow" w:hAnsi="Barlow" w:cs="Calibri"/>
          <w:bCs/>
          <w:color w:val="000000"/>
          <w:sz w:val="20"/>
          <w:szCs w:val="20"/>
        </w:rPr>
        <w:t>el edificio de la Antigua Estación de Ferrocarriles, cede de la Licenciatura en Artes Visuales y oficinas administrativas. Este inmueble es catalogado como un monumento histórico de acuerdo a oficio de contestación por parte de la SAF, motivo por el cual es de un valor incalculable, y para efectos del CONAC se registra a valor de $1.00. Se encuentra registrado en la contabilidad.</w:t>
      </w:r>
    </w:p>
    <w:p w:rsidR="00435233" w:rsidRPr="000023C6" w:rsidRDefault="00435233" w:rsidP="000023C6">
      <w:pPr>
        <w:widowControl w:val="0"/>
        <w:autoSpaceDE w:val="0"/>
        <w:autoSpaceDN w:val="0"/>
        <w:adjustRightInd w:val="0"/>
        <w:spacing w:before="26" w:after="0" w:line="240" w:lineRule="auto"/>
        <w:ind w:right="-20" w:firstLine="113"/>
        <w:jc w:val="both"/>
        <w:rPr>
          <w:rFonts w:ascii="Barlow" w:hAnsi="Barlow" w:cs="Calibri"/>
          <w:bCs/>
          <w:color w:val="000000"/>
          <w:sz w:val="20"/>
          <w:szCs w:val="20"/>
        </w:rPr>
      </w:pPr>
    </w:p>
    <w:p w:rsidR="00155EBA" w:rsidRPr="000023C6" w:rsidRDefault="00435233" w:rsidP="000023C6">
      <w:pPr>
        <w:widowControl w:val="0"/>
        <w:autoSpaceDE w:val="0"/>
        <w:autoSpaceDN w:val="0"/>
        <w:adjustRightInd w:val="0"/>
        <w:spacing w:before="26" w:after="0" w:line="240" w:lineRule="auto"/>
        <w:ind w:left="142" w:right="-20"/>
        <w:jc w:val="both"/>
        <w:rPr>
          <w:rFonts w:ascii="Barlow" w:hAnsi="Barlow" w:cs="Calibri"/>
          <w:bCs/>
          <w:color w:val="000000"/>
          <w:sz w:val="20"/>
          <w:szCs w:val="20"/>
        </w:rPr>
      </w:pPr>
      <w:r w:rsidRPr="000023C6">
        <w:rPr>
          <w:rFonts w:ascii="Barlow" w:hAnsi="Barlow" w:cs="Calibri"/>
          <w:bCs/>
          <w:color w:val="000000"/>
          <w:sz w:val="20"/>
          <w:szCs w:val="20"/>
        </w:rPr>
        <w:t>De igual forma c</w:t>
      </w:r>
      <w:r w:rsidR="00155EBA" w:rsidRPr="000023C6">
        <w:rPr>
          <w:rFonts w:ascii="Barlow" w:hAnsi="Barlow" w:cs="Calibri"/>
          <w:bCs/>
          <w:color w:val="000000"/>
          <w:sz w:val="20"/>
          <w:szCs w:val="20"/>
        </w:rPr>
        <w:t xml:space="preserve">on esta secretaría se celebró un </w:t>
      </w:r>
      <w:r w:rsidRPr="000023C6">
        <w:rPr>
          <w:rFonts w:ascii="Barlow" w:hAnsi="Barlow" w:cs="Calibri"/>
          <w:bCs/>
          <w:color w:val="000000"/>
          <w:sz w:val="20"/>
          <w:szCs w:val="20"/>
        </w:rPr>
        <w:t>acuerdo de afectación</w:t>
      </w:r>
      <w:r w:rsidR="00155EBA" w:rsidRPr="000023C6">
        <w:rPr>
          <w:rFonts w:ascii="Barlow" w:hAnsi="Barlow" w:cs="Calibri"/>
          <w:bCs/>
          <w:color w:val="000000"/>
          <w:sz w:val="20"/>
          <w:szCs w:val="20"/>
        </w:rPr>
        <w:t xml:space="preserve"> </w:t>
      </w:r>
      <w:r w:rsidRPr="000023C6">
        <w:rPr>
          <w:rFonts w:ascii="Barlow" w:hAnsi="Barlow" w:cs="Calibri"/>
          <w:bCs/>
          <w:color w:val="000000"/>
          <w:sz w:val="20"/>
          <w:szCs w:val="20"/>
        </w:rPr>
        <w:t xml:space="preserve">por medio del cual se formaliza la </w:t>
      </w:r>
      <w:r w:rsidR="000023C6" w:rsidRPr="000023C6">
        <w:rPr>
          <w:rFonts w:ascii="Barlow" w:hAnsi="Barlow" w:cs="Calibri"/>
          <w:bCs/>
          <w:color w:val="000000"/>
          <w:sz w:val="20"/>
          <w:szCs w:val="20"/>
        </w:rPr>
        <w:t>ocupación del</w:t>
      </w:r>
      <w:r w:rsidRPr="000023C6">
        <w:rPr>
          <w:rFonts w:ascii="Barlow" w:hAnsi="Barlow" w:cs="Calibri"/>
          <w:bCs/>
          <w:color w:val="000000"/>
          <w:sz w:val="20"/>
          <w:szCs w:val="20"/>
        </w:rPr>
        <w:t xml:space="preserve"> inmueble </w:t>
      </w:r>
      <w:r w:rsidR="00155EBA" w:rsidRPr="000023C6">
        <w:rPr>
          <w:rFonts w:ascii="Barlow" w:hAnsi="Barlow" w:cs="Calibri"/>
          <w:bCs/>
          <w:color w:val="000000"/>
          <w:sz w:val="20"/>
          <w:szCs w:val="20"/>
        </w:rPr>
        <w:t>que es cede de la Licenciatura en Teatro. Su valor es de $2'239,713.42 de acuerdo a oficio de contestación.</w:t>
      </w:r>
    </w:p>
    <w:p w:rsidR="00155EBA" w:rsidRPr="000023C6" w:rsidRDefault="00155EBA" w:rsidP="000023C6">
      <w:pPr>
        <w:widowControl w:val="0"/>
        <w:autoSpaceDE w:val="0"/>
        <w:autoSpaceDN w:val="0"/>
        <w:adjustRightInd w:val="0"/>
        <w:spacing w:before="26" w:after="0" w:line="240" w:lineRule="auto"/>
        <w:ind w:left="142" w:right="-20"/>
        <w:jc w:val="both"/>
        <w:rPr>
          <w:rFonts w:ascii="Barlow" w:hAnsi="Barlow" w:cs="Calibri"/>
          <w:bCs/>
          <w:color w:val="000000"/>
          <w:sz w:val="20"/>
          <w:szCs w:val="20"/>
        </w:rPr>
      </w:pPr>
    </w:p>
    <w:p w:rsidR="00155EBA" w:rsidRPr="000023C6" w:rsidRDefault="00435233"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3</w:t>
      </w:r>
      <w:r w:rsidR="00155EBA" w:rsidRPr="000023C6">
        <w:rPr>
          <w:rFonts w:ascii="Barlow" w:hAnsi="Barlow" w:cs="Calibri"/>
          <w:bCs/>
          <w:color w:val="000000"/>
          <w:sz w:val="20"/>
          <w:szCs w:val="20"/>
        </w:rPr>
        <w:t>. Secretaría de Obras Públicas del Gobierno del Estado.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La Escuela recibió de esta entidad bienes en concesión a través de un acta de entrega de obra. La ESAY se encuentra en espera de la respuesta por parte de la Secretaría en donde informe el valor de los bienes."</w:t>
      </w:r>
      <w:r w:rsidRPr="000023C6">
        <w:rPr>
          <w:rFonts w:ascii="Barlow" w:hAnsi="Barlow" w:cs="Calibri"/>
          <w:bCs/>
          <w:color w:val="000000"/>
          <w:sz w:val="20"/>
          <w:szCs w:val="20"/>
        </w:rPr>
        <w:tab/>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En apego a la indicación recibida por parte de la Junta de Gobierno de la Escuela Superior de Artes de Yucatán en el acta número treinta y ocho del día doce de diciembre del año dos mil catorce, únicamente se han registrado en cuentas de orden los bienes con valores proporcionados por las entidades señaladas de acuerdo a los contratos o documentos que nos entregaron. A </w:t>
      </w:r>
      <w:r w:rsidR="000023C6" w:rsidRPr="000023C6">
        <w:rPr>
          <w:rFonts w:ascii="Barlow" w:hAnsi="Barlow" w:cs="Calibri"/>
          <w:bCs/>
          <w:color w:val="000000"/>
          <w:sz w:val="20"/>
          <w:szCs w:val="20"/>
        </w:rPr>
        <w:t>continuación,</w:t>
      </w:r>
      <w:r w:rsidRPr="000023C6">
        <w:rPr>
          <w:rFonts w:ascii="Barlow" w:hAnsi="Barlow" w:cs="Calibri"/>
          <w:bCs/>
          <w:color w:val="000000"/>
          <w:sz w:val="20"/>
          <w:szCs w:val="20"/>
        </w:rPr>
        <w:t xml:space="preserve"> se presentan las cuentas de orden contables utilizadas para el registro de bienes en concesión y bienes en comodato.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noProof/>
          <w:sz w:val="20"/>
          <w:szCs w:val="20"/>
        </w:rPr>
        <w:drawing>
          <wp:inline distT="0" distB="0" distL="0" distR="0">
            <wp:extent cx="8467725" cy="1162050"/>
            <wp:effectExtent l="0" t="0" r="0" b="0"/>
            <wp:docPr id="2"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67725" cy="1162050"/>
                    </a:xfrm>
                    <a:prstGeom prst="rect">
                      <a:avLst/>
                    </a:prstGeom>
                    <a:noFill/>
                    <a:ln>
                      <a:noFill/>
                    </a:ln>
                  </pic:spPr>
                </pic:pic>
              </a:graphicData>
            </a:graphic>
          </wp:inline>
        </w:drawing>
      </w:r>
    </w:p>
    <w:p w:rsidR="002B3735" w:rsidRPr="000023C6" w:rsidRDefault="002B3735"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2B3735" w:rsidRPr="000023C6" w:rsidRDefault="002B3735"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
          <w:bCs/>
          <w:color w:val="000000"/>
          <w:sz w:val="20"/>
          <w:szCs w:val="20"/>
        </w:rPr>
        <w:t>Cuentas de Orden Presupuestarias</w:t>
      </w: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Cs/>
          <w:color w:val="000000"/>
          <w:sz w:val="20"/>
          <w:szCs w:val="20"/>
        </w:rPr>
        <w:t>A continuación, se presentan las cuentas de orden presupuestarias utilizadas por la institución con los saldos correspondientes al presente mes:</w:t>
      </w:r>
    </w:p>
    <w:p w:rsidR="00155EBA" w:rsidRPr="000023C6" w:rsidRDefault="00155EBA" w:rsidP="00155EBA">
      <w:pPr>
        <w:pStyle w:val="Prrafodelista"/>
        <w:tabs>
          <w:tab w:val="left" w:pos="284"/>
        </w:tabs>
        <w:spacing w:after="0" w:line="240" w:lineRule="auto"/>
        <w:ind w:left="0"/>
        <w:rPr>
          <w:rFonts w:ascii="Barlow" w:hAnsi="Barlow"/>
          <w:noProof/>
          <w:sz w:val="20"/>
          <w:szCs w:val="20"/>
          <w:lang w:val="es-ES" w:eastAsia="es-ES"/>
        </w:rPr>
      </w:pPr>
    </w:p>
    <w:p w:rsidR="00155EBA" w:rsidRPr="000023C6" w:rsidRDefault="00155EBA" w:rsidP="00155EBA">
      <w:pPr>
        <w:pStyle w:val="Prrafodelista"/>
        <w:tabs>
          <w:tab w:val="left" w:pos="284"/>
        </w:tabs>
        <w:spacing w:after="0" w:line="240" w:lineRule="auto"/>
        <w:ind w:left="0"/>
        <w:rPr>
          <w:rFonts w:ascii="Barlow" w:hAnsi="Barlow"/>
          <w:sz w:val="20"/>
          <w:szCs w:val="20"/>
        </w:rPr>
      </w:pPr>
    </w:p>
    <w:p w:rsidR="00155EBA" w:rsidRPr="000023C6" w:rsidRDefault="00A67C14" w:rsidP="00155EBA">
      <w:pPr>
        <w:pStyle w:val="Prrafodelista"/>
        <w:tabs>
          <w:tab w:val="left" w:pos="284"/>
        </w:tabs>
        <w:spacing w:after="0" w:line="240" w:lineRule="auto"/>
        <w:ind w:left="0"/>
        <w:rPr>
          <w:rFonts w:ascii="Barlow" w:hAnsi="Barlow" w:cs="Calibri"/>
          <w:sz w:val="20"/>
          <w:szCs w:val="20"/>
        </w:rPr>
      </w:pPr>
      <w:r w:rsidRPr="000023C6">
        <w:rPr>
          <w:rFonts w:ascii="Barlow" w:hAnsi="Barlow"/>
          <w:noProof/>
          <w:sz w:val="20"/>
          <w:szCs w:val="20"/>
          <w:lang w:eastAsia="es-MX"/>
        </w:rPr>
        <w:lastRenderedPageBreak/>
        <w:drawing>
          <wp:inline distT="0" distB="0" distL="0" distR="0">
            <wp:extent cx="8618220" cy="2512157"/>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8618220" cy="2512157"/>
                    </a:xfrm>
                    <a:prstGeom prst="rect">
                      <a:avLst/>
                    </a:prstGeom>
                    <a:noFill/>
                    <a:ln w="9525">
                      <a:noFill/>
                      <a:miter lim="800000"/>
                      <a:headEnd/>
                      <a:tailEnd/>
                    </a:ln>
                  </pic:spPr>
                </pic:pic>
              </a:graphicData>
            </a:graphic>
          </wp:inline>
        </w:drawing>
      </w:r>
    </w:p>
    <w:p w:rsidR="00155EBA" w:rsidRPr="000023C6" w:rsidRDefault="00155EBA" w:rsidP="00155EBA">
      <w:pPr>
        <w:pStyle w:val="Prrafodelista"/>
        <w:tabs>
          <w:tab w:val="left" w:pos="284"/>
        </w:tabs>
        <w:spacing w:after="0" w:line="240" w:lineRule="auto"/>
        <w:jc w:val="center"/>
        <w:rPr>
          <w:rFonts w:ascii="Barlow" w:eastAsia="Times New Roman" w:hAnsi="Barlow" w:cs="Calibri"/>
          <w:b/>
          <w:color w:val="000000"/>
          <w:sz w:val="20"/>
          <w:szCs w:val="20"/>
          <w:lang w:val="es-ES" w:eastAsia="es-ES"/>
        </w:rPr>
      </w:pPr>
    </w:p>
    <w:p w:rsidR="00155EBA" w:rsidRPr="000023C6" w:rsidRDefault="00155EBA" w:rsidP="00155EBA">
      <w:pPr>
        <w:pStyle w:val="Prrafodelista"/>
        <w:tabs>
          <w:tab w:val="left" w:pos="284"/>
        </w:tabs>
        <w:spacing w:after="0" w:line="240" w:lineRule="auto"/>
        <w:jc w:val="center"/>
        <w:rPr>
          <w:rFonts w:ascii="Barlow" w:hAnsi="Barlow" w:cs="Calibri"/>
          <w:b/>
          <w:sz w:val="20"/>
          <w:szCs w:val="20"/>
        </w:rPr>
      </w:pPr>
      <w:r w:rsidRPr="000023C6">
        <w:rPr>
          <w:rFonts w:ascii="Barlow" w:eastAsia="Times New Roman" w:hAnsi="Barlow" w:cs="Calibri"/>
          <w:b/>
          <w:color w:val="000000"/>
          <w:sz w:val="20"/>
          <w:szCs w:val="20"/>
          <w:lang w:val="es-ES" w:eastAsia="es-ES"/>
        </w:rPr>
        <w:t>c) NOTAS DE GESTIÓN ADMINISTRATIVA</w:t>
      </w:r>
    </w:p>
    <w:p w:rsidR="00155EBA" w:rsidRPr="000023C6" w:rsidRDefault="00155EBA" w:rsidP="00155EBA">
      <w:pPr>
        <w:pStyle w:val="Prrafodelista"/>
        <w:tabs>
          <w:tab w:val="left" w:pos="284"/>
        </w:tabs>
        <w:spacing w:after="0" w:line="240" w:lineRule="auto"/>
        <w:ind w:left="0"/>
        <w:rPr>
          <w:rFonts w:ascii="Barlow" w:hAnsi="Barlow" w:cs="Calibri"/>
          <w:sz w:val="20"/>
          <w:szCs w:val="20"/>
        </w:rPr>
      </w:pP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1. Introducción</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Los Estados Financieros de la Escuela Superior de Artes de Yucatán proveen de información financiera a los principales usuarios de la misma, al Congreso y a los ciudadanos.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El objetivo del presente documento es la revelación del contexto y de los aspectos económicos-financieros más relevantes que influyeron en las decisiones del período, y que deberán ser considerados en le elaboración de los Estados Financieros para la mayor comprensión de los mismos y sus particularidades.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lastRenderedPageBreak/>
        <w:t>2. Panorama Económico y Financiero</w:t>
      </w:r>
    </w:p>
    <w:p w:rsidR="007074A0" w:rsidRPr="000023C6" w:rsidRDefault="007074A0"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777219" w:rsidRPr="000023C6" w:rsidRDefault="00777219"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Ante el desaprovechamiento de las ventajas competitivas y comparativas del estado, se busca mejorar el desempeño de las políticas, programas y proyectos de la Administración Pública para </w:t>
      </w:r>
      <w:r w:rsidR="000023C6" w:rsidRPr="000023C6">
        <w:rPr>
          <w:rFonts w:ascii="Barlow" w:hAnsi="Barlow" w:cs="Calibri"/>
          <w:bCs/>
          <w:color w:val="000000"/>
          <w:sz w:val="20"/>
          <w:szCs w:val="20"/>
        </w:rPr>
        <w:t>tener niveles</w:t>
      </w:r>
      <w:r w:rsidRPr="000023C6">
        <w:rPr>
          <w:rFonts w:ascii="Barlow" w:hAnsi="Barlow" w:cs="Calibri"/>
          <w:bCs/>
          <w:color w:val="000000"/>
          <w:sz w:val="20"/>
          <w:szCs w:val="20"/>
        </w:rPr>
        <w:t xml:space="preserve"> óptimos de crecimiento, desarrollo económico, productividad e inclusión social que permita ejercer los derechos económicos con la finalidad de lograr la eficiencia, austeridad, apertura, transparencia, innovación, honestidad y ser financieramente sostenible.</w:t>
      </w:r>
    </w:p>
    <w:p w:rsidR="00777219" w:rsidRPr="000023C6" w:rsidRDefault="00777219"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777219" w:rsidRPr="000023C6" w:rsidRDefault="00777219"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A pesar de la difícil situación financiera a nivel nacional, se buscaron alternativas y convenios para poder llevar a cabo de la mejor manera posible los programas educativos planteados y establecer bases firmes para un crecimiento ordenado y transparente.</w:t>
      </w:r>
    </w:p>
    <w:p w:rsidR="00777219" w:rsidRPr="000023C6" w:rsidRDefault="00777219"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3. Autorización e Historia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La Escuela Superior de Artes de Yucatán, es un organismo público descentralizado de la Administración Pública estatal con personalidad jurídica y patrimonio propio que fue constituido de conformidad a las leyes </w:t>
      </w:r>
      <w:r w:rsidR="000023C6" w:rsidRPr="000023C6">
        <w:rPr>
          <w:rFonts w:ascii="Barlow" w:hAnsi="Barlow" w:cs="Calibri"/>
          <w:bCs/>
          <w:color w:val="000000"/>
          <w:sz w:val="20"/>
          <w:szCs w:val="20"/>
        </w:rPr>
        <w:t>mexicanas</w:t>
      </w:r>
      <w:r w:rsidRPr="000023C6">
        <w:rPr>
          <w:rFonts w:ascii="Barlow" w:hAnsi="Barlow" w:cs="Calibri"/>
          <w:bCs/>
          <w:color w:val="000000"/>
          <w:sz w:val="20"/>
          <w:szCs w:val="20"/>
        </w:rPr>
        <w:t xml:space="preserve"> el 25 de </w:t>
      </w:r>
      <w:r w:rsidR="000023C6" w:rsidRPr="000023C6">
        <w:rPr>
          <w:rFonts w:ascii="Barlow" w:hAnsi="Barlow" w:cs="Calibri"/>
          <w:bCs/>
          <w:color w:val="000000"/>
          <w:sz w:val="20"/>
          <w:szCs w:val="20"/>
        </w:rPr>
        <w:t>junio</w:t>
      </w:r>
      <w:r w:rsidRPr="000023C6">
        <w:rPr>
          <w:rFonts w:ascii="Barlow" w:hAnsi="Barlow" w:cs="Calibri"/>
          <w:bCs/>
          <w:color w:val="000000"/>
          <w:sz w:val="20"/>
          <w:szCs w:val="20"/>
        </w:rPr>
        <w:t xml:space="preserve"> de 2004, según decreto de creación </w:t>
      </w:r>
      <w:r w:rsidR="000023C6" w:rsidRPr="000023C6">
        <w:rPr>
          <w:rFonts w:ascii="Barlow" w:hAnsi="Barlow" w:cs="Calibri"/>
          <w:bCs/>
          <w:color w:val="000000"/>
          <w:sz w:val="20"/>
          <w:szCs w:val="20"/>
        </w:rPr>
        <w:t>número</w:t>
      </w:r>
      <w:r w:rsidRPr="000023C6">
        <w:rPr>
          <w:rFonts w:ascii="Barlow" w:hAnsi="Barlow" w:cs="Calibri"/>
          <w:bCs/>
          <w:color w:val="000000"/>
          <w:sz w:val="20"/>
          <w:szCs w:val="20"/>
        </w:rPr>
        <w:t xml:space="preserve"> 523/2004. El 8 de mayo de 2017, se publicó </w:t>
      </w:r>
      <w:r w:rsidR="000023C6" w:rsidRPr="000023C6">
        <w:rPr>
          <w:rFonts w:ascii="Barlow" w:hAnsi="Barlow" w:cs="Calibri"/>
          <w:bCs/>
          <w:color w:val="000000"/>
          <w:sz w:val="20"/>
          <w:szCs w:val="20"/>
        </w:rPr>
        <w:t>en Diario</w:t>
      </w:r>
      <w:r w:rsidRPr="000023C6">
        <w:rPr>
          <w:rFonts w:ascii="Barlow" w:hAnsi="Barlow" w:cs="Calibri"/>
          <w:bCs/>
          <w:color w:val="000000"/>
          <w:sz w:val="20"/>
          <w:szCs w:val="20"/>
        </w:rPr>
        <w:t xml:space="preserve"> Oficial del Gobierno del Estado el decreto 469/2017, mediante el cual se regula a la Escuela y por </w:t>
      </w:r>
      <w:r w:rsidR="000023C6" w:rsidRPr="000023C6">
        <w:rPr>
          <w:rFonts w:ascii="Barlow" w:hAnsi="Barlow" w:cs="Calibri"/>
          <w:bCs/>
          <w:color w:val="000000"/>
          <w:sz w:val="20"/>
          <w:szCs w:val="20"/>
        </w:rPr>
        <w:t>él</w:t>
      </w:r>
      <w:r w:rsidRPr="000023C6">
        <w:rPr>
          <w:rFonts w:ascii="Barlow" w:hAnsi="Barlow" w:cs="Calibri"/>
          <w:bCs/>
          <w:color w:val="000000"/>
          <w:sz w:val="20"/>
          <w:szCs w:val="20"/>
        </w:rPr>
        <w:t xml:space="preserve"> se abroga el decreto 523/2004. </w:t>
      </w:r>
    </w:p>
    <w:p w:rsidR="00155EBA" w:rsidRPr="000023C6" w:rsidRDefault="00155EBA" w:rsidP="000023C6">
      <w:pPr>
        <w:spacing w:after="0" w:line="240" w:lineRule="auto"/>
        <w:jc w:val="both"/>
        <w:rPr>
          <w:rFonts w:ascii="Barlow" w:hAnsi="Barlow" w:cs="Calibri"/>
          <w:color w:val="000000"/>
          <w:sz w:val="20"/>
          <w:szCs w:val="20"/>
          <w:lang w:val="es-ES" w:eastAsia="es-ES"/>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4. Organización y Objeto Social</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right="-20"/>
        <w:jc w:val="both"/>
        <w:rPr>
          <w:rFonts w:ascii="Barlow" w:hAnsi="Barlow" w:cs="Calibri"/>
          <w:b/>
          <w:bCs/>
          <w:color w:val="000000"/>
          <w:sz w:val="20"/>
          <w:szCs w:val="20"/>
        </w:rPr>
      </w:pPr>
      <w:r w:rsidRPr="000023C6">
        <w:rPr>
          <w:rFonts w:ascii="Barlow" w:hAnsi="Barlow" w:cs="Calibri"/>
          <w:b/>
          <w:bCs/>
          <w:color w:val="000000"/>
          <w:sz w:val="20"/>
          <w:szCs w:val="20"/>
        </w:rPr>
        <w:t xml:space="preserve">  a) Objeto Social</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La Escuela Superior de Artes de Yucatán (ESAY) es una institución pública de educación superior del Gobierno del Estado, tiene por objeto formar profesionistas, creadores, ejecutantes, críticos, investigadores, docentes especializados, promotores y administradores culturales en artes escénicas, visuales, música y todas aquellas disciplinas relacionadas con la actividad artística.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Misión</w:t>
      </w:r>
      <w:r w:rsidRPr="000023C6">
        <w:rPr>
          <w:rFonts w:ascii="Barlow" w:hAnsi="Barlow" w:cs="Calibri"/>
          <w:bCs/>
          <w:color w:val="000000"/>
          <w:sz w:val="20"/>
          <w:szCs w:val="20"/>
        </w:rPr>
        <w:t>. Contribuir al desarrollo social y humano a través de la formación de profesionales de alto nivel y de actividades académicas y culturales que generen un movimiento innovador que valore la tradición y promueva la creación.</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Visión</w:t>
      </w:r>
      <w:r w:rsidRPr="000023C6">
        <w:rPr>
          <w:rFonts w:ascii="Barlow" w:hAnsi="Barlow" w:cs="Calibri"/>
          <w:bCs/>
          <w:color w:val="000000"/>
          <w:sz w:val="20"/>
          <w:szCs w:val="20"/>
        </w:rPr>
        <w:t xml:space="preserve">. Generar un movimiento artístico original en el que se armonicen las expresiones clásicas y de vanguardia dentro de un marco de rigor académico profesional que beneficie a la sociedad, promoviendo la formación de individuos con visión amplia, universal y contemporánea.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Como parte de las atribuciones de la </w:t>
      </w:r>
      <w:r w:rsidR="000023C6" w:rsidRPr="000023C6">
        <w:rPr>
          <w:rFonts w:ascii="Barlow" w:hAnsi="Barlow" w:cs="Calibri"/>
          <w:bCs/>
          <w:color w:val="000000"/>
          <w:sz w:val="20"/>
          <w:szCs w:val="20"/>
        </w:rPr>
        <w:t>Escuela se</w:t>
      </w:r>
      <w:r w:rsidRPr="000023C6">
        <w:rPr>
          <w:rFonts w:ascii="Barlow" w:hAnsi="Barlow" w:cs="Calibri"/>
          <w:bCs/>
          <w:color w:val="000000"/>
          <w:sz w:val="20"/>
          <w:szCs w:val="20"/>
        </w:rPr>
        <w:t xml:space="preserve"> encuentran, diseñar programas de extensión cultural orientados a la comunidad artística y público en general, asesorar en materia de arte y cultura a los organismos públicos y privados que lo </w:t>
      </w:r>
      <w:r w:rsidR="000023C6" w:rsidRPr="000023C6">
        <w:rPr>
          <w:rFonts w:ascii="Barlow" w:hAnsi="Barlow" w:cs="Calibri"/>
          <w:bCs/>
          <w:color w:val="000000"/>
          <w:sz w:val="20"/>
          <w:szCs w:val="20"/>
        </w:rPr>
        <w:t>requieran, realizar</w:t>
      </w:r>
      <w:r w:rsidRPr="000023C6">
        <w:rPr>
          <w:rFonts w:ascii="Barlow" w:hAnsi="Barlow" w:cs="Calibri"/>
          <w:bCs/>
          <w:color w:val="000000"/>
          <w:sz w:val="20"/>
          <w:szCs w:val="20"/>
        </w:rPr>
        <w:t xml:space="preserve"> investigación y difusión en las áreas de su competencia, entre otras. Su oferta educativa es la siguiente:</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lastRenderedPageBreak/>
        <w:t>Licenciatura en Teatro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Licenciatura en Artes Musicales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Licenciatura en Artes Visuales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Licenciatura en Educación Artística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Licenciatura en Docencia de la Danza Clásica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t>b) Principales actividades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I.- Formular sus planes y programas de estudio y establecer los procedimientos de acreditación y certificación de estudios de sus egresados.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II.- Impartir educación superior en las áreas de arte y cultura, así como realizar actividades de extensión académica y cultural.</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III.- Expedir certificados y otorgar constancias, diplomas, títulos profesionales, grados y distinciones académicas.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IV.- Revalidar y otorgar equivalencias de estudios de nivel superior realizados en instituciones educativas extranjeras y nacionales, cuando el objeto sea la inscripción en alguno de los planes y programas de estudio que imparte.</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V.- Fomentar la colaboración y </w:t>
      </w:r>
      <w:r w:rsidR="000023C6" w:rsidRPr="000023C6">
        <w:rPr>
          <w:rFonts w:ascii="Barlow" w:hAnsi="Barlow" w:cs="Calibri"/>
          <w:bCs/>
          <w:color w:val="000000"/>
          <w:sz w:val="20"/>
          <w:szCs w:val="20"/>
        </w:rPr>
        <w:t>vinculación,</w:t>
      </w:r>
      <w:r w:rsidRPr="000023C6">
        <w:rPr>
          <w:rFonts w:ascii="Barlow" w:hAnsi="Barlow" w:cs="Calibri"/>
          <w:bCs/>
          <w:color w:val="000000"/>
          <w:sz w:val="20"/>
          <w:szCs w:val="20"/>
        </w:rPr>
        <w:t xml:space="preserve"> así como la creación de redes de intercambio y cooperación académica, entre instituciones de educación superior y centros de investigación, sean nacionales o internacionales, en materia de arte y cultura.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VI.- Celebrar convenios con instituciones de arte, cultura y educación, para el intercambio de actividades académicas y de extensión.</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VII.- Fomentar la evaluación interna y externa para la acreditación de los programas académicos, a fin de mejorar la calidad educativa.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VIII.- Promover la movilidad de docentes y estudiantes con instituciones de educación superior, arte y cultura nacionales o internacionales.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IX.- Fomentar la internacionalización de los programas académicos para la proyección de estudiantes y docentes de la Escuela Superior de Artes de Yucatán.</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X.- Establecer la normativa que regule sus aspectos académicos, administrativos y laborales, respetando la libertad de cátedra e investigación.</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XI.- Instituir premios, estímulos y recompensas para reconocer la labor en favor de la educación artística, el arte y la cultura, realizada por personas, organizaciones o instituciones.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XII.- Estimular la formación y capacitación de investigadores y vinculadores de la Escuela Superior de Artes de Yucatán</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XIII.- Realizar toda clase de actos necesarios para el logro de sus objetivos y el cumplimiento de sus atribuciones.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2B3735" w:rsidRDefault="002B3735"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0023C6" w:rsidRP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lastRenderedPageBreak/>
        <w:t>c) Ejercicio Fiscal</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El ejercicio fiscal </w:t>
      </w:r>
      <w:r w:rsidR="000023C6" w:rsidRPr="000023C6">
        <w:rPr>
          <w:rFonts w:ascii="Barlow" w:hAnsi="Barlow" w:cs="Calibri"/>
          <w:bCs/>
          <w:color w:val="000000"/>
          <w:sz w:val="20"/>
          <w:szCs w:val="20"/>
        </w:rPr>
        <w:t>inicia el</w:t>
      </w:r>
      <w:r w:rsidRPr="000023C6">
        <w:rPr>
          <w:rFonts w:ascii="Barlow" w:hAnsi="Barlow" w:cs="Calibri"/>
          <w:bCs/>
          <w:color w:val="000000"/>
          <w:sz w:val="20"/>
          <w:szCs w:val="20"/>
        </w:rPr>
        <w:t xml:space="preserve"> día primero de </w:t>
      </w:r>
      <w:r w:rsidR="000023C6" w:rsidRPr="000023C6">
        <w:rPr>
          <w:rFonts w:ascii="Barlow" w:hAnsi="Barlow" w:cs="Calibri"/>
          <w:bCs/>
          <w:color w:val="000000"/>
          <w:sz w:val="20"/>
          <w:szCs w:val="20"/>
        </w:rPr>
        <w:t>enero</w:t>
      </w:r>
      <w:r w:rsidRPr="000023C6">
        <w:rPr>
          <w:rFonts w:ascii="Barlow" w:hAnsi="Barlow" w:cs="Calibri"/>
          <w:bCs/>
          <w:color w:val="000000"/>
          <w:sz w:val="20"/>
          <w:szCs w:val="20"/>
        </w:rPr>
        <w:t xml:space="preserve"> y termina el día treinta y uno</w:t>
      </w:r>
      <w:r w:rsidR="007074A0" w:rsidRPr="000023C6">
        <w:rPr>
          <w:rFonts w:ascii="Barlow" w:hAnsi="Barlow" w:cs="Calibri"/>
          <w:bCs/>
          <w:color w:val="000000"/>
          <w:sz w:val="20"/>
          <w:szCs w:val="20"/>
        </w:rPr>
        <w:t xml:space="preserve"> de </w:t>
      </w:r>
      <w:r w:rsidR="000023C6" w:rsidRPr="000023C6">
        <w:rPr>
          <w:rFonts w:ascii="Barlow" w:hAnsi="Barlow" w:cs="Calibri"/>
          <w:bCs/>
          <w:color w:val="000000"/>
          <w:sz w:val="20"/>
          <w:szCs w:val="20"/>
        </w:rPr>
        <w:t>diciembre</w:t>
      </w:r>
      <w:r w:rsidRPr="000023C6">
        <w:rPr>
          <w:rFonts w:ascii="Barlow" w:hAnsi="Barlow" w:cs="Calibri"/>
          <w:bCs/>
          <w:color w:val="000000"/>
          <w:sz w:val="20"/>
          <w:szCs w:val="20"/>
        </w:rPr>
        <w:t xml:space="preserve"> de cada año.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t>d) Régimen Jurídico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La Escuela Superior de Artes de Yucatán, como organismo público descentralizado del Gobierno del Estado fue constituida de conformidad a las leyes </w:t>
      </w:r>
      <w:r w:rsidR="000023C6" w:rsidRPr="000023C6">
        <w:rPr>
          <w:rFonts w:ascii="Barlow" w:hAnsi="Barlow" w:cs="Calibri"/>
          <w:bCs/>
          <w:color w:val="000000"/>
          <w:sz w:val="20"/>
          <w:szCs w:val="20"/>
        </w:rPr>
        <w:t>mexicanas</w:t>
      </w:r>
      <w:r w:rsidRPr="000023C6">
        <w:rPr>
          <w:rFonts w:ascii="Barlow" w:hAnsi="Barlow" w:cs="Calibri"/>
          <w:bCs/>
          <w:color w:val="000000"/>
          <w:sz w:val="20"/>
          <w:szCs w:val="20"/>
        </w:rPr>
        <w:t>. Las actividades realizadas por la Escuela para el logro de sus objetivos y el cumplimiento de sus atribuciones, se rigen por lo dispuesto en lo siguiente:</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pStyle w:val="Prrafodelista"/>
        <w:numPr>
          <w:ilvl w:val="0"/>
          <w:numId w:val="6"/>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Constitución Política de los Estados Unidos Mexicanos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6"/>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Constitución Política del Estado de Yucatán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747173" w:rsidRPr="000023C6" w:rsidRDefault="00747173" w:rsidP="000023C6">
      <w:pPr>
        <w:spacing w:after="0" w:line="240" w:lineRule="auto"/>
        <w:jc w:val="both"/>
        <w:rPr>
          <w:rFonts w:ascii="Barlow" w:hAnsi="Barlow" w:cs="Calibri"/>
          <w:bCs/>
          <w:color w:val="000000"/>
          <w:sz w:val="20"/>
          <w:szCs w:val="20"/>
        </w:rPr>
      </w:pPr>
      <w:r w:rsidRPr="000023C6">
        <w:rPr>
          <w:rFonts w:ascii="Barlow" w:hAnsi="Barlow" w:cs="Calibri"/>
          <w:bCs/>
          <w:color w:val="000000"/>
          <w:sz w:val="20"/>
          <w:szCs w:val="20"/>
        </w:rPr>
        <w:t>L</w:t>
      </w:r>
      <w:r w:rsidR="00D11386" w:rsidRPr="000023C6">
        <w:rPr>
          <w:rFonts w:ascii="Barlow" w:hAnsi="Barlow" w:cs="Calibri"/>
          <w:bCs/>
          <w:color w:val="000000"/>
          <w:sz w:val="20"/>
          <w:szCs w:val="20"/>
        </w:rPr>
        <w:t xml:space="preserve">eyes </w:t>
      </w:r>
      <w:r w:rsidRPr="000023C6">
        <w:rPr>
          <w:rFonts w:ascii="Barlow" w:hAnsi="Barlow" w:cs="Calibri"/>
          <w:bCs/>
          <w:color w:val="000000"/>
          <w:sz w:val="20"/>
          <w:szCs w:val="20"/>
        </w:rPr>
        <w:t>/C</w:t>
      </w:r>
      <w:r w:rsidR="00D11386" w:rsidRPr="000023C6">
        <w:rPr>
          <w:rFonts w:ascii="Barlow" w:hAnsi="Barlow" w:cs="Calibri"/>
          <w:bCs/>
          <w:color w:val="000000"/>
          <w:sz w:val="20"/>
          <w:szCs w:val="20"/>
        </w:rPr>
        <w:t>ódigos</w:t>
      </w:r>
      <w:r w:rsidRPr="000023C6">
        <w:rPr>
          <w:rFonts w:ascii="Barlow" w:hAnsi="Barlow" w:cs="Calibri"/>
          <w:bCs/>
          <w:color w:val="000000"/>
          <w:sz w:val="20"/>
          <w:szCs w:val="20"/>
        </w:rPr>
        <w:t xml:space="preserve"> F</w:t>
      </w:r>
      <w:r w:rsidR="00D11386" w:rsidRPr="000023C6">
        <w:rPr>
          <w:rFonts w:ascii="Barlow" w:hAnsi="Barlow" w:cs="Calibri"/>
          <w:bCs/>
          <w:color w:val="000000"/>
          <w:sz w:val="20"/>
          <w:szCs w:val="20"/>
        </w:rPr>
        <w:t>ederales</w:t>
      </w:r>
    </w:p>
    <w:p w:rsidR="00155EBA" w:rsidRPr="000023C6" w:rsidRDefault="00155EBA" w:rsidP="000023C6">
      <w:pPr>
        <w:pStyle w:val="Prrafodelista"/>
        <w:numPr>
          <w:ilvl w:val="0"/>
          <w:numId w:val="7"/>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Adquisiciones, Arrendamientos y Servicios del Sector Público</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7"/>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Disciplina Financiera de las Entidades Federativas y los Municipios</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7"/>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de Firma Electrónica Avanzada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7"/>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de Fiscalización y Rendición de Cuentas de la Federación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7"/>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del Impuesto al Valor Agregado</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9"/>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Impuesto Sobre la Renta</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747173" w:rsidRPr="000023C6" w:rsidRDefault="00155EBA" w:rsidP="000023C6">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Federal del Trabajo</w:t>
      </w:r>
    </w:p>
    <w:p w:rsidR="00747173" w:rsidRPr="000023C6" w:rsidRDefault="00747173" w:rsidP="000023C6">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Coordinación Fiscal</w:t>
      </w:r>
    </w:p>
    <w:p w:rsidR="00747173" w:rsidRPr="000023C6" w:rsidRDefault="00747173" w:rsidP="000023C6">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para la Coordinación de la Educación Superior</w:t>
      </w:r>
    </w:p>
    <w:p w:rsidR="00747173" w:rsidRPr="000023C6" w:rsidRDefault="00747173" w:rsidP="000023C6">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Migración_07_01_2021.</w:t>
      </w:r>
    </w:p>
    <w:p w:rsidR="00747173" w:rsidRPr="000023C6" w:rsidRDefault="00747173" w:rsidP="000023C6">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 Ley Federal sobre Monumentos y Zonas Arqueológicos, Artísticos e Históricos</w:t>
      </w:r>
    </w:p>
    <w:p w:rsidR="00747173" w:rsidRPr="000023C6" w:rsidRDefault="00747173" w:rsidP="000023C6">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 Ley de Ayuda Alimentaria para los Trabajadores</w:t>
      </w:r>
    </w:p>
    <w:p w:rsidR="00747173" w:rsidRPr="000023C6" w:rsidRDefault="00747173" w:rsidP="000023C6">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Federal de Deuda Pública</w:t>
      </w:r>
    </w:p>
    <w:p w:rsidR="00155EBA" w:rsidRPr="000023C6" w:rsidRDefault="00747173" w:rsidP="000023C6">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 Reglamento de la Ley Reglamentaria del Artículo 5o. Constitucional, Relativo al Ejercicio de las Profesiones en la Ciudad de México</w:t>
      </w:r>
    </w:p>
    <w:p w:rsidR="00155EBA" w:rsidRPr="000023C6" w:rsidRDefault="00155EBA" w:rsidP="000023C6">
      <w:pPr>
        <w:pStyle w:val="Prrafodelista"/>
        <w:numPr>
          <w:ilvl w:val="0"/>
          <w:numId w:val="10"/>
        </w:numPr>
        <w:spacing w:after="0"/>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General de Contabilidad Gubernamental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0"/>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General de Protección de Datos Personales en Posesión de Sujetos Obligados</w:t>
      </w:r>
    </w:p>
    <w:p w:rsidR="00155EBA" w:rsidRPr="000023C6" w:rsidRDefault="00155EBA" w:rsidP="000023C6">
      <w:pPr>
        <w:pStyle w:val="Prrafodelista"/>
        <w:numPr>
          <w:ilvl w:val="0"/>
          <w:numId w:val="10"/>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General de Transparencia y Acceso a la Información Pública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0"/>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lastRenderedPageBreak/>
        <w:t>Ley General para el Control del Tabaco</w:t>
      </w:r>
      <w:r w:rsidRPr="000023C6">
        <w:rPr>
          <w:rFonts w:ascii="Barlow" w:eastAsia="Times New Roman" w:hAnsi="Barlow" w:cs="Calibri"/>
          <w:bCs/>
          <w:color w:val="000000"/>
          <w:sz w:val="20"/>
          <w:szCs w:val="20"/>
          <w:lang w:eastAsia="es-MX"/>
        </w:rPr>
        <w:tab/>
      </w:r>
    </w:p>
    <w:p w:rsidR="00747173" w:rsidRPr="000023C6" w:rsidRDefault="00747173" w:rsidP="000023C6">
      <w:pPr>
        <w:pStyle w:val="Prrafodelista"/>
        <w:numPr>
          <w:ilvl w:val="0"/>
          <w:numId w:val="10"/>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General de Educación</w:t>
      </w:r>
      <w:r w:rsidRPr="000023C6">
        <w:rPr>
          <w:rFonts w:ascii="Barlow" w:eastAsia="Times New Roman" w:hAnsi="Barlow" w:cs="Calibri"/>
          <w:bCs/>
          <w:color w:val="000000"/>
          <w:sz w:val="20"/>
          <w:szCs w:val="20"/>
          <w:lang w:eastAsia="es-MX"/>
        </w:rPr>
        <w:tab/>
      </w:r>
    </w:p>
    <w:p w:rsidR="00747173" w:rsidRPr="000023C6" w:rsidRDefault="00747173" w:rsidP="000023C6">
      <w:pPr>
        <w:pStyle w:val="Prrafodelista"/>
        <w:numPr>
          <w:ilvl w:val="0"/>
          <w:numId w:val="10"/>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del Seguro Social_16_12_2020</w:t>
      </w:r>
    </w:p>
    <w:p w:rsidR="00747173" w:rsidRPr="000023C6" w:rsidRDefault="00747173" w:rsidP="000023C6">
      <w:pPr>
        <w:pStyle w:val="Prrafodelista"/>
        <w:numPr>
          <w:ilvl w:val="0"/>
          <w:numId w:val="10"/>
        </w:numPr>
        <w:spacing w:after="0" w:line="240" w:lineRule="auto"/>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Federal de Derechos de Autor_01_07_2020</w:t>
      </w:r>
    </w:p>
    <w:p w:rsidR="00747173" w:rsidRPr="000023C6" w:rsidRDefault="00747173" w:rsidP="000023C6">
      <w:pPr>
        <w:pStyle w:val="Prrafodelista"/>
        <w:jc w:val="both"/>
        <w:rPr>
          <w:rFonts w:ascii="Barlow" w:eastAsia="Times New Roman" w:hAnsi="Barlow" w:cs="Calibri"/>
          <w:bCs/>
          <w:color w:val="000000"/>
          <w:sz w:val="20"/>
          <w:szCs w:val="20"/>
          <w:lang w:eastAsia="es-MX"/>
        </w:rPr>
      </w:pPr>
    </w:p>
    <w:p w:rsidR="00155EBA" w:rsidRPr="000023C6" w:rsidRDefault="00155EBA" w:rsidP="000023C6">
      <w:pPr>
        <w:jc w:val="both"/>
        <w:rPr>
          <w:rFonts w:ascii="Barlow" w:hAnsi="Barlow" w:cs="Calibri"/>
          <w:bCs/>
          <w:color w:val="000000"/>
          <w:sz w:val="20"/>
          <w:szCs w:val="20"/>
        </w:rPr>
      </w:pPr>
      <w:r w:rsidRPr="000023C6">
        <w:rPr>
          <w:rFonts w:ascii="Barlow" w:hAnsi="Barlow" w:cs="Calibri"/>
          <w:bCs/>
          <w:color w:val="000000"/>
          <w:sz w:val="20"/>
          <w:szCs w:val="20"/>
        </w:rPr>
        <w:t>Leyes Locales</w:t>
      </w:r>
      <w:r w:rsidRPr="000023C6">
        <w:rPr>
          <w:rFonts w:ascii="Barlow" w:hAnsi="Barlow" w:cs="Calibri"/>
          <w:bCs/>
          <w:color w:val="000000"/>
          <w:sz w:val="20"/>
          <w:szCs w:val="20"/>
        </w:rPr>
        <w:tab/>
      </w:r>
    </w:p>
    <w:p w:rsidR="00155EBA" w:rsidRPr="000023C6" w:rsidRDefault="00155EBA" w:rsidP="000023C6">
      <w:pPr>
        <w:pStyle w:val="Prrafodelista"/>
        <w:numPr>
          <w:ilvl w:val="0"/>
          <w:numId w:val="1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Adquisiciones, Arrendamientos y Prestación de Servicios Relacionados con Bienes Muebles</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de Deuda Pública del Estado de Yucatán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los Trabajadores al Servicio del Estado y Municipios de Yucatán</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del Presupuesto y Contabilidad Gubernamental del Estado de Yucatán</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Seguridad Social para los Servidores Públicos del Estado de Yucatán, de sus Municipios y de los Organismos Públicos Coordinados y Descentralizados de Carácter Estatal</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8"/>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Proyectos para la Prestación de Servicios del Estado de Yucatán</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7"/>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de Fiscalización y Rendición de Cuentas del Estado de Yucatán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6"/>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de Bienes del Estado de Yucatán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5"/>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de Planeación para el Desarrollo del Estado de Yucatán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4"/>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de Transparencia y Acceso a la Información Pública del Estado de Yucatán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747173" w:rsidRPr="000023C6" w:rsidRDefault="00155EBA"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Actos y Procedimientos Administrativos del Estado de Yucatán</w:t>
      </w:r>
      <w:r w:rsidRPr="000023C6">
        <w:rPr>
          <w:rFonts w:ascii="Barlow" w:eastAsia="Times New Roman" w:hAnsi="Barlow" w:cs="Calibri"/>
          <w:bCs/>
          <w:color w:val="000000"/>
          <w:sz w:val="20"/>
          <w:szCs w:val="20"/>
          <w:lang w:eastAsia="es-MX"/>
        </w:rPr>
        <w:tab/>
      </w:r>
    </w:p>
    <w:p w:rsidR="00C31BAE" w:rsidRPr="000023C6" w:rsidRDefault="00155EBA"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Responsabilidades Administrativas del Estado de Yucatán</w:t>
      </w:r>
      <w:r w:rsidRPr="000023C6">
        <w:rPr>
          <w:rFonts w:ascii="Barlow" w:eastAsia="Times New Roman" w:hAnsi="Barlow" w:cs="Calibri"/>
          <w:bCs/>
          <w:color w:val="000000"/>
          <w:sz w:val="20"/>
          <w:szCs w:val="20"/>
          <w:lang w:eastAsia="es-MX"/>
        </w:rPr>
        <w:tab/>
      </w:r>
    </w:p>
    <w:p w:rsidR="00C31BAE"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Reglamento del Código de la Administración Pública de Yucatán</w:t>
      </w:r>
    </w:p>
    <w:p w:rsidR="00C31BAE"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Coordinación Fiscal del Estado de Yucatán</w:t>
      </w:r>
    </w:p>
    <w:p w:rsidR="00C31BAE"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Educación del Estado de Yucatán_29_07_2020</w:t>
      </w:r>
    </w:p>
    <w:p w:rsidR="00C31BAE"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de Preservación y </w:t>
      </w:r>
      <w:r w:rsidR="000023C6" w:rsidRPr="000023C6">
        <w:rPr>
          <w:rFonts w:ascii="Barlow" w:eastAsia="Times New Roman" w:hAnsi="Barlow" w:cs="Calibri"/>
          <w:bCs/>
          <w:color w:val="000000"/>
          <w:sz w:val="20"/>
          <w:szCs w:val="20"/>
          <w:lang w:eastAsia="es-MX"/>
        </w:rPr>
        <w:t>Promoción de</w:t>
      </w:r>
      <w:r w:rsidRPr="000023C6">
        <w:rPr>
          <w:rFonts w:ascii="Barlow" w:eastAsia="Times New Roman" w:hAnsi="Barlow" w:cs="Calibri"/>
          <w:bCs/>
          <w:color w:val="000000"/>
          <w:sz w:val="20"/>
          <w:szCs w:val="20"/>
          <w:lang w:eastAsia="es-MX"/>
        </w:rPr>
        <w:t xml:space="preserve"> la Cultura de Yucatán</w:t>
      </w:r>
    </w:p>
    <w:p w:rsidR="00C31BAE" w:rsidRPr="000023C6" w:rsidRDefault="00C31BAE" w:rsidP="000023C6">
      <w:pPr>
        <w:pStyle w:val="Prrafodelista"/>
        <w:numPr>
          <w:ilvl w:val="0"/>
          <w:numId w:val="12"/>
        </w:numPr>
        <w:jc w:val="both"/>
        <w:rPr>
          <w:rFonts w:ascii="Barlow" w:hAnsi="Barlow" w:cs="Arial"/>
          <w:sz w:val="20"/>
          <w:szCs w:val="20"/>
        </w:rPr>
      </w:pPr>
      <w:r w:rsidRPr="000023C6">
        <w:rPr>
          <w:rFonts w:ascii="Barlow" w:eastAsia="Times New Roman" w:hAnsi="Barlow" w:cs="Calibri"/>
          <w:bCs/>
          <w:color w:val="000000"/>
          <w:sz w:val="20"/>
          <w:szCs w:val="20"/>
          <w:lang w:eastAsia="es-MX"/>
        </w:rPr>
        <w:t>Ley de Profesiones del Estado de Yucatán</w:t>
      </w:r>
    </w:p>
    <w:p w:rsidR="00C31BAE"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Ley de Fiscalización de la </w:t>
      </w:r>
      <w:r w:rsidR="000023C6" w:rsidRPr="000023C6">
        <w:rPr>
          <w:rFonts w:ascii="Barlow" w:eastAsia="Times New Roman" w:hAnsi="Barlow" w:cs="Calibri"/>
          <w:bCs/>
          <w:color w:val="000000"/>
          <w:sz w:val="20"/>
          <w:szCs w:val="20"/>
          <w:lang w:eastAsia="es-MX"/>
        </w:rPr>
        <w:t>Cuenta Pública</w:t>
      </w:r>
      <w:r w:rsidRPr="000023C6">
        <w:rPr>
          <w:rFonts w:ascii="Barlow" w:eastAsia="Times New Roman" w:hAnsi="Barlow" w:cs="Calibri"/>
          <w:bCs/>
          <w:color w:val="000000"/>
          <w:sz w:val="20"/>
          <w:szCs w:val="20"/>
          <w:lang w:eastAsia="es-MX"/>
        </w:rPr>
        <w:t xml:space="preserve"> del Estado de Yucatán.</w:t>
      </w:r>
    </w:p>
    <w:p w:rsidR="00C31BAE"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 Ley General de Hacienda del Estado de Yucatán</w:t>
      </w:r>
    </w:p>
    <w:p w:rsidR="00C31BAE" w:rsidRPr="000023C6" w:rsidRDefault="002D7B13" w:rsidP="000023C6">
      <w:pPr>
        <w:pStyle w:val="Prrafodelista"/>
        <w:numPr>
          <w:ilvl w:val="0"/>
          <w:numId w:val="12"/>
        </w:numPr>
        <w:jc w:val="both"/>
        <w:rPr>
          <w:rFonts w:ascii="Barlow" w:eastAsia="Times New Roman" w:hAnsi="Barlow" w:cs="Calibri"/>
          <w:bCs/>
          <w:color w:val="000000"/>
          <w:sz w:val="20"/>
          <w:szCs w:val="20"/>
          <w:lang w:eastAsia="es-MX"/>
        </w:rPr>
      </w:pPr>
      <w:hyperlink r:id="rId27" w:history="1">
        <w:r w:rsidR="00C31BAE" w:rsidRPr="000023C6">
          <w:rPr>
            <w:rFonts w:ascii="Barlow" w:eastAsia="Times New Roman" w:hAnsi="Barlow" w:cs="Calibri"/>
            <w:bCs/>
            <w:color w:val="000000"/>
            <w:sz w:val="20"/>
            <w:szCs w:val="20"/>
            <w:lang w:eastAsia="es-MX"/>
          </w:rPr>
          <w:t>Código de Ética de los Servidores Públicos del Gobierno del Estado de Yucatán</w:t>
        </w:r>
      </w:hyperlink>
    </w:p>
    <w:p w:rsidR="00C31BAE"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del Diario Oficial del Gobierno del Estado de Yucatán.</w:t>
      </w:r>
    </w:p>
    <w:p w:rsidR="00C31BAE"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Reglamento de la Ley Diario Oficial del Gobierno del Estado de Yucatán.</w:t>
      </w:r>
    </w:p>
    <w:p w:rsidR="00C31BAE"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General de Archivos del Estado de Yucatán_24_06_2020</w:t>
      </w:r>
    </w:p>
    <w:p w:rsidR="00C31BAE" w:rsidRPr="000023C6" w:rsidRDefault="000023C6"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w:t>
      </w:r>
      <w:r w:rsidR="00C31BAE" w:rsidRPr="000023C6">
        <w:rPr>
          <w:rFonts w:ascii="Barlow" w:eastAsia="Times New Roman" w:hAnsi="Barlow" w:cs="Calibri"/>
          <w:bCs/>
          <w:color w:val="000000"/>
          <w:sz w:val="20"/>
          <w:szCs w:val="20"/>
          <w:lang w:eastAsia="es-MX"/>
        </w:rPr>
        <w:t xml:space="preserve"> Planeación.</w:t>
      </w:r>
    </w:p>
    <w:p w:rsidR="00C31BAE"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Ley de Presupuesto, Contabilidad y Gasto Público.</w:t>
      </w:r>
    </w:p>
    <w:p w:rsidR="00155EBA" w:rsidRPr="000023C6" w:rsidRDefault="00C31BAE"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Decreto de Presupuesto para el ejercicio 2021_30_12_2020</w:t>
      </w:r>
      <w:r w:rsidR="00155EBA"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jc w:val="both"/>
        <w:rPr>
          <w:rFonts w:ascii="Barlow" w:eastAsia="Times New Roman" w:hAnsi="Barlow" w:cs="Calibri"/>
          <w:bCs/>
          <w:color w:val="000000"/>
          <w:sz w:val="20"/>
          <w:szCs w:val="20"/>
          <w:lang w:eastAsia="es-MX"/>
        </w:rPr>
      </w:pPr>
    </w:p>
    <w:p w:rsidR="00155EBA" w:rsidRPr="000023C6" w:rsidRDefault="00155EBA" w:rsidP="000023C6">
      <w:pPr>
        <w:jc w:val="both"/>
        <w:rPr>
          <w:rFonts w:ascii="Barlow" w:hAnsi="Barlow" w:cs="Calibri"/>
          <w:bCs/>
          <w:color w:val="000000"/>
          <w:sz w:val="20"/>
          <w:szCs w:val="20"/>
        </w:rPr>
      </w:pPr>
      <w:r w:rsidRPr="000023C6">
        <w:rPr>
          <w:rFonts w:ascii="Barlow" w:hAnsi="Barlow" w:cs="Calibri"/>
          <w:bCs/>
          <w:color w:val="000000"/>
          <w:sz w:val="20"/>
          <w:szCs w:val="20"/>
        </w:rPr>
        <w:t>Códigos</w:t>
      </w:r>
      <w:r w:rsidRPr="000023C6">
        <w:rPr>
          <w:rFonts w:ascii="Barlow" w:hAnsi="Barlow" w:cs="Calibri"/>
          <w:bCs/>
          <w:color w:val="000000"/>
          <w:sz w:val="20"/>
          <w:szCs w:val="20"/>
        </w:rPr>
        <w:tab/>
      </w:r>
    </w:p>
    <w:p w:rsidR="00155EBA" w:rsidRPr="000023C6" w:rsidRDefault="00155EBA"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Código de la Administración Pública del Estado de Yucatán</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1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Código Fiscal de la Federación </w:t>
      </w:r>
      <w:r w:rsidRPr="000023C6">
        <w:rPr>
          <w:rFonts w:ascii="Barlow" w:eastAsia="Times New Roman" w:hAnsi="Barlow" w:cs="Calibri"/>
          <w:bCs/>
          <w:color w:val="000000"/>
          <w:sz w:val="20"/>
          <w:szCs w:val="20"/>
          <w:lang w:eastAsia="es-MX"/>
        </w:rPr>
        <w:tab/>
      </w:r>
    </w:p>
    <w:p w:rsidR="00155EBA" w:rsidRPr="000023C6" w:rsidRDefault="00155EBA" w:rsidP="000023C6">
      <w:pPr>
        <w:jc w:val="both"/>
        <w:rPr>
          <w:rFonts w:ascii="Barlow" w:hAnsi="Barlow" w:cs="Calibri"/>
          <w:bCs/>
          <w:color w:val="000000"/>
          <w:sz w:val="20"/>
          <w:szCs w:val="20"/>
        </w:rPr>
      </w:pPr>
      <w:r w:rsidRPr="000023C6">
        <w:rPr>
          <w:rFonts w:ascii="Barlow" w:hAnsi="Barlow" w:cs="Calibri"/>
          <w:bCs/>
          <w:color w:val="000000"/>
          <w:sz w:val="20"/>
          <w:szCs w:val="20"/>
        </w:rPr>
        <w:t>Decreto de Creación</w:t>
      </w:r>
      <w:r w:rsidRPr="000023C6">
        <w:rPr>
          <w:rFonts w:ascii="Barlow" w:hAnsi="Barlow" w:cs="Calibri"/>
          <w:bCs/>
          <w:color w:val="000000"/>
          <w:sz w:val="20"/>
          <w:szCs w:val="20"/>
        </w:rPr>
        <w:tab/>
      </w:r>
    </w:p>
    <w:p w:rsidR="00C31BAE" w:rsidRPr="000023C6" w:rsidRDefault="00155EBA" w:rsidP="000023C6">
      <w:pPr>
        <w:pStyle w:val="Prrafodelista"/>
        <w:numPr>
          <w:ilvl w:val="0"/>
          <w:numId w:val="20"/>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Decreto de regulación de </w:t>
      </w:r>
      <w:r w:rsidR="000023C6" w:rsidRPr="000023C6">
        <w:rPr>
          <w:rFonts w:ascii="Barlow" w:eastAsia="Times New Roman" w:hAnsi="Barlow" w:cs="Calibri"/>
          <w:bCs/>
          <w:color w:val="000000"/>
          <w:sz w:val="20"/>
          <w:szCs w:val="20"/>
          <w:lang w:eastAsia="es-MX"/>
        </w:rPr>
        <w:t>la Escuela</w:t>
      </w:r>
      <w:r w:rsidRPr="000023C6">
        <w:rPr>
          <w:rFonts w:ascii="Barlow" w:eastAsia="Times New Roman" w:hAnsi="Barlow" w:cs="Calibri"/>
          <w:bCs/>
          <w:color w:val="000000"/>
          <w:sz w:val="20"/>
          <w:szCs w:val="20"/>
          <w:lang w:eastAsia="es-MX"/>
        </w:rPr>
        <w:t xml:space="preserve"> Superior de Artes de Yucatán</w:t>
      </w:r>
      <w:r w:rsidRPr="000023C6">
        <w:rPr>
          <w:rFonts w:ascii="Barlow" w:eastAsia="Times New Roman" w:hAnsi="Barlow" w:cs="Calibri"/>
          <w:bCs/>
          <w:color w:val="000000"/>
          <w:sz w:val="20"/>
          <w:szCs w:val="20"/>
          <w:lang w:eastAsia="es-MX"/>
        </w:rPr>
        <w:tab/>
      </w:r>
    </w:p>
    <w:p w:rsidR="00C31BAE" w:rsidRPr="000023C6" w:rsidRDefault="00C31BAE" w:rsidP="000023C6">
      <w:pPr>
        <w:pStyle w:val="Prrafodelista"/>
        <w:numPr>
          <w:ilvl w:val="0"/>
          <w:numId w:val="20"/>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Decreto 469/2017 por el que se regula la Escuela Superior de Artes de Yucatán de fecha 08 de mayo de 2017</w:t>
      </w:r>
    </w:p>
    <w:p w:rsidR="00C31BAE" w:rsidRPr="000023C6" w:rsidRDefault="00C31BAE" w:rsidP="000023C6">
      <w:pPr>
        <w:pStyle w:val="Prrafodelista"/>
        <w:numPr>
          <w:ilvl w:val="0"/>
          <w:numId w:val="20"/>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Decreto 503/2017 por el que se expide la Ley de Protección de </w:t>
      </w:r>
      <w:r w:rsidR="000023C6" w:rsidRPr="000023C6">
        <w:rPr>
          <w:rFonts w:ascii="Barlow" w:eastAsia="Times New Roman" w:hAnsi="Barlow" w:cs="Calibri"/>
          <w:bCs/>
          <w:color w:val="000000"/>
          <w:sz w:val="20"/>
          <w:szCs w:val="20"/>
          <w:lang w:eastAsia="es-MX"/>
        </w:rPr>
        <w:t>Datos Personales</w:t>
      </w:r>
      <w:r w:rsidRPr="000023C6">
        <w:rPr>
          <w:rFonts w:ascii="Barlow" w:eastAsia="Times New Roman" w:hAnsi="Barlow" w:cs="Calibri"/>
          <w:bCs/>
          <w:color w:val="000000"/>
          <w:sz w:val="20"/>
          <w:szCs w:val="20"/>
          <w:lang w:eastAsia="es-MX"/>
        </w:rPr>
        <w:t xml:space="preserve"> en Posesión de Sujetos Obligados del Estado de Yucatán</w:t>
      </w:r>
    </w:p>
    <w:p w:rsidR="00155EBA" w:rsidRPr="000023C6" w:rsidRDefault="00155EBA" w:rsidP="000023C6">
      <w:pPr>
        <w:pStyle w:val="Prrafodelista"/>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ab/>
      </w:r>
    </w:p>
    <w:p w:rsidR="00155EBA" w:rsidRPr="000023C6" w:rsidRDefault="00155EBA" w:rsidP="000023C6">
      <w:pPr>
        <w:jc w:val="both"/>
        <w:rPr>
          <w:rFonts w:ascii="Barlow" w:hAnsi="Barlow" w:cs="Calibri"/>
          <w:bCs/>
          <w:color w:val="000000"/>
          <w:sz w:val="20"/>
          <w:szCs w:val="20"/>
        </w:rPr>
      </w:pPr>
      <w:r w:rsidRPr="000023C6">
        <w:rPr>
          <w:rFonts w:ascii="Barlow" w:hAnsi="Barlow" w:cs="Calibri"/>
          <w:bCs/>
          <w:color w:val="000000"/>
          <w:sz w:val="20"/>
          <w:szCs w:val="20"/>
        </w:rPr>
        <w:t>Reglamentos</w:t>
      </w:r>
      <w:r w:rsidRPr="000023C6">
        <w:rPr>
          <w:rFonts w:ascii="Barlow" w:hAnsi="Barlow" w:cs="Calibri"/>
          <w:bCs/>
          <w:color w:val="000000"/>
          <w:sz w:val="20"/>
          <w:szCs w:val="20"/>
        </w:rPr>
        <w:tab/>
      </w:r>
      <w:r w:rsidRPr="000023C6">
        <w:rPr>
          <w:rFonts w:ascii="Barlow" w:hAnsi="Barlow" w:cs="Calibri"/>
          <w:bCs/>
          <w:color w:val="000000"/>
          <w:sz w:val="20"/>
          <w:szCs w:val="20"/>
        </w:rPr>
        <w:tab/>
      </w:r>
    </w:p>
    <w:p w:rsidR="00155EBA" w:rsidRPr="000023C6" w:rsidRDefault="00155EBA" w:rsidP="000023C6">
      <w:pPr>
        <w:pStyle w:val="Prrafodelista"/>
        <w:numPr>
          <w:ilvl w:val="0"/>
          <w:numId w:val="2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Reglamento de la Ley de Adquisiciones, Arrendamientos y Servicios del Sector Público</w:t>
      </w:r>
    </w:p>
    <w:p w:rsidR="00155EBA" w:rsidRPr="000023C6" w:rsidRDefault="00155EBA" w:rsidP="000023C6">
      <w:pPr>
        <w:pStyle w:val="Prrafodelista"/>
        <w:numPr>
          <w:ilvl w:val="0"/>
          <w:numId w:val="2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Reglamento de la Ley de la Firma Electrónica Avanzada</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Reglamento de la Ley del Impuesto al Valor Agregado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Reglamento de la Ley de Impuesto Sobre la Renta</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Reglamento de la Ley Federal del Derecho de Autor</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Reglamento del Código Fiscal de la Federación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lastRenderedPageBreak/>
        <w:t>Reglamento de la Ley de Fiscalización de la Cuenta Pública del Estado de Yucatán</w:t>
      </w:r>
    </w:p>
    <w:p w:rsidR="00155EBA" w:rsidRPr="000023C6" w:rsidRDefault="00155EBA" w:rsidP="000023C6">
      <w:pPr>
        <w:pStyle w:val="Prrafodelista"/>
        <w:numPr>
          <w:ilvl w:val="0"/>
          <w:numId w:val="2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Reglamento del Código de la Administración Pública del Estado de Yucatán </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1"/>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Reglamento de la Ley del Presupuesto y Contabilidad Gubernamental del Edo de Yucatán</w:t>
      </w:r>
      <w:r w:rsidRPr="000023C6">
        <w:rPr>
          <w:rFonts w:ascii="Barlow" w:eastAsia="Times New Roman" w:hAnsi="Barlow" w:cs="Calibri"/>
          <w:bCs/>
          <w:color w:val="000000"/>
          <w:sz w:val="20"/>
          <w:szCs w:val="20"/>
          <w:lang w:eastAsia="es-MX"/>
        </w:rPr>
        <w:tab/>
      </w:r>
    </w:p>
    <w:p w:rsidR="00155EBA" w:rsidRPr="000023C6" w:rsidRDefault="00155EBA" w:rsidP="000023C6">
      <w:pPr>
        <w:jc w:val="both"/>
        <w:rPr>
          <w:rFonts w:ascii="Barlow" w:hAnsi="Barlow" w:cs="Calibri"/>
          <w:bCs/>
          <w:color w:val="000000"/>
          <w:sz w:val="20"/>
          <w:szCs w:val="20"/>
        </w:rPr>
      </w:pPr>
      <w:r w:rsidRPr="000023C6">
        <w:rPr>
          <w:rFonts w:ascii="Barlow" w:hAnsi="Barlow" w:cs="Calibri"/>
          <w:bCs/>
          <w:color w:val="000000"/>
          <w:sz w:val="20"/>
          <w:szCs w:val="20"/>
        </w:rPr>
        <w:t>Acuerdos</w:t>
      </w:r>
      <w:r w:rsidRPr="000023C6">
        <w:rPr>
          <w:rFonts w:ascii="Barlow" w:hAnsi="Barlow" w:cs="Calibri"/>
          <w:bCs/>
          <w:color w:val="000000"/>
          <w:sz w:val="20"/>
          <w:szCs w:val="20"/>
        </w:rPr>
        <w:tab/>
      </w:r>
    </w:p>
    <w:p w:rsidR="00155EBA" w:rsidRPr="000023C6" w:rsidRDefault="00155EBA" w:rsidP="000023C6">
      <w:pPr>
        <w:pStyle w:val="Prrafodelista"/>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Acuerdo SCG-DGSEP-03 Lineamientos para la implementación del Sistema de Control Interno Institucional en las dependencias y entidades de la Administración Pública Estatal</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Acuerdo SSEP 01 Acuerdo por el que se determinan los demás Servidores Públicos obligados a presentar declaración de situación patrimonial</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Acuerdo ESAY-02/2016 Por el que se expide el Código de Ética de la Escuela Superior de Artes de Yucatán</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Acuerdo ESAY-03/2016 Por el que se expide el Código de Conducta de la Escuela Superior de Artes de Yucatán</w:t>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Acuerdo 61/2017 Desincorporación de bienes de ESAY</w:t>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Acuerdo 04/2017 del Estatuto Orgánico de la ESAY</w:t>
      </w:r>
      <w:r w:rsidRPr="000023C6">
        <w:rPr>
          <w:rFonts w:ascii="Barlow" w:eastAsia="Times New Roman" w:hAnsi="Barlow" w:cs="Calibri"/>
          <w:bCs/>
          <w:color w:val="000000"/>
          <w:sz w:val="20"/>
          <w:szCs w:val="20"/>
          <w:lang w:eastAsia="es-MX"/>
        </w:rPr>
        <w:tab/>
      </w:r>
    </w:p>
    <w:p w:rsidR="00C31BAE" w:rsidRPr="000023C6" w:rsidRDefault="00C31BAE"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Acuerdo CJ 03/2021 por que modifica los Lineamientos para </w:t>
      </w:r>
      <w:r w:rsidR="000023C6" w:rsidRPr="000023C6">
        <w:rPr>
          <w:rFonts w:ascii="Barlow" w:eastAsia="Times New Roman" w:hAnsi="Barlow" w:cs="Calibri"/>
          <w:bCs/>
          <w:color w:val="000000"/>
          <w:sz w:val="20"/>
          <w:szCs w:val="20"/>
          <w:lang w:eastAsia="es-MX"/>
        </w:rPr>
        <w:t>la Elaboración</w:t>
      </w:r>
      <w:r w:rsidRPr="000023C6">
        <w:rPr>
          <w:rFonts w:ascii="Barlow" w:eastAsia="Times New Roman" w:hAnsi="Barlow" w:cs="Calibri"/>
          <w:bCs/>
          <w:color w:val="000000"/>
          <w:sz w:val="20"/>
          <w:szCs w:val="20"/>
          <w:lang w:eastAsia="es-MX"/>
        </w:rPr>
        <w:t xml:space="preserve"> o Revisión de Proyectos Normativos del Gobierno del Estado de Yucatán_15_01_2021</w:t>
      </w:r>
    </w:p>
    <w:p w:rsidR="00C31BAE" w:rsidRPr="000023C6" w:rsidRDefault="00C31BAE"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 Acuerdo SAF 31/2021 expide la relación de entidades paraestatales de la administración pública estatal inscritas en el registro de entidades paraestatales_22_01_2021</w:t>
      </w:r>
    </w:p>
    <w:p w:rsidR="00C31BAE" w:rsidRPr="000023C6" w:rsidRDefault="00C31BAE"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Acuerdo SAF 103/2017 por el que se modifica el Acuerdo SAF 39/2015 por </w:t>
      </w:r>
      <w:r w:rsidR="000023C6" w:rsidRPr="000023C6">
        <w:rPr>
          <w:rFonts w:ascii="Barlow" w:eastAsia="Times New Roman" w:hAnsi="Barlow" w:cs="Calibri"/>
          <w:bCs/>
          <w:color w:val="000000"/>
          <w:sz w:val="20"/>
          <w:szCs w:val="20"/>
          <w:lang w:eastAsia="es-MX"/>
        </w:rPr>
        <w:t>el que</w:t>
      </w:r>
      <w:r w:rsidRPr="000023C6">
        <w:rPr>
          <w:rFonts w:ascii="Barlow" w:eastAsia="Times New Roman" w:hAnsi="Barlow" w:cs="Calibri"/>
          <w:bCs/>
          <w:color w:val="000000"/>
          <w:sz w:val="20"/>
          <w:szCs w:val="20"/>
          <w:lang w:eastAsia="es-MX"/>
        </w:rPr>
        <w:t xml:space="preserve"> se expiden los Lineamientos para la Elaboración y Aprobación de las Reglas de Operación de los Programas Presupuestarios</w:t>
      </w:r>
    </w:p>
    <w:p w:rsidR="00C31BAE" w:rsidRPr="000023C6" w:rsidRDefault="00C31BAE"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 Acuerdo por el que se emiten las Disposiciones Complementarias </w:t>
      </w:r>
      <w:r w:rsidR="000023C6" w:rsidRPr="000023C6">
        <w:rPr>
          <w:rFonts w:ascii="Barlow" w:eastAsia="Times New Roman" w:hAnsi="Barlow" w:cs="Calibri"/>
          <w:bCs/>
          <w:color w:val="000000"/>
          <w:sz w:val="20"/>
          <w:szCs w:val="20"/>
          <w:lang w:eastAsia="es-MX"/>
        </w:rPr>
        <w:t>a los</w:t>
      </w:r>
      <w:r w:rsidRPr="000023C6">
        <w:rPr>
          <w:rFonts w:ascii="Barlow" w:eastAsia="Times New Roman" w:hAnsi="Barlow" w:cs="Calibri"/>
          <w:bCs/>
          <w:color w:val="000000"/>
          <w:sz w:val="20"/>
          <w:szCs w:val="20"/>
          <w:lang w:eastAsia="es-MX"/>
        </w:rPr>
        <w:t xml:space="preserve"> Lineamientos para las Obligaciones del Coordinador de Enlace en el Procedimiento de Entrega-Recepción de la Administración Pública Estatal.</w:t>
      </w:r>
    </w:p>
    <w:p w:rsidR="00C31BAE" w:rsidRPr="000023C6" w:rsidRDefault="00C31BAE"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 Acuerdo SCG 15_2021 Lineamientos para la aplicación del anexo 10.1 del presupuesto para el ejercicio 2021_11_01_2021 y Acuerdo SCG 16_2021 Lineamientos para la aplicación del anexo 10.2 del presupuesto para el ejercicio 2021_11_01_2021</w:t>
      </w:r>
    </w:p>
    <w:p w:rsidR="00C31BAE" w:rsidRPr="000023C6" w:rsidRDefault="00C31BAE"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Reglamento interno de la Escuela Superior de Artes de Yucatán_04_12_2020</w:t>
      </w:r>
    </w:p>
    <w:p w:rsidR="00D11386" w:rsidRPr="000023C6" w:rsidRDefault="00D11386" w:rsidP="000023C6">
      <w:pPr>
        <w:pStyle w:val="Prrafodelista"/>
        <w:numPr>
          <w:ilvl w:val="0"/>
          <w:numId w:val="3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Acuerdo ESAY 01/2016 por el que se designa a la Unidad de Transparencia y se Regula el Comité de Transparencia de la Escuela Superior de Artes </w:t>
      </w:r>
      <w:r w:rsidR="000023C6" w:rsidRPr="000023C6">
        <w:rPr>
          <w:rFonts w:ascii="Barlow" w:eastAsia="Times New Roman" w:hAnsi="Barlow" w:cs="Calibri"/>
          <w:bCs/>
          <w:color w:val="000000"/>
          <w:sz w:val="20"/>
          <w:szCs w:val="20"/>
          <w:lang w:eastAsia="es-MX"/>
        </w:rPr>
        <w:t>de Yucatán</w:t>
      </w:r>
    </w:p>
    <w:p w:rsidR="00D11386" w:rsidRPr="000023C6" w:rsidRDefault="002D7B13" w:rsidP="000023C6">
      <w:pPr>
        <w:pStyle w:val="Prrafodelista"/>
        <w:numPr>
          <w:ilvl w:val="0"/>
          <w:numId w:val="22"/>
        </w:numPr>
        <w:jc w:val="both"/>
        <w:rPr>
          <w:rFonts w:ascii="Barlow" w:eastAsia="Times New Roman" w:hAnsi="Barlow" w:cs="Calibri"/>
          <w:bCs/>
          <w:color w:val="000000"/>
          <w:sz w:val="20"/>
          <w:szCs w:val="20"/>
          <w:lang w:eastAsia="es-MX"/>
        </w:rPr>
      </w:pPr>
      <w:hyperlink r:id="rId28" w:tgtFrame="_blank" w:history="1">
        <w:r w:rsidR="00D11386" w:rsidRPr="000023C6">
          <w:rPr>
            <w:rFonts w:ascii="Barlow" w:eastAsia="Times New Roman" w:hAnsi="Barlow" w:cs="Calibri"/>
            <w:bCs/>
            <w:color w:val="000000"/>
            <w:sz w:val="20"/>
            <w:szCs w:val="20"/>
            <w:lang w:eastAsia="es-MX"/>
          </w:rPr>
          <w:t>Modificación al Reglamento de Ingreso, Promoción y Permanencia del Personal Académico</w:t>
        </w:r>
      </w:hyperlink>
    </w:p>
    <w:p w:rsidR="00D11386" w:rsidRPr="000023C6" w:rsidRDefault="002D7B13" w:rsidP="000023C6">
      <w:pPr>
        <w:pStyle w:val="Prrafodelista"/>
        <w:numPr>
          <w:ilvl w:val="0"/>
          <w:numId w:val="22"/>
        </w:numPr>
        <w:jc w:val="both"/>
        <w:rPr>
          <w:rFonts w:ascii="Barlow" w:eastAsia="Times New Roman" w:hAnsi="Barlow" w:cs="Calibri"/>
          <w:bCs/>
          <w:color w:val="000000"/>
          <w:sz w:val="20"/>
          <w:szCs w:val="20"/>
          <w:lang w:eastAsia="es-MX"/>
        </w:rPr>
      </w:pPr>
      <w:hyperlink r:id="rId29" w:tgtFrame="_blank" w:history="1">
        <w:r w:rsidR="00D11386" w:rsidRPr="000023C6">
          <w:rPr>
            <w:rFonts w:ascii="Barlow" w:eastAsia="Times New Roman" w:hAnsi="Barlow" w:cs="Calibri"/>
            <w:bCs/>
            <w:color w:val="000000"/>
            <w:sz w:val="20"/>
            <w:szCs w:val="20"/>
            <w:lang w:eastAsia="es-MX"/>
          </w:rPr>
          <w:t>Reglamento de Alumnos</w:t>
        </w:r>
      </w:hyperlink>
      <w:r w:rsidR="00D11386" w:rsidRPr="000023C6">
        <w:rPr>
          <w:rFonts w:ascii="Barlow" w:eastAsia="Times New Roman" w:hAnsi="Barlow" w:cs="Calibri"/>
          <w:bCs/>
          <w:color w:val="000000"/>
          <w:sz w:val="20"/>
          <w:szCs w:val="20"/>
          <w:lang w:eastAsia="es-MX"/>
        </w:rPr>
        <w:t>_04_12_2020</w:t>
      </w:r>
    </w:p>
    <w:p w:rsidR="00D11386" w:rsidRPr="000023C6" w:rsidRDefault="00D11386"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Acuerdo ESAY 1/2019 por el que se emiten las Reglas de operación del programa de subsidios y ayudas denominado Becas, Apoyos Económicos y Descuentos a Estudiantes de la Escuela Superior de Artes de Yucatán</w:t>
      </w:r>
    </w:p>
    <w:p w:rsidR="00D11386" w:rsidRPr="000023C6" w:rsidRDefault="00D11386"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 </w:t>
      </w:r>
      <w:hyperlink r:id="rId30" w:tgtFrame="_blank" w:history="1">
        <w:r w:rsidRPr="000023C6">
          <w:rPr>
            <w:rFonts w:ascii="Barlow" w:eastAsia="Times New Roman" w:hAnsi="Barlow" w:cs="Calibri"/>
            <w:bCs/>
            <w:color w:val="000000"/>
            <w:sz w:val="20"/>
            <w:szCs w:val="20"/>
            <w:lang w:eastAsia="es-MX"/>
          </w:rPr>
          <w:t>Reglamento de Servicio Social</w:t>
        </w:r>
      </w:hyperlink>
    </w:p>
    <w:p w:rsidR="00D11386" w:rsidRPr="000023C6" w:rsidRDefault="002D7B13" w:rsidP="000023C6">
      <w:pPr>
        <w:pStyle w:val="Prrafodelista"/>
        <w:numPr>
          <w:ilvl w:val="0"/>
          <w:numId w:val="22"/>
        </w:numPr>
        <w:jc w:val="both"/>
        <w:rPr>
          <w:rFonts w:ascii="Barlow" w:eastAsia="Times New Roman" w:hAnsi="Barlow" w:cs="Calibri"/>
          <w:bCs/>
          <w:color w:val="000000"/>
          <w:sz w:val="20"/>
          <w:szCs w:val="20"/>
          <w:lang w:eastAsia="es-MX"/>
        </w:rPr>
      </w:pPr>
      <w:hyperlink r:id="rId31" w:tgtFrame="_blank" w:history="1">
        <w:r w:rsidR="00D11386" w:rsidRPr="000023C6">
          <w:rPr>
            <w:rFonts w:ascii="Barlow" w:eastAsia="Times New Roman" w:hAnsi="Barlow" w:cs="Calibri"/>
            <w:bCs/>
            <w:color w:val="000000"/>
            <w:sz w:val="20"/>
            <w:szCs w:val="20"/>
            <w:lang w:eastAsia="es-MX"/>
          </w:rPr>
          <w:t>Reglamento de Posgrado</w:t>
        </w:r>
      </w:hyperlink>
    </w:p>
    <w:p w:rsidR="00D11386" w:rsidRPr="000023C6" w:rsidRDefault="002D7B13" w:rsidP="000023C6">
      <w:pPr>
        <w:pStyle w:val="Prrafodelista"/>
        <w:numPr>
          <w:ilvl w:val="0"/>
          <w:numId w:val="22"/>
        </w:numPr>
        <w:jc w:val="both"/>
        <w:rPr>
          <w:rFonts w:ascii="Barlow" w:eastAsia="Times New Roman" w:hAnsi="Barlow" w:cs="Calibri"/>
          <w:bCs/>
          <w:color w:val="000000"/>
          <w:sz w:val="20"/>
          <w:szCs w:val="20"/>
          <w:lang w:eastAsia="es-MX"/>
        </w:rPr>
      </w:pPr>
      <w:hyperlink r:id="rId32" w:tgtFrame="_blank" w:history="1">
        <w:r w:rsidR="00D11386" w:rsidRPr="000023C6">
          <w:rPr>
            <w:rFonts w:ascii="Barlow" w:eastAsia="Times New Roman" w:hAnsi="Barlow" w:cs="Calibri"/>
            <w:bCs/>
            <w:color w:val="000000"/>
            <w:sz w:val="20"/>
            <w:szCs w:val="20"/>
            <w:lang w:eastAsia="es-MX"/>
          </w:rPr>
          <w:t>Reglamento de Bibliotecas</w:t>
        </w:r>
      </w:hyperlink>
    </w:p>
    <w:p w:rsidR="00D11386" w:rsidRPr="000023C6" w:rsidRDefault="00D11386" w:rsidP="000023C6">
      <w:pPr>
        <w:pStyle w:val="Prrafodelista"/>
        <w:numPr>
          <w:ilvl w:val="0"/>
          <w:numId w:val="22"/>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 xml:space="preserve"> Reglamento de Personal Académico.</w:t>
      </w:r>
    </w:p>
    <w:p w:rsidR="00D11386" w:rsidRPr="000023C6" w:rsidRDefault="00D11386" w:rsidP="000023C6">
      <w:pPr>
        <w:pStyle w:val="Prrafodelista"/>
        <w:numPr>
          <w:ilvl w:val="0"/>
          <w:numId w:val="22"/>
        </w:numPr>
        <w:spacing w:before="120" w:after="120"/>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Acuerdo 1_2020 modifica el Reglamento de Operación del Consejo Académico_15_09_2020</w:t>
      </w:r>
    </w:p>
    <w:p w:rsidR="00D11386" w:rsidRPr="000023C6" w:rsidRDefault="00D11386" w:rsidP="000023C6">
      <w:pPr>
        <w:jc w:val="both"/>
        <w:rPr>
          <w:rFonts w:ascii="Barlow" w:hAnsi="Barlow" w:cs="Calibri"/>
          <w:bCs/>
          <w:color w:val="000000"/>
          <w:sz w:val="20"/>
          <w:szCs w:val="20"/>
        </w:rPr>
      </w:pPr>
      <w:r w:rsidRPr="000023C6">
        <w:rPr>
          <w:rFonts w:ascii="Barlow" w:hAnsi="Barlow" w:cs="Calibri"/>
          <w:bCs/>
          <w:color w:val="000000"/>
          <w:sz w:val="20"/>
          <w:szCs w:val="20"/>
        </w:rPr>
        <w:t>DDHH</w:t>
      </w:r>
    </w:p>
    <w:p w:rsidR="00D11386" w:rsidRPr="000023C6" w:rsidRDefault="00D11386" w:rsidP="000023C6">
      <w:pPr>
        <w:pStyle w:val="Prrafodelista"/>
        <w:numPr>
          <w:ilvl w:val="0"/>
          <w:numId w:val="34"/>
        </w:numPr>
        <w:jc w:val="both"/>
        <w:rPr>
          <w:rFonts w:ascii="Barlow" w:eastAsia="Times New Roman" w:hAnsi="Barlow" w:cs="Calibri"/>
          <w:bCs/>
          <w:color w:val="000000"/>
          <w:sz w:val="20"/>
          <w:szCs w:val="20"/>
          <w:lang w:eastAsia="es-MX"/>
        </w:rPr>
      </w:pPr>
      <w:r w:rsidRPr="000023C6">
        <w:rPr>
          <w:rFonts w:ascii="Barlow" w:hAnsi="Barlow" w:cs="Arial"/>
          <w:sz w:val="20"/>
          <w:szCs w:val="20"/>
        </w:rPr>
        <w:t xml:space="preserve"> </w:t>
      </w:r>
      <w:r w:rsidRPr="000023C6">
        <w:rPr>
          <w:rFonts w:ascii="Barlow" w:eastAsia="Times New Roman" w:hAnsi="Barlow" w:cs="Calibri"/>
          <w:bCs/>
          <w:color w:val="000000"/>
          <w:sz w:val="20"/>
          <w:szCs w:val="20"/>
          <w:lang w:eastAsia="es-MX"/>
        </w:rPr>
        <w:t>Convención Americana sobre Derechos Humanos, adoptada en la ciudad de San José de Costa Rica, el 22 de noviembre de 1969</w:t>
      </w:r>
    </w:p>
    <w:p w:rsidR="00D11386" w:rsidRPr="000023C6" w:rsidRDefault="00D11386" w:rsidP="000023C6">
      <w:pPr>
        <w:pStyle w:val="Prrafodelista"/>
        <w:numPr>
          <w:ilvl w:val="0"/>
          <w:numId w:val="34"/>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Pacto Internacional de Derechos Civiles y Políticos</w:t>
      </w:r>
    </w:p>
    <w:p w:rsidR="00D11386" w:rsidRPr="000023C6" w:rsidRDefault="00D11386" w:rsidP="000023C6">
      <w:pPr>
        <w:pStyle w:val="Prrafodelista"/>
        <w:numPr>
          <w:ilvl w:val="0"/>
          <w:numId w:val="34"/>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Pacto Internacional de Derechos Económicos, Sociales y Culturales</w:t>
      </w:r>
    </w:p>
    <w:p w:rsidR="00155EBA" w:rsidRPr="000023C6" w:rsidRDefault="00155EBA" w:rsidP="000023C6">
      <w:pPr>
        <w:jc w:val="both"/>
        <w:rPr>
          <w:rFonts w:ascii="Barlow" w:hAnsi="Barlow" w:cs="Calibri"/>
          <w:bCs/>
          <w:color w:val="000000"/>
          <w:sz w:val="20"/>
          <w:szCs w:val="20"/>
        </w:rPr>
      </w:pPr>
      <w:r w:rsidRPr="000023C6">
        <w:rPr>
          <w:rFonts w:ascii="Barlow" w:hAnsi="Barlow" w:cs="Calibri"/>
          <w:bCs/>
          <w:color w:val="000000"/>
          <w:sz w:val="20"/>
          <w:szCs w:val="20"/>
        </w:rPr>
        <w:t>Lineamientos</w:t>
      </w:r>
      <w:r w:rsidRPr="000023C6">
        <w:rPr>
          <w:rFonts w:ascii="Barlow" w:hAnsi="Barlow" w:cs="Calibri"/>
          <w:bCs/>
          <w:color w:val="000000"/>
          <w:sz w:val="20"/>
          <w:szCs w:val="20"/>
        </w:rPr>
        <w:tab/>
      </w:r>
    </w:p>
    <w:p w:rsidR="00155EBA" w:rsidRPr="000023C6" w:rsidRDefault="00155EBA" w:rsidP="000023C6">
      <w:pPr>
        <w:pStyle w:val="Prrafodelista"/>
        <w:numPr>
          <w:ilvl w:val="0"/>
          <w:numId w:val="24"/>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Lineamientos para los procesos de entrega-recepción</w:t>
      </w:r>
      <w:r w:rsidRPr="000023C6">
        <w:rPr>
          <w:rFonts w:ascii="Barlow" w:eastAsia="Times New Roman" w:hAnsi="Barlow" w:cs="Calibri"/>
          <w:bCs/>
          <w:color w:val="000000"/>
          <w:sz w:val="20"/>
          <w:szCs w:val="20"/>
          <w:lang w:eastAsia="es-MX"/>
        </w:rPr>
        <w:tab/>
      </w:r>
      <w:r w:rsidRPr="000023C6">
        <w:rPr>
          <w:rFonts w:ascii="Barlow" w:eastAsia="Times New Roman" w:hAnsi="Barlow" w:cs="Calibri"/>
          <w:bCs/>
          <w:color w:val="000000"/>
          <w:sz w:val="20"/>
          <w:szCs w:val="20"/>
          <w:lang w:eastAsia="es-MX"/>
        </w:rPr>
        <w:tab/>
      </w:r>
    </w:p>
    <w:p w:rsidR="00155EBA" w:rsidRPr="000023C6" w:rsidRDefault="00155EBA" w:rsidP="000023C6">
      <w:pPr>
        <w:pStyle w:val="Prrafodelista"/>
        <w:numPr>
          <w:ilvl w:val="0"/>
          <w:numId w:val="24"/>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Lineamientos de Procesos de verificación de cumplimiento de obligaciones de transparencia que deben publicar los sujetos obligados del Estado de Yucatán.</w:t>
      </w:r>
      <w:r w:rsidRPr="000023C6">
        <w:rPr>
          <w:rFonts w:ascii="Barlow" w:eastAsia="Times New Roman" w:hAnsi="Barlow" w:cs="Calibri"/>
          <w:bCs/>
          <w:color w:val="000000"/>
          <w:sz w:val="20"/>
          <w:szCs w:val="20"/>
          <w:lang w:eastAsia="es-MX"/>
        </w:rPr>
        <w:tab/>
      </w:r>
    </w:p>
    <w:p w:rsidR="00D11386" w:rsidRPr="000023C6" w:rsidRDefault="00155EBA" w:rsidP="000023C6">
      <w:pPr>
        <w:jc w:val="both"/>
        <w:rPr>
          <w:rFonts w:ascii="Barlow" w:hAnsi="Barlow" w:cs="Calibri"/>
          <w:bCs/>
          <w:color w:val="000000"/>
          <w:sz w:val="20"/>
          <w:szCs w:val="20"/>
        </w:rPr>
      </w:pPr>
      <w:r w:rsidRPr="000023C6">
        <w:rPr>
          <w:rFonts w:ascii="Barlow" w:hAnsi="Barlow" w:cs="Calibri"/>
          <w:bCs/>
          <w:color w:val="000000"/>
          <w:sz w:val="20"/>
          <w:szCs w:val="20"/>
        </w:rPr>
        <w:t xml:space="preserve">Manuales </w:t>
      </w:r>
      <w:r w:rsidR="000023C6" w:rsidRPr="000023C6">
        <w:rPr>
          <w:rFonts w:ascii="Barlow" w:hAnsi="Barlow" w:cs="Calibri"/>
          <w:bCs/>
          <w:color w:val="000000"/>
          <w:sz w:val="20"/>
          <w:szCs w:val="20"/>
        </w:rPr>
        <w:t>administrativos, de</w:t>
      </w:r>
      <w:r w:rsidRPr="000023C6">
        <w:rPr>
          <w:rFonts w:ascii="Barlow" w:hAnsi="Barlow" w:cs="Calibri"/>
          <w:bCs/>
          <w:color w:val="000000"/>
          <w:sz w:val="20"/>
          <w:szCs w:val="20"/>
        </w:rPr>
        <w:t xml:space="preserve"> integración, organizacional</w:t>
      </w:r>
      <w:r w:rsidRPr="000023C6">
        <w:rPr>
          <w:rFonts w:ascii="Barlow" w:hAnsi="Barlow" w:cs="Calibri"/>
          <w:bCs/>
          <w:color w:val="000000"/>
          <w:sz w:val="20"/>
          <w:szCs w:val="20"/>
        </w:rPr>
        <w:tab/>
        <w:t>.</w:t>
      </w:r>
    </w:p>
    <w:p w:rsidR="00D11386" w:rsidRPr="000023C6" w:rsidRDefault="00D11386" w:rsidP="000023C6">
      <w:pPr>
        <w:pStyle w:val="Prrafodelista"/>
        <w:numPr>
          <w:ilvl w:val="0"/>
          <w:numId w:val="33"/>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Manual de los Comités de Adquisiciones, Arrendamientos y Prestaciones de Servicios Relacionados con Bienes Muebles de las Dependencias y Entidades de la Administración Pública del Estado de Yucatán</w:t>
      </w:r>
    </w:p>
    <w:p w:rsidR="00D11386" w:rsidRPr="000023C6" w:rsidRDefault="00D11386" w:rsidP="000023C6">
      <w:pPr>
        <w:pStyle w:val="Prrafodelista"/>
        <w:numPr>
          <w:ilvl w:val="0"/>
          <w:numId w:val="33"/>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Manual de Contabilidad de la Escuela Superior de Artes de Yucatán</w:t>
      </w:r>
    </w:p>
    <w:p w:rsidR="00D11386" w:rsidRPr="000023C6" w:rsidRDefault="00D11386" w:rsidP="000023C6">
      <w:pPr>
        <w:pStyle w:val="Prrafodelista"/>
        <w:numPr>
          <w:ilvl w:val="0"/>
          <w:numId w:val="33"/>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Manual de Procedimientos de la Escuela Superior de Artes de Yucatán_2021.</w:t>
      </w:r>
    </w:p>
    <w:p w:rsidR="00D11386" w:rsidRPr="000023C6" w:rsidRDefault="00D11386" w:rsidP="000023C6">
      <w:pPr>
        <w:pStyle w:val="Prrafodelista"/>
        <w:numPr>
          <w:ilvl w:val="0"/>
          <w:numId w:val="33"/>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t>Plan Institucional de Desarrollo de la Escuela Superior de Artes de Yucatán 2018_2024.</w:t>
      </w:r>
    </w:p>
    <w:p w:rsidR="00155EBA" w:rsidRPr="000023C6" w:rsidRDefault="00D11386" w:rsidP="000023C6">
      <w:pPr>
        <w:pStyle w:val="Prrafodelista"/>
        <w:numPr>
          <w:ilvl w:val="0"/>
          <w:numId w:val="33"/>
        </w:numPr>
        <w:jc w:val="both"/>
        <w:rPr>
          <w:rFonts w:ascii="Barlow" w:eastAsia="Times New Roman" w:hAnsi="Barlow" w:cs="Calibri"/>
          <w:bCs/>
          <w:color w:val="000000"/>
          <w:sz w:val="20"/>
          <w:szCs w:val="20"/>
          <w:lang w:eastAsia="es-MX"/>
        </w:rPr>
      </w:pPr>
      <w:r w:rsidRPr="000023C6">
        <w:rPr>
          <w:rFonts w:ascii="Barlow" w:eastAsia="Times New Roman" w:hAnsi="Barlow" w:cs="Calibri"/>
          <w:bCs/>
          <w:color w:val="000000"/>
          <w:sz w:val="20"/>
          <w:szCs w:val="20"/>
          <w:lang w:eastAsia="es-MX"/>
        </w:rPr>
        <w:lastRenderedPageBreak/>
        <w:t>Manual de Titulación de la ESAY_04_12_2020.</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t>e) Consideraciones fiscales de la institución:</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La ESAY se encuentra registrada en el Padrón del Registro Federal de Contribuyentes con la actividad económica "Escuelas de educación media técnica terminal pertenecientes al sector público". Está inscrita en el régimen fiscal de Personas Morales con Fines no Lucrativos y  es sujeto de las siguientes obligaciones fiscales: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Entero de retenciones mensuales de ISR por sueldos y salarios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Entero de retención de ISR por servicios profesionales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Entero de retenciones de ISR por ingresos asimilados a salarios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Adicionalmente la Institución es sujeto </w:t>
      </w:r>
      <w:r w:rsidR="000023C6" w:rsidRPr="000023C6">
        <w:rPr>
          <w:rFonts w:ascii="Barlow" w:hAnsi="Barlow" w:cs="Calibri"/>
          <w:bCs/>
          <w:color w:val="000000"/>
          <w:sz w:val="20"/>
          <w:szCs w:val="20"/>
        </w:rPr>
        <w:t>del entero</w:t>
      </w:r>
      <w:r w:rsidRPr="000023C6">
        <w:rPr>
          <w:rFonts w:ascii="Barlow" w:hAnsi="Barlow" w:cs="Calibri"/>
          <w:bCs/>
          <w:color w:val="000000"/>
          <w:sz w:val="20"/>
          <w:szCs w:val="20"/>
        </w:rPr>
        <w:t xml:space="preserve"> del Impuesto estatal sobre erogaciones por remuneración al trabajo personal subordinado.</w:t>
      </w:r>
    </w:p>
    <w:p w:rsidR="00155EBA" w:rsidRPr="000023C6" w:rsidRDefault="00155EBA" w:rsidP="000023C6">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t>f) Estructura Organizacional Básica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La estructura orgánica está conformada por:</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I. La Junta de Gobierno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II. El Director General</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III. Las unidades administrativas, a cargo de la dirección general, que establece su estatuto orgánico.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IV. Órganos de apoyo.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t>g) Fideicomisos, mandatos y análogos de los cuales es fideicomitente o fideicomisario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La ESAY no cuenta </w:t>
      </w:r>
      <w:r w:rsidR="000023C6" w:rsidRPr="000023C6">
        <w:rPr>
          <w:rFonts w:ascii="Barlow" w:hAnsi="Barlow" w:cs="Calibri"/>
          <w:bCs/>
          <w:color w:val="000000"/>
          <w:sz w:val="20"/>
          <w:szCs w:val="20"/>
        </w:rPr>
        <w:t>con fideicomisos</w:t>
      </w:r>
      <w:r w:rsidRPr="000023C6">
        <w:rPr>
          <w:rFonts w:ascii="Barlow" w:hAnsi="Barlow" w:cs="Calibri"/>
          <w:bCs/>
          <w:color w:val="000000"/>
          <w:sz w:val="20"/>
          <w:szCs w:val="20"/>
        </w:rPr>
        <w:t xml:space="preserve"> de los cuales sea fideicomitente o fideicomisario.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5. Bases de Preparación de los Estados Financieros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a) Se informa que los estados financieros al </w:t>
      </w:r>
      <w:r w:rsidR="00830835" w:rsidRPr="000023C6">
        <w:rPr>
          <w:rFonts w:ascii="Barlow" w:hAnsi="Barlow" w:cs="Calibri"/>
          <w:bCs/>
          <w:color w:val="000000"/>
          <w:sz w:val="20"/>
          <w:szCs w:val="20"/>
        </w:rPr>
        <w:t>31</w:t>
      </w:r>
      <w:r w:rsidRPr="000023C6">
        <w:rPr>
          <w:rFonts w:ascii="Barlow" w:hAnsi="Barlow" w:cs="Calibri"/>
          <w:bCs/>
          <w:color w:val="000000"/>
          <w:sz w:val="20"/>
          <w:szCs w:val="20"/>
        </w:rPr>
        <w:t xml:space="preserve"> de </w:t>
      </w:r>
      <w:r w:rsidR="000023C6" w:rsidRPr="000023C6">
        <w:rPr>
          <w:rFonts w:ascii="Barlow" w:hAnsi="Barlow" w:cs="Calibri"/>
          <w:bCs/>
          <w:color w:val="000000"/>
          <w:sz w:val="20"/>
          <w:szCs w:val="20"/>
        </w:rPr>
        <w:t>marzo de</w:t>
      </w:r>
      <w:r w:rsidRPr="000023C6">
        <w:rPr>
          <w:rFonts w:ascii="Barlow" w:hAnsi="Barlow" w:cs="Calibri"/>
          <w:bCs/>
          <w:color w:val="000000"/>
          <w:sz w:val="20"/>
          <w:szCs w:val="20"/>
        </w:rPr>
        <w:t xml:space="preserve"> 202</w:t>
      </w:r>
      <w:r w:rsidR="002B3735" w:rsidRPr="000023C6">
        <w:rPr>
          <w:rFonts w:ascii="Barlow" w:hAnsi="Barlow" w:cs="Calibri"/>
          <w:bCs/>
          <w:color w:val="000000"/>
          <w:sz w:val="20"/>
          <w:szCs w:val="20"/>
        </w:rPr>
        <w:t>1</w:t>
      </w:r>
      <w:r w:rsidRPr="000023C6">
        <w:rPr>
          <w:rFonts w:ascii="Barlow" w:hAnsi="Barlow" w:cs="Calibri"/>
          <w:bCs/>
          <w:color w:val="000000"/>
          <w:sz w:val="20"/>
          <w:szCs w:val="20"/>
        </w:rPr>
        <w:t xml:space="preserve">, se han elaborado conforme a la normatividad establecida por el Consejo Nacional de Armonización Contable, CONAC, así como en apego a: </w:t>
      </w:r>
    </w:p>
    <w:p w:rsidR="00155EBA" w:rsidRP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Ley</w:t>
      </w:r>
      <w:r w:rsidR="00155EBA" w:rsidRPr="000023C6">
        <w:rPr>
          <w:rFonts w:ascii="Barlow" w:hAnsi="Barlow" w:cs="Calibri"/>
          <w:bCs/>
          <w:color w:val="000000"/>
          <w:sz w:val="20"/>
          <w:szCs w:val="20"/>
        </w:rPr>
        <w:t xml:space="preserve"> General de Contabilidad Gubernamental.</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Ley del Presupuesto y Contabilidad Gubernamental del Estado de Yucatán.</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lastRenderedPageBreak/>
        <w:t>» Acuerdos que conforman el Manual de Contabilidad Gubernamental, remitido por la Secretaría de Hacienda el 15 de marzo de 2011</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Clasificador por Objeto del Gasto emitido por la Secretaría de Planeación y Presupuesto.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 Decreto de Presupuesto </w:t>
      </w:r>
      <w:r w:rsidR="00830835" w:rsidRPr="000023C6">
        <w:rPr>
          <w:rFonts w:ascii="Barlow" w:hAnsi="Barlow" w:cs="Calibri"/>
          <w:bCs/>
          <w:color w:val="000000"/>
          <w:sz w:val="20"/>
          <w:szCs w:val="20"/>
        </w:rPr>
        <w:t>de Egresos y Ley de ingresos 2020</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Ley de Disciplina Financiera de las Entidades Federativas y los Municipios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b). La normatividad aplicada para el reconocimiento, valuación y revelación de los diferentes rubros de la información financiera, así como las bases de medición utilizadas para le elaboración de los Estados Financieros son las </w:t>
      </w:r>
      <w:r w:rsidRPr="000023C6">
        <w:rPr>
          <w:rFonts w:ascii="Barlow" w:hAnsi="Barlow"/>
          <w:sz w:val="20"/>
          <w:szCs w:val="20"/>
        </w:rPr>
        <w:t>Normas de la Ley General de Contabilidad Gubernamental y a las emitidas por el Consejo de Armonización Contable, CONAC.</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c</w:t>
      </w:r>
      <w:r w:rsidRPr="000023C6">
        <w:rPr>
          <w:rFonts w:ascii="Barlow" w:hAnsi="Barlow" w:cs="Calibri"/>
          <w:bCs/>
          <w:color w:val="000000"/>
          <w:sz w:val="20"/>
          <w:szCs w:val="20"/>
        </w:rPr>
        <w:t>) Postulados básicos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Los postulados básicos de Contabilidad Gubernamental sobre los que se preparan los Estados Financieros, son los aprobados por el Consejo Nacional de Armonización Contable:</w:t>
      </w:r>
    </w:p>
    <w:p w:rsidR="00155EBA" w:rsidRP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Sustancia</w:t>
      </w:r>
      <w:r w:rsidR="00155EBA" w:rsidRPr="000023C6">
        <w:rPr>
          <w:rFonts w:ascii="Barlow" w:hAnsi="Barlow" w:cs="Calibri"/>
          <w:bCs/>
          <w:color w:val="000000"/>
          <w:sz w:val="20"/>
          <w:szCs w:val="20"/>
        </w:rPr>
        <w:t xml:space="preserve"> Económica</w:t>
      </w:r>
    </w:p>
    <w:p w:rsidR="00155EBA" w:rsidRP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Entes</w:t>
      </w:r>
      <w:r w:rsidR="00155EBA" w:rsidRPr="000023C6">
        <w:rPr>
          <w:rFonts w:ascii="Barlow" w:hAnsi="Barlow" w:cs="Calibri"/>
          <w:bCs/>
          <w:color w:val="000000"/>
          <w:sz w:val="20"/>
          <w:szCs w:val="20"/>
        </w:rPr>
        <w:t xml:space="preserve"> Públicos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Existencia Permanente</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Revelación Suficiente</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Importancia Relativa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Registro e Integración Presupuestaria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Consolidación de la Información Financiera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Devengo Contable</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Valuación</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Dualidad Económica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Consistencia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d) Normatividad supletoria:</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Normatividad emitida por las unidades administrativas o instancias competentes en materia de Contabilidad Gubernamental.</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Normas de Información Financiera (NIF) emitidas por el Consejo Mexicano para la Investigación y Desarrollo de Normas de Información Financiera, A. C. (CINIF).</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cs="Calibri"/>
          <w:bCs/>
          <w:color w:val="000000"/>
          <w:sz w:val="20"/>
          <w:szCs w:val="20"/>
        </w:rPr>
        <w:t xml:space="preserve">Normas Internacionales de Contabilidad para el sector público (NICSP's) emitidas por la Federación Internacional de Contadores (IFAC, por sus siglas en </w:t>
      </w:r>
      <w:r w:rsidRPr="000023C6">
        <w:rPr>
          <w:rFonts w:ascii="Barlow" w:hAnsi="Barlow" w:cs="Calibri"/>
          <w:bCs/>
          <w:color w:val="000000"/>
          <w:sz w:val="20"/>
          <w:szCs w:val="20"/>
        </w:rPr>
        <w:lastRenderedPageBreak/>
        <w:t>inglés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6.   Políticas de Contabilidad Significativas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a) Actualización. No se ha efectuado actualización del valor de los activos, pasivos y Hacienda Pública/Patrimonio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b) Se informa que no se realizaron operaciones en el extranjero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c) La Institución no realiza inversiones en acciones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d) No se cuenta con inventarios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e) Beneficios a empleados. No se han realizado cálculos de reservas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f) Provisiones. No se han creado provisiones.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g)  Reservas. No se han credo reservas</w:t>
      </w:r>
    </w:p>
    <w:p w:rsidR="00155EBA" w:rsidRPr="000023C6" w:rsidRDefault="00155EBA" w:rsidP="000023C6">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h)  Cambios en políticas contables. Debido a la implementación de la normatividad emitida por el CONAC, la cuenta "Patrimonio Contribuido" subcuenta "Aportaciones" quedó con un saldo proveniente de las compras de activo fijo en ejercicios anteriores al 2012. Como política contable se ha determinado mantener el saldo en la cuenta en tanto los bienes incluidos en ese rubro no sean dados de baja y el CONAC emita alguna disposición al respecto. </w:t>
      </w:r>
    </w:p>
    <w:p w:rsidR="00E777FD" w:rsidRPr="000023C6" w:rsidRDefault="00E777FD"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i) Reclasificaciones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La Escuela Superior de Artes de Yucatán ha realizado las siguientes reclasificaciones:</w:t>
      </w:r>
    </w:p>
    <w:p w:rsidR="00EE1A4F" w:rsidRPr="000023C6" w:rsidRDefault="00EE1A4F"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EE1A4F" w:rsidRDefault="00EE1A4F"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0023C6" w:rsidRP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tbl>
      <w:tblPr>
        <w:tblW w:w="10422" w:type="dxa"/>
        <w:jc w:val="center"/>
        <w:tblCellMar>
          <w:left w:w="70" w:type="dxa"/>
          <w:right w:w="70" w:type="dxa"/>
        </w:tblCellMar>
        <w:tblLook w:val="04A0" w:firstRow="1" w:lastRow="0" w:firstColumn="1" w:lastColumn="0" w:noHBand="0" w:noVBand="1"/>
      </w:tblPr>
      <w:tblGrid>
        <w:gridCol w:w="1200"/>
        <w:gridCol w:w="1202"/>
        <w:gridCol w:w="8020"/>
      </w:tblGrid>
      <w:tr w:rsidR="00155EBA" w:rsidRPr="000023C6" w:rsidTr="000023C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EBA" w:rsidRPr="000023C6" w:rsidRDefault="00155EBA" w:rsidP="000023C6">
            <w:pPr>
              <w:spacing w:after="0" w:line="240" w:lineRule="auto"/>
              <w:jc w:val="both"/>
              <w:rPr>
                <w:rFonts w:ascii="Barlow" w:hAnsi="Barlow" w:cs="Calibri"/>
                <w:b/>
                <w:bCs/>
                <w:color w:val="000000"/>
                <w:sz w:val="20"/>
                <w:szCs w:val="20"/>
                <w:lang w:val="es-ES" w:eastAsia="es-ES"/>
              </w:rPr>
            </w:pPr>
            <w:r w:rsidRPr="000023C6">
              <w:rPr>
                <w:rFonts w:ascii="Barlow" w:hAnsi="Barlow" w:cs="Calibri"/>
                <w:b/>
                <w:bCs/>
                <w:color w:val="000000"/>
                <w:sz w:val="20"/>
                <w:szCs w:val="20"/>
                <w:lang w:val="es-ES" w:eastAsia="es-ES"/>
              </w:rPr>
              <w:lastRenderedPageBreak/>
              <w:t>Póliza</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155EBA" w:rsidRPr="000023C6" w:rsidRDefault="00155EBA" w:rsidP="000023C6">
            <w:pPr>
              <w:spacing w:after="0" w:line="240" w:lineRule="auto"/>
              <w:jc w:val="both"/>
              <w:rPr>
                <w:rFonts w:ascii="Barlow" w:hAnsi="Barlow" w:cs="Calibri"/>
                <w:b/>
                <w:bCs/>
                <w:color w:val="000000"/>
                <w:sz w:val="20"/>
                <w:szCs w:val="20"/>
                <w:lang w:val="es-ES" w:eastAsia="es-ES"/>
              </w:rPr>
            </w:pPr>
            <w:r w:rsidRPr="000023C6">
              <w:rPr>
                <w:rFonts w:ascii="Barlow" w:hAnsi="Barlow" w:cs="Calibri"/>
                <w:b/>
                <w:bCs/>
                <w:color w:val="000000"/>
                <w:sz w:val="20"/>
                <w:szCs w:val="20"/>
                <w:lang w:val="es-ES" w:eastAsia="es-ES"/>
              </w:rPr>
              <w:t>Fecha</w:t>
            </w:r>
          </w:p>
        </w:tc>
        <w:tc>
          <w:tcPr>
            <w:tcW w:w="8020" w:type="dxa"/>
            <w:tcBorders>
              <w:top w:val="single" w:sz="4" w:space="0" w:color="auto"/>
              <w:left w:val="nil"/>
              <w:bottom w:val="single" w:sz="4" w:space="0" w:color="auto"/>
              <w:right w:val="single" w:sz="4" w:space="0" w:color="auto"/>
            </w:tcBorders>
            <w:shd w:val="clear" w:color="auto" w:fill="auto"/>
            <w:noWrap/>
            <w:vAlign w:val="bottom"/>
            <w:hideMark/>
          </w:tcPr>
          <w:p w:rsidR="00155EBA" w:rsidRPr="000023C6" w:rsidRDefault="00155EBA" w:rsidP="000023C6">
            <w:pPr>
              <w:spacing w:after="0" w:line="240" w:lineRule="auto"/>
              <w:jc w:val="both"/>
              <w:rPr>
                <w:rFonts w:ascii="Barlow" w:hAnsi="Barlow" w:cs="Calibri"/>
                <w:b/>
                <w:bCs/>
                <w:color w:val="000000"/>
                <w:sz w:val="20"/>
                <w:szCs w:val="20"/>
                <w:lang w:val="es-ES" w:eastAsia="es-ES"/>
              </w:rPr>
            </w:pPr>
            <w:r w:rsidRPr="000023C6">
              <w:rPr>
                <w:rFonts w:ascii="Barlow" w:hAnsi="Barlow" w:cs="Calibri"/>
                <w:b/>
                <w:bCs/>
                <w:color w:val="000000"/>
                <w:sz w:val="20"/>
                <w:szCs w:val="20"/>
                <w:lang w:val="es-ES" w:eastAsia="es-ES"/>
              </w:rPr>
              <w:t>Concepto de reclasificación</w:t>
            </w:r>
          </w:p>
        </w:tc>
      </w:tr>
      <w:tr w:rsidR="00155EBA" w:rsidRPr="000023C6" w:rsidTr="000023C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EBA" w:rsidRPr="000023C6" w:rsidRDefault="00155EBA" w:rsidP="000023C6">
            <w:pPr>
              <w:spacing w:after="0" w:line="240" w:lineRule="auto"/>
              <w:jc w:val="both"/>
              <w:rPr>
                <w:rFonts w:ascii="Barlow" w:hAnsi="Barlow" w:cs="Calibri"/>
                <w:color w:val="000000"/>
                <w:sz w:val="20"/>
                <w:szCs w:val="20"/>
                <w:lang w:val="es-ES" w:eastAsia="es-ES"/>
              </w:rPr>
            </w:pPr>
            <w:r w:rsidRPr="000023C6">
              <w:rPr>
                <w:rFonts w:ascii="Barlow" w:hAnsi="Barlow" w:cs="Calibri"/>
                <w:color w:val="000000"/>
                <w:sz w:val="20"/>
                <w:szCs w:val="20"/>
                <w:lang w:val="es-ES" w:eastAsia="es-ES"/>
              </w:rPr>
              <w:t>D00002</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155EBA" w:rsidRPr="000023C6" w:rsidRDefault="00155EBA" w:rsidP="000023C6">
            <w:pPr>
              <w:spacing w:after="0" w:line="240" w:lineRule="auto"/>
              <w:jc w:val="both"/>
              <w:rPr>
                <w:rFonts w:ascii="Barlow" w:hAnsi="Barlow" w:cs="Calibri"/>
                <w:color w:val="000000"/>
                <w:sz w:val="20"/>
                <w:szCs w:val="20"/>
                <w:lang w:val="es-ES" w:eastAsia="es-ES"/>
              </w:rPr>
            </w:pPr>
            <w:r w:rsidRPr="000023C6">
              <w:rPr>
                <w:rFonts w:ascii="Barlow" w:hAnsi="Barlow" w:cs="Calibri"/>
                <w:color w:val="000000"/>
                <w:sz w:val="20"/>
                <w:szCs w:val="20"/>
                <w:lang w:val="es-ES" w:eastAsia="es-ES"/>
              </w:rPr>
              <w:t>01/01/202</w:t>
            </w:r>
            <w:r w:rsidR="00DC71F1" w:rsidRPr="000023C6">
              <w:rPr>
                <w:rFonts w:ascii="Barlow" w:hAnsi="Barlow" w:cs="Calibri"/>
                <w:color w:val="000000"/>
                <w:sz w:val="20"/>
                <w:szCs w:val="20"/>
                <w:lang w:val="es-ES" w:eastAsia="es-ES"/>
              </w:rPr>
              <w:t>1</w:t>
            </w:r>
          </w:p>
        </w:tc>
        <w:tc>
          <w:tcPr>
            <w:tcW w:w="8020" w:type="dxa"/>
            <w:tcBorders>
              <w:top w:val="single" w:sz="4" w:space="0" w:color="auto"/>
              <w:left w:val="nil"/>
              <w:bottom w:val="single" w:sz="4" w:space="0" w:color="auto"/>
              <w:right w:val="single" w:sz="4" w:space="0" w:color="auto"/>
            </w:tcBorders>
            <w:shd w:val="clear" w:color="auto" w:fill="auto"/>
            <w:noWrap/>
            <w:vAlign w:val="bottom"/>
            <w:hideMark/>
          </w:tcPr>
          <w:p w:rsidR="00155EBA" w:rsidRPr="000023C6" w:rsidRDefault="00155EBA" w:rsidP="000023C6">
            <w:pPr>
              <w:spacing w:after="0" w:line="240" w:lineRule="auto"/>
              <w:jc w:val="both"/>
              <w:rPr>
                <w:rFonts w:ascii="Barlow" w:hAnsi="Barlow" w:cs="Calibri"/>
                <w:color w:val="000000"/>
                <w:sz w:val="20"/>
                <w:szCs w:val="20"/>
                <w:lang w:val="es-ES" w:eastAsia="es-ES"/>
              </w:rPr>
            </w:pPr>
            <w:r w:rsidRPr="000023C6">
              <w:rPr>
                <w:rFonts w:ascii="Barlow" w:hAnsi="Barlow" w:cs="Calibri"/>
                <w:color w:val="000000"/>
                <w:sz w:val="20"/>
                <w:szCs w:val="20"/>
                <w:lang w:val="es-ES" w:eastAsia="es-ES"/>
              </w:rPr>
              <w:t>Reclasificación  saldo de ejercicio anterior</w:t>
            </w:r>
          </w:p>
        </w:tc>
      </w:tr>
      <w:tr w:rsidR="005E18DE" w:rsidRPr="000023C6" w:rsidTr="000023C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18DE" w:rsidRPr="000023C6" w:rsidRDefault="005E18DE" w:rsidP="000023C6">
            <w:pPr>
              <w:spacing w:after="0" w:line="240" w:lineRule="auto"/>
              <w:jc w:val="both"/>
              <w:rPr>
                <w:rFonts w:ascii="Barlow" w:hAnsi="Barlow" w:cs="Calibri"/>
                <w:color w:val="000000"/>
                <w:sz w:val="20"/>
                <w:szCs w:val="20"/>
                <w:lang w:val="es-ES" w:eastAsia="es-ES"/>
              </w:rPr>
            </w:pPr>
            <w:r w:rsidRPr="000023C6">
              <w:rPr>
                <w:rFonts w:ascii="Barlow" w:hAnsi="Barlow" w:cs="Calibri"/>
                <w:color w:val="000000"/>
                <w:sz w:val="20"/>
                <w:szCs w:val="20"/>
                <w:lang w:val="es-ES" w:eastAsia="es-ES"/>
              </w:rPr>
              <w:t>D00026</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5E18DE" w:rsidRPr="000023C6" w:rsidRDefault="005E18DE" w:rsidP="000023C6">
            <w:pPr>
              <w:spacing w:after="0" w:line="240" w:lineRule="auto"/>
              <w:jc w:val="both"/>
              <w:rPr>
                <w:rFonts w:ascii="Barlow" w:hAnsi="Barlow" w:cs="Calibri"/>
                <w:color w:val="000000"/>
                <w:sz w:val="20"/>
                <w:szCs w:val="20"/>
                <w:lang w:val="es-ES" w:eastAsia="es-ES"/>
              </w:rPr>
            </w:pPr>
            <w:r w:rsidRPr="000023C6">
              <w:rPr>
                <w:rFonts w:ascii="Barlow" w:hAnsi="Barlow" w:cs="Calibri"/>
                <w:color w:val="000000"/>
                <w:sz w:val="20"/>
                <w:szCs w:val="20"/>
                <w:lang w:val="es-ES" w:eastAsia="es-ES"/>
              </w:rPr>
              <w:t>01/03/2021</w:t>
            </w:r>
          </w:p>
        </w:tc>
        <w:tc>
          <w:tcPr>
            <w:tcW w:w="8020" w:type="dxa"/>
            <w:tcBorders>
              <w:top w:val="single" w:sz="4" w:space="0" w:color="auto"/>
              <w:left w:val="nil"/>
              <w:bottom w:val="single" w:sz="4" w:space="0" w:color="auto"/>
              <w:right w:val="single" w:sz="4" w:space="0" w:color="auto"/>
            </w:tcBorders>
            <w:shd w:val="clear" w:color="auto" w:fill="auto"/>
            <w:noWrap/>
            <w:vAlign w:val="bottom"/>
            <w:hideMark/>
          </w:tcPr>
          <w:p w:rsidR="005E18DE" w:rsidRPr="000023C6" w:rsidRDefault="005E18DE" w:rsidP="000023C6">
            <w:pPr>
              <w:spacing w:after="0" w:line="240" w:lineRule="auto"/>
              <w:jc w:val="both"/>
              <w:rPr>
                <w:rFonts w:ascii="Barlow" w:hAnsi="Barlow" w:cs="Calibri"/>
                <w:color w:val="000000"/>
                <w:sz w:val="20"/>
                <w:szCs w:val="20"/>
                <w:lang w:val="es-ES" w:eastAsia="es-ES"/>
              </w:rPr>
            </w:pPr>
            <w:r w:rsidRPr="000023C6">
              <w:rPr>
                <w:rFonts w:ascii="Barlow" w:hAnsi="Barlow" w:cs="Calibri"/>
                <w:color w:val="000000"/>
                <w:sz w:val="20"/>
                <w:szCs w:val="20"/>
                <w:lang w:val="es-ES" w:eastAsia="es-ES"/>
              </w:rPr>
              <w:t>Reclasificación 1a quincena Febrero  Mtro. Ivan Casals</w:t>
            </w:r>
          </w:p>
        </w:tc>
      </w:tr>
    </w:tbl>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j) Depuración y cancelación de saldos. La depuración de saldos se realiza con base en el Acuerdo SAF/26//2015 por el que se expiden los Lineamientos para la Depuración de Cuentas Contables en la Administración Pública Estatal publicado en el Diario oficial el 28 de enero de 2015.</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7. Posición en Moneda Extranjera y Protección por Riesgo Cambiario</w:t>
      </w:r>
    </w:p>
    <w:p w:rsidR="00FB47E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La ESAY durante el período que se informa no realizó operaciones en moneda extranjera. Las operaciones que se deriven de pago en moneda extranjera, se convertirán a moneda nacional, utilizando el tipo de cambio del día que se realice la operación.</w:t>
      </w:r>
    </w:p>
    <w:p w:rsidR="000023C6" w:rsidRPr="000023C6" w:rsidRDefault="000023C6"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FB47E6"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t>8. Reporte Analítico del Activo</w:t>
      </w:r>
    </w:p>
    <w:p w:rsidR="00155EBA" w:rsidRPr="000023C6" w:rsidRDefault="00155EBA" w:rsidP="000023C6">
      <w:pPr>
        <w:pStyle w:val="Prrafodelista"/>
        <w:widowControl w:val="0"/>
        <w:numPr>
          <w:ilvl w:val="0"/>
          <w:numId w:val="5"/>
        </w:numPr>
        <w:autoSpaceDE w:val="0"/>
        <w:autoSpaceDN w:val="0"/>
        <w:adjustRightInd w:val="0"/>
        <w:spacing w:before="26" w:after="0" w:line="240" w:lineRule="auto"/>
        <w:ind w:right="-20"/>
        <w:jc w:val="both"/>
        <w:rPr>
          <w:rFonts w:ascii="Barlow" w:hAnsi="Barlow" w:cs="Calibri"/>
          <w:bCs/>
          <w:color w:val="000000"/>
          <w:sz w:val="20"/>
          <w:szCs w:val="20"/>
        </w:rPr>
      </w:pPr>
      <w:r w:rsidRPr="000023C6">
        <w:rPr>
          <w:rFonts w:ascii="Barlow" w:hAnsi="Barlow" w:cs="Calibri"/>
          <w:bCs/>
          <w:color w:val="000000"/>
          <w:sz w:val="20"/>
          <w:szCs w:val="20"/>
        </w:rPr>
        <w:t>Los porcentajes de depreciación y amortización anual para cada rubro de activo son los siguientes:</w:t>
      </w:r>
    </w:p>
    <w:p w:rsidR="00EE1A4F" w:rsidRPr="000023C6" w:rsidRDefault="00EE1A4F" w:rsidP="000023C6">
      <w:pPr>
        <w:widowControl w:val="0"/>
        <w:autoSpaceDE w:val="0"/>
        <w:autoSpaceDN w:val="0"/>
        <w:adjustRightInd w:val="0"/>
        <w:spacing w:before="26" w:after="0" w:line="240" w:lineRule="auto"/>
        <w:ind w:right="-20"/>
        <w:rPr>
          <w:rFonts w:ascii="Barlow" w:hAnsi="Barlow" w:cs="Calibri"/>
          <w:bCs/>
          <w:color w:val="000000"/>
          <w:sz w:val="20"/>
          <w:szCs w:val="20"/>
        </w:rPr>
      </w:pPr>
    </w:p>
    <w:tbl>
      <w:tblPr>
        <w:tblStyle w:val="Tablaconcuadrcula"/>
        <w:tblW w:w="0" w:type="auto"/>
        <w:tblInd w:w="1910" w:type="dxa"/>
        <w:tblLook w:val="04A0" w:firstRow="1" w:lastRow="0" w:firstColumn="1" w:lastColumn="0" w:noHBand="0" w:noVBand="1"/>
      </w:tblPr>
      <w:tblGrid>
        <w:gridCol w:w="8363"/>
        <w:gridCol w:w="1559"/>
      </w:tblGrid>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RUBRO</w:t>
            </w:r>
          </w:p>
        </w:tc>
        <w:tc>
          <w:tcPr>
            <w:tcW w:w="1559"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PORCENTAJE DE DEPRECIACIÓN</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
                <w:bCs/>
                <w:color w:val="000000"/>
                <w:sz w:val="20"/>
                <w:szCs w:val="20"/>
              </w:rPr>
            </w:pPr>
            <w:r w:rsidRPr="000023C6">
              <w:rPr>
                <w:rFonts w:ascii="Barlow" w:hAnsi="Barlow" w:cs="Calibri"/>
                <w:b/>
                <w:bCs/>
                <w:color w:val="000000"/>
                <w:sz w:val="20"/>
                <w:szCs w:val="20"/>
              </w:rPr>
              <w:t>Mobiliario y Equipo de Administración</w:t>
            </w:r>
          </w:p>
        </w:tc>
        <w:tc>
          <w:tcPr>
            <w:tcW w:w="1559"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Muebles de Oficina y Estantería</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10%</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Muebles, Excepto de Oficina y Estantería</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10%</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Equipo de Cómputo y de Tecnologías de la Información</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30%</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 xml:space="preserve">   Otros Mobiliarios y Equipos de Administración</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10%</w:t>
            </w:r>
          </w:p>
        </w:tc>
      </w:tr>
      <w:tr w:rsidR="00243D55" w:rsidRPr="000023C6" w:rsidTr="0012700C">
        <w:trPr>
          <w:trHeight w:val="70"/>
        </w:trPr>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
                <w:bCs/>
                <w:color w:val="000000"/>
                <w:sz w:val="20"/>
                <w:szCs w:val="20"/>
              </w:rPr>
            </w:pPr>
            <w:r w:rsidRPr="000023C6">
              <w:rPr>
                <w:rFonts w:ascii="Barlow" w:hAnsi="Barlow" w:cs="Calibri"/>
                <w:b/>
                <w:bCs/>
                <w:color w:val="000000"/>
                <w:sz w:val="20"/>
                <w:szCs w:val="20"/>
              </w:rPr>
              <w:t>Mobiliario y Equipo Educacional y Recreativo</w:t>
            </w:r>
          </w:p>
        </w:tc>
        <w:tc>
          <w:tcPr>
            <w:tcW w:w="1559"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Equipos y Aparatos Audiovisuales</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10%</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Cámaras Fotográficas y de VIDEO</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10%</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Otro Mobiliario y Equipo Educacional y Recreativo</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10%</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
                <w:bCs/>
                <w:color w:val="000000"/>
                <w:sz w:val="20"/>
                <w:szCs w:val="20"/>
              </w:rPr>
            </w:pPr>
            <w:r w:rsidRPr="000023C6">
              <w:rPr>
                <w:rFonts w:ascii="Barlow" w:hAnsi="Barlow" w:cs="Calibri"/>
                <w:b/>
                <w:bCs/>
                <w:color w:val="000000"/>
                <w:sz w:val="20"/>
                <w:szCs w:val="20"/>
              </w:rPr>
              <w:t>Equipo de Transporte</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lastRenderedPageBreak/>
              <w:t>Automóviles y Equipo de Transporte</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25%</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
                <w:bCs/>
                <w:color w:val="000000"/>
                <w:sz w:val="20"/>
                <w:szCs w:val="20"/>
              </w:rPr>
            </w:pPr>
            <w:r w:rsidRPr="000023C6">
              <w:rPr>
                <w:rFonts w:ascii="Barlow" w:hAnsi="Barlow" w:cs="Calibri"/>
                <w:b/>
                <w:bCs/>
                <w:color w:val="000000"/>
                <w:sz w:val="20"/>
                <w:szCs w:val="20"/>
              </w:rPr>
              <w:t>Maquinaria, Otros Equipos y Herramientas</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Maquinaria y Equipo Industrial</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10%</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Sistemas de Aire Acondicionado, Calefacción y de Refrigeración</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10%</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Equipos de Generación Eléctrica, Aparatos y Accesorios</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5%</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Herramientas y Máquinas Herramienta</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35%</w:t>
            </w:r>
          </w:p>
        </w:tc>
      </w:tr>
      <w:tr w:rsidR="00243D55" w:rsidRPr="000023C6" w:rsidTr="0012700C">
        <w:tc>
          <w:tcPr>
            <w:tcW w:w="8363" w:type="dxa"/>
          </w:tcPr>
          <w:p w:rsidR="00243D55" w:rsidRPr="000023C6" w:rsidRDefault="00243D55" w:rsidP="0012700C">
            <w:pPr>
              <w:widowControl w:val="0"/>
              <w:autoSpaceDE w:val="0"/>
              <w:autoSpaceDN w:val="0"/>
              <w:adjustRightInd w:val="0"/>
              <w:spacing w:before="26" w:after="0" w:line="240" w:lineRule="auto"/>
              <w:ind w:right="-20"/>
              <w:rPr>
                <w:rFonts w:ascii="Barlow" w:hAnsi="Barlow" w:cs="Calibri"/>
                <w:bCs/>
                <w:color w:val="000000"/>
                <w:sz w:val="20"/>
                <w:szCs w:val="20"/>
              </w:rPr>
            </w:pPr>
            <w:r w:rsidRPr="000023C6">
              <w:rPr>
                <w:rFonts w:ascii="Barlow" w:hAnsi="Barlow" w:cs="Calibri"/>
                <w:bCs/>
                <w:color w:val="000000"/>
                <w:sz w:val="20"/>
                <w:szCs w:val="20"/>
              </w:rPr>
              <w:t>Otros Equipos</w:t>
            </w:r>
          </w:p>
        </w:tc>
        <w:tc>
          <w:tcPr>
            <w:tcW w:w="1559" w:type="dxa"/>
          </w:tcPr>
          <w:p w:rsidR="00243D55" w:rsidRPr="000023C6" w:rsidRDefault="00243D55" w:rsidP="0012700C">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cs="Calibri"/>
                <w:bCs/>
                <w:color w:val="000000"/>
                <w:sz w:val="20"/>
                <w:szCs w:val="20"/>
              </w:rPr>
              <w:t>10%</w:t>
            </w:r>
          </w:p>
        </w:tc>
      </w:tr>
    </w:tbl>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b) Los porcentajes de depreciación utilizados de manera permanente son los aprobados por la Junta de Gobierno de la Escuela Superior de Artes de Yucatán.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c) No se han capitalizado en el ejercicio gastos financieros ni de investigación o desarrollo.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d) La institución no cuenta con inversiones financieras a plazo, por lo que no existe un riesgo presente. Tampoco existe un riesgo en los tipos de cambio debido a que las transacciones son en moneda nacional</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e) No se cuenta con bienes construidos por la entidad.</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f) No se cuenta con bienes muebles en garantía, embargos o títulos de inversiones.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g) No se ha realizado desmantelamiento de activos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h) Administración de activos. La Escuela Superior de Artes de Yucatán de Artes realiza una vez el año verificación física de los activos registrados en la contabilidad, se lleva un control del registro de los bienes muebles y se tiene un archivo de las facturas de los </w:t>
      </w:r>
      <w:r w:rsidR="000023C6" w:rsidRPr="000023C6">
        <w:rPr>
          <w:rFonts w:ascii="Barlow" w:hAnsi="Barlow" w:cs="Calibri"/>
          <w:bCs/>
          <w:color w:val="000000"/>
          <w:sz w:val="20"/>
          <w:szCs w:val="20"/>
        </w:rPr>
        <w:t>bienes con</w:t>
      </w:r>
      <w:r w:rsidRPr="000023C6">
        <w:rPr>
          <w:rFonts w:ascii="Barlow" w:hAnsi="Barlow" w:cs="Calibri"/>
          <w:bCs/>
          <w:color w:val="000000"/>
          <w:sz w:val="20"/>
          <w:szCs w:val="20"/>
        </w:rPr>
        <w:t xml:space="preserve"> su resguardo que sustenta el personal que es responsable por dicho bien.</w:t>
      </w:r>
    </w:p>
    <w:p w:rsidR="00DC71F1" w:rsidRPr="000023C6" w:rsidRDefault="00DC71F1" w:rsidP="000023C6">
      <w:pPr>
        <w:ind w:left="142"/>
        <w:jc w:val="both"/>
        <w:rPr>
          <w:rFonts w:ascii="Barlow" w:hAnsi="Barlow"/>
          <w:sz w:val="20"/>
          <w:szCs w:val="20"/>
        </w:rPr>
      </w:pPr>
      <w:r w:rsidRPr="000023C6">
        <w:rPr>
          <w:rFonts w:ascii="Barlow" w:hAnsi="Barlow"/>
          <w:sz w:val="20"/>
          <w:szCs w:val="20"/>
        </w:rPr>
        <w:t>En apego al Acuerdo por el se reforman las Reglas Específicas del Registro y Valoración del Patrimonio, publicado en el Diario Oficial de la Federación (DOF) el 27 de diciembre del 2017, se establecieron los siguientes criterios a considerar:</w:t>
      </w:r>
    </w:p>
    <w:p w:rsidR="00DC71F1" w:rsidRPr="000023C6" w:rsidRDefault="00DC71F1" w:rsidP="000023C6">
      <w:pPr>
        <w:ind w:left="142"/>
        <w:jc w:val="both"/>
        <w:rPr>
          <w:rFonts w:ascii="Barlow" w:hAnsi="Barlow"/>
          <w:sz w:val="20"/>
          <w:szCs w:val="20"/>
        </w:rPr>
      </w:pPr>
      <w:r w:rsidRPr="000023C6">
        <w:rPr>
          <w:rFonts w:ascii="Barlow" w:hAnsi="Barlow"/>
          <w:sz w:val="20"/>
          <w:szCs w:val="20"/>
        </w:rPr>
        <w:t>ACTIVO: De acuerdo a la actualización de los montos para determinar la capitalización de los bienes muebles e intangibles conforme lo establece el Acuerdo por el que se reforman las Reglas Específicas del Registro y Valoración del Patrimonio, para el 2021, los bienes muebles e intangibles cuyo costo unitario de adquisición sea igual o superior a 70 veces el valor de la Unidad de Medida y Actualización (UMA), se registrarán como activo. El valor de la UMA para el 2021 es de $89.62 por lo que el costo unitario de adquisición de un bien mueble o intangible para considerar como activo será a partir de $6,273.40.</w:t>
      </w:r>
    </w:p>
    <w:p w:rsidR="00DC71F1" w:rsidRPr="000023C6" w:rsidRDefault="00DC71F1" w:rsidP="000023C6">
      <w:pPr>
        <w:ind w:left="142"/>
        <w:jc w:val="both"/>
        <w:rPr>
          <w:rFonts w:ascii="Barlow" w:hAnsi="Barlow"/>
          <w:sz w:val="20"/>
          <w:szCs w:val="20"/>
        </w:rPr>
      </w:pPr>
      <w:r w:rsidRPr="000023C6">
        <w:rPr>
          <w:rFonts w:ascii="Barlow" w:hAnsi="Barlow"/>
          <w:sz w:val="20"/>
          <w:szCs w:val="20"/>
        </w:rPr>
        <w:t xml:space="preserve">GASTO: Los bienes que se adquieran por costo menor hasta por 35 UMA, se registrarán como </w:t>
      </w:r>
      <w:r w:rsidR="000023C6" w:rsidRPr="000023C6">
        <w:rPr>
          <w:rFonts w:ascii="Barlow" w:hAnsi="Barlow"/>
          <w:sz w:val="20"/>
          <w:szCs w:val="20"/>
        </w:rPr>
        <w:t>gasto sujeto</w:t>
      </w:r>
      <w:r w:rsidRPr="000023C6">
        <w:rPr>
          <w:rFonts w:ascii="Barlow" w:hAnsi="Barlow"/>
          <w:sz w:val="20"/>
          <w:szCs w:val="20"/>
        </w:rPr>
        <w:t xml:space="preserve"> a control, es decir, se les asignarán un folio y se les expedirá un resguardo. Si el costo del bien mueble o intangible es a partir de $3,136.70 (35 UMA) hasta por un costo menor de $6,273.40 (70 UMA).</w:t>
      </w:r>
    </w:p>
    <w:p w:rsidR="00DC71F1" w:rsidRPr="000023C6" w:rsidRDefault="00DC71F1" w:rsidP="000023C6">
      <w:pPr>
        <w:ind w:left="142"/>
        <w:jc w:val="both"/>
        <w:rPr>
          <w:rFonts w:ascii="Barlow" w:hAnsi="Barlow"/>
          <w:sz w:val="20"/>
          <w:szCs w:val="20"/>
        </w:rPr>
      </w:pPr>
      <w:r w:rsidRPr="000023C6">
        <w:rPr>
          <w:rFonts w:ascii="Barlow" w:hAnsi="Barlow"/>
          <w:sz w:val="20"/>
          <w:szCs w:val="20"/>
        </w:rPr>
        <w:lastRenderedPageBreak/>
        <w:t>EXCEPCIÓN: En el caso de los intangibles cuya licencia tenga vigencia menor a un año se les dará el tratamiento de gasto del período, sin importar el costo de adquisición.</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9. Fideicomisos, Mandatos y Análogos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La ESAY no cuenta con fideicomisos de los cuales sea fideicomitente o fiduciario.</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right="-20"/>
        <w:jc w:val="both"/>
        <w:rPr>
          <w:rFonts w:ascii="Barlow" w:hAnsi="Barlow" w:cs="Calibri"/>
          <w:b/>
          <w:bCs/>
          <w:color w:val="000000"/>
          <w:sz w:val="20"/>
          <w:szCs w:val="20"/>
        </w:rPr>
      </w:pPr>
      <w:r w:rsidRPr="000023C6">
        <w:rPr>
          <w:rFonts w:ascii="Barlow" w:hAnsi="Barlow" w:cs="Calibri"/>
          <w:b/>
          <w:bCs/>
          <w:color w:val="000000"/>
          <w:sz w:val="20"/>
          <w:szCs w:val="20"/>
        </w:rPr>
        <w:t xml:space="preserve">  10. Reporte de la Recaudación</w:t>
      </w:r>
    </w:p>
    <w:p w:rsidR="00155EBA" w:rsidRPr="000023C6" w:rsidRDefault="00155EBA" w:rsidP="000023C6">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0023C6">
        <w:rPr>
          <w:rFonts w:ascii="Barlow" w:hAnsi="Barlow" w:cs="Calibri"/>
          <w:bCs/>
          <w:color w:val="000000"/>
          <w:sz w:val="20"/>
          <w:szCs w:val="20"/>
        </w:rPr>
        <w:t>La recaudación de la Escuela Superior de Artes de Yucatán al período que se reporta, corresponde en su totalidad a ingresos locales, no cuenta con ingresos federales. Es la siguiente:</w:t>
      </w:r>
    </w:p>
    <w:p w:rsidR="002B3735" w:rsidRPr="000023C6" w:rsidRDefault="002B3735"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0F73BE" w:rsidRPr="000023C6" w:rsidRDefault="00FB47E6" w:rsidP="00676774">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0023C6">
        <w:rPr>
          <w:rFonts w:ascii="Barlow" w:hAnsi="Barlow"/>
          <w:noProof/>
          <w:sz w:val="20"/>
          <w:szCs w:val="20"/>
        </w:rPr>
        <w:drawing>
          <wp:inline distT="0" distB="0" distL="0" distR="0">
            <wp:extent cx="5676900" cy="1152525"/>
            <wp:effectExtent l="19050" t="0" r="0" b="0"/>
            <wp:docPr id="2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srcRect/>
                    <a:stretch>
                      <a:fillRect/>
                    </a:stretch>
                  </pic:blipFill>
                  <pic:spPr bwMode="auto">
                    <a:xfrm>
                      <a:off x="0" y="0"/>
                      <a:ext cx="5676900" cy="1152525"/>
                    </a:xfrm>
                    <a:prstGeom prst="rect">
                      <a:avLst/>
                    </a:prstGeom>
                    <a:noFill/>
                    <a:ln w="9525">
                      <a:noFill/>
                      <a:miter lim="800000"/>
                      <a:headEnd/>
                      <a:tailEnd/>
                    </a:ln>
                  </pic:spPr>
                </pic:pic>
              </a:graphicData>
            </a:graphic>
          </wp:inline>
        </w:drawing>
      </w:r>
    </w:p>
    <w:p w:rsidR="00036236" w:rsidRPr="000023C6" w:rsidRDefault="00036236" w:rsidP="00676774">
      <w:pPr>
        <w:widowControl w:val="0"/>
        <w:autoSpaceDE w:val="0"/>
        <w:autoSpaceDN w:val="0"/>
        <w:adjustRightInd w:val="0"/>
        <w:spacing w:before="26" w:after="0" w:line="240" w:lineRule="auto"/>
        <w:ind w:right="-20"/>
        <w:jc w:val="center"/>
        <w:rPr>
          <w:rFonts w:ascii="Barlow" w:hAnsi="Barlow" w:cs="Calibri"/>
          <w:bCs/>
          <w:color w:val="000000"/>
          <w:sz w:val="20"/>
          <w:szCs w:val="20"/>
        </w:rPr>
      </w:pP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
          <w:bCs/>
          <w:color w:val="000000"/>
          <w:sz w:val="20"/>
          <w:szCs w:val="20"/>
        </w:rPr>
        <w:t>11. Información sobre la deuda y el Reporte Analítico de la Deuda</w:t>
      </w: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023C6" w:rsidRDefault="000023C6"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Cs/>
          <w:color w:val="000000"/>
          <w:sz w:val="20"/>
          <w:szCs w:val="20"/>
        </w:rPr>
        <w:t>La Escuela</w:t>
      </w:r>
      <w:r w:rsidR="00155EBA" w:rsidRPr="000023C6">
        <w:rPr>
          <w:rFonts w:ascii="Barlow" w:hAnsi="Barlow" w:cs="Calibri"/>
          <w:bCs/>
          <w:color w:val="000000"/>
          <w:sz w:val="20"/>
          <w:szCs w:val="20"/>
        </w:rPr>
        <w:t xml:space="preserve"> Superior de Artes de Yucatán, a la fecha que se informa, no ha </w:t>
      </w:r>
      <w:r w:rsidRPr="000023C6">
        <w:rPr>
          <w:rFonts w:ascii="Barlow" w:hAnsi="Barlow" w:cs="Calibri"/>
          <w:bCs/>
          <w:color w:val="000000"/>
          <w:sz w:val="20"/>
          <w:szCs w:val="20"/>
        </w:rPr>
        <w:t>contratado deuda</w:t>
      </w:r>
      <w:r w:rsidR="00155EBA" w:rsidRPr="000023C6">
        <w:rPr>
          <w:rFonts w:ascii="Barlow" w:hAnsi="Barlow" w:cs="Calibri"/>
          <w:bCs/>
          <w:color w:val="000000"/>
          <w:sz w:val="20"/>
          <w:szCs w:val="20"/>
        </w:rPr>
        <w:t xml:space="preserve"> pública.</w:t>
      </w:r>
    </w:p>
    <w:p w:rsidR="00155EBA" w:rsidRPr="000023C6"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
          <w:bCs/>
          <w:color w:val="000000"/>
          <w:sz w:val="20"/>
          <w:szCs w:val="20"/>
        </w:rPr>
        <w:t xml:space="preserve"> 12. Calificaciones otorgadas</w:t>
      </w: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0023C6">
        <w:rPr>
          <w:rFonts w:ascii="Barlow" w:hAnsi="Barlow" w:cs="Calibri"/>
          <w:bCs/>
          <w:color w:val="000000"/>
          <w:sz w:val="20"/>
          <w:szCs w:val="20"/>
        </w:rPr>
        <w:t>La Institución no ha realizado, a la fecha que se reporta, ninguna transacción por la que haya estado sujeta a una calificación crediticia.</w:t>
      </w:r>
    </w:p>
    <w:p w:rsidR="00155EBA" w:rsidRPr="000023C6"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2B3735" w:rsidRDefault="002B3735"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023C6" w:rsidRPr="000023C6" w:rsidRDefault="000023C6"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lastRenderedPageBreak/>
        <w:t>13. Procesos de mejora</w:t>
      </w:r>
    </w:p>
    <w:p w:rsidR="00155EBA" w:rsidRPr="000023C6" w:rsidRDefault="00155EBA" w:rsidP="000023C6">
      <w:pPr>
        <w:widowControl w:val="0"/>
        <w:numPr>
          <w:ilvl w:val="0"/>
          <w:numId w:val="4"/>
        </w:numPr>
        <w:autoSpaceDE w:val="0"/>
        <w:autoSpaceDN w:val="0"/>
        <w:adjustRightInd w:val="0"/>
        <w:spacing w:before="26" w:after="0" w:line="240" w:lineRule="auto"/>
        <w:ind w:right="-20"/>
        <w:jc w:val="both"/>
        <w:rPr>
          <w:rFonts w:ascii="Barlow" w:hAnsi="Barlow" w:cs="Calibri"/>
          <w:b/>
          <w:bCs/>
          <w:color w:val="000000"/>
          <w:sz w:val="20"/>
          <w:szCs w:val="20"/>
        </w:rPr>
      </w:pPr>
      <w:r w:rsidRPr="000023C6">
        <w:rPr>
          <w:rFonts w:ascii="Barlow" w:hAnsi="Barlow" w:cs="Calibri"/>
          <w:b/>
          <w:bCs/>
          <w:color w:val="000000"/>
          <w:sz w:val="20"/>
          <w:szCs w:val="20"/>
        </w:rPr>
        <w:t>Principales políticas de Control Interno</w:t>
      </w:r>
    </w:p>
    <w:p w:rsidR="00155EBA" w:rsidRPr="000023C6" w:rsidRDefault="00155EBA" w:rsidP="000023C6">
      <w:pPr>
        <w:spacing w:after="0"/>
        <w:ind w:firstLine="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 xml:space="preserve">La Escuela cuenta con un Código de Conducta, que delimita la actuación ética que </w:t>
      </w:r>
      <w:r w:rsidR="000023C6" w:rsidRPr="000023C6">
        <w:rPr>
          <w:rFonts w:ascii="Barlow" w:hAnsi="Barlow"/>
          <w:sz w:val="20"/>
          <w:szCs w:val="20"/>
        </w:rPr>
        <w:t>deben observar</w:t>
      </w:r>
      <w:r w:rsidRPr="000023C6">
        <w:rPr>
          <w:rFonts w:ascii="Barlow" w:hAnsi="Barlow"/>
          <w:sz w:val="20"/>
          <w:szCs w:val="20"/>
        </w:rPr>
        <w:t xml:space="preserve"> los servidores públicos.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Los cambios a la estructura administrativa son sometidos a autorización de las instancias gubernamentales correspondientes.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cuenta con catálogos de cuentas, manual y guía contabilizadora para el registro de las operaciones.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cuenta con medidas de control para el manejo de los Fondos Fijos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resguarda la documentación que ampara la propiedad de los bienes muebles de la Escuela.</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cuenta con expedientes actualizados del personal</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emite en forma oportuna la información financiera y presupuestal.</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efectúan conciliaciones mensuales entre los registros contables y los registros presupuestales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La documentación que respalda los ingresos tiene numeración consecutiva.</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tienen políticas para el manejo de formas oficiales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Los servidores públicos que manejan fondos fijos cuentan con la autorización correspondiente.</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Los fondos fijos se encuentran registrados en la contabilidad</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cuenta con políticas para el manejo de los fondos fijos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Los gastos con cargo al fondo fijo, están autorizados por el servidor público competente.</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realizan arqueos de fondo fijo y están firmados por la Dirección del área</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efectúan conciliaciones bancarias, mensualmente.</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cuenta con firmas mancomunadas para el uso de cuentas bancarias.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Los pagos son autorizados a través del servidor público competente</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 xml:space="preserve">Se cuenta con medidas de seguridad para la custodia y resguardo de </w:t>
      </w:r>
      <w:r w:rsidR="000023C6" w:rsidRPr="000023C6">
        <w:rPr>
          <w:rFonts w:ascii="Barlow" w:hAnsi="Barlow"/>
          <w:sz w:val="20"/>
          <w:szCs w:val="20"/>
        </w:rPr>
        <w:t>chequeras,</w:t>
      </w:r>
      <w:r w:rsidRPr="000023C6">
        <w:rPr>
          <w:rFonts w:ascii="Barlow" w:hAnsi="Barlow"/>
          <w:sz w:val="20"/>
          <w:szCs w:val="20"/>
        </w:rPr>
        <w:t xml:space="preserve"> así como claves para pagos.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efectúan los registros en la contabilidad conforme a la documentación soporte.</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analizan las cuentas por cobrar para evaluar el comportamiento de las mismas y determinar las acciones de cobro. Así como su antigüedad de saldos.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autorizan a través de servidor público competente las cuentas por pagar. Y se registran en la contabilidad de acuerdo a la documentación soporte.</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registra en la contabilidad y en las cuentas correspondientes, los bienes muebles adquiridos, conforme a las disposiciones establecidas en la Ley General de Contabilidad Gubernamental, a través del Consejo de Armonización Contables, CONAC.</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 xml:space="preserve">Se </w:t>
      </w:r>
      <w:r w:rsidR="000023C6" w:rsidRPr="000023C6">
        <w:rPr>
          <w:rFonts w:ascii="Barlow" w:hAnsi="Barlow"/>
          <w:sz w:val="20"/>
          <w:szCs w:val="20"/>
        </w:rPr>
        <w:t>efectúa levantamiento</w:t>
      </w:r>
      <w:r w:rsidRPr="000023C6">
        <w:rPr>
          <w:rFonts w:ascii="Barlow" w:hAnsi="Barlow"/>
          <w:sz w:val="20"/>
          <w:szCs w:val="20"/>
        </w:rPr>
        <w:t xml:space="preserve"> físico de los bienes muebles.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registran contablemente las retenciones de impuestos.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lastRenderedPageBreak/>
        <w:t>»</w:t>
      </w:r>
      <w:r w:rsidR="000023C6">
        <w:rPr>
          <w:rFonts w:ascii="Barlow" w:hAnsi="Barlow" w:cs="Calibri"/>
          <w:bCs/>
          <w:color w:val="000000"/>
          <w:sz w:val="20"/>
          <w:szCs w:val="20"/>
        </w:rPr>
        <w:t xml:space="preserve"> </w:t>
      </w:r>
      <w:r w:rsidRPr="000023C6">
        <w:rPr>
          <w:rFonts w:ascii="Barlow" w:hAnsi="Barlow"/>
          <w:sz w:val="20"/>
          <w:szCs w:val="20"/>
        </w:rPr>
        <w:t>Se concilian mensualmente las retenciones de impuestos contra los comprobantes de pago.</w:t>
      </w:r>
    </w:p>
    <w:p w:rsidR="005E18DE" w:rsidRPr="000023C6" w:rsidRDefault="005E18DE"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00CA0413" w:rsidRPr="000023C6">
        <w:rPr>
          <w:rFonts w:ascii="Barlow" w:hAnsi="Barlow" w:cs="Calibri"/>
          <w:bCs/>
          <w:color w:val="000000"/>
          <w:sz w:val="20"/>
          <w:szCs w:val="20"/>
        </w:rPr>
        <w:t>Los cheques expedidos y</w:t>
      </w:r>
      <w:r w:rsidRPr="000023C6">
        <w:rPr>
          <w:rFonts w:ascii="Barlow" w:hAnsi="Barlow" w:cs="Calibri"/>
          <w:bCs/>
          <w:color w:val="000000"/>
          <w:sz w:val="20"/>
          <w:szCs w:val="20"/>
        </w:rPr>
        <w:t xml:space="preserve"> entregados a los </w:t>
      </w:r>
      <w:r w:rsidR="000023C6" w:rsidRPr="000023C6">
        <w:rPr>
          <w:rFonts w:ascii="Barlow" w:hAnsi="Barlow" w:cs="Calibri"/>
          <w:bCs/>
          <w:color w:val="000000"/>
          <w:sz w:val="20"/>
          <w:szCs w:val="20"/>
        </w:rPr>
        <w:t>beneficiarios, que</w:t>
      </w:r>
      <w:r w:rsidRPr="000023C6">
        <w:rPr>
          <w:rFonts w:ascii="Barlow" w:hAnsi="Barlow" w:cs="Calibri"/>
          <w:bCs/>
          <w:color w:val="000000"/>
          <w:sz w:val="20"/>
          <w:szCs w:val="20"/>
        </w:rPr>
        <w:t xml:space="preserve"> no se</w:t>
      </w:r>
      <w:r w:rsidR="00CA0413" w:rsidRPr="000023C6">
        <w:rPr>
          <w:rFonts w:ascii="Barlow" w:hAnsi="Barlow" w:cs="Calibri"/>
          <w:bCs/>
          <w:color w:val="000000"/>
          <w:sz w:val="20"/>
          <w:szCs w:val="20"/>
        </w:rPr>
        <w:t xml:space="preserve">an presentados a cobro en la institución bancaria en un plazo máximo de seis meses de antigüedad a partir de la fecha de </w:t>
      </w:r>
      <w:r w:rsidR="000023C6" w:rsidRPr="000023C6">
        <w:rPr>
          <w:rFonts w:ascii="Barlow" w:hAnsi="Barlow" w:cs="Calibri"/>
          <w:bCs/>
          <w:color w:val="000000"/>
          <w:sz w:val="20"/>
          <w:szCs w:val="20"/>
        </w:rPr>
        <w:t>recepción, serán</w:t>
      </w:r>
      <w:r w:rsidRPr="000023C6">
        <w:rPr>
          <w:rFonts w:ascii="Barlow" w:hAnsi="Barlow" w:cs="Calibri"/>
          <w:bCs/>
          <w:color w:val="000000"/>
          <w:sz w:val="20"/>
          <w:szCs w:val="20"/>
        </w:rPr>
        <w:t xml:space="preserve"> cancelados.</w:t>
      </w:r>
    </w:p>
    <w:p w:rsidR="00155EBA" w:rsidRPr="000023C6" w:rsidRDefault="00155EBA" w:rsidP="000023C6">
      <w:pPr>
        <w:spacing w:after="0"/>
        <w:ind w:left="113"/>
        <w:jc w:val="both"/>
        <w:rPr>
          <w:rFonts w:ascii="Barlow" w:hAnsi="Barlow"/>
          <w:sz w:val="20"/>
          <w:szCs w:val="20"/>
        </w:rPr>
      </w:pPr>
    </w:p>
    <w:p w:rsidR="00155EBA" w:rsidRPr="000023C6" w:rsidRDefault="00155EBA" w:rsidP="000023C6">
      <w:pPr>
        <w:numPr>
          <w:ilvl w:val="0"/>
          <w:numId w:val="4"/>
        </w:numPr>
        <w:spacing w:after="0"/>
        <w:jc w:val="both"/>
        <w:rPr>
          <w:rFonts w:ascii="Barlow" w:hAnsi="Barlow"/>
          <w:b/>
          <w:sz w:val="20"/>
          <w:szCs w:val="20"/>
        </w:rPr>
      </w:pPr>
      <w:r w:rsidRPr="000023C6">
        <w:rPr>
          <w:rFonts w:ascii="Barlow" w:hAnsi="Barlow"/>
          <w:b/>
          <w:sz w:val="20"/>
          <w:szCs w:val="20"/>
        </w:rPr>
        <w:t>Medidas de desempeño financiero, metas y alcance</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La Escuela Superior de Artes de Yucatán, en el ejercicio de su presupuesto, tomó medidas para racionalizar el gasto destinado a las actividades administrativas y de apoyo, sin afectar el cumplimiento de los objetivos, metas y resultados previstos.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Los gastos que se realizaron por concepto de alimentación solo fueron aprobados al personal cuando las características de la jornada o trabajos extraordinarios los requerían.</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Por concepto de consumo de combustible, se aplicaron gastos exclusivamente para cubrir necesidades de los servicios de transporte.</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continúa con la cultura de ahorro de los materiales, tales como impresiones en calidad borrador para el ahorro de tinta e impresiones a dos caras para el ahorro en el consumo de papel.</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continúan aplicando las medidas de austeridad al no incrementar el sueldo del personal de mandos medios y superiores.</w:t>
      </w:r>
    </w:p>
    <w:p w:rsidR="00155EBA" w:rsidRPr="000023C6" w:rsidRDefault="00155EBA" w:rsidP="000023C6">
      <w:pPr>
        <w:spacing w:after="0"/>
        <w:ind w:left="113"/>
        <w:jc w:val="both"/>
        <w:rPr>
          <w:rFonts w:ascii="Barlow" w:hAnsi="Barlow"/>
          <w:sz w:val="20"/>
          <w:szCs w:val="20"/>
        </w:rPr>
      </w:pPr>
      <w:r w:rsidRPr="000023C6">
        <w:rPr>
          <w:rFonts w:ascii="Barlow" w:hAnsi="Barlow" w:cs="Calibri"/>
          <w:bCs/>
          <w:color w:val="000000"/>
          <w:sz w:val="20"/>
          <w:szCs w:val="20"/>
        </w:rPr>
        <w:t>»</w:t>
      </w:r>
      <w:r w:rsidR="000023C6">
        <w:rPr>
          <w:rFonts w:ascii="Barlow" w:hAnsi="Barlow" w:cs="Calibri"/>
          <w:bCs/>
          <w:color w:val="000000"/>
          <w:sz w:val="20"/>
          <w:szCs w:val="20"/>
        </w:rPr>
        <w:t xml:space="preserve"> </w:t>
      </w:r>
      <w:r w:rsidRPr="000023C6">
        <w:rPr>
          <w:rFonts w:ascii="Barlow" w:hAnsi="Barlow"/>
          <w:sz w:val="20"/>
          <w:szCs w:val="20"/>
        </w:rPr>
        <w:t>Se cuidan los recursos al buscar obtener los precios más razonables, solicitando tres cotizaciones antes de ejercer el presupuesto.</w:t>
      </w:r>
    </w:p>
    <w:p w:rsidR="00155EBA" w:rsidRPr="000023C6" w:rsidRDefault="00155EBA" w:rsidP="000023C6">
      <w:pPr>
        <w:spacing w:after="0"/>
        <w:ind w:left="113"/>
        <w:jc w:val="both"/>
        <w:rPr>
          <w:rFonts w:ascii="Barlow" w:hAnsi="Barlow"/>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 xml:space="preserve">14. Información por Segmentos.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 xml:space="preserve">Por el tipo de operaciones que la Institución realiza, no cuenta </w:t>
      </w:r>
      <w:bookmarkStart w:id="0" w:name="_GoBack"/>
      <w:bookmarkEnd w:id="0"/>
      <w:r w:rsidR="000023C6" w:rsidRPr="000023C6">
        <w:rPr>
          <w:rFonts w:ascii="Barlow" w:hAnsi="Barlow" w:cs="Calibri"/>
          <w:bCs/>
          <w:color w:val="000000"/>
          <w:sz w:val="20"/>
          <w:szCs w:val="20"/>
        </w:rPr>
        <w:t>con información</w:t>
      </w:r>
      <w:r w:rsidRPr="000023C6">
        <w:rPr>
          <w:rFonts w:ascii="Barlow" w:hAnsi="Barlow" w:cs="Calibri"/>
          <w:bCs/>
          <w:color w:val="000000"/>
          <w:sz w:val="20"/>
          <w:szCs w:val="20"/>
        </w:rPr>
        <w:t xml:space="preserve"> financiera segmentada que reportar.</w:t>
      </w:r>
    </w:p>
    <w:p w:rsidR="00EA74D5" w:rsidRPr="000023C6" w:rsidRDefault="00EA74D5"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
          <w:bCs/>
          <w:color w:val="000000"/>
          <w:sz w:val="20"/>
          <w:szCs w:val="20"/>
        </w:rPr>
        <w:t xml:space="preserve"> 15- Eventos Posteriores.</w:t>
      </w:r>
      <w:r w:rsidRPr="000023C6">
        <w:rPr>
          <w:rFonts w:ascii="Barlow" w:hAnsi="Barlow" w:cs="Calibri"/>
          <w:bCs/>
          <w:color w:val="000000"/>
          <w:sz w:val="20"/>
          <w:szCs w:val="20"/>
        </w:rPr>
        <w:t xml:space="preserve"> </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autoSpaceDE w:val="0"/>
        <w:autoSpaceDN w:val="0"/>
        <w:adjustRightInd w:val="0"/>
        <w:spacing w:after="0"/>
        <w:jc w:val="both"/>
        <w:rPr>
          <w:rFonts w:ascii="Barlow" w:eastAsia="Arial" w:hAnsi="Barlow" w:cstheme="minorHAnsi"/>
          <w:sz w:val="20"/>
          <w:szCs w:val="20"/>
          <w:lang w:eastAsia="en-US"/>
        </w:rPr>
      </w:pPr>
      <w:r w:rsidRPr="000023C6">
        <w:rPr>
          <w:rFonts w:ascii="Barlow" w:eastAsia="Arial" w:hAnsi="Barlow" w:cstheme="minorHAnsi"/>
          <w:sz w:val="20"/>
          <w:szCs w:val="20"/>
          <w:lang w:eastAsia="en-US"/>
        </w:rPr>
        <w:t>Se informa que no ocurrieron hechos posteriores a la fecha de los estados financieros que le afecten económicamente que se deban revelar.</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0023C6">
        <w:rPr>
          <w:rFonts w:ascii="Barlow" w:hAnsi="Barlow" w:cs="Calibri"/>
          <w:b/>
          <w:bCs/>
          <w:color w:val="000000"/>
          <w:sz w:val="20"/>
          <w:szCs w:val="20"/>
        </w:rPr>
        <w:t xml:space="preserve"> 16. Partes Relacionadas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0023C6">
        <w:rPr>
          <w:rFonts w:ascii="Barlow" w:hAnsi="Barlow" w:cs="Calibri"/>
          <w:bCs/>
          <w:color w:val="000000"/>
          <w:sz w:val="20"/>
          <w:szCs w:val="20"/>
        </w:rPr>
        <w:t>No existen partes relacionadas que pudieran ejercer influencia significativa sobre la toma de decisiones financieras y operativas.</w:t>
      </w:r>
    </w:p>
    <w:p w:rsidR="00155EBA" w:rsidRPr="000023C6" w:rsidRDefault="00155EBA" w:rsidP="000023C6">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p>
    <w:p w:rsidR="00EE1A4F" w:rsidRPr="000023C6" w:rsidRDefault="00155EBA" w:rsidP="000023C6">
      <w:pPr>
        <w:widowControl w:val="0"/>
        <w:autoSpaceDE w:val="0"/>
        <w:autoSpaceDN w:val="0"/>
        <w:adjustRightInd w:val="0"/>
        <w:spacing w:before="26" w:after="0" w:line="240" w:lineRule="auto"/>
        <w:ind w:left="113" w:right="-20"/>
        <w:jc w:val="both"/>
        <w:rPr>
          <w:rFonts w:ascii="Barlow" w:hAnsi="Barlow" w:cs="Calibri"/>
          <w:bCs/>
          <w:color w:val="000000"/>
          <w:spacing w:val="-1"/>
          <w:sz w:val="20"/>
          <w:szCs w:val="20"/>
        </w:rPr>
      </w:pPr>
      <w:r w:rsidRPr="000023C6">
        <w:rPr>
          <w:rFonts w:ascii="Barlow" w:hAnsi="Barlow" w:cs="Calibri"/>
          <w:bCs/>
          <w:color w:val="000000"/>
          <w:sz w:val="20"/>
          <w:szCs w:val="20"/>
        </w:rPr>
        <w:t>B</w:t>
      </w:r>
      <w:r w:rsidRPr="000023C6">
        <w:rPr>
          <w:rFonts w:ascii="Barlow" w:hAnsi="Barlow" w:cs="Calibri"/>
          <w:bCs/>
          <w:color w:val="000000"/>
          <w:spacing w:val="1"/>
          <w:sz w:val="20"/>
          <w:szCs w:val="20"/>
        </w:rPr>
        <w:t>a</w:t>
      </w:r>
      <w:r w:rsidRPr="000023C6">
        <w:rPr>
          <w:rFonts w:ascii="Barlow" w:hAnsi="Barlow" w:cs="Calibri"/>
          <w:bCs/>
          <w:color w:val="000000"/>
          <w:sz w:val="20"/>
          <w:szCs w:val="20"/>
        </w:rPr>
        <w:t xml:space="preserve">jo </w:t>
      </w:r>
      <w:r w:rsidRPr="000023C6">
        <w:rPr>
          <w:rFonts w:ascii="Barlow" w:hAnsi="Barlow" w:cs="Calibri"/>
          <w:bCs/>
          <w:color w:val="000000"/>
          <w:spacing w:val="-1"/>
          <w:sz w:val="20"/>
          <w:szCs w:val="20"/>
        </w:rPr>
        <w:t>pro</w:t>
      </w:r>
      <w:r w:rsidRPr="000023C6">
        <w:rPr>
          <w:rFonts w:ascii="Barlow" w:hAnsi="Barlow" w:cs="Calibri"/>
          <w:bCs/>
          <w:color w:val="000000"/>
          <w:sz w:val="20"/>
          <w:szCs w:val="20"/>
        </w:rPr>
        <w:t>te</w:t>
      </w:r>
      <w:r w:rsidRPr="000023C6">
        <w:rPr>
          <w:rFonts w:ascii="Barlow" w:hAnsi="Barlow" w:cs="Calibri"/>
          <w:bCs/>
          <w:color w:val="000000"/>
          <w:spacing w:val="-1"/>
          <w:sz w:val="20"/>
          <w:szCs w:val="20"/>
        </w:rPr>
        <w:t>s</w:t>
      </w:r>
      <w:r w:rsidRPr="000023C6">
        <w:rPr>
          <w:rFonts w:ascii="Barlow" w:hAnsi="Barlow" w:cs="Calibri"/>
          <w:bCs/>
          <w:color w:val="000000"/>
          <w:sz w:val="20"/>
          <w:szCs w:val="20"/>
        </w:rPr>
        <w:t xml:space="preserve">ta </w:t>
      </w:r>
      <w:r w:rsidRPr="000023C6">
        <w:rPr>
          <w:rFonts w:ascii="Barlow" w:hAnsi="Barlow" w:cs="Calibri"/>
          <w:bCs/>
          <w:color w:val="000000"/>
          <w:spacing w:val="-1"/>
          <w:sz w:val="20"/>
          <w:szCs w:val="20"/>
        </w:rPr>
        <w:t>d</w:t>
      </w:r>
      <w:r w:rsidRPr="000023C6">
        <w:rPr>
          <w:rFonts w:ascii="Barlow" w:hAnsi="Barlow" w:cs="Calibri"/>
          <w:bCs/>
          <w:color w:val="000000"/>
          <w:sz w:val="20"/>
          <w:szCs w:val="20"/>
        </w:rPr>
        <w:t xml:space="preserve">e </w:t>
      </w:r>
      <w:r w:rsidRPr="000023C6">
        <w:rPr>
          <w:rFonts w:ascii="Barlow" w:hAnsi="Barlow" w:cs="Calibri"/>
          <w:bCs/>
          <w:color w:val="000000"/>
          <w:spacing w:val="-1"/>
          <w:sz w:val="20"/>
          <w:szCs w:val="20"/>
        </w:rPr>
        <w:t>d</w:t>
      </w:r>
      <w:r w:rsidRPr="000023C6">
        <w:rPr>
          <w:rFonts w:ascii="Barlow" w:hAnsi="Barlow" w:cs="Calibri"/>
          <w:bCs/>
          <w:color w:val="000000"/>
          <w:sz w:val="20"/>
          <w:szCs w:val="20"/>
        </w:rPr>
        <w:t>e</w:t>
      </w:r>
      <w:r w:rsidRPr="000023C6">
        <w:rPr>
          <w:rFonts w:ascii="Barlow" w:hAnsi="Barlow" w:cs="Calibri"/>
          <w:bCs/>
          <w:color w:val="000000"/>
          <w:spacing w:val="1"/>
          <w:sz w:val="20"/>
          <w:szCs w:val="20"/>
        </w:rPr>
        <w:t>c</w:t>
      </w:r>
      <w:r w:rsidRPr="000023C6">
        <w:rPr>
          <w:rFonts w:ascii="Barlow" w:hAnsi="Barlow" w:cs="Calibri"/>
          <w:bCs/>
          <w:color w:val="000000"/>
          <w:spacing w:val="-1"/>
          <w:sz w:val="20"/>
          <w:szCs w:val="20"/>
        </w:rPr>
        <w:t>i</w:t>
      </w:r>
      <w:r w:rsidRPr="000023C6">
        <w:rPr>
          <w:rFonts w:ascii="Barlow" w:hAnsi="Barlow" w:cs="Calibri"/>
          <w:bCs/>
          <w:color w:val="000000"/>
          <w:sz w:val="20"/>
          <w:szCs w:val="20"/>
        </w:rPr>
        <w:t>r ve</w:t>
      </w:r>
      <w:r w:rsidRPr="000023C6">
        <w:rPr>
          <w:rFonts w:ascii="Barlow" w:hAnsi="Barlow" w:cs="Calibri"/>
          <w:bCs/>
          <w:color w:val="000000"/>
          <w:spacing w:val="-1"/>
          <w:sz w:val="20"/>
          <w:szCs w:val="20"/>
        </w:rPr>
        <w:t>rd</w:t>
      </w:r>
      <w:r w:rsidRPr="000023C6">
        <w:rPr>
          <w:rFonts w:ascii="Barlow" w:hAnsi="Barlow" w:cs="Calibri"/>
          <w:bCs/>
          <w:color w:val="000000"/>
          <w:spacing w:val="1"/>
          <w:sz w:val="20"/>
          <w:szCs w:val="20"/>
        </w:rPr>
        <w:t>a</w:t>
      </w:r>
      <w:r w:rsidRPr="000023C6">
        <w:rPr>
          <w:rFonts w:ascii="Barlow" w:hAnsi="Barlow" w:cs="Calibri"/>
          <w:bCs/>
          <w:color w:val="000000"/>
          <w:sz w:val="20"/>
          <w:szCs w:val="20"/>
        </w:rPr>
        <w:t xml:space="preserve">d </w:t>
      </w:r>
      <w:r w:rsidRPr="000023C6">
        <w:rPr>
          <w:rFonts w:ascii="Barlow" w:hAnsi="Barlow" w:cs="Calibri"/>
          <w:bCs/>
          <w:color w:val="000000"/>
          <w:spacing w:val="-1"/>
          <w:sz w:val="20"/>
          <w:szCs w:val="20"/>
        </w:rPr>
        <w:t>d</w:t>
      </w:r>
      <w:r w:rsidRPr="000023C6">
        <w:rPr>
          <w:rFonts w:ascii="Barlow" w:hAnsi="Barlow" w:cs="Calibri"/>
          <w:bCs/>
          <w:color w:val="000000"/>
          <w:sz w:val="20"/>
          <w:szCs w:val="20"/>
        </w:rPr>
        <w:t>e</w:t>
      </w:r>
      <w:r w:rsidRPr="000023C6">
        <w:rPr>
          <w:rFonts w:ascii="Barlow" w:hAnsi="Barlow" w:cs="Calibri"/>
          <w:bCs/>
          <w:color w:val="000000"/>
          <w:spacing w:val="1"/>
          <w:sz w:val="20"/>
          <w:szCs w:val="20"/>
        </w:rPr>
        <w:t>c</w:t>
      </w:r>
      <w:r w:rsidRPr="000023C6">
        <w:rPr>
          <w:rFonts w:ascii="Barlow" w:hAnsi="Barlow" w:cs="Calibri"/>
          <w:bCs/>
          <w:color w:val="000000"/>
          <w:spacing w:val="-1"/>
          <w:sz w:val="20"/>
          <w:szCs w:val="20"/>
        </w:rPr>
        <w:t>l</w:t>
      </w:r>
      <w:r w:rsidRPr="000023C6">
        <w:rPr>
          <w:rFonts w:ascii="Barlow" w:hAnsi="Barlow" w:cs="Calibri"/>
          <w:bCs/>
          <w:color w:val="000000"/>
          <w:spacing w:val="1"/>
          <w:sz w:val="20"/>
          <w:szCs w:val="20"/>
        </w:rPr>
        <w:t>a</w:t>
      </w:r>
      <w:r w:rsidRPr="000023C6">
        <w:rPr>
          <w:rFonts w:ascii="Barlow" w:hAnsi="Barlow" w:cs="Calibri"/>
          <w:bCs/>
          <w:color w:val="000000"/>
          <w:spacing w:val="-1"/>
          <w:sz w:val="20"/>
          <w:szCs w:val="20"/>
        </w:rPr>
        <w:t>r</w:t>
      </w:r>
      <w:r w:rsidRPr="000023C6">
        <w:rPr>
          <w:rFonts w:ascii="Barlow" w:hAnsi="Barlow" w:cs="Calibri"/>
          <w:bCs/>
          <w:color w:val="000000"/>
          <w:spacing w:val="1"/>
          <w:sz w:val="20"/>
          <w:szCs w:val="20"/>
        </w:rPr>
        <w:t>am</w:t>
      </w:r>
      <w:r w:rsidRPr="000023C6">
        <w:rPr>
          <w:rFonts w:ascii="Barlow" w:hAnsi="Barlow" w:cs="Calibri"/>
          <w:bCs/>
          <w:color w:val="000000"/>
          <w:spacing w:val="-1"/>
          <w:sz w:val="20"/>
          <w:szCs w:val="20"/>
        </w:rPr>
        <w:t>o</w:t>
      </w:r>
      <w:r w:rsidRPr="000023C6">
        <w:rPr>
          <w:rFonts w:ascii="Barlow" w:hAnsi="Barlow" w:cs="Calibri"/>
          <w:bCs/>
          <w:color w:val="000000"/>
          <w:sz w:val="20"/>
          <w:szCs w:val="20"/>
        </w:rPr>
        <w:t xml:space="preserve">s </w:t>
      </w:r>
      <w:r w:rsidRPr="000023C6">
        <w:rPr>
          <w:rFonts w:ascii="Barlow" w:hAnsi="Barlow" w:cs="Calibri"/>
          <w:bCs/>
          <w:color w:val="000000"/>
          <w:spacing w:val="-1"/>
          <w:sz w:val="20"/>
          <w:szCs w:val="20"/>
        </w:rPr>
        <w:t>qu</w:t>
      </w:r>
      <w:r w:rsidRPr="000023C6">
        <w:rPr>
          <w:rFonts w:ascii="Barlow" w:hAnsi="Barlow" w:cs="Calibri"/>
          <w:bCs/>
          <w:color w:val="000000"/>
          <w:sz w:val="20"/>
          <w:szCs w:val="20"/>
        </w:rPr>
        <w:t xml:space="preserve">e </w:t>
      </w:r>
      <w:r w:rsidRPr="000023C6">
        <w:rPr>
          <w:rFonts w:ascii="Barlow" w:hAnsi="Barlow" w:cs="Calibri"/>
          <w:bCs/>
          <w:color w:val="000000"/>
          <w:spacing w:val="-1"/>
          <w:sz w:val="20"/>
          <w:szCs w:val="20"/>
        </w:rPr>
        <w:t>lo</w:t>
      </w:r>
      <w:r w:rsidRPr="000023C6">
        <w:rPr>
          <w:rFonts w:ascii="Barlow" w:hAnsi="Barlow" w:cs="Calibri"/>
          <w:bCs/>
          <w:color w:val="000000"/>
          <w:sz w:val="20"/>
          <w:szCs w:val="20"/>
        </w:rPr>
        <w:t>s E</w:t>
      </w:r>
      <w:r w:rsidRPr="000023C6">
        <w:rPr>
          <w:rFonts w:ascii="Barlow" w:hAnsi="Barlow" w:cs="Calibri"/>
          <w:bCs/>
          <w:color w:val="000000"/>
          <w:spacing w:val="-1"/>
          <w:sz w:val="20"/>
          <w:szCs w:val="20"/>
        </w:rPr>
        <w:t>s</w:t>
      </w:r>
      <w:r w:rsidRPr="000023C6">
        <w:rPr>
          <w:rFonts w:ascii="Barlow" w:hAnsi="Barlow" w:cs="Calibri"/>
          <w:bCs/>
          <w:color w:val="000000"/>
          <w:sz w:val="20"/>
          <w:szCs w:val="20"/>
        </w:rPr>
        <w:t>t</w:t>
      </w:r>
      <w:r w:rsidRPr="000023C6">
        <w:rPr>
          <w:rFonts w:ascii="Barlow" w:hAnsi="Barlow" w:cs="Calibri"/>
          <w:bCs/>
          <w:color w:val="000000"/>
          <w:spacing w:val="1"/>
          <w:sz w:val="20"/>
          <w:szCs w:val="20"/>
        </w:rPr>
        <w:t>a</w:t>
      </w:r>
      <w:r w:rsidRPr="000023C6">
        <w:rPr>
          <w:rFonts w:ascii="Barlow" w:hAnsi="Barlow" w:cs="Calibri"/>
          <w:bCs/>
          <w:color w:val="000000"/>
          <w:spacing w:val="-1"/>
          <w:sz w:val="20"/>
          <w:szCs w:val="20"/>
        </w:rPr>
        <w:t>do</w:t>
      </w:r>
      <w:r w:rsidRPr="000023C6">
        <w:rPr>
          <w:rFonts w:ascii="Barlow" w:hAnsi="Barlow" w:cs="Calibri"/>
          <w:bCs/>
          <w:color w:val="000000"/>
          <w:sz w:val="20"/>
          <w:szCs w:val="20"/>
        </w:rPr>
        <w:t xml:space="preserve">s </w:t>
      </w:r>
      <w:r w:rsidRPr="000023C6">
        <w:rPr>
          <w:rFonts w:ascii="Barlow" w:hAnsi="Barlow" w:cs="Calibri"/>
          <w:bCs/>
          <w:color w:val="000000"/>
          <w:spacing w:val="-1"/>
          <w:sz w:val="20"/>
          <w:szCs w:val="20"/>
        </w:rPr>
        <w:t>Fin</w:t>
      </w:r>
      <w:r w:rsidRPr="000023C6">
        <w:rPr>
          <w:rFonts w:ascii="Barlow" w:hAnsi="Barlow" w:cs="Calibri"/>
          <w:bCs/>
          <w:color w:val="000000"/>
          <w:spacing w:val="1"/>
          <w:sz w:val="20"/>
          <w:szCs w:val="20"/>
        </w:rPr>
        <w:t>a</w:t>
      </w:r>
      <w:r w:rsidRPr="000023C6">
        <w:rPr>
          <w:rFonts w:ascii="Barlow" w:hAnsi="Barlow" w:cs="Calibri"/>
          <w:bCs/>
          <w:color w:val="000000"/>
          <w:spacing w:val="-1"/>
          <w:sz w:val="20"/>
          <w:szCs w:val="20"/>
        </w:rPr>
        <w:t>n</w:t>
      </w:r>
      <w:r w:rsidRPr="000023C6">
        <w:rPr>
          <w:rFonts w:ascii="Barlow" w:hAnsi="Barlow" w:cs="Calibri"/>
          <w:bCs/>
          <w:color w:val="000000"/>
          <w:spacing w:val="1"/>
          <w:sz w:val="20"/>
          <w:szCs w:val="20"/>
        </w:rPr>
        <w:t>c</w:t>
      </w:r>
      <w:r w:rsidRPr="000023C6">
        <w:rPr>
          <w:rFonts w:ascii="Barlow" w:hAnsi="Barlow" w:cs="Calibri"/>
          <w:bCs/>
          <w:color w:val="000000"/>
          <w:spacing w:val="-1"/>
          <w:sz w:val="20"/>
          <w:szCs w:val="20"/>
        </w:rPr>
        <w:t>i</w:t>
      </w:r>
      <w:r w:rsidRPr="000023C6">
        <w:rPr>
          <w:rFonts w:ascii="Barlow" w:hAnsi="Barlow" w:cs="Calibri"/>
          <w:bCs/>
          <w:color w:val="000000"/>
          <w:sz w:val="20"/>
          <w:szCs w:val="20"/>
        </w:rPr>
        <w:t>e</w:t>
      </w:r>
      <w:r w:rsidRPr="000023C6">
        <w:rPr>
          <w:rFonts w:ascii="Barlow" w:hAnsi="Barlow" w:cs="Calibri"/>
          <w:bCs/>
          <w:color w:val="000000"/>
          <w:spacing w:val="-1"/>
          <w:sz w:val="20"/>
          <w:szCs w:val="20"/>
        </w:rPr>
        <w:t>ro</w:t>
      </w:r>
      <w:r w:rsidRPr="000023C6">
        <w:rPr>
          <w:rFonts w:ascii="Barlow" w:hAnsi="Barlow" w:cs="Calibri"/>
          <w:bCs/>
          <w:color w:val="000000"/>
          <w:sz w:val="20"/>
          <w:szCs w:val="20"/>
        </w:rPr>
        <w:t xml:space="preserve">s y </w:t>
      </w:r>
      <w:r w:rsidRPr="000023C6">
        <w:rPr>
          <w:rFonts w:ascii="Barlow" w:hAnsi="Barlow" w:cs="Calibri"/>
          <w:bCs/>
          <w:color w:val="000000"/>
          <w:spacing w:val="-1"/>
          <w:sz w:val="20"/>
          <w:szCs w:val="20"/>
        </w:rPr>
        <w:t>su</w:t>
      </w:r>
      <w:r w:rsidRPr="000023C6">
        <w:rPr>
          <w:rFonts w:ascii="Barlow" w:hAnsi="Barlow" w:cs="Calibri"/>
          <w:bCs/>
          <w:color w:val="000000"/>
          <w:sz w:val="20"/>
          <w:szCs w:val="20"/>
        </w:rPr>
        <w:t xml:space="preserve">s </w:t>
      </w:r>
      <w:r w:rsidRPr="000023C6">
        <w:rPr>
          <w:rFonts w:ascii="Barlow" w:hAnsi="Barlow" w:cs="Calibri"/>
          <w:bCs/>
          <w:color w:val="000000"/>
          <w:spacing w:val="-1"/>
          <w:sz w:val="20"/>
          <w:szCs w:val="20"/>
        </w:rPr>
        <w:t>No</w:t>
      </w:r>
      <w:r w:rsidRPr="000023C6">
        <w:rPr>
          <w:rFonts w:ascii="Barlow" w:hAnsi="Barlow" w:cs="Calibri"/>
          <w:bCs/>
          <w:color w:val="000000"/>
          <w:sz w:val="20"/>
          <w:szCs w:val="20"/>
        </w:rPr>
        <w:t>t</w:t>
      </w:r>
      <w:r w:rsidRPr="000023C6">
        <w:rPr>
          <w:rFonts w:ascii="Barlow" w:hAnsi="Barlow" w:cs="Calibri"/>
          <w:bCs/>
          <w:color w:val="000000"/>
          <w:spacing w:val="1"/>
          <w:sz w:val="20"/>
          <w:szCs w:val="20"/>
        </w:rPr>
        <w:t>a</w:t>
      </w:r>
      <w:r w:rsidRPr="000023C6">
        <w:rPr>
          <w:rFonts w:ascii="Barlow" w:hAnsi="Barlow" w:cs="Calibri"/>
          <w:bCs/>
          <w:color w:val="000000"/>
          <w:sz w:val="20"/>
          <w:szCs w:val="20"/>
        </w:rPr>
        <w:t xml:space="preserve">s </w:t>
      </w:r>
      <w:r w:rsidRPr="000023C6">
        <w:rPr>
          <w:rFonts w:ascii="Barlow" w:hAnsi="Barlow" w:cs="Calibri"/>
          <w:bCs/>
          <w:color w:val="000000"/>
          <w:spacing w:val="-1"/>
          <w:sz w:val="20"/>
          <w:szCs w:val="20"/>
        </w:rPr>
        <w:t>so</w:t>
      </w:r>
      <w:r w:rsidRPr="000023C6">
        <w:rPr>
          <w:rFonts w:ascii="Barlow" w:hAnsi="Barlow" w:cs="Calibri"/>
          <w:bCs/>
          <w:color w:val="000000"/>
          <w:sz w:val="20"/>
          <w:szCs w:val="20"/>
        </w:rPr>
        <w:t xml:space="preserve">n </w:t>
      </w:r>
      <w:r w:rsidRPr="000023C6">
        <w:rPr>
          <w:rFonts w:ascii="Barlow" w:hAnsi="Barlow" w:cs="Calibri"/>
          <w:bCs/>
          <w:color w:val="000000"/>
          <w:spacing w:val="-1"/>
          <w:w w:val="98"/>
          <w:sz w:val="20"/>
          <w:szCs w:val="20"/>
        </w:rPr>
        <w:t>r</w:t>
      </w:r>
      <w:r w:rsidRPr="000023C6">
        <w:rPr>
          <w:rFonts w:ascii="Barlow" w:hAnsi="Barlow" w:cs="Calibri"/>
          <w:bCs/>
          <w:color w:val="000000"/>
          <w:spacing w:val="1"/>
          <w:w w:val="98"/>
          <w:sz w:val="20"/>
          <w:szCs w:val="20"/>
        </w:rPr>
        <w:t>a</w:t>
      </w:r>
      <w:r w:rsidRPr="000023C6">
        <w:rPr>
          <w:rFonts w:ascii="Barlow" w:hAnsi="Barlow" w:cs="Calibri"/>
          <w:bCs/>
          <w:color w:val="000000"/>
          <w:w w:val="98"/>
          <w:sz w:val="20"/>
          <w:szCs w:val="20"/>
        </w:rPr>
        <w:t>z</w:t>
      </w:r>
      <w:r w:rsidRPr="000023C6">
        <w:rPr>
          <w:rFonts w:ascii="Barlow" w:hAnsi="Barlow" w:cs="Calibri"/>
          <w:bCs/>
          <w:color w:val="000000"/>
          <w:spacing w:val="-1"/>
          <w:w w:val="98"/>
          <w:sz w:val="20"/>
          <w:szCs w:val="20"/>
        </w:rPr>
        <w:t>on</w:t>
      </w:r>
      <w:r w:rsidRPr="000023C6">
        <w:rPr>
          <w:rFonts w:ascii="Barlow" w:hAnsi="Barlow" w:cs="Calibri"/>
          <w:bCs/>
          <w:color w:val="000000"/>
          <w:spacing w:val="1"/>
          <w:w w:val="98"/>
          <w:sz w:val="20"/>
          <w:szCs w:val="20"/>
        </w:rPr>
        <w:t>a</w:t>
      </w:r>
      <w:r w:rsidRPr="000023C6">
        <w:rPr>
          <w:rFonts w:ascii="Barlow" w:hAnsi="Barlow" w:cs="Calibri"/>
          <w:bCs/>
          <w:color w:val="000000"/>
          <w:spacing w:val="-1"/>
          <w:w w:val="98"/>
          <w:sz w:val="20"/>
          <w:szCs w:val="20"/>
        </w:rPr>
        <w:t>bl</w:t>
      </w:r>
      <w:r w:rsidRPr="000023C6">
        <w:rPr>
          <w:rFonts w:ascii="Barlow" w:hAnsi="Barlow" w:cs="Calibri"/>
          <w:bCs/>
          <w:color w:val="000000"/>
          <w:w w:val="98"/>
          <w:sz w:val="20"/>
          <w:szCs w:val="20"/>
        </w:rPr>
        <w:t>e</w:t>
      </w:r>
      <w:r w:rsidRPr="000023C6">
        <w:rPr>
          <w:rFonts w:ascii="Barlow" w:hAnsi="Barlow" w:cs="Calibri"/>
          <w:bCs/>
          <w:color w:val="000000"/>
          <w:spacing w:val="1"/>
          <w:w w:val="98"/>
          <w:sz w:val="20"/>
          <w:szCs w:val="20"/>
        </w:rPr>
        <w:t>m</w:t>
      </w:r>
      <w:r w:rsidRPr="000023C6">
        <w:rPr>
          <w:rFonts w:ascii="Barlow" w:hAnsi="Barlow" w:cs="Calibri"/>
          <w:bCs/>
          <w:color w:val="000000"/>
          <w:w w:val="98"/>
          <w:sz w:val="20"/>
          <w:szCs w:val="20"/>
        </w:rPr>
        <w:t>e</w:t>
      </w:r>
      <w:r w:rsidRPr="000023C6">
        <w:rPr>
          <w:rFonts w:ascii="Barlow" w:hAnsi="Barlow" w:cs="Calibri"/>
          <w:bCs/>
          <w:color w:val="000000"/>
          <w:spacing w:val="-1"/>
          <w:w w:val="98"/>
          <w:sz w:val="20"/>
          <w:szCs w:val="20"/>
        </w:rPr>
        <w:t>n</w:t>
      </w:r>
      <w:r w:rsidRPr="000023C6">
        <w:rPr>
          <w:rFonts w:ascii="Barlow" w:hAnsi="Barlow" w:cs="Calibri"/>
          <w:bCs/>
          <w:color w:val="000000"/>
          <w:w w:val="98"/>
          <w:sz w:val="20"/>
          <w:szCs w:val="20"/>
        </w:rPr>
        <w:t xml:space="preserve">te </w:t>
      </w:r>
      <w:r w:rsidRPr="000023C6">
        <w:rPr>
          <w:rFonts w:ascii="Barlow" w:hAnsi="Barlow" w:cs="Calibri"/>
          <w:bCs/>
          <w:color w:val="000000"/>
          <w:spacing w:val="1"/>
          <w:sz w:val="20"/>
          <w:szCs w:val="20"/>
        </w:rPr>
        <w:t>c</w:t>
      </w:r>
      <w:r w:rsidRPr="000023C6">
        <w:rPr>
          <w:rFonts w:ascii="Barlow" w:hAnsi="Barlow" w:cs="Calibri"/>
          <w:bCs/>
          <w:color w:val="000000"/>
          <w:spacing w:val="-1"/>
          <w:sz w:val="20"/>
          <w:szCs w:val="20"/>
        </w:rPr>
        <w:t>orr</w:t>
      </w:r>
      <w:r w:rsidRPr="000023C6">
        <w:rPr>
          <w:rFonts w:ascii="Barlow" w:hAnsi="Barlow" w:cs="Calibri"/>
          <w:bCs/>
          <w:color w:val="000000"/>
          <w:sz w:val="20"/>
          <w:szCs w:val="20"/>
        </w:rPr>
        <w:t>e</w:t>
      </w:r>
      <w:r w:rsidRPr="000023C6">
        <w:rPr>
          <w:rFonts w:ascii="Barlow" w:hAnsi="Barlow" w:cs="Calibri"/>
          <w:bCs/>
          <w:color w:val="000000"/>
          <w:spacing w:val="1"/>
          <w:sz w:val="20"/>
          <w:szCs w:val="20"/>
        </w:rPr>
        <w:t>c</w:t>
      </w:r>
      <w:r w:rsidRPr="000023C6">
        <w:rPr>
          <w:rFonts w:ascii="Barlow" w:hAnsi="Barlow" w:cs="Calibri"/>
          <w:bCs/>
          <w:color w:val="000000"/>
          <w:sz w:val="20"/>
          <w:szCs w:val="20"/>
        </w:rPr>
        <w:t>t</w:t>
      </w:r>
      <w:r w:rsidRPr="000023C6">
        <w:rPr>
          <w:rFonts w:ascii="Barlow" w:hAnsi="Barlow" w:cs="Calibri"/>
          <w:bCs/>
          <w:color w:val="000000"/>
          <w:spacing w:val="-1"/>
          <w:sz w:val="20"/>
          <w:szCs w:val="20"/>
        </w:rPr>
        <w:t>o</w:t>
      </w:r>
      <w:r w:rsidRPr="000023C6">
        <w:rPr>
          <w:rFonts w:ascii="Barlow" w:hAnsi="Barlow" w:cs="Calibri"/>
          <w:bCs/>
          <w:color w:val="000000"/>
          <w:sz w:val="20"/>
          <w:szCs w:val="20"/>
        </w:rPr>
        <w:t xml:space="preserve">s y </w:t>
      </w:r>
      <w:r w:rsidRPr="000023C6">
        <w:rPr>
          <w:rFonts w:ascii="Barlow" w:hAnsi="Barlow" w:cs="Calibri"/>
          <w:bCs/>
          <w:color w:val="000000"/>
          <w:spacing w:val="-1"/>
          <w:sz w:val="20"/>
          <w:szCs w:val="20"/>
        </w:rPr>
        <w:t>so</w:t>
      </w:r>
      <w:r w:rsidRPr="000023C6">
        <w:rPr>
          <w:rFonts w:ascii="Barlow" w:hAnsi="Barlow" w:cs="Calibri"/>
          <w:bCs/>
          <w:color w:val="000000"/>
          <w:sz w:val="20"/>
          <w:szCs w:val="20"/>
        </w:rPr>
        <w:t xml:space="preserve">n </w:t>
      </w:r>
      <w:r w:rsidRPr="000023C6">
        <w:rPr>
          <w:rFonts w:ascii="Barlow" w:hAnsi="Barlow" w:cs="Calibri"/>
          <w:bCs/>
          <w:color w:val="000000"/>
          <w:spacing w:val="-1"/>
          <w:w w:val="98"/>
          <w:sz w:val="20"/>
          <w:szCs w:val="20"/>
        </w:rPr>
        <w:t>r</w:t>
      </w:r>
      <w:r w:rsidRPr="000023C6">
        <w:rPr>
          <w:rFonts w:ascii="Barlow" w:hAnsi="Barlow" w:cs="Calibri"/>
          <w:bCs/>
          <w:color w:val="000000"/>
          <w:w w:val="98"/>
          <w:sz w:val="20"/>
          <w:szCs w:val="20"/>
        </w:rPr>
        <w:t>e</w:t>
      </w:r>
      <w:r w:rsidRPr="000023C6">
        <w:rPr>
          <w:rFonts w:ascii="Barlow" w:hAnsi="Barlow" w:cs="Calibri"/>
          <w:bCs/>
          <w:color w:val="000000"/>
          <w:spacing w:val="-1"/>
          <w:w w:val="98"/>
          <w:sz w:val="20"/>
          <w:szCs w:val="20"/>
        </w:rPr>
        <w:t>spons</w:t>
      </w:r>
      <w:r w:rsidRPr="000023C6">
        <w:rPr>
          <w:rFonts w:ascii="Barlow" w:hAnsi="Barlow" w:cs="Calibri"/>
          <w:bCs/>
          <w:color w:val="000000"/>
          <w:spacing w:val="1"/>
          <w:w w:val="98"/>
          <w:sz w:val="20"/>
          <w:szCs w:val="20"/>
        </w:rPr>
        <w:t>a</w:t>
      </w:r>
      <w:r w:rsidRPr="000023C6">
        <w:rPr>
          <w:rFonts w:ascii="Barlow" w:hAnsi="Barlow" w:cs="Calibri"/>
          <w:bCs/>
          <w:color w:val="000000"/>
          <w:spacing w:val="-1"/>
          <w:w w:val="98"/>
          <w:sz w:val="20"/>
          <w:szCs w:val="20"/>
        </w:rPr>
        <w:t>bilid</w:t>
      </w:r>
      <w:r w:rsidRPr="000023C6">
        <w:rPr>
          <w:rFonts w:ascii="Barlow" w:hAnsi="Barlow" w:cs="Calibri"/>
          <w:bCs/>
          <w:color w:val="000000"/>
          <w:spacing w:val="1"/>
          <w:w w:val="98"/>
          <w:sz w:val="20"/>
          <w:szCs w:val="20"/>
        </w:rPr>
        <w:t>a</w:t>
      </w:r>
      <w:r w:rsidRPr="000023C6">
        <w:rPr>
          <w:rFonts w:ascii="Barlow" w:hAnsi="Barlow" w:cs="Calibri"/>
          <w:bCs/>
          <w:color w:val="000000"/>
          <w:w w:val="98"/>
          <w:sz w:val="20"/>
          <w:szCs w:val="20"/>
        </w:rPr>
        <w:t xml:space="preserve">d </w:t>
      </w:r>
      <w:r w:rsidRPr="000023C6">
        <w:rPr>
          <w:rFonts w:ascii="Barlow" w:hAnsi="Barlow" w:cs="Calibri"/>
          <w:bCs/>
          <w:color w:val="000000"/>
          <w:spacing w:val="-1"/>
          <w:sz w:val="20"/>
          <w:szCs w:val="20"/>
        </w:rPr>
        <w:t>d</w:t>
      </w:r>
      <w:r w:rsidRPr="000023C6">
        <w:rPr>
          <w:rFonts w:ascii="Barlow" w:hAnsi="Barlow" w:cs="Calibri"/>
          <w:bCs/>
          <w:color w:val="000000"/>
          <w:sz w:val="20"/>
          <w:szCs w:val="20"/>
        </w:rPr>
        <w:t>el e</w:t>
      </w:r>
      <w:r w:rsidRPr="000023C6">
        <w:rPr>
          <w:rFonts w:ascii="Barlow" w:hAnsi="Barlow" w:cs="Calibri"/>
          <w:bCs/>
          <w:color w:val="000000"/>
          <w:spacing w:val="1"/>
          <w:sz w:val="20"/>
          <w:szCs w:val="20"/>
        </w:rPr>
        <w:t>m</w:t>
      </w:r>
      <w:r w:rsidRPr="000023C6">
        <w:rPr>
          <w:rFonts w:ascii="Barlow" w:hAnsi="Barlow" w:cs="Calibri"/>
          <w:bCs/>
          <w:color w:val="000000"/>
          <w:spacing w:val="-1"/>
          <w:sz w:val="20"/>
          <w:szCs w:val="20"/>
        </w:rPr>
        <w:t>isor.</w:t>
      </w:r>
    </w:p>
    <w:p w:rsidR="00DC5C9A" w:rsidRPr="000023C6" w:rsidRDefault="00DC5C9A" w:rsidP="00EE1A4F">
      <w:pPr>
        <w:widowControl w:val="0"/>
        <w:autoSpaceDE w:val="0"/>
        <w:autoSpaceDN w:val="0"/>
        <w:adjustRightInd w:val="0"/>
        <w:spacing w:before="26" w:after="0" w:line="240" w:lineRule="auto"/>
        <w:ind w:left="113" w:right="-20"/>
        <w:rPr>
          <w:rFonts w:ascii="Barlow" w:hAnsi="Barlow" w:cs="Calibri"/>
          <w:bCs/>
          <w:color w:val="000000"/>
          <w:spacing w:val="-1"/>
          <w:sz w:val="20"/>
          <w:szCs w:val="20"/>
        </w:rPr>
      </w:pPr>
    </w:p>
    <w:sectPr w:rsidR="00DC5C9A" w:rsidRPr="000023C6" w:rsidSect="00AC3899">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B13" w:rsidRDefault="002D7B13">
      <w:pPr>
        <w:spacing w:after="0" w:line="240" w:lineRule="auto"/>
      </w:pPr>
      <w:r>
        <w:separator/>
      </w:r>
    </w:p>
  </w:endnote>
  <w:endnote w:type="continuationSeparator" w:id="0">
    <w:p w:rsidR="002D7B13" w:rsidRDefault="002D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rlow">
    <w:altName w:val="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B13" w:rsidRDefault="002D7B13">
      <w:pPr>
        <w:spacing w:after="0" w:line="240" w:lineRule="auto"/>
      </w:pPr>
      <w:r>
        <w:separator/>
      </w:r>
    </w:p>
  </w:footnote>
  <w:footnote w:type="continuationSeparator" w:id="0">
    <w:p w:rsidR="002D7B13" w:rsidRDefault="002D7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B01"/>
    <w:multiLevelType w:val="hybridMultilevel"/>
    <w:tmpl w:val="8CB44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E90D73"/>
    <w:multiLevelType w:val="hybridMultilevel"/>
    <w:tmpl w:val="4BEE5A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7412D4"/>
    <w:multiLevelType w:val="hybridMultilevel"/>
    <w:tmpl w:val="F092D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A46E03"/>
    <w:multiLevelType w:val="hybridMultilevel"/>
    <w:tmpl w:val="6AE43B3E"/>
    <w:lvl w:ilvl="0" w:tplc="A4886F0A">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 w15:restartNumberingAfterBreak="0">
    <w:nsid w:val="19B2013A"/>
    <w:multiLevelType w:val="hybridMultilevel"/>
    <w:tmpl w:val="6F6A9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4D1D12"/>
    <w:multiLevelType w:val="hybridMultilevel"/>
    <w:tmpl w:val="42542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043062"/>
    <w:multiLevelType w:val="hybridMultilevel"/>
    <w:tmpl w:val="B34CF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BC3C89"/>
    <w:multiLevelType w:val="hybridMultilevel"/>
    <w:tmpl w:val="34144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8A5EF3"/>
    <w:multiLevelType w:val="hybridMultilevel"/>
    <w:tmpl w:val="D4C4E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B16BE7"/>
    <w:multiLevelType w:val="hybridMultilevel"/>
    <w:tmpl w:val="1B9A6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D36DA0"/>
    <w:multiLevelType w:val="hybridMultilevel"/>
    <w:tmpl w:val="B808A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9E5598"/>
    <w:multiLevelType w:val="hybridMultilevel"/>
    <w:tmpl w:val="C0586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5061C4"/>
    <w:multiLevelType w:val="hybridMultilevel"/>
    <w:tmpl w:val="F1E0D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2B75F8"/>
    <w:multiLevelType w:val="hybridMultilevel"/>
    <w:tmpl w:val="4378E61C"/>
    <w:lvl w:ilvl="0" w:tplc="3628FBE6">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5" w15:restartNumberingAfterBreak="0">
    <w:nsid w:val="457F697D"/>
    <w:multiLevelType w:val="hybridMultilevel"/>
    <w:tmpl w:val="559CD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76E0345"/>
    <w:multiLevelType w:val="hybridMultilevel"/>
    <w:tmpl w:val="4CDE70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4D443A"/>
    <w:multiLevelType w:val="hybridMultilevel"/>
    <w:tmpl w:val="6548E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9041D8"/>
    <w:multiLevelType w:val="hybridMultilevel"/>
    <w:tmpl w:val="83B08DDC"/>
    <w:lvl w:ilvl="0" w:tplc="C416FF72">
      <w:start w:val="1"/>
      <w:numFmt w:val="lowerLetter"/>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19" w15:restartNumberingAfterBreak="0">
    <w:nsid w:val="5A400349"/>
    <w:multiLevelType w:val="hybridMultilevel"/>
    <w:tmpl w:val="E4401F32"/>
    <w:lvl w:ilvl="0" w:tplc="B99E78D4">
      <w:start w:val="1"/>
      <w:numFmt w:val="decimal"/>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0" w15:restartNumberingAfterBreak="0">
    <w:nsid w:val="5C62662C"/>
    <w:multiLevelType w:val="hybridMultilevel"/>
    <w:tmpl w:val="06262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825BAC"/>
    <w:multiLevelType w:val="hybridMultilevel"/>
    <w:tmpl w:val="57B2D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A53F5"/>
    <w:multiLevelType w:val="hybridMultilevel"/>
    <w:tmpl w:val="7040C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7C280F"/>
    <w:multiLevelType w:val="hybridMultilevel"/>
    <w:tmpl w:val="FF060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41A170E"/>
    <w:multiLevelType w:val="hybridMultilevel"/>
    <w:tmpl w:val="66240C82"/>
    <w:lvl w:ilvl="0" w:tplc="CD829554">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5" w15:restartNumberingAfterBreak="0">
    <w:nsid w:val="682A6182"/>
    <w:multiLevelType w:val="hybridMultilevel"/>
    <w:tmpl w:val="817AB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27" w15:restartNumberingAfterBreak="0">
    <w:nsid w:val="695F3C80"/>
    <w:multiLevelType w:val="hybridMultilevel"/>
    <w:tmpl w:val="7B5CF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E2542E6"/>
    <w:multiLevelType w:val="hybridMultilevel"/>
    <w:tmpl w:val="4760B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134222"/>
    <w:multiLevelType w:val="hybridMultilevel"/>
    <w:tmpl w:val="9B6E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667278A"/>
    <w:multiLevelType w:val="hybridMultilevel"/>
    <w:tmpl w:val="4A703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8A70088"/>
    <w:multiLevelType w:val="hybridMultilevel"/>
    <w:tmpl w:val="8E920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801BD5"/>
    <w:multiLevelType w:val="hybridMultilevel"/>
    <w:tmpl w:val="DBCA631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29"/>
  </w:num>
  <w:num w:numId="4">
    <w:abstractNumId w:val="18"/>
  </w:num>
  <w:num w:numId="5">
    <w:abstractNumId w:val="3"/>
  </w:num>
  <w:num w:numId="6">
    <w:abstractNumId w:val="17"/>
  </w:num>
  <w:num w:numId="7">
    <w:abstractNumId w:val="32"/>
  </w:num>
  <w:num w:numId="8">
    <w:abstractNumId w:val="5"/>
  </w:num>
  <w:num w:numId="9">
    <w:abstractNumId w:val="4"/>
  </w:num>
  <w:num w:numId="10">
    <w:abstractNumId w:val="23"/>
  </w:num>
  <w:num w:numId="11">
    <w:abstractNumId w:val="9"/>
  </w:num>
  <w:num w:numId="12">
    <w:abstractNumId w:val="25"/>
  </w:num>
  <w:num w:numId="13">
    <w:abstractNumId w:val="31"/>
  </w:num>
  <w:num w:numId="14">
    <w:abstractNumId w:val="27"/>
  </w:num>
  <w:num w:numId="15">
    <w:abstractNumId w:val="16"/>
  </w:num>
  <w:num w:numId="16">
    <w:abstractNumId w:val="6"/>
  </w:num>
  <w:num w:numId="17">
    <w:abstractNumId w:val="8"/>
  </w:num>
  <w:num w:numId="18">
    <w:abstractNumId w:val="10"/>
  </w:num>
  <w:num w:numId="19">
    <w:abstractNumId w:val="21"/>
  </w:num>
  <w:num w:numId="20">
    <w:abstractNumId w:val="0"/>
  </w:num>
  <w:num w:numId="21">
    <w:abstractNumId w:val="12"/>
  </w:num>
  <w:num w:numId="22">
    <w:abstractNumId w:val="13"/>
  </w:num>
  <w:num w:numId="23">
    <w:abstractNumId w:val="22"/>
  </w:num>
  <w:num w:numId="24">
    <w:abstractNumId w:val="15"/>
  </w:num>
  <w:num w:numId="25">
    <w:abstractNumId w:val="24"/>
  </w:num>
  <w:num w:numId="26">
    <w:abstractNumId w:val="14"/>
  </w:num>
  <w:num w:numId="27">
    <w:abstractNumId w:val="19"/>
  </w:num>
  <w:num w:numId="28">
    <w:abstractNumId w:val="28"/>
  </w:num>
  <w:num w:numId="29">
    <w:abstractNumId w:val="33"/>
  </w:num>
  <w:num w:numId="30">
    <w:abstractNumId w:val="1"/>
  </w:num>
  <w:num w:numId="31">
    <w:abstractNumId w:val="20"/>
  </w:num>
  <w:num w:numId="32">
    <w:abstractNumId w:val="30"/>
  </w:num>
  <w:num w:numId="33">
    <w:abstractNumId w:val="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0B8A"/>
    <w:rsid w:val="00001F48"/>
    <w:rsid w:val="000023C6"/>
    <w:rsid w:val="000027BB"/>
    <w:rsid w:val="00002A17"/>
    <w:rsid w:val="000073C3"/>
    <w:rsid w:val="00007E07"/>
    <w:rsid w:val="0001217F"/>
    <w:rsid w:val="0001518E"/>
    <w:rsid w:val="00016B42"/>
    <w:rsid w:val="00016F58"/>
    <w:rsid w:val="00017BAF"/>
    <w:rsid w:val="00022E76"/>
    <w:rsid w:val="00031714"/>
    <w:rsid w:val="000352A0"/>
    <w:rsid w:val="000352D7"/>
    <w:rsid w:val="00035648"/>
    <w:rsid w:val="00035698"/>
    <w:rsid w:val="00036236"/>
    <w:rsid w:val="00036543"/>
    <w:rsid w:val="00041CF8"/>
    <w:rsid w:val="00043A87"/>
    <w:rsid w:val="000452DF"/>
    <w:rsid w:val="00052892"/>
    <w:rsid w:val="000535C0"/>
    <w:rsid w:val="00053785"/>
    <w:rsid w:val="00053C44"/>
    <w:rsid w:val="00057CFB"/>
    <w:rsid w:val="00057E3A"/>
    <w:rsid w:val="00057F46"/>
    <w:rsid w:val="00060A42"/>
    <w:rsid w:val="000650CB"/>
    <w:rsid w:val="0007141C"/>
    <w:rsid w:val="00072080"/>
    <w:rsid w:val="00072C0E"/>
    <w:rsid w:val="00075279"/>
    <w:rsid w:val="00075D1E"/>
    <w:rsid w:val="00076499"/>
    <w:rsid w:val="00081289"/>
    <w:rsid w:val="00081869"/>
    <w:rsid w:val="00085F12"/>
    <w:rsid w:val="00086F88"/>
    <w:rsid w:val="0008740B"/>
    <w:rsid w:val="000908FA"/>
    <w:rsid w:val="00091381"/>
    <w:rsid w:val="000942B0"/>
    <w:rsid w:val="000978B2"/>
    <w:rsid w:val="000A1420"/>
    <w:rsid w:val="000A1C58"/>
    <w:rsid w:val="000A3C1D"/>
    <w:rsid w:val="000A47A8"/>
    <w:rsid w:val="000A509D"/>
    <w:rsid w:val="000A5522"/>
    <w:rsid w:val="000A5EB1"/>
    <w:rsid w:val="000A6CE8"/>
    <w:rsid w:val="000A720B"/>
    <w:rsid w:val="000B303F"/>
    <w:rsid w:val="000B322D"/>
    <w:rsid w:val="000B5030"/>
    <w:rsid w:val="000B5F40"/>
    <w:rsid w:val="000B7934"/>
    <w:rsid w:val="000C0128"/>
    <w:rsid w:val="000C1EEE"/>
    <w:rsid w:val="000C292D"/>
    <w:rsid w:val="000C4B96"/>
    <w:rsid w:val="000D0808"/>
    <w:rsid w:val="000D09F3"/>
    <w:rsid w:val="000D16F0"/>
    <w:rsid w:val="000D5926"/>
    <w:rsid w:val="000D76F0"/>
    <w:rsid w:val="000E0DC8"/>
    <w:rsid w:val="000E195A"/>
    <w:rsid w:val="000F029F"/>
    <w:rsid w:val="000F4482"/>
    <w:rsid w:val="000F73BE"/>
    <w:rsid w:val="00100741"/>
    <w:rsid w:val="00101157"/>
    <w:rsid w:val="00101755"/>
    <w:rsid w:val="001017C4"/>
    <w:rsid w:val="0010340E"/>
    <w:rsid w:val="00103D24"/>
    <w:rsid w:val="00105A1C"/>
    <w:rsid w:val="00112199"/>
    <w:rsid w:val="00112CF9"/>
    <w:rsid w:val="00115225"/>
    <w:rsid w:val="00115AAC"/>
    <w:rsid w:val="00116007"/>
    <w:rsid w:val="00117B5A"/>
    <w:rsid w:val="00120A9C"/>
    <w:rsid w:val="00121C51"/>
    <w:rsid w:val="001221AB"/>
    <w:rsid w:val="00123DFF"/>
    <w:rsid w:val="00125DFD"/>
    <w:rsid w:val="0012700C"/>
    <w:rsid w:val="001304DE"/>
    <w:rsid w:val="001312EE"/>
    <w:rsid w:val="001316F3"/>
    <w:rsid w:val="00131DAA"/>
    <w:rsid w:val="0013249C"/>
    <w:rsid w:val="001331D7"/>
    <w:rsid w:val="00140236"/>
    <w:rsid w:val="0014163E"/>
    <w:rsid w:val="00141958"/>
    <w:rsid w:val="001428E4"/>
    <w:rsid w:val="001429D6"/>
    <w:rsid w:val="001438B6"/>
    <w:rsid w:val="00146D2C"/>
    <w:rsid w:val="00152154"/>
    <w:rsid w:val="001528AB"/>
    <w:rsid w:val="00152F9C"/>
    <w:rsid w:val="00155EBA"/>
    <w:rsid w:val="00156702"/>
    <w:rsid w:val="001600A1"/>
    <w:rsid w:val="00160334"/>
    <w:rsid w:val="001621E7"/>
    <w:rsid w:val="00163749"/>
    <w:rsid w:val="00163FCF"/>
    <w:rsid w:val="00164D31"/>
    <w:rsid w:val="001656EA"/>
    <w:rsid w:val="00167FE5"/>
    <w:rsid w:val="00171D04"/>
    <w:rsid w:val="0017572E"/>
    <w:rsid w:val="00175D8E"/>
    <w:rsid w:val="0017681D"/>
    <w:rsid w:val="00176ABD"/>
    <w:rsid w:val="00183D7B"/>
    <w:rsid w:val="00190277"/>
    <w:rsid w:val="001938F8"/>
    <w:rsid w:val="001958AC"/>
    <w:rsid w:val="0019635F"/>
    <w:rsid w:val="00197049"/>
    <w:rsid w:val="00197298"/>
    <w:rsid w:val="001978B1"/>
    <w:rsid w:val="001A0CF0"/>
    <w:rsid w:val="001A11BD"/>
    <w:rsid w:val="001A26D7"/>
    <w:rsid w:val="001A4317"/>
    <w:rsid w:val="001A6DB6"/>
    <w:rsid w:val="001B15DF"/>
    <w:rsid w:val="001B33BA"/>
    <w:rsid w:val="001B34AB"/>
    <w:rsid w:val="001B5E7C"/>
    <w:rsid w:val="001B79BE"/>
    <w:rsid w:val="001C009C"/>
    <w:rsid w:val="001C1CD6"/>
    <w:rsid w:val="001C4830"/>
    <w:rsid w:val="001C4891"/>
    <w:rsid w:val="001C6025"/>
    <w:rsid w:val="001C6C49"/>
    <w:rsid w:val="001C6CB6"/>
    <w:rsid w:val="001D0A9D"/>
    <w:rsid w:val="001D1845"/>
    <w:rsid w:val="001D3387"/>
    <w:rsid w:val="001D7187"/>
    <w:rsid w:val="001E0F82"/>
    <w:rsid w:val="001E1485"/>
    <w:rsid w:val="001E2396"/>
    <w:rsid w:val="001E7A0C"/>
    <w:rsid w:val="001F0CC7"/>
    <w:rsid w:val="001F17A4"/>
    <w:rsid w:val="001F2065"/>
    <w:rsid w:val="001F28DF"/>
    <w:rsid w:val="001F53DF"/>
    <w:rsid w:val="001F5AFD"/>
    <w:rsid w:val="001F6CAA"/>
    <w:rsid w:val="001F7D28"/>
    <w:rsid w:val="002003E4"/>
    <w:rsid w:val="002024FD"/>
    <w:rsid w:val="002028C3"/>
    <w:rsid w:val="002037BB"/>
    <w:rsid w:val="00204576"/>
    <w:rsid w:val="0020581D"/>
    <w:rsid w:val="00210093"/>
    <w:rsid w:val="002125B1"/>
    <w:rsid w:val="0022091F"/>
    <w:rsid w:val="00221AB1"/>
    <w:rsid w:val="00221B7B"/>
    <w:rsid w:val="002246DF"/>
    <w:rsid w:val="0022693A"/>
    <w:rsid w:val="00232553"/>
    <w:rsid w:val="002330DE"/>
    <w:rsid w:val="00235EB7"/>
    <w:rsid w:val="00235FE7"/>
    <w:rsid w:val="00240719"/>
    <w:rsid w:val="002409F7"/>
    <w:rsid w:val="00242A2A"/>
    <w:rsid w:val="002432DB"/>
    <w:rsid w:val="00243D55"/>
    <w:rsid w:val="00244375"/>
    <w:rsid w:val="00250BCF"/>
    <w:rsid w:val="00251AD9"/>
    <w:rsid w:val="00253E8A"/>
    <w:rsid w:val="00257549"/>
    <w:rsid w:val="00260C97"/>
    <w:rsid w:val="0026181B"/>
    <w:rsid w:val="00263DF8"/>
    <w:rsid w:val="00264B4D"/>
    <w:rsid w:val="00264C62"/>
    <w:rsid w:val="00270CF1"/>
    <w:rsid w:val="00270D50"/>
    <w:rsid w:val="00276048"/>
    <w:rsid w:val="00276882"/>
    <w:rsid w:val="00276D28"/>
    <w:rsid w:val="002856D1"/>
    <w:rsid w:val="002919B3"/>
    <w:rsid w:val="0029418B"/>
    <w:rsid w:val="00294458"/>
    <w:rsid w:val="00294C62"/>
    <w:rsid w:val="00295FA8"/>
    <w:rsid w:val="00296B9A"/>
    <w:rsid w:val="00297E73"/>
    <w:rsid w:val="002A0AFE"/>
    <w:rsid w:val="002A11F9"/>
    <w:rsid w:val="002A45FD"/>
    <w:rsid w:val="002A7FF6"/>
    <w:rsid w:val="002B1EBC"/>
    <w:rsid w:val="002B3735"/>
    <w:rsid w:val="002B4A9B"/>
    <w:rsid w:val="002B4CC8"/>
    <w:rsid w:val="002C3D6B"/>
    <w:rsid w:val="002C5096"/>
    <w:rsid w:val="002C7272"/>
    <w:rsid w:val="002D3590"/>
    <w:rsid w:val="002D710D"/>
    <w:rsid w:val="002D7611"/>
    <w:rsid w:val="002D7B13"/>
    <w:rsid w:val="002E363B"/>
    <w:rsid w:val="002E62DD"/>
    <w:rsid w:val="002E66C7"/>
    <w:rsid w:val="002F16ED"/>
    <w:rsid w:val="002F33D6"/>
    <w:rsid w:val="002F7D73"/>
    <w:rsid w:val="00300EDA"/>
    <w:rsid w:val="00301D62"/>
    <w:rsid w:val="0030270C"/>
    <w:rsid w:val="00304CC5"/>
    <w:rsid w:val="00305811"/>
    <w:rsid w:val="00307E67"/>
    <w:rsid w:val="00307EF9"/>
    <w:rsid w:val="0031438F"/>
    <w:rsid w:val="00321EE7"/>
    <w:rsid w:val="00322CA1"/>
    <w:rsid w:val="003231F7"/>
    <w:rsid w:val="0032376D"/>
    <w:rsid w:val="00326EDB"/>
    <w:rsid w:val="0032767A"/>
    <w:rsid w:val="00331081"/>
    <w:rsid w:val="0033109C"/>
    <w:rsid w:val="003319A3"/>
    <w:rsid w:val="00333471"/>
    <w:rsid w:val="00335AEB"/>
    <w:rsid w:val="00341817"/>
    <w:rsid w:val="00345395"/>
    <w:rsid w:val="003471F8"/>
    <w:rsid w:val="00351854"/>
    <w:rsid w:val="00354B00"/>
    <w:rsid w:val="00356A33"/>
    <w:rsid w:val="00357996"/>
    <w:rsid w:val="003602A4"/>
    <w:rsid w:val="0036168C"/>
    <w:rsid w:val="00361E26"/>
    <w:rsid w:val="00364CB5"/>
    <w:rsid w:val="00366F5C"/>
    <w:rsid w:val="00366FF2"/>
    <w:rsid w:val="003703B1"/>
    <w:rsid w:val="003706C3"/>
    <w:rsid w:val="0037132C"/>
    <w:rsid w:val="00372C5C"/>
    <w:rsid w:val="00373DE5"/>
    <w:rsid w:val="00374E66"/>
    <w:rsid w:val="00374E8D"/>
    <w:rsid w:val="00375521"/>
    <w:rsid w:val="00380B71"/>
    <w:rsid w:val="003844A5"/>
    <w:rsid w:val="00392CA4"/>
    <w:rsid w:val="00393F0D"/>
    <w:rsid w:val="00394ADB"/>
    <w:rsid w:val="00394F6D"/>
    <w:rsid w:val="003955D3"/>
    <w:rsid w:val="0039787C"/>
    <w:rsid w:val="003A0A3E"/>
    <w:rsid w:val="003A0CC8"/>
    <w:rsid w:val="003A14D2"/>
    <w:rsid w:val="003A15D4"/>
    <w:rsid w:val="003A66FA"/>
    <w:rsid w:val="003A7176"/>
    <w:rsid w:val="003A7BDC"/>
    <w:rsid w:val="003B28E2"/>
    <w:rsid w:val="003B315F"/>
    <w:rsid w:val="003B4557"/>
    <w:rsid w:val="003B53C9"/>
    <w:rsid w:val="003D4D76"/>
    <w:rsid w:val="003D56FF"/>
    <w:rsid w:val="003D6B68"/>
    <w:rsid w:val="003E0891"/>
    <w:rsid w:val="003E1EA1"/>
    <w:rsid w:val="003E2282"/>
    <w:rsid w:val="003E39C2"/>
    <w:rsid w:val="003E3C75"/>
    <w:rsid w:val="003F01B5"/>
    <w:rsid w:val="003F12DF"/>
    <w:rsid w:val="003F3233"/>
    <w:rsid w:val="003F324E"/>
    <w:rsid w:val="003F680C"/>
    <w:rsid w:val="003F7AEB"/>
    <w:rsid w:val="004000A4"/>
    <w:rsid w:val="00404152"/>
    <w:rsid w:val="00404AA3"/>
    <w:rsid w:val="00404BF7"/>
    <w:rsid w:val="00404C25"/>
    <w:rsid w:val="00404FBE"/>
    <w:rsid w:val="00407D5F"/>
    <w:rsid w:val="00410016"/>
    <w:rsid w:val="004155AA"/>
    <w:rsid w:val="0042686A"/>
    <w:rsid w:val="00431288"/>
    <w:rsid w:val="00433356"/>
    <w:rsid w:val="00435233"/>
    <w:rsid w:val="00435CCA"/>
    <w:rsid w:val="00437FB6"/>
    <w:rsid w:val="00440F71"/>
    <w:rsid w:val="004410B6"/>
    <w:rsid w:val="004455C0"/>
    <w:rsid w:val="00445947"/>
    <w:rsid w:val="00451A4D"/>
    <w:rsid w:val="0045213F"/>
    <w:rsid w:val="0045248B"/>
    <w:rsid w:val="00452B44"/>
    <w:rsid w:val="00453CCE"/>
    <w:rsid w:val="00454A5A"/>
    <w:rsid w:val="00460658"/>
    <w:rsid w:val="004619E0"/>
    <w:rsid w:val="00464CE8"/>
    <w:rsid w:val="004711E8"/>
    <w:rsid w:val="00473160"/>
    <w:rsid w:val="00476087"/>
    <w:rsid w:val="004810A4"/>
    <w:rsid w:val="00484113"/>
    <w:rsid w:val="004851A7"/>
    <w:rsid w:val="00485A44"/>
    <w:rsid w:val="00491CB4"/>
    <w:rsid w:val="0049202C"/>
    <w:rsid w:val="0049317C"/>
    <w:rsid w:val="004A1523"/>
    <w:rsid w:val="004A3A01"/>
    <w:rsid w:val="004A4C49"/>
    <w:rsid w:val="004B44A7"/>
    <w:rsid w:val="004B5A5C"/>
    <w:rsid w:val="004B6BB4"/>
    <w:rsid w:val="004C25C5"/>
    <w:rsid w:val="004D1012"/>
    <w:rsid w:val="004D1910"/>
    <w:rsid w:val="004D1F96"/>
    <w:rsid w:val="004D5CC3"/>
    <w:rsid w:val="004D5E2A"/>
    <w:rsid w:val="004D67B7"/>
    <w:rsid w:val="004D76EA"/>
    <w:rsid w:val="004E029D"/>
    <w:rsid w:val="004E6A86"/>
    <w:rsid w:val="004F0778"/>
    <w:rsid w:val="004F3CEC"/>
    <w:rsid w:val="004F4149"/>
    <w:rsid w:val="004F4E2C"/>
    <w:rsid w:val="004F63A2"/>
    <w:rsid w:val="004F65B1"/>
    <w:rsid w:val="004F6BE1"/>
    <w:rsid w:val="004F7FBD"/>
    <w:rsid w:val="005034FA"/>
    <w:rsid w:val="00504C0D"/>
    <w:rsid w:val="00506A44"/>
    <w:rsid w:val="005155D8"/>
    <w:rsid w:val="00515925"/>
    <w:rsid w:val="00515B02"/>
    <w:rsid w:val="005255EF"/>
    <w:rsid w:val="00526B21"/>
    <w:rsid w:val="005312CB"/>
    <w:rsid w:val="00533DC6"/>
    <w:rsid w:val="00535A1F"/>
    <w:rsid w:val="005401E9"/>
    <w:rsid w:val="00543731"/>
    <w:rsid w:val="005443C8"/>
    <w:rsid w:val="0054695E"/>
    <w:rsid w:val="00547281"/>
    <w:rsid w:val="005472B0"/>
    <w:rsid w:val="005536A7"/>
    <w:rsid w:val="00554774"/>
    <w:rsid w:val="0055724D"/>
    <w:rsid w:val="00564CA1"/>
    <w:rsid w:val="00566B9F"/>
    <w:rsid w:val="00570BDB"/>
    <w:rsid w:val="00575513"/>
    <w:rsid w:val="005777B5"/>
    <w:rsid w:val="00580085"/>
    <w:rsid w:val="0058134B"/>
    <w:rsid w:val="00582C2F"/>
    <w:rsid w:val="005875A5"/>
    <w:rsid w:val="005970EC"/>
    <w:rsid w:val="005A080D"/>
    <w:rsid w:val="005A0B0A"/>
    <w:rsid w:val="005A2D09"/>
    <w:rsid w:val="005A3423"/>
    <w:rsid w:val="005A3924"/>
    <w:rsid w:val="005A4B3A"/>
    <w:rsid w:val="005A4DE8"/>
    <w:rsid w:val="005A56C4"/>
    <w:rsid w:val="005B03EE"/>
    <w:rsid w:val="005B20B3"/>
    <w:rsid w:val="005B2DC1"/>
    <w:rsid w:val="005B3963"/>
    <w:rsid w:val="005B3D18"/>
    <w:rsid w:val="005B5088"/>
    <w:rsid w:val="005B651F"/>
    <w:rsid w:val="005B707A"/>
    <w:rsid w:val="005C4226"/>
    <w:rsid w:val="005C50D2"/>
    <w:rsid w:val="005D1D00"/>
    <w:rsid w:val="005D6914"/>
    <w:rsid w:val="005E1019"/>
    <w:rsid w:val="005E12F7"/>
    <w:rsid w:val="005E18DE"/>
    <w:rsid w:val="005E29E5"/>
    <w:rsid w:val="005E43BF"/>
    <w:rsid w:val="005E60C0"/>
    <w:rsid w:val="005F6CAC"/>
    <w:rsid w:val="005F704F"/>
    <w:rsid w:val="005F7472"/>
    <w:rsid w:val="00600ABB"/>
    <w:rsid w:val="00611279"/>
    <w:rsid w:val="00614A5F"/>
    <w:rsid w:val="00615568"/>
    <w:rsid w:val="00616192"/>
    <w:rsid w:val="00616949"/>
    <w:rsid w:val="00616C43"/>
    <w:rsid w:val="00616FFA"/>
    <w:rsid w:val="00623665"/>
    <w:rsid w:val="0062569D"/>
    <w:rsid w:val="006304DB"/>
    <w:rsid w:val="00630976"/>
    <w:rsid w:val="00630B8E"/>
    <w:rsid w:val="00630D52"/>
    <w:rsid w:val="00633C88"/>
    <w:rsid w:val="006349C6"/>
    <w:rsid w:val="0063521E"/>
    <w:rsid w:val="00635309"/>
    <w:rsid w:val="00637612"/>
    <w:rsid w:val="006377B4"/>
    <w:rsid w:val="006416E4"/>
    <w:rsid w:val="00641F71"/>
    <w:rsid w:val="0064494D"/>
    <w:rsid w:val="00644A2A"/>
    <w:rsid w:val="00660030"/>
    <w:rsid w:val="00660492"/>
    <w:rsid w:val="00661768"/>
    <w:rsid w:val="00664079"/>
    <w:rsid w:val="00666454"/>
    <w:rsid w:val="00666DAA"/>
    <w:rsid w:val="006676CA"/>
    <w:rsid w:val="00670894"/>
    <w:rsid w:val="0067108C"/>
    <w:rsid w:val="006734B3"/>
    <w:rsid w:val="006734BD"/>
    <w:rsid w:val="00673C7C"/>
    <w:rsid w:val="006749E3"/>
    <w:rsid w:val="00675E7E"/>
    <w:rsid w:val="00676774"/>
    <w:rsid w:val="00677D7A"/>
    <w:rsid w:val="006808C3"/>
    <w:rsid w:val="00680E97"/>
    <w:rsid w:val="00685ED1"/>
    <w:rsid w:val="00686C70"/>
    <w:rsid w:val="00687F96"/>
    <w:rsid w:val="00690B6B"/>
    <w:rsid w:val="00692941"/>
    <w:rsid w:val="00693A8B"/>
    <w:rsid w:val="006A1770"/>
    <w:rsid w:val="006A4182"/>
    <w:rsid w:val="006A4239"/>
    <w:rsid w:val="006A4E04"/>
    <w:rsid w:val="006A4F5D"/>
    <w:rsid w:val="006A5941"/>
    <w:rsid w:val="006A7F3A"/>
    <w:rsid w:val="006B20A8"/>
    <w:rsid w:val="006B26DE"/>
    <w:rsid w:val="006B2AA2"/>
    <w:rsid w:val="006B49F2"/>
    <w:rsid w:val="006B6200"/>
    <w:rsid w:val="006B68A1"/>
    <w:rsid w:val="006C27D7"/>
    <w:rsid w:val="006C3746"/>
    <w:rsid w:val="006C4575"/>
    <w:rsid w:val="006C514E"/>
    <w:rsid w:val="006C6B4A"/>
    <w:rsid w:val="006D07EB"/>
    <w:rsid w:val="006D22CC"/>
    <w:rsid w:val="006D386A"/>
    <w:rsid w:val="006E3E60"/>
    <w:rsid w:val="006E69B3"/>
    <w:rsid w:val="006F01F7"/>
    <w:rsid w:val="006F0300"/>
    <w:rsid w:val="006F0869"/>
    <w:rsid w:val="006F0D11"/>
    <w:rsid w:val="006F1853"/>
    <w:rsid w:val="006F40F5"/>
    <w:rsid w:val="006F4AAB"/>
    <w:rsid w:val="006F78BC"/>
    <w:rsid w:val="00702F2F"/>
    <w:rsid w:val="007043A9"/>
    <w:rsid w:val="00704759"/>
    <w:rsid w:val="00705164"/>
    <w:rsid w:val="007074A0"/>
    <w:rsid w:val="007078F5"/>
    <w:rsid w:val="00707E7D"/>
    <w:rsid w:val="007144A8"/>
    <w:rsid w:val="00715A27"/>
    <w:rsid w:val="00717EFD"/>
    <w:rsid w:val="00720F06"/>
    <w:rsid w:val="00723186"/>
    <w:rsid w:val="007272FC"/>
    <w:rsid w:val="00734532"/>
    <w:rsid w:val="0073573B"/>
    <w:rsid w:val="00735A80"/>
    <w:rsid w:val="007368C3"/>
    <w:rsid w:val="007405FC"/>
    <w:rsid w:val="0074151E"/>
    <w:rsid w:val="0074235D"/>
    <w:rsid w:val="00742FD4"/>
    <w:rsid w:val="00745840"/>
    <w:rsid w:val="007460EE"/>
    <w:rsid w:val="00747173"/>
    <w:rsid w:val="0075087E"/>
    <w:rsid w:val="00753343"/>
    <w:rsid w:val="0075451E"/>
    <w:rsid w:val="00754D4D"/>
    <w:rsid w:val="007605C3"/>
    <w:rsid w:val="00760D59"/>
    <w:rsid w:val="00762B88"/>
    <w:rsid w:val="0076318B"/>
    <w:rsid w:val="00766695"/>
    <w:rsid w:val="0077328E"/>
    <w:rsid w:val="00773B84"/>
    <w:rsid w:val="00775E63"/>
    <w:rsid w:val="00777219"/>
    <w:rsid w:val="007826AF"/>
    <w:rsid w:val="0078438A"/>
    <w:rsid w:val="00785B6C"/>
    <w:rsid w:val="00786185"/>
    <w:rsid w:val="00786A71"/>
    <w:rsid w:val="00791185"/>
    <w:rsid w:val="007914F1"/>
    <w:rsid w:val="00792CE3"/>
    <w:rsid w:val="00792DA0"/>
    <w:rsid w:val="00792F6A"/>
    <w:rsid w:val="007935CD"/>
    <w:rsid w:val="0079553D"/>
    <w:rsid w:val="00795679"/>
    <w:rsid w:val="007A016E"/>
    <w:rsid w:val="007A2853"/>
    <w:rsid w:val="007A3779"/>
    <w:rsid w:val="007A3C3F"/>
    <w:rsid w:val="007B777F"/>
    <w:rsid w:val="007C0ACB"/>
    <w:rsid w:val="007C218A"/>
    <w:rsid w:val="007C2ACA"/>
    <w:rsid w:val="007C73B9"/>
    <w:rsid w:val="007D06F8"/>
    <w:rsid w:val="007D0F85"/>
    <w:rsid w:val="007D1472"/>
    <w:rsid w:val="007D228B"/>
    <w:rsid w:val="007D5555"/>
    <w:rsid w:val="007D7D9B"/>
    <w:rsid w:val="007E0B64"/>
    <w:rsid w:val="007E2657"/>
    <w:rsid w:val="007E7CE8"/>
    <w:rsid w:val="007F14B6"/>
    <w:rsid w:val="007F1C73"/>
    <w:rsid w:val="007F276F"/>
    <w:rsid w:val="007F6908"/>
    <w:rsid w:val="00800A49"/>
    <w:rsid w:val="008012BA"/>
    <w:rsid w:val="00802085"/>
    <w:rsid w:val="008033CB"/>
    <w:rsid w:val="008037F9"/>
    <w:rsid w:val="00806845"/>
    <w:rsid w:val="00807741"/>
    <w:rsid w:val="00810068"/>
    <w:rsid w:val="00811893"/>
    <w:rsid w:val="00811CBD"/>
    <w:rsid w:val="00815CC6"/>
    <w:rsid w:val="00815D24"/>
    <w:rsid w:val="00816052"/>
    <w:rsid w:val="008171A3"/>
    <w:rsid w:val="0082475D"/>
    <w:rsid w:val="00824AE1"/>
    <w:rsid w:val="00825110"/>
    <w:rsid w:val="00826150"/>
    <w:rsid w:val="00827759"/>
    <w:rsid w:val="00830835"/>
    <w:rsid w:val="00836B18"/>
    <w:rsid w:val="00837D3B"/>
    <w:rsid w:val="008435D5"/>
    <w:rsid w:val="0084664D"/>
    <w:rsid w:val="00853064"/>
    <w:rsid w:val="0085497D"/>
    <w:rsid w:val="00856F50"/>
    <w:rsid w:val="0086157D"/>
    <w:rsid w:val="008635E8"/>
    <w:rsid w:val="00865BFA"/>
    <w:rsid w:val="00866651"/>
    <w:rsid w:val="00871F27"/>
    <w:rsid w:val="008728D7"/>
    <w:rsid w:val="00873164"/>
    <w:rsid w:val="00876D82"/>
    <w:rsid w:val="008844FB"/>
    <w:rsid w:val="008856BB"/>
    <w:rsid w:val="008901DF"/>
    <w:rsid w:val="00894AFD"/>
    <w:rsid w:val="008A12FB"/>
    <w:rsid w:val="008A5B45"/>
    <w:rsid w:val="008A723C"/>
    <w:rsid w:val="008A75E1"/>
    <w:rsid w:val="008B17C4"/>
    <w:rsid w:val="008B1B4F"/>
    <w:rsid w:val="008B2BEE"/>
    <w:rsid w:val="008B7033"/>
    <w:rsid w:val="008D0058"/>
    <w:rsid w:val="008D10E8"/>
    <w:rsid w:val="008D2C88"/>
    <w:rsid w:val="008D4C27"/>
    <w:rsid w:val="008D4F91"/>
    <w:rsid w:val="008E20AF"/>
    <w:rsid w:val="008F078B"/>
    <w:rsid w:val="008F2CCA"/>
    <w:rsid w:val="008F386B"/>
    <w:rsid w:val="008F424E"/>
    <w:rsid w:val="008F6BB2"/>
    <w:rsid w:val="009019F1"/>
    <w:rsid w:val="0090374B"/>
    <w:rsid w:val="009054FA"/>
    <w:rsid w:val="0090560F"/>
    <w:rsid w:val="009075AF"/>
    <w:rsid w:val="00907AFC"/>
    <w:rsid w:val="00907C02"/>
    <w:rsid w:val="00911089"/>
    <w:rsid w:val="00912392"/>
    <w:rsid w:val="00912AA8"/>
    <w:rsid w:val="0091407E"/>
    <w:rsid w:val="009141D5"/>
    <w:rsid w:val="0091760A"/>
    <w:rsid w:val="00920060"/>
    <w:rsid w:val="00923E04"/>
    <w:rsid w:val="0092453D"/>
    <w:rsid w:val="00924C76"/>
    <w:rsid w:val="00927529"/>
    <w:rsid w:val="00927CDC"/>
    <w:rsid w:val="00930E1A"/>
    <w:rsid w:val="009336AC"/>
    <w:rsid w:val="00935C29"/>
    <w:rsid w:val="00942E85"/>
    <w:rsid w:val="00944CEB"/>
    <w:rsid w:val="00944D05"/>
    <w:rsid w:val="00945CF2"/>
    <w:rsid w:val="009464E0"/>
    <w:rsid w:val="0095067E"/>
    <w:rsid w:val="00950A94"/>
    <w:rsid w:val="00951D65"/>
    <w:rsid w:val="00954CDA"/>
    <w:rsid w:val="00954F44"/>
    <w:rsid w:val="00961295"/>
    <w:rsid w:val="00961D74"/>
    <w:rsid w:val="00962294"/>
    <w:rsid w:val="009636DC"/>
    <w:rsid w:val="00963724"/>
    <w:rsid w:val="00970016"/>
    <w:rsid w:val="0097273E"/>
    <w:rsid w:val="00974D7E"/>
    <w:rsid w:val="009756AA"/>
    <w:rsid w:val="00980415"/>
    <w:rsid w:val="0098333C"/>
    <w:rsid w:val="00984D7D"/>
    <w:rsid w:val="00992F4B"/>
    <w:rsid w:val="009932CA"/>
    <w:rsid w:val="0099630C"/>
    <w:rsid w:val="00996BD8"/>
    <w:rsid w:val="00997A94"/>
    <w:rsid w:val="009A0BCD"/>
    <w:rsid w:val="009A558E"/>
    <w:rsid w:val="009A5823"/>
    <w:rsid w:val="009A70A6"/>
    <w:rsid w:val="009A772A"/>
    <w:rsid w:val="009A7AD6"/>
    <w:rsid w:val="009B13FB"/>
    <w:rsid w:val="009B1AB6"/>
    <w:rsid w:val="009B32B1"/>
    <w:rsid w:val="009B35A2"/>
    <w:rsid w:val="009B46E0"/>
    <w:rsid w:val="009B4D81"/>
    <w:rsid w:val="009B593E"/>
    <w:rsid w:val="009B6632"/>
    <w:rsid w:val="009B7312"/>
    <w:rsid w:val="009C2F0B"/>
    <w:rsid w:val="009C31B6"/>
    <w:rsid w:val="009C321B"/>
    <w:rsid w:val="009C4B79"/>
    <w:rsid w:val="009C62C2"/>
    <w:rsid w:val="009D05A5"/>
    <w:rsid w:val="009D1120"/>
    <w:rsid w:val="009D2178"/>
    <w:rsid w:val="009D43E2"/>
    <w:rsid w:val="009E53E8"/>
    <w:rsid w:val="009F3130"/>
    <w:rsid w:val="009F41CB"/>
    <w:rsid w:val="009F4A02"/>
    <w:rsid w:val="009F69B7"/>
    <w:rsid w:val="00A0286E"/>
    <w:rsid w:val="00A03013"/>
    <w:rsid w:val="00A05095"/>
    <w:rsid w:val="00A102C0"/>
    <w:rsid w:val="00A13BDC"/>
    <w:rsid w:val="00A157F2"/>
    <w:rsid w:val="00A21AF0"/>
    <w:rsid w:val="00A21C9C"/>
    <w:rsid w:val="00A26072"/>
    <w:rsid w:val="00A27775"/>
    <w:rsid w:val="00A27A17"/>
    <w:rsid w:val="00A317E6"/>
    <w:rsid w:val="00A324C3"/>
    <w:rsid w:val="00A34472"/>
    <w:rsid w:val="00A360A7"/>
    <w:rsid w:val="00A40B86"/>
    <w:rsid w:val="00A42EE6"/>
    <w:rsid w:val="00A43669"/>
    <w:rsid w:val="00A45020"/>
    <w:rsid w:val="00A4579F"/>
    <w:rsid w:val="00A45C83"/>
    <w:rsid w:val="00A463F0"/>
    <w:rsid w:val="00A47F31"/>
    <w:rsid w:val="00A50229"/>
    <w:rsid w:val="00A508C3"/>
    <w:rsid w:val="00A51F2E"/>
    <w:rsid w:val="00A551C4"/>
    <w:rsid w:val="00A5563A"/>
    <w:rsid w:val="00A561E4"/>
    <w:rsid w:val="00A57B8C"/>
    <w:rsid w:val="00A60370"/>
    <w:rsid w:val="00A67C14"/>
    <w:rsid w:val="00A71E7F"/>
    <w:rsid w:val="00A7645D"/>
    <w:rsid w:val="00A801FF"/>
    <w:rsid w:val="00A818B2"/>
    <w:rsid w:val="00A82F13"/>
    <w:rsid w:val="00A84342"/>
    <w:rsid w:val="00A84A1C"/>
    <w:rsid w:val="00A946E1"/>
    <w:rsid w:val="00AA1BEC"/>
    <w:rsid w:val="00AA2C58"/>
    <w:rsid w:val="00AA6690"/>
    <w:rsid w:val="00AA6F4A"/>
    <w:rsid w:val="00AA78C5"/>
    <w:rsid w:val="00AA7DAC"/>
    <w:rsid w:val="00AB047C"/>
    <w:rsid w:val="00AB1F9E"/>
    <w:rsid w:val="00AB2F49"/>
    <w:rsid w:val="00AB64D8"/>
    <w:rsid w:val="00AB767C"/>
    <w:rsid w:val="00AC1B55"/>
    <w:rsid w:val="00AC25C0"/>
    <w:rsid w:val="00AC36CA"/>
    <w:rsid w:val="00AC3899"/>
    <w:rsid w:val="00AC3F85"/>
    <w:rsid w:val="00AC735A"/>
    <w:rsid w:val="00AD7C20"/>
    <w:rsid w:val="00AE09A1"/>
    <w:rsid w:val="00AE2E73"/>
    <w:rsid w:val="00AE3130"/>
    <w:rsid w:val="00AE3528"/>
    <w:rsid w:val="00AE37BC"/>
    <w:rsid w:val="00AF2112"/>
    <w:rsid w:val="00AF65B6"/>
    <w:rsid w:val="00AF70D4"/>
    <w:rsid w:val="00AF791D"/>
    <w:rsid w:val="00B04C72"/>
    <w:rsid w:val="00B11C4A"/>
    <w:rsid w:val="00B13DCC"/>
    <w:rsid w:val="00B147B3"/>
    <w:rsid w:val="00B15768"/>
    <w:rsid w:val="00B15C18"/>
    <w:rsid w:val="00B1621F"/>
    <w:rsid w:val="00B225CC"/>
    <w:rsid w:val="00B26224"/>
    <w:rsid w:val="00B27FA8"/>
    <w:rsid w:val="00B31B47"/>
    <w:rsid w:val="00B326C0"/>
    <w:rsid w:val="00B3359B"/>
    <w:rsid w:val="00B343F4"/>
    <w:rsid w:val="00B34ED7"/>
    <w:rsid w:val="00B378E8"/>
    <w:rsid w:val="00B37E43"/>
    <w:rsid w:val="00B44FA0"/>
    <w:rsid w:val="00B51C3B"/>
    <w:rsid w:val="00B5208E"/>
    <w:rsid w:val="00B5323D"/>
    <w:rsid w:val="00B561AE"/>
    <w:rsid w:val="00B57305"/>
    <w:rsid w:val="00B61554"/>
    <w:rsid w:val="00B61FD9"/>
    <w:rsid w:val="00B62889"/>
    <w:rsid w:val="00B65245"/>
    <w:rsid w:val="00B65693"/>
    <w:rsid w:val="00B6663E"/>
    <w:rsid w:val="00B733D6"/>
    <w:rsid w:val="00B752C4"/>
    <w:rsid w:val="00B76883"/>
    <w:rsid w:val="00B95498"/>
    <w:rsid w:val="00BA008F"/>
    <w:rsid w:val="00BA0AC3"/>
    <w:rsid w:val="00BA1609"/>
    <w:rsid w:val="00BA2155"/>
    <w:rsid w:val="00BA336F"/>
    <w:rsid w:val="00BA40C1"/>
    <w:rsid w:val="00BA58B1"/>
    <w:rsid w:val="00BA5C71"/>
    <w:rsid w:val="00BB0861"/>
    <w:rsid w:val="00BB0B96"/>
    <w:rsid w:val="00BB1565"/>
    <w:rsid w:val="00BB1D2B"/>
    <w:rsid w:val="00BB28B2"/>
    <w:rsid w:val="00BC5A01"/>
    <w:rsid w:val="00BD11C5"/>
    <w:rsid w:val="00BD1F92"/>
    <w:rsid w:val="00BD2299"/>
    <w:rsid w:val="00BD2313"/>
    <w:rsid w:val="00BD4087"/>
    <w:rsid w:val="00BD6213"/>
    <w:rsid w:val="00BD63D1"/>
    <w:rsid w:val="00BE07D6"/>
    <w:rsid w:val="00BE09EC"/>
    <w:rsid w:val="00BE25E2"/>
    <w:rsid w:val="00BE42F0"/>
    <w:rsid w:val="00BE4E61"/>
    <w:rsid w:val="00BE595B"/>
    <w:rsid w:val="00BE7830"/>
    <w:rsid w:val="00BE7A5F"/>
    <w:rsid w:val="00BE7DCE"/>
    <w:rsid w:val="00BF0FCD"/>
    <w:rsid w:val="00BF1A10"/>
    <w:rsid w:val="00BF42A1"/>
    <w:rsid w:val="00BF4CE3"/>
    <w:rsid w:val="00C000AF"/>
    <w:rsid w:val="00C02A5A"/>
    <w:rsid w:val="00C02AEE"/>
    <w:rsid w:val="00C06154"/>
    <w:rsid w:val="00C06783"/>
    <w:rsid w:val="00C07E44"/>
    <w:rsid w:val="00C10868"/>
    <w:rsid w:val="00C1359E"/>
    <w:rsid w:val="00C140C2"/>
    <w:rsid w:val="00C1483A"/>
    <w:rsid w:val="00C16ADD"/>
    <w:rsid w:val="00C17C56"/>
    <w:rsid w:val="00C2129E"/>
    <w:rsid w:val="00C22E7C"/>
    <w:rsid w:val="00C23B87"/>
    <w:rsid w:val="00C25EA9"/>
    <w:rsid w:val="00C27039"/>
    <w:rsid w:val="00C27438"/>
    <w:rsid w:val="00C317FA"/>
    <w:rsid w:val="00C31BAE"/>
    <w:rsid w:val="00C31BC7"/>
    <w:rsid w:val="00C323B4"/>
    <w:rsid w:val="00C3590E"/>
    <w:rsid w:val="00C3768B"/>
    <w:rsid w:val="00C40AE3"/>
    <w:rsid w:val="00C42408"/>
    <w:rsid w:val="00C42C7A"/>
    <w:rsid w:val="00C44623"/>
    <w:rsid w:val="00C448C5"/>
    <w:rsid w:val="00C451F6"/>
    <w:rsid w:val="00C4605B"/>
    <w:rsid w:val="00C47003"/>
    <w:rsid w:val="00C5444B"/>
    <w:rsid w:val="00C57423"/>
    <w:rsid w:val="00C63257"/>
    <w:rsid w:val="00C634D4"/>
    <w:rsid w:val="00C64731"/>
    <w:rsid w:val="00C64AD8"/>
    <w:rsid w:val="00C65EF3"/>
    <w:rsid w:val="00C66671"/>
    <w:rsid w:val="00C66C4E"/>
    <w:rsid w:val="00C75E6F"/>
    <w:rsid w:val="00C76265"/>
    <w:rsid w:val="00C765D7"/>
    <w:rsid w:val="00C77AA9"/>
    <w:rsid w:val="00C80181"/>
    <w:rsid w:val="00C80E9C"/>
    <w:rsid w:val="00C81E39"/>
    <w:rsid w:val="00C822ED"/>
    <w:rsid w:val="00C84C28"/>
    <w:rsid w:val="00C85E7E"/>
    <w:rsid w:val="00C86988"/>
    <w:rsid w:val="00C86BCB"/>
    <w:rsid w:val="00C876A3"/>
    <w:rsid w:val="00C92668"/>
    <w:rsid w:val="00C931CC"/>
    <w:rsid w:val="00C9450D"/>
    <w:rsid w:val="00C96F44"/>
    <w:rsid w:val="00CA0413"/>
    <w:rsid w:val="00CA3CB2"/>
    <w:rsid w:val="00CA4A52"/>
    <w:rsid w:val="00CA6999"/>
    <w:rsid w:val="00CB0DFB"/>
    <w:rsid w:val="00CB237A"/>
    <w:rsid w:val="00CB31C6"/>
    <w:rsid w:val="00CB3B25"/>
    <w:rsid w:val="00CB5607"/>
    <w:rsid w:val="00CB74E1"/>
    <w:rsid w:val="00CB77CB"/>
    <w:rsid w:val="00CB7929"/>
    <w:rsid w:val="00CC2F89"/>
    <w:rsid w:val="00CC7D74"/>
    <w:rsid w:val="00CD2B6A"/>
    <w:rsid w:val="00CD3B41"/>
    <w:rsid w:val="00CD5542"/>
    <w:rsid w:val="00CE20C5"/>
    <w:rsid w:val="00CE4B92"/>
    <w:rsid w:val="00CF0056"/>
    <w:rsid w:val="00CF539D"/>
    <w:rsid w:val="00CF59DC"/>
    <w:rsid w:val="00CF666A"/>
    <w:rsid w:val="00CF6DFA"/>
    <w:rsid w:val="00D00FF2"/>
    <w:rsid w:val="00D01EF2"/>
    <w:rsid w:val="00D034B9"/>
    <w:rsid w:val="00D058CA"/>
    <w:rsid w:val="00D064A8"/>
    <w:rsid w:val="00D11386"/>
    <w:rsid w:val="00D11B8B"/>
    <w:rsid w:val="00D11D94"/>
    <w:rsid w:val="00D1216C"/>
    <w:rsid w:val="00D12992"/>
    <w:rsid w:val="00D22ECC"/>
    <w:rsid w:val="00D239F7"/>
    <w:rsid w:val="00D27D09"/>
    <w:rsid w:val="00D3589E"/>
    <w:rsid w:val="00D37D3E"/>
    <w:rsid w:val="00D37F80"/>
    <w:rsid w:val="00D40C81"/>
    <w:rsid w:val="00D41859"/>
    <w:rsid w:val="00D45370"/>
    <w:rsid w:val="00D46215"/>
    <w:rsid w:val="00D4625C"/>
    <w:rsid w:val="00D46357"/>
    <w:rsid w:val="00D504B9"/>
    <w:rsid w:val="00D5173A"/>
    <w:rsid w:val="00D51C80"/>
    <w:rsid w:val="00D5247D"/>
    <w:rsid w:val="00D5485F"/>
    <w:rsid w:val="00D570E7"/>
    <w:rsid w:val="00D60675"/>
    <w:rsid w:val="00D6143A"/>
    <w:rsid w:val="00D62A28"/>
    <w:rsid w:val="00D646BA"/>
    <w:rsid w:val="00D64C53"/>
    <w:rsid w:val="00D64DE6"/>
    <w:rsid w:val="00D72D47"/>
    <w:rsid w:val="00D735FA"/>
    <w:rsid w:val="00D741DD"/>
    <w:rsid w:val="00D74759"/>
    <w:rsid w:val="00D802C2"/>
    <w:rsid w:val="00D802D4"/>
    <w:rsid w:val="00D83274"/>
    <w:rsid w:val="00D840A5"/>
    <w:rsid w:val="00D847E6"/>
    <w:rsid w:val="00D85230"/>
    <w:rsid w:val="00D87151"/>
    <w:rsid w:val="00D87C8B"/>
    <w:rsid w:val="00D919F9"/>
    <w:rsid w:val="00D921A5"/>
    <w:rsid w:val="00D9583A"/>
    <w:rsid w:val="00DA39DB"/>
    <w:rsid w:val="00DB3860"/>
    <w:rsid w:val="00DB659D"/>
    <w:rsid w:val="00DB6F38"/>
    <w:rsid w:val="00DB7BD3"/>
    <w:rsid w:val="00DC1CC9"/>
    <w:rsid w:val="00DC549D"/>
    <w:rsid w:val="00DC5C9A"/>
    <w:rsid w:val="00DC71F1"/>
    <w:rsid w:val="00DC771D"/>
    <w:rsid w:val="00DC7E8B"/>
    <w:rsid w:val="00DD26A6"/>
    <w:rsid w:val="00DD309F"/>
    <w:rsid w:val="00DD3A6B"/>
    <w:rsid w:val="00DD76AB"/>
    <w:rsid w:val="00DE48B4"/>
    <w:rsid w:val="00DE5D2D"/>
    <w:rsid w:val="00DE6DA0"/>
    <w:rsid w:val="00DF0E10"/>
    <w:rsid w:val="00DF20E0"/>
    <w:rsid w:val="00DF272B"/>
    <w:rsid w:val="00DF2A01"/>
    <w:rsid w:val="00DF7971"/>
    <w:rsid w:val="00E026DB"/>
    <w:rsid w:val="00E05182"/>
    <w:rsid w:val="00E053EA"/>
    <w:rsid w:val="00E066FD"/>
    <w:rsid w:val="00E12053"/>
    <w:rsid w:val="00E136EF"/>
    <w:rsid w:val="00E13728"/>
    <w:rsid w:val="00E14422"/>
    <w:rsid w:val="00E1449D"/>
    <w:rsid w:val="00E1463D"/>
    <w:rsid w:val="00E1517D"/>
    <w:rsid w:val="00E166CD"/>
    <w:rsid w:val="00E16807"/>
    <w:rsid w:val="00E2112B"/>
    <w:rsid w:val="00E24380"/>
    <w:rsid w:val="00E247A3"/>
    <w:rsid w:val="00E249D9"/>
    <w:rsid w:val="00E24B66"/>
    <w:rsid w:val="00E25D55"/>
    <w:rsid w:val="00E266C0"/>
    <w:rsid w:val="00E312E2"/>
    <w:rsid w:val="00E327C0"/>
    <w:rsid w:val="00E36F31"/>
    <w:rsid w:val="00E406BA"/>
    <w:rsid w:val="00E42C1D"/>
    <w:rsid w:val="00E43351"/>
    <w:rsid w:val="00E470FF"/>
    <w:rsid w:val="00E502AE"/>
    <w:rsid w:val="00E5139F"/>
    <w:rsid w:val="00E5288B"/>
    <w:rsid w:val="00E54F48"/>
    <w:rsid w:val="00E55B07"/>
    <w:rsid w:val="00E5664F"/>
    <w:rsid w:val="00E603B7"/>
    <w:rsid w:val="00E611A5"/>
    <w:rsid w:val="00E6309C"/>
    <w:rsid w:val="00E65CA9"/>
    <w:rsid w:val="00E6749E"/>
    <w:rsid w:val="00E713F1"/>
    <w:rsid w:val="00E71A3D"/>
    <w:rsid w:val="00E73E54"/>
    <w:rsid w:val="00E75E99"/>
    <w:rsid w:val="00E75EF9"/>
    <w:rsid w:val="00E7726C"/>
    <w:rsid w:val="00E77722"/>
    <w:rsid w:val="00E777FD"/>
    <w:rsid w:val="00E81DB2"/>
    <w:rsid w:val="00E85E19"/>
    <w:rsid w:val="00E86CE6"/>
    <w:rsid w:val="00E91253"/>
    <w:rsid w:val="00E95336"/>
    <w:rsid w:val="00E958CD"/>
    <w:rsid w:val="00EA06BE"/>
    <w:rsid w:val="00EA3DA6"/>
    <w:rsid w:val="00EA664A"/>
    <w:rsid w:val="00EA74D5"/>
    <w:rsid w:val="00EA7E85"/>
    <w:rsid w:val="00EB6A76"/>
    <w:rsid w:val="00EC18F4"/>
    <w:rsid w:val="00EC281B"/>
    <w:rsid w:val="00EC686C"/>
    <w:rsid w:val="00ED0F72"/>
    <w:rsid w:val="00ED0F92"/>
    <w:rsid w:val="00ED3FCE"/>
    <w:rsid w:val="00ED46F3"/>
    <w:rsid w:val="00EE1A4F"/>
    <w:rsid w:val="00EE21C6"/>
    <w:rsid w:val="00EE2514"/>
    <w:rsid w:val="00EE277F"/>
    <w:rsid w:val="00EE35B1"/>
    <w:rsid w:val="00EE3F4D"/>
    <w:rsid w:val="00EE4224"/>
    <w:rsid w:val="00EE4792"/>
    <w:rsid w:val="00EE50C5"/>
    <w:rsid w:val="00EE551A"/>
    <w:rsid w:val="00EE59EC"/>
    <w:rsid w:val="00EE6EF4"/>
    <w:rsid w:val="00EF06CC"/>
    <w:rsid w:val="00EF2CBB"/>
    <w:rsid w:val="00EF3686"/>
    <w:rsid w:val="00EF3C7A"/>
    <w:rsid w:val="00EF3D77"/>
    <w:rsid w:val="00F0292E"/>
    <w:rsid w:val="00F0397F"/>
    <w:rsid w:val="00F052FE"/>
    <w:rsid w:val="00F072DD"/>
    <w:rsid w:val="00F10777"/>
    <w:rsid w:val="00F1235A"/>
    <w:rsid w:val="00F1257F"/>
    <w:rsid w:val="00F14F5F"/>
    <w:rsid w:val="00F15483"/>
    <w:rsid w:val="00F168A6"/>
    <w:rsid w:val="00F221D9"/>
    <w:rsid w:val="00F23B20"/>
    <w:rsid w:val="00F2519E"/>
    <w:rsid w:val="00F2548C"/>
    <w:rsid w:val="00F26419"/>
    <w:rsid w:val="00F26717"/>
    <w:rsid w:val="00F27BC9"/>
    <w:rsid w:val="00F30301"/>
    <w:rsid w:val="00F3073D"/>
    <w:rsid w:val="00F30BE2"/>
    <w:rsid w:val="00F31544"/>
    <w:rsid w:val="00F32A6A"/>
    <w:rsid w:val="00F37AB5"/>
    <w:rsid w:val="00F40354"/>
    <w:rsid w:val="00F4119E"/>
    <w:rsid w:val="00F44BD8"/>
    <w:rsid w:val="00F44EC7"/>
    <w:rsid w:val="00F46E9B"/>
    <w:rsid w:val="00F4789B"/>
    <w:rsid w:val="00F47E7A"/>
    <w:rsid w:val="00F506F1"/>
    <w:rsid w:val="00F51B4F"/>
    <w:rsid w:val="00F53841"/>
    <w:rsid w:val="00F6477D"/>
    <w:rsid w:val="00F64BD6"/>
    <w:rsid w:val="00F65EEC"/>
    <w:rsid w:val="00F678D3"/>
    <w:rsid w:val="00F72AF6"/>
    <w:rsid w:val="00F734EF"/>
    <w:rsid w:val="00F76143"/>
    <w:rsid w:val="00F76870"/>
    <w:rsid w:val="00F820D8"/>
    <w:rsid w:val="00F82D0E"/>
    <w:rsid w:val="00F87697"/>
    <w:rsid w:val="00F87D20"/>
    <w:rsid w:val="00F87F64"/>
    <w:rsid w:val="00F921E8"/>
    <w:rsid w:val="00F93D4A"/>
    <w:rsid w:val="00FA498A"/>
    <w:rsid w:val="00FA690C"/>
    <w:rsid w:val="00FA7635"/>
    <w:rsid w:val="00FB044A"/>
    <w:rsid w:val="00FB0805"/>
    <w:rsid w:val="00FB13B8"/>
    <w:rsid w:val="00FB1A27"/>
    <w:rsid w:val="00FB47E6"/>
    <w:rsid w:val="00FB4A44"/>
    <w:rsid w:val="00FC66D8"/>
    <w:rsid w:val="00FC79C9"/>
    <w:rsid w:val="00FD0480"/>
    <w:rsid w:val="00FD11BB"/>
    <w:rsid w:val="00FD1806"/>
    <w:rsid w:val="00FD2F2B"/>
    <w:rsid w:val="00FD3314"/>
    <w:rsid w:val="00FD388E"/>
    <w:rsid w:val="00FD58B8"/>
    <w:rsid w:val="00FD6258"/>
    <w:rsid w:val="00FE01DD"/>
    <w:rsid w:val="00FE1AE3"/>
    <w:rsid w:val="00FE5880"/>
    <w:rsid w:val="00FE603F"/>
    <w:rsid w:val="00FF2DE4"/>
    <w:rsid w:val="00FF3A6D"/>
    <w:rsid w:val="00FF6B00"/>
    <w:rsid w:val="00FF76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963D90"/>
  <w15:docId w15:val="{B3858A68-5EA5-475D-9FD6-21DD8DEC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2DD"/>
    <w:pPr>
      <w:spacing w:after="200" w:line="276"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semiHidden/>
    <w:unhideWhenUsed/>
    <w:rsid w:val="00ED3FCE"/>
    <w:pPr>
      <w:tabs>
        <w:tab w:val="center" w:pos="4419"/>
        <w:tab w:val="right" w:pos="8838"/>
      </w:tabs>
    </w:pPr>
  </w:style>
  <w:style w:type="character" w:customStyle="1" w:styleId="PiedepginaCar">
    <w:name w:val="Pie de página Car"/>
    <w:link w:val="Piedepgina"/>
    <w:uiPriority w:val="99"/>
    <w:semiHidden/>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F7D73"/>
    <w:rPr>
      <w:color w:val="0563C1" w:themeColor="hyperlink"/>
      <w:u w:val="single"/>
    </w:rPr>
  </w:style>
  <w:style w:type="paragraph" w:customStyle="1" w:styleId="Texto">
    <w:name w:val="Texto"/>
    <w:basedOn w:val="Normal"/>
    <w:link w:val="TextoCar"/>
    <w:qFormat/>
    <w:rsid w:val="00BD63D1"/>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BD63D1"/>
    <w:rPr>
      <w:rFonts w:ascii="Arial" w:hAnsi="Arial" w:cs="Arial"/>
      <w:sz w:val="18"/>
      <w:lang w:val="es-ES" w:eastAsia="es-ES"/>
    </w:rPr>
  </w:style>
  <w:style w:type="paragraph" w:customStyle="1" w:styleId="texto0">
    <w:name w:val="texto"/>
    <w:basedOn w:val="Normal"/>
    <w:rsid w:val="00BD63D1"/>
    <w:pPr>
      <w:spacing w:after="101" w:line="216" w:lineRule="exact"/>
      <w:ind w:firstLine="288"/>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3554857">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8803725">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1148815">
      <w:bodyDiv w:val="1"/>
      <w:marLeft w:val="0"/>
      <w:marRight w:val="0"/>
      <w:marTop w:val="0"/>
      <w:marBottom w:val="0"/>
      <w:divBdr>
        <w:top w:val="none" w:sz="0" w:space="0" w:color="auto"/>
        <w:left w:val="none" w:sz="0" w:space="0" w:color="auto"/>
        <w:bottom w:val="none" w:sz="0" w:space="0" w:color="auto"/>
        <w:right w:val="none" w:sz="0" w:space="0" w:color="auto"/>
      </w:divBdr>
    </w:div>
    <w:div w:id="14305494">
      <w:bodyDiv w:val="1"/>
      <w:marLeft w:val="0"/>
      <w:marRight w:val="0"/>
      <w:marTop w:val="0"/>
      <w:marBottom w:val="0"/>
      <w:divBdr>
        <w:top w:val="none" w:sz="0" w:space="0" w:color="auto"/>
        <w:left w:val="none" w:sz="0" w:space="0" w:color="auto"/>
        <w:bottom w:val="none" w:sz="0" w:space="0" w:color="auto"/>
        <w:right w:val="none" w:sz="0" w:space="0" w:color="auto"/>
      </w:divBdr>
    </w:div>
    <w:div w:id="15663246">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708673">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17975562">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28650972">
      <w:bodyDiv w:val="1"/>
      <w:marLeft w:val="0"/>
      <w:marRight w:val="0"/>
      <w:marTop w:val="0"/>
      <w:marBottom w:val="0"/>
      <w:divBdr>
        <w:top w:val="none" w:sz="0" w:space="0" w:color="auto"/>
        <w:left w:val="none" w:sz="0" w:space="0" w:color="auto"/>
        <w:bottom w:val="none" w:sz="0" w:space="0" w:color="auto"/>
        <w:right w:val="none" w:sz="0" w:space="0" w:color="auto"/>
      </w:divBdr>
    </w:div>
    <w:div w:id="30688310">
      <w:bodyDiv w:val="1"/>
      <w:marLeft w:val="0"/>
      <w:marRight w:val="0"/>
      <w:marTop w:val="0"/>
      <w:marBottom w:val="0"/>
      <w:divBdr>
        <w:top w:val="none" w:sz="0" w:space="0" w:color="auto"/>
        <w:left w:val="none" w:sz="0" w:space="0" w:color="auto"/>
        <w:bottom w:val="none" w:sz="0" w:space="0" w:color="auto"/>
        <w:right w:val="none" w:sz="0" w:space="0" w:color="auto"/>
      </w:divBdr>
    </w:div>
    <w:div w:id="31079434">
      <w:bodyDiv w:val="1"/>
      <w:marLeft w:val="0"/>
      <w:marRight w:val="0"/>
      <w:marTop w:val="0"/>
      <w:marBottom w:val="0"/>
      <w:divBdr>
        <w:top w:val="none" w:sz="0" w:space="0" w:color="auto"/>
        <w:left w:val="none" w:sz="0" w:space="0" w:color="auto"/>
        <w:bottom w:val="none" w:sz="0" w:space="0" w:color="auto"/>
        <w:right w:val="none" w:sz="0" w:space="0" w:color="auto"/>
      </w:divBdr>
    </w:div>
    <w:div w:id="32928445">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1656765">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3166999">
      <w:bodyDiv w:val="1"/>
      <w:marLeft w:val="0"/>
      <w:marRight w:val="0"/>
      <w:marTop w:val="0"/>
      <w:marBottom w:val="0"/>
      <w:divBdr>
        <w:top w:val="none" w:sz="0" w:space="0" w:color="auto"/>
        <w:left w:val="none" w:sz="0" w:space="0" w:color="auto"/>
        <w:bottom w:val="none" w:sz="0" w:space="0" w:color="auto"/>
        <w:right w:val="none" w:sz="0" w:space="0" w:color="auto"/>
      </w:divBdr>
    </w:div>
    <w:div w:id="55013540">
      <w:bodyDiv w:val="1"/>
      <w:marLeft w:val="0"/>
      <w:marRight w:val="0"/>
      <w:marTop w:val="0"/>
      <w:marBottom w:val="0"/>
      <w:divBdr>
        <w:top w:val="none" w:sz="0" w:space="0" w:color="auto"/>
        <w:left w:val="none" w:sz="0" w:space="0" w:color="auto"/>
        <w:bottom w:val="none" w:sz="0" w:space="0" w:color="auto"/>
        <w:right w:val="none" w:sz="0" w:space="0" w:color="auto"/>
      </w:divBdr>
    </w:div>
    <w:div w:id="55520795">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093342">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1607272">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5499339">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69277230">
      <w:bodyDiv w:val="1"/>
      <w:marLeft w:val="0"/>
      <w:marRight w:val="0"/>
      <w:marTop w:val="0"/>
      <w:marBottom w:val="0"/>
      <w:divBdr>
        <w:top w:val="none" w:sz="0" w:space="0" w:color="auto"/>
        <w:left w:val="none" w:sz="0" w:space="0" w:color="auto"/>
        <w:bottom w:val="none" w:sz="0" w:space="0" w:color="auto"/>
        <w:right w:val="none" w:sz="0" w:space="0" w:color="auto"/>
      </w:divBdr>
    </w:div>
    <w:div w:id="70279540">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73863578">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6124348">
      <w:bodyDiv w:val="1"/>
      <w:marLeft w:val="0"/>
      <w:marRight w:val="0"/>
      <w:marTop w:val="0"/>
      <w:marBottom w:val="0"/>
      <w:divBdr>
        <w:top w:val="none" w:sz="0" w:space="0" w:color="auto"/>
        <w:left w:val="none" w:sz="0" w:space="0" w:color="auto"/>
        <w:bottom w:val="none" w:sz="0" w:space="0" w:color="auto"/>
        <w:right w:val="none" w:sz="0" w:space="0" w:color="auto"/>
      </w:divBdr>
    </w:div>
    <w:div w:id="88430845">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3477867">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0809471">
      <w:bodyDiv w:val="1"/>
      <w:marLeft w:val="0"/>
      <w:marRight w:val="0"/>
      <w:marTop w:val="0"/>
      <w:marBottom w:val="0"/>
      <w:divBdr>
        <w:top w:val="none" w:sz="0" w:space="0" w:color="auto"/>
        <w:left w:val="none" w:sz="0" w:space="0" w:color="auto"/>
        <w:bottom w:val="none" w:sz="0" w:space="0" w:color="auto"/>
        <w:right w:val="none" w:sz="0" w:space="0" w:color="auto"/>
      </w:divBdr>
    </w:div>
    <w:div w:id="101345838">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06779762">
      <w:bodyDiv w:val="1"/>
      <w:marLeft w:val="0"/>
      <w:marRight w:val="0"/>
      <w:marTop w:val="0"/>
      <w:marBottom w:val="0"/>
      <w:divBdr>
        <w:top w:val="none" w:sz="0" w:space="0" w:color="auto"/>
        <w:left w:val="none" w:sz="0" w:space="0" w:color="auto"/>
        <w:bottom w:val="none" w:sz="0" w:space="0" w:color="auto"/>
        <w:right w:val="none" w:sz="0" w:space="0" w:color="auto"/>
      </w:divBdr>
    </w:div>
    <w:div w:id="106969295">
      <w:bodyDiv w:val="1"/>
      <w:marLeft w:val="0"/>
      <w:marRight w:val="0"/>
      <w:marTop w:val="0"/>
      <w:marBottom w:val="0"/>
      <w:divBdr>
        <w:top w:val="none" w:sz="0" w:space="0" w:color="auto"/>
        <w:left w:val="none" w:sz="0" w:space="0" w:color="auto"/>
        <w:bottom w:val="none" w:sz="0" w:space="0" w:color="auto"/>
        <w:right w:val="none" w:sz="0" w:space="0" w:color="auto"/>
      </w:divBdr>
    </w:div>
    <w:div w:id="107355111">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341778">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35214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523735">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37890240">
      <w:bodyDiv w:val="1"/>
      <w:marLeft w:val="0"/>
      <w:marRight w:val="0"/>
      <w:marTop w:val="0"/>
      <w:marBottom w:val="0"/>
      <w:divBdr>
        <w:top w:val="none" w:sz="0" w:space="0" w:color="auto"/>
        <w:left w:val="none" w:sz="0" w:space="0" w:color="auto"/>
        <w:bottom w:val="none" w:sz="0" w:space="0" w:color="auto"/>
        <w:right w:val="none" w:sz="0" w:space="0" w:color="auto"/>
      </w:divBdr>
    </w:div>
    <w:div w:id="139277030">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3550458">
      <w:bodyDiv w:val="1"/>
      <w:marLeft w:val="0"/>
      <w:marRight w:val="0"/>
      <w:marTop w:val="0"/>
      <w:marBottom w:val="0"/>
      <w:divBdr>
        <w:top w:val="none" w:sz="0" w:space="0" w:color="auto"/>
        <w:left w:val="none" w:sz="0" w:space="0" w:color="auto"/>
        <w:bottom w:val="none" w:sz="0" w:space="0" w:color="auto"/>
        <w:right w:val="none" w:sz="0" w:space="0" w:color="auto"/>
      </w:divBdr>
    </w:div>
    <w:div w:id="146046741">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47866345">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0901056">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0873921">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047741">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79860977">
      <w:bodyDiv w:val="1"/>
      <w:marLeft w:val="0"/>
      <w:marRight w:val="0"/>
      <w:marTop w:val="0"/>
      <w:marBottom w:val="0"/>
      <w:divBdr>
        <w:top w:val="none" w:sz="0" w:space="0" w:color="auto"/>
        <w:left w:val="none" w:sz="0" w:space="0" w:color="auto"/>
        <w:bottom w:val="none" w:sz="0" w:space="0" w:color="auto"/>
        <w:right w:val="none" w:sz="0" w:space="0" w:color="auto"/>
      </w:divBdr>
    </w:div>
    <w:div w:id="182017670">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195043019">
      <w:bodyDiv w:val="1"/>
      <w:marLeft w:val="0"/>
      <w:marRight w:val="0"/>
      <w:marTop w:val="0"/>
      <w:marBottom w:val="0"/>
      <w:divBdr>
        <w:top w:val="none" w:sz="0" w:space="0" w:color="auto"/>
        <w:left w:val="none" w:sz="0" w:space="0" w:color="auto"/>
        <w:bottom w:val="none" w:sz="0" w:space="0" w:color="auto"/>
        <w:right w:val="none" w:sz="0" w:space="0" w:color="auto"/>
      </w:divBdr>
    </w:div>
    <w:div w:id="200434345">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09003210">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2377077">
      <w:bodyDiv w:val="1"/>
      <w:marLeft w:val="0"/>
      <w:marRight w:val="0"/>
      <w:marTop w:val="0"/>
      <w:marBottom w:val="0"/>
      <w:divBdr>
        <w:top w:val="none" w:sz="0" w:space="0" w:color="auto"/>
        <w:left w:val="none" w:sz="0" w:space="0" w:color="auto"/>
        <w:bottom w:val="none" w:sz="0" w:space="0" w:color="auto"/>
        <w:right w:val="none" w:sz="0" w:space="0" w:color="auto"/>
      </w:divBdr>
    </w:div>
    <w:div w:id="22599412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34166284">
      <w:bodyDiv w:val="1"/>
      <w:marLeft w:val="0"/>
      <w:marRight w:val="0"/>
      <w:marTop w:val="0"/>
      <w:marBottom w:val="0"/>
      <w:divBdr>
        <w:top w:val="none" w:sz="0" w:space="0" w:color="auto"/>
        <w:left w:val="none" w:sz="0" w:space="0" w:color="auto"/>
        <w:bottom w:val="none" w:sz="0" w:space="0" w:color="auto"/>
        <w:right w:val="none" w:sz="0" w:space="0" w:color="auto"/>
      </w:divBdr>
    </w:div>
    <w:div w:id="236090079">
      <w:bodyDiv w:val="1"/>
      <w:marLeft w:val="0"/>
      <w:marRight w:val="0"/>
      <w:marTop w:val="0"/>
      <w:marBottom w:val="0"/>
      <w:divBdr>
        <w:top w:val="none" w:sz="0" w:space="0" w:color="auto"/>
        <w:left w:val="none" w:sz="0" w:space="0" w:color="auto"/>
        <w:bottom w:val="none" w:sz="0" w:space="0" w:color="auto"/>
        <w:right w:val="none" w:sz="0" w:space="0" w:color="auto"/>
      </w:divBdr>
    </w:div>
    <w:div w:id="240410540">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193450">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400773">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65504115">
      <w:bodyDiv w:val="1"/>
      <w:marLeft w:val="0"/>
      <w:marRight w:val="0"/>
      <w:marTop w:val="0"/>
      <w:marBottom w:val="0"/>
      <w:divBdr>
        <w:top w:val="none" w:sz="0" w:space="0" w:color="auto"/>
        <w:left w:val="none" w:sz="0" w:space="0" w:color="auto"/>
        <w:bottom w:val="none" w:sz="0" w:space="0" w:color="auto"/>
        <w:right w:val="none" w:sz="0" w:space="0" w:color="auto"/>
      </w:divBdr>
    </w:div>
    <w:div w:id="266355146">
      <w:bodyDiv w:val="1"/>
      <w:marLeft w:val="0"/>
      <w:marRight w:val="0"/>
      <w:marTop w:val="0"/>
      <w:marBottom w:val="0"/>
      <w:divBdr>
        <w:top w:val="none" w:sz="0" w:space="0" w:color="auto"/>
        <w:left w:val="none" w:sz="0" w:space="0" w:color="auto"/>
        <w:bottom w:val="none" w:sz="0" w:space="0" w:color="auto"/>
        <w:right w:val="none" w:sz="0" w:space="0" w:color="auto"/>
      </w:divBdr>
    </w:div>
    <w:div w:id="268662199">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75218030">
      <w:bodyDiv w:val="1"/>
      <w:marLeft w:val="0"/>
      <w:marRight w:val="0"/>
      <w:marTop w:val="0"/>
      <w:marBottom w:val="0"/>
      <w:divBdr>
        <w:top w:val="none" w:sz="0" w:space="0" w:color="auto"/>
        <w:left w:val="none" w:sz="0" w:space="0" w:color="auto"/>
        <w:bottom w:val="none" w:sz="0" w:space="0" w:color="auto"/>
        <w:right w:val="none" w:sz="0" w:space="0" w:color="auto"/>
      </w:divBdr>
    </w:div>
    <w:div w:id="276255916">
      <w:bodyDiv w:val="1"/>
      <w:marLeft w:val="0"/>
      <w:marRight w:val="0"/>
      <w:marTop w:val="0"/>
      <w:marBottom w:val="0"/>
      <w:divBdr>
        <w:top w:val="none" w:sz="0" w:space="0" w:color="auto"/>
        <w:left w:val="none" w:sz="0" w:space="0" w:color="auto"/>
        <w:bottom w:val="none" w:sz="0" w:space="0" w:color="auto"/>
        <w:right w:val="none" w:sz="0" w:space="0" w:color="auto"/>
      </w:divBdr>
    </w:div>
    <w:div w:id="277100803">
      <w:bodyDiv w:val="1"/>
      <w:marLeft w:val="0"/>
      <w:marRight w:val="0"/>
      <w:marTop w:val="0"/>
      <w:marBottom w:val="0"/>
      <w:divBdr>
        <w:top w:val="none" w:sz="0" w:space="0" w:color="auto"/>
        <w:left w:val="none" w:sz="0" w:space="0" w:color="auto"/>
        <w:bottom w:val="none" w:sz="0" w:space="0" w:color="auto"/>
        <w:right w:val="none" w:sz="0" w:space="0" w:color="auto"/>
      </w:divBdr>
    </w:div>
    <w:div w:id="279264368">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7593480">
      <w:bodyDiv w:val="1"/>
      <w:marLeft w:val="0"/>
      <w:marRight w:val="0"/>
      <w:marTop w:val="0"/>
      <w:marBottom w:val="0"/>
      <w:divBdr>
        <w:top w:val="none" w:sz="0" w:space="0" w:color="auto"/>
        <w:left w:val="none" w:sz="0" w:space="0" w:color="auto"/>
        <w:bottom w:val="none" w:sz="0" w:space="0" w:color="auto"/>
        <w:right w:val="none" w:sz="0" w:space="0" w:color="auto"/>
      </w:divBdr>
    </w:div>
    <w:div w:id="287705205">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89289030">
      <w:bodyDiv w:val="1"/>
      <w:marLeft w:val="0"/>
      <w:marRight w:val="0"/>
      <w:marTop w:val="0"/>
      <w:marBottom w:val="0"/>
      <w:divBdr>
        <w:top w:val="none" w:sz="0" w:space="0" w:color="auto"/>
        <w:left w:val="none" w:sz="0" w:space="0" w:color="auto"/>
        <w:bottom w:val="none" w:sz="0" w:space="0" w:color="auto"/>
        <w:right w:val="none" w:sz="0" w:space="0" w:color="auto"/>
      </w:divBdr>
    </w:div>
    <w:div w:id="291207228">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2875637">
      <w:bodyDiv w:val="1"/>
      <w:marLeft w:val="0"/>
      <w:marRight w:val="0"/>
      <w:marTop w:val="0"/>
      <w:marBottom w:val="0"/>
      <w:divBdr>
        <w:top w:val="none" w:sz="0" w:space="0" w:color="auto"/>
        <w:left w:val="none" w:sz="0" w:space="0" w:color="auto"/>
        <w:bottom w:val="none" w:sz="0" w:space="0" w:color="auto"/>
        <w:right w:val="none" w:sz="0" w:space="0" w:color="auto"/>
      </w:divBdr>
    </w:div>
    <w:div w:id="315379292">
      <w:bodyDiv w:val="1"/>
      <w:marLeft w:val="0"/>
      <w:marRight w:val="0"/>
      <w:marTop w:val="0"/>
      <w:marBottom w:val="0"/>
      <w:divBdr>
        <w:top w:val="none" w:sz="0" w:space="0" w:color="auto"/>
        <w:left w:val="none" w:sz="0" w:space="0" w:color="auto"/>
        <w:bottom w:val="none" w:sz="0" w:space="0" w:color="auto"/>
        <w:right w:val="none" w:sz="0" w:space="0" w:color="auto"/>
      </w:divBdr>
    </w:div>
    <w:div w:id="317343929">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0620552">
      <w:bodyDiv w:val="1"/>
      <w:marLeft w:val="0"/>
      <w:marRight w:val="0"/>
      <w:marTop w:val="0"/>
      <w:marBottom w:val="0"/>
      <w:divBdr>
        <w:top w:val="none" w:sz="0" w:space="0" w:color="auto"/>
        <w:left w:val="none" w:sz="0" w:space="0" w:color="auto"/>
        <w:bottom w:val="none" w:sz="0" w:space="0" w:color="auto"/>
        <w:right w:val="none" w:sz="0" w:space="0" w:color="auto"/>
      </w:divBdr>
    </w:div>
    <w:div w:id="321543540">
      <w:bodyDiv w:val="1"/>
      <w:marLeft w:val="0"/>
      <w:marRight w:val="0"/>
      <w:marTop w:val="0"/>
      <w:marBottom w:val="0"/>
      <w:divBdr>
        <w:top w:val="none" w:sz="0" w:space="0" w:color="auto"/>
        <w:left w:val="none" w:sz="0" w:space="0" w:color="auto"/>
        <w:bottom w:val="none" w:sz="0" w:space="0" w:color="auto"/>
        <w:right w:val="none" w:sz="0" w:space="0" w:color="auto"/>
      </w:divBdr>
    </w:div>
    <w:div w:id="321857026">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231443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6055068">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37971305">
      <w:bodyDiv w:val="1"/>
      <w:marLeft w:val="0"/>
      <w:marRight w:val="0"/>
      <w:marTop w:val="0"/>
      <w:marBottom w:val="0"/>
      <w:divBdr>
        <w:top w:val="none" w:sz="0" w:space="0" w:color="auto"/>
        <w:left w:val="none" w:sz="0" w:space="0" w:color="auto"/>
        <w:bottom w:val="none" w:sz="0" w:space="0" w:color="auto"/>
        <w:right w:val="none" w:sz="0" w:space="0" w:color="auto"/>
      </w:divBdr>
    </w:div>
    <w:div w:id="340205159">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0421487">
      <w:bodyDiv w:val="1"/>
      <w:marLeft w:val="0"/>
      <w:marRight w:val="0"/>
      <w:marTop w:val="0"/>
      <w:marBottom w:val="0"/>
      <w:divBdr>
        <w:top w:val="none" w:sz="0" w:space="0" w:color="auto"/>
        <w:left w:val="none" w:sz="0" w:space="0" w:color="auto"/>
        <w:bottom w:val="none" w:sz="0" w:space="0" w:color="auto"/>
        <w:right w:val="none" w:sz="0" w:space="0" w:color="auto"/>
      </w:divBdr>
    </w:div>
    <w:div w:id="350957335">
      <w:bodyDiv w:val="1"/>
      <w:marLeft w:val="0"/>
      <w:marRight w:val="0"/>
      <w:marTop w:val="0"/>
      <w:marBottom w:val="0"/>
      <w:divBdr>
        <w:top w:val="none" w:sz="0" w:space="0" w:color="auto"/>
        <w:left w:val="none" w:sz="0" w:space="0" w:color="auto"/>
        <w:bottom w:val="none" w:sz="0" w:space="0" w:color="auto"/>
        <w:right w:val="none" w:sz="0" w:space="0" w:color="auto"/>
      </w:divBdr>
    </w:div>
    <w:div w:id="351416604">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5177940">
      <w:bodyDiv w:val="1"/>
      <w:marLeft w:val="0"/>
      <w:marRight w:val="0"/>
      <w:marTop w:val="0"/>
      <w:marBottom w:val="0"/>
      <w:divBdr>
        <w:top w:val="none" w:sz="0" w:space="0" w:color="auto"/>
        <w:left w:val="none" w:sz="0" w:space="0" w:color="auto"/>
        <w:bottom w:val="none" w:sz="0" w:space="0" w:color="auto"/>
        <w:right w:val="none" w:sz="0" w:space="0" w:color="auto"/>
      </w:divBdr>
    </w:div>
    <w:div w:id="366490395">
      <w:bodyDiv w:val="1"/>
      <w:marLeft w:val="0"/>
      <w:marRight w:val="0"/>
      <w:marTop w:val="0"/>
      <w:marBottom w:val="0"/>
      <w:divBdr>
        <w:top w:val="none" w:sz="0" w:space="0" w:color="auto"/>
        <w:left w:val="none" w:sz="0" w:space="0" w:color="auto"/>
        <w:bottom w:val="none" w:sz="0" w:space="0" w:color="auto"/>
        <w:right w:val="none" w:sz="0" w:space="0" w:color="auto"/>
      </w:divBdr>
    </w:div>
    <w:div w:id="367071779">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6911180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351223">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7724675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393431204">
      <w:bodyDiv w:val="1"/>
      <w:marLeft w:val="0"/>
      <w:marRight w:val="0"/>
      <w:marTop w:val="0"/>
      <w:marBottom w:val="0"/>
      <w:divBdr>
        <w:top w:val="none" w:sz="0" w:space="0" w:color="auto"/>
        <w:left w:val="none" w:sz="0" w:space="0" w:color="auto"/>
        <w:bottom w:val="none" w:sz="0" w:space="0" w:color="auto"/>
        <w:right w:val="none" w:sz="0" w:space="0" w:color="auto"/>
      </w:divBdr>
    </w:div>
    <w:div w:id="398677764">
      <w:bodyDiv w:val="1"/>
      <w:marLeft w:val="0"/>
      <w:marRight w:val="0"/>
      <w:marTop w:val="0"/>
      <w:marBottom w:val="0"/>
      <w:divBdr>
        <w:top w:val="none" w:sz="0" w:space="0" w:color="auto"/>
        <w:left w:val="none" w:sz="0" w:space="0" w:color="auto"/>
        <w:bottom w:val="none" w:sz="0" w:space="0" w:color="auto"/>
        <w:right w:val="none" w:sz="0" w:space="0" w:color="auto"/>
      </w:divBdr>
    </w:div>
    <w:div w:id="400836436">
      <w:bodyDiv w:val="1"/>
      <w:marLeft w:val="0"/>
      <w:marRight w:val="0"/>
      <w:marTop w:val="0"/>
      <w:marBottom w:val="0"/>
      <w:divBdr>
        <w:top w:val="none" w:sz="0" w:space="0" w:color="auto"/>
        <w:left w:val="none" w:sz="0" w:space="0" w:color="auto"/>
        <w:bottom w:val="none" w:sz="0" w:space="0" w:color="auto"/>
        <w:right w:val="none" w:sz="0" w:space="0" w:color="auto"/>
      </w:divBdr>
    </w:div>
    <w:div w:id="401217446">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6192318">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09472262">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18524953">
      <w:bodyDiv w:val="1"/>
      <w:marLeft w:val="0"/>
      <w:marRight w:val="0"/>
      <w:marTop w:val="0"/>
      <w:marBottom w:val="0"/>
      <w:divBdr>
        <w:top w:val="none" w:sz="0" w:space="0" w:color="auto"/>
        <w:left w:val="none" w:sz="0" w:space="0" w:color="auto"/>
        <w:bottom w:val="none" w:sz="0" w:space="0" w:color="auto"/>
        <w:right w:val="none" w:sz="0" w:space="0" w:color="auto"/>
      </w:divBdr>
    </w:div>
    <w:div w:id="418909665">
      <w:bodyDiv w:val="1"/>
      <w:marLeft w:val="0"/>
      <w:marRight w:val="0"/>
      <w:marTop w:val="0"/>
      <w:marBottom w:val="0"/>
      <w:divBdr>
        <w:top w:val="none" w:sz="0" w:space="0" w:color="auto"/>
        <w:left w:val="none" w:sz="0" w:space="0" w:color="auto"/>
        <w:bottom w:val="none" w:sz="0" w:space="0" w:color="auto"/>
        <w:right w:val="none" w:sz="0" w:space="0" w:color="auto"/>
      </w:divBdr>
    </w:div>
    <w:div w:id="423111902">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26659581">
      <w:bodyDiv w:val="1"/>
      <w:marLeft w:val="0"/>
      <w:marRight w:val="0"/>
      <w:marTop w:val="0"/>
      <w:marBottom w:val="0"/>
      <w:divBdr>
        <w:top w:val="none" w:sz="0" w:space="0" w:color="auto"/>
        <w:left w:val="none" w:sz="0" w:space="0" w:color="auto"/>
        <w:bottom w:val="none" w:sz="0" w:space="0" w:color="auto"/>
        <w:right w:val="none" w:sz="0" w:space="0" w:color="auto"/>
      </w:divBdr>
    </w:div>
    <w:div w:id="432675680">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1020514">
      <w:bodyDiv w:val="1"/>
      <w:marLeft w:val="0"/>
      <w:marRight w:val="0"/>
      <w:marTop w:val="0"/>
      <w:marBottom w:val="0"/>
      <w:divBdr>
        <w:top w:val="none" w:sz="0" w:space="0" w:color="auto"/>
        <w:left w:val="none" w:sz="0" w:space="0" w:color="auto"/>
        <w:bottom w:val="none" w:sz="0" w:space="0" w:color="auto"/>
        <w:right w:val="none" w:sz="0" w:space="0" w:color="auto"/>
      </w:divBdr>
    </w:div>
    <w:div w:id="45109421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58374155">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281908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6313122">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1756417">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6845111">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89176525">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5436">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00127570">
      <w:bodyDiv w:val="1"/>
      <w:marLeft w:val="0"/>
      <w:marRight w:val="0"/>
      <w:marTop w:val="0"/>
      <w:marBottom w:val="0"/>
      <w:divBdr>
        <w:top w:val="none" w:sz="0" w:space="0" w:color="auto"/>
        <w:left w:val="none" w:sz="0" w:space="0" w:color="auto"/>
        <w:bottom w:val="none" w:sz="0" w:space="0" w:color="auto"/>
        <w:right w:val="none" w:sz="0" w:space="0" w:color="auto"/>
      </w:divBdr>
    </w:div>
    <w:div w:id="500241342">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0050788">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2956875">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0314252">
      <w:bodyDiv w:val="1"/>
      <w:marLeft w:val="0"/>
      <w:marRight w:val="0"/>
      <w:marTop w:val="0"/>
      <w:marBottom w:val="0"/>
      <w:divBdr>
        <w:top w:val="none" w:sz="0" w:space="0" w:color="auto"/>
        <w:left w:val="none" w:sz="0" w:space="0" w:color="auto"/>
        <w:bottom w:val="none" w:sz="0" w:space="0" w:color="auto"/>
        <w:right w:val="none" w:sz="0" w:space="0" w:color="auto"/>
      </w:divBdr>
    </w:div>
    <w:div w:id="553541021">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57740492">
      <w:bodyDiv w:val="1"/>
      <w:marLeft w:val="0"/>
      <w:marRight w:val="0"/>
      <w:marTop w:val="0"/>
      <w:marBottom w:val="0"/>
      <w:divBdr>
        <w:top w:val="none" w:sz="0" w:space="0" w:color="auto"/>
        <w:left w:val="none" w:sz="0" w:space="0" w:color="auto"/>
        <w:bottom w:val="none" w:sz="0" w:space="0" w:color="auto"/>
        <w:right w:val="none" w:sz="0" w:space="0" w:color="auto"/>
      </w:divBdr>
    </w:div>
    <w:div w:id="562374464">
      <w:bodyDiv w:val="1"/>
      <w:marLeft w:val="0"/>
      <w:marRight w:val="0"/>
      <w:marTop w:val="0"/>
      <w:marBottom w:val="0"/>
      <w:divBdr>
        <w:top w:val="none" w:sz="0" w:space="0" w:color="auto"/>
        <w:left w:val="none" w:sz="0" w:space="0" w:color="auto"/>
        <w:bottom w:val="none" w:sz="0" w:space="0" w:color="auto"/>
        <w:right w:val="none" w:sz="0" w:space="0" w:color="auto"/>
      </w:divBdr>
    </w:div>
    <w:div w:id="562376411">
      <w:bodyDiv w:val="1"/>
      <w:marLeft w:val="0"/>
      <w:marRight w:val="0"/>
      <w:marTop w:val="0"/>
      <w:marBottom w:val="0"/>
      <w:divBdr>
        <w:top w:val="none" w:sz="0" w:space="0" w:color="auto"/>
        <w:left w:val="none" w:sz="0" w:space="0" w:color="auto"/>
        <w:bottom w:val="none" w:sz="0" w:space="0" w:color="auto"/>
        <w:right w:val="none" w:sz="0" w:space="0" w:color="auto"/>
      </w:divBdr>
    </w:div>
    <w:div w:id="564493333">
      <w:bodyDiv w:val="1"/>
      <w:marLeft w:val="0"/>
      <w:marRight w:val="0"/>
      <w:marTop w:val="0"/>
      <w:marBottom w:val="0"/>
      <w:divBdr>
        <w:top w:val="none" w:sz="0" w:space="0" w:color="auto"/>
        <w:left w:val="none" w:sz="0" w:space="0" w:color="auto"/>
        <w:bottom w:val="none" w:sz="0" w:space="0" w:color="auto"/>
        <w:right w:val="none" w:sz="0" w:space="0" w:color="auto"/>
      </w:divBdr>
    </w:div>
    <w:div w:id="564612455">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66382266">
      <w:bodyDiv w:val="1"/>
      <w:marLeft w:val="0"/>
      <w:marRight w:val="0"/>
      <w:marTop w:val="0"/>
      <w:marBottom w:val="0"/>
      <w:divBdr>
        <w:top w:val="none" w:sz="0" w:space="0" w:color="auto"/>
        <w:left w:val="none" w:sz="0" w:space="0" w:color="auto"/>
        <w:bottom w:val="none" w:sz="0" w:space="0" w:color="auto"/>
        <w:right w:val="none" w:sz="0" w:space="0" w:color="auto"/>
      </w:divBdr>
    </w:div>
    <w:div w:id="568612983">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6406812">
      <w:bodyDiv w:val="1"/>
      <w:marLeft w:val="0"/>
      <w:marRight w:val="0"/>
      <w:marTop w:val="0"/>
      <w:marBottom w:val="0"/>
      <w:divBdr>
        <w:top w:val="none" w:sz="0" w:space="0" w:color="auto"/>
        <w:left w:val="none" w:sz="0" w:space="0" w:color="auto"/>
        <w:bottom w:val="none" w:sz="0" w:space="0" w:color="auto"/>
        <w:right w:val="none" w:sz="0" w:space="0" w:color="auto"/>
      </w:divBdr>
    </w:div>
    <w:div w:id="57698210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446919">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0381595">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08394590">
      <w:bodyDiv w:val="1"/>
      <w:marLeft w:val="0"/>
      <w:marRight w:val="0"/>
      <w:marTop w:val="0"/>
      <w:marBottom w:val="0"/>
      <w:divBdr>
        <w:top w:val="none" w:sz="0" w:space="0" w:color="auto"/>
        <w:left w:val="none" w:sz="0" w:space="0" w:color="auto"/>
        <w:bottom w:val="none" w:sz="0" w:space="0" w:color="auto"/>
        <w:right w:val="none" w:sz="0" w:space="0" w:color="auto"/>
      </w:divBdr>
    </w:div>
    <w:div w:id="613444242">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19187025">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26738019">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2834267">
      <w:bodyDiv w:val="1"/>
      <w:marLeft w:val="0"/>
      <w:marRight w:val="0"/>
      <w:marTop w:val="0"/>
      <w:marBottom w:val="0"/>
      <w:divBdr>
        <w:top w:val="none" w:sz="0" w:space="0" w:color="auto"/>
        <w:left w:val="none" w:sz="0" w:space="0" w:color="auto"/>
        <w:bottom w:val="none" w:sz="0" w:space="0" w:color="auto"/>
        <w:right w:val="none" w:sz="0" w:space="0" w:color="auto"/>
      </w:divBdr>
    </w:div>
    <w:div w:id="638000575">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3148025">
      <w:bodyDiv w:val="1"/>
      <w:marLeft w:val="0"/>
      <w:marRight w:val="0"/>
      <w:marTop w:val="0"/>
      <w:marBottom w:val="0"/>
      <w:divBdr>
        <w:top w:val="none" w:sz="0" w:space="0" w:color="auto"/>
        <w:left w:val="none" w:sz="0" w:space="0" w:color="auto"/>
        <w:bottom w:val="none" w:sz="0" w:space="0" w:color="auto"/>
        <w:right w:val="none" w:sz="0" w:space="0" w:color="auto"/>
      </w:divBdr>
    </w:div>
    <w:div w:id="653685726">
      <w:bodyDiv w:val="1"/>
      <w:marLeft w:val="0"/>
      <w:marRight w:val="0"/>
      <w:marTop w:val="0"/>
      <w:marBottom w:val="0"/>
      <w:divBdr>
        <w:top w:val="none" w:sz="0" w:space="0" w:color="auto"/>
        <w:left w:val="none" w:sz="0" w:space="0" w:color="auto"/>
        <w:bottom w:val="none" w:sz="0" w:space="0" w:color="auto"/>
        <w:right w:val="none" w:sz="0" w:space="0" w:color="auto"/>
      </w:divBdr>
    </w:div>
    <w:div w:id="655300277">
      <w:bodyDiv w:val="1"/>
      <w:marLeft w:val="0"/>
      <w:marRight w:val="0"/>
      <w:marTop w:val="0"/>
      <w:marBottom w:val="0"/>
      <w:divBdr>
        <w:top w:val="none" w:sz="0" w:space="0" w:color="auto"/>
        <w:left w:val="none" w:sz="0" w:space="0" w:color="auto"/>
        <w:bottom w:val="none" w:sz="0" w:space="0" w:color="auto"/>
        <w:right w:val="none" w:sz="0" w:space="0" w:color="auto"/>
      </w:divBdr>
    </w:div>
    <w:div w:id="655376915">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417223">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2438347">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5784633">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4262626">
      <w:bodyDiv w:val="1"/>
      <w:marLeft w:val="0"/>
      <w:marRight w:val="0"/>
      <w:marTop w:val="0"/>
      <w:marBottom w:val="0"/>
      <w:divBdr>
        <w:top w:val="none" w:sz="0" w:space="0" w:color="auto"/>
        <w:left w:val="none" w:sz="0" w:space="0" w:color="auto"/>
        <w:bottom w:val="none" w:sz="0" w:space="0" w:color="auto"/>
        <w:right w:val="none" w:sz="0" w:space="0" w:color="auto"/>
      </w:divBdr>
    </w:div>
    <w:div w:id="675768219">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89986113">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697974025">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5735558">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755400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29302807">
      <w:bodyDiv w:val="1"/>
      <w:marLeft w:val="0"/>
      <w:marRight w:val="0"/>
      <w:marTop w:val="0"/>
      <w:marBottom w:val="0"/>
      <w:divBdr>
        <w:top w:val="none" w:sz="0" w:space="0" w:color="auto"/>
        <w:left w:val="none" w:sz="0" w:space="0" w:color="auto"/>
        <w:bottom w:val="none" w:sz="0" w:space="0" w:color="auto"/>
        <w:right w:val="none" w:sz="0" w:space="0" w:color="auto"/>
      </w:divBdr>
    </w:div>
    <w:div w:id="730009305">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39525912">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1760188">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49471008">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5659554">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548793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002034">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5804734">
      <w:bodyDiv w:val="1"/>
      <w:marLeft w:val="0"/>
      <w:marRight w:val="0"/>
      <w:marTop w:val="0"/>
      <w:marBottom w:val="0"/>
      <w:divBdr>
        <w:top w:val="none" w:sz="0" w:space="0" w:color="auto"/>
        <w:left w:val="none" w:sz="0" w:space="0" w:color="auto"/>
        <w:bottom w:val="none" w:sz="0" w:space="0" w:color="auto"/>
        <w:right w:val="none" w:sz="0" w:space="0" w:color="auto"/>
      </w:divBdr>
    </w:div>
    <w:div w:id="795874230">
      <w:bodyDiv w:val="1"/>
      <w:marLeft w:val="0"/>
      <w:marRight w:val="0"/>
      <w:marTop w:val="0"/>
      <w:marBottom w:val="0"/>
      <w:divBdr>
        <w:top w:val="none" w:sz="0" w:space="0" w:color="auto"/>
        <w:left w:val="none" w:sz="0" w:space="0" w:color="auto"/>
        <w:bottom w:val="none" w:sz="0" w:space="0" w:color="auto"/>
        <w:right w:val="none" w:sz="0" w:space="0" w:color="auto"/>
      </w:divBdr>
    </w:div>
    <w:div w:id="796145513">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799613935">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29172522">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49406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0006958">
      <w:bodyDiv w:val="1"/>
      <w:marLeft w:val="0"/>
      <w:marRight w:val="0"/>
      <w:marTop w:val="0"/>
      <w:marBottom w:val="0"/>
      <w:divBdr>
        <w:top w:val="none" w:sz="0" w:space="0" w:color="auto"/>
        <w:left w:val="none" w:sz="0" w:space="0" w:color="auto"/>
        <w:bottom w:val="none" w:sz="0" w:space="0" w:color="auto"/>
        <w:right w:val="none" w:sz="0" w:space="0" w:color="auto"/>
      </w:divBdr>
    </w:div>
    <w:div w:id="840586320">
      <w:bodyDiv w:val="1"/>
      <w:marLeft w:val="0"/>
      <w:marRight w:val="0"/>
      <w:marTop w:val="0"/>
      <w:marBottom w:val="0"/>
      <w:divBdr>
        <w:top w:val="none" w:sz="0" w:space="0" w:color="auto"/>
        <w:left w:val="none" w:sz="0" w:space="0" w:color="auto"/>
        <w:bottom w:val="none" w:sz="0" w:space="0" w:color="auto"/>
        <w:right w:val="none" w:sz="0" w:space="0" w:color="auto"/>
      </w:divBdr>
    </w:div>
    <w:div w:id="84301598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6601691">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4171537">
      <w:bodyDiv w:val="1"/>
      <w:marLeft w:val="0"/>
      <w:marRight w:val="0"/>
      <w:marTop w:val="0"/>
      <w:marBottom w:val="0"/>
      <w:divBdr>
        <w:top w:val="none" w:sz="0" w:space="0" w:color="auto"/>
        <w:left w:val="none" w:sz="0" w:space="0" w:color="auto"/>
        <w:bottom w:val="none" w:sz="0" w:space="0" w:color="auto"/>
        <w:right w:val="none" w:sz="0" w:space="0" w:color="auto"/>
      </w:divBdr>
    </w:div>
    <w:div w:id="866409452">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71040976">
      <w:bodyDiv w:val="1"/>
      <w:marLeft w:val="0"/>
      <w:marRight w:val="0"/>
      <w:marTop w:val="0"/>
      <w:marBottom w:val="0"/>
      <w:divBdr>
        <w:top w:val="none" w:sz="0" w:space="0" w:color="auto"/>
        <w:left w:val="none" w:sz="0" w:space="0" w:color="auto"/>
        <w:bottom w:val="none" w:sz="0" w:space="0" w:color="auto"/>
        <w:right w:val="none" w:sz="0" w:space="0" w:color="auto"/>
      </w:divBdr>
    </w:div>
    <w:div w:id="874270026">
      <w:bodyDiv w:val="1"/>
      <w:marLeft w:val="0"/>
      <w:marRight w:val="0"/>
      <w:marTop w:val="0"/>
      <w:marBottom w:val="0"/>
      <w:divBdr>
        <w:top w:val="none" w:sz="0" w:space="0" w:color="auto"/>
        <w:left w:val="none" w:sz="0" w:space="0" w:color="auto"/>
        <w:bottom w:val="none" w:sz="0" w:space="0" w:color="auto"/>
        <w:right w:val="none" w:sz="0" w:space="0" w:color="auto"/>
      </w:divBdr>
    </w:div>
    <w:div w:id="877471659">
      <w:bodyDiv w:val="1"/>
      <w:marLeft w:val="0"/>
      <w:marRight w:val="0"/>
      <w:marTop w:val="0"/>
      <w:marBottom w:val="0"/>
      <w:divBdr>
        <w:top w:val="none" w:sz="0" w:space="0" w:color="auto"/>
        <w:left w:val="none" w:sz="0" w:space="0" w:color="auto"/>
        <w:bottom w:val="none" w:sz="0" w:space="0" w:color="auto"/>
        <w:right w:val="none" w:sz="0" w:space="0" w:color="auto"/>
      </w:divBdr>
    </w:div>
    <w:div w:id="882403800">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5504274">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251669">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07114612">
      <w:bodyDiv w:val="1"/>
      <w:marLeft w:val="0"/>
      <w:marRight w:val="0"/>
      <w:marTop w:val="0"/>
      <w:marBottom w:val="0"/>
      <w:divBdr>
        <w:top w:val="none" w:sz="0" w:space="0" w:color="auto"/>
        <w:left w:val="none" w:sz="0" w:space="0" w:color="auto"/>
        <w:bottom w:val="none" w:sz="0" w:space="0" w:color="auto"/>
        <w:right w:val="none" w:sz="0" w:space="0" w:color="auto"/>
      </w:divBdr>
    </w:div>
    <w:div w:id="911162335">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7984277">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2763455">
      <w:bodyDiv w:val="1"/>
      <w:marLeft w:val="0"/>
      <w:marRight w:val="0"/>
      <w:marTop w:val="0"/>
      <w:marBottom w:val="0"/>
      <w:divBdr>
        <w:top w:val="none" w:sz="0" w:space="0" w:color="auto"/>
        <w:left w:val="none" w:sz="0" w:space="0" w:color="auto"/>
        <w:bottom w:val="none" w:sz="0" w:space="0" w:color="auto"/>
        <w:right w:val="none" w:sz="0" w:space="0" w:color="auto"/>
      </w:divBdr>
    </w:div>
    <w:div w:id="923340249">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36986691">
      <w:bodyDiv w:val="1"/>
      <w:marLeft w:val="0"/>
      <w:marRight w:val="0"/>
      <w:marTop w:val="0"/>
      <w:marBottom w:val="0"/>
      <w:divBdr>
        <w:top w:val="none" w:sz="0" w:space="0" w:color="auto"/>
        <w:left w:val="none" w:sz="0" w:space="0" w:color="auto"/>
        <w:bottom w:val="none" w:sz="0" w:space="0" w:color="auto"/>
        <w:right w:val="none" w:sz="0" w:space="0" w:color="auto"/>
      </w:divBdr>
    </w:div>
    <w:div w:id="937642763">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65972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49628299">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59072057">
      <w:bodyDiv w:val="1"/>
      <w:marLeft w:val="0"/>
      <w:marRight w:val="0"/>
      <w:marTop w:val="0"/>
      <w:marBottom w:val="0"/>
      <w:divBdr>
        <w:top w:val="none" w:sz="0" w:space="0" w:color="auto"/>
        <w:left w:val="none" w:sz="0" w:space="0" w:color="auto"/>
        <w:bottom w:val="none" w:sz="0" w:space="0" w:color="auto"/>
        <w:right w:val="none" w:sz="0" w:space="0" w:color="auto"/>
      </w:divBdr>
    </w:div>
    <w:div w:id="959451845">
      <w:bodyDiv w:val="1"/>
      <w:marLeft w:val="0"/>
      <w:marRight w:val="0"/>
      <w:marTop w:val="0"/>
      <w:marBottom w:val="0"/>
      <w:divBdr>
        <w:top w:val="none" w:sz="0" w:space="0" w:color="auto"/>
        <w:left w:val="none" w:sz="0" w:space="0" w:color="auto"/>
        <w:bottom w:val="none" w:sz="0" w:space="0" w:color="auto"/>
        <w:right w:val="none" w:sz="0" w:space="0" w:color="auto"/>
      </w:divBdr>
    </w:div>
    <w:div w:id="966281924">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097967">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76374099">
      <w:bodyDiv w:val="1"/>
      <w:marLeft w:val="0"/>
      <w:marRight w:val="0"/>
      <w:marTop w:val="0"/>
      <w:marBottom w:val="0"/>
      <w:divBdr>
        <w:top w:val="none" w:sz="0" w:space="0" w:color="auto"/>
        <w:left w:val="none" w:sz="0" w:space="0" w:color="auto"/>
        <w:bottom w:val="none" w:sz="0" w:space="0" w:color="auto"/>
        <w:right w:val="none" w:sz="0" w:space="0" w:color="auto"/>
      </w:divBdr>
    </w:div>
    <w:div w:id="978145436">
      <w:bodyDiv w:val="1"/>
      <w:marLeft w:val="0"/>
      <w:marRight w:val="0"/>
      <w:marTop w:val="0"/>
      <w:marBottom w:val="0"/>
      <w:divBdr>
        <w:top w:val="none" w:sz="0" w:space="0" w:color="auto"/>
        <w:left w:val="none" w:sz="0" w:space="0" w:color="auto"/>
        <w:bottom w:val="none" w:sz="0" w:space="0" w:color="auto"/>
        <w:right w:val="none" w:sz="0" w:space="0" w:color="auto"/>
      </w:divBdr>
    </w:div>
    <w:div w:id="984044647">
      <w:bodyDiv w:val="1"/>
      <w:marLeft w:val="0"/>
      <w:marRight w:val="0"/>
      <w:marTop w:val="0"/>
      <w:marBottom w:val="0"/>
      <w:divBdr>
        <w:top w:val="none" w:sz="0" w:space="0" w:color="auto"/>
        <w:left w:val="none" w:sz="0" w:space="0" w:color="auto"/>
        <w:bottom w:val="none" w:sz="0" w:space="0" w:color="auto"/>
        <w:right w:val="none" w:sz="0" w:space="0" w:color="auto"/>
      </w:divBdr>
    </w:div>
    <w:div w:id="984816450">
      <w:bodyDiv w:val="1"/>
      <w:marLeft w:val="0"/>
      <w:marRight w:val="0"/>
      <w:marTop w:val="0"/>
      <w:marBottom w:val="0"/>
      <w:divBdr>
        <w:top w:val="none" w:sz="0" w:space="0" w:color="auto"/>
        <w:left w:val="none" w:sz="0" w:space="0" w:color="auto"/>
        <w:bottom w:val="none" w:sz="0" w:space="0" w:color="auto"/>
        <w:right w:val="none" w:sz="0" w:space="0" w:color="auto"/>
      </w:divBdr>
    </w:div>
    <w:div w:id="99040603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992374653">
      <w:bodyDiv w:val="1"/>
      <w:marLeft w:val="0"/>
      <w:marRight w:val="0"/>
      <w:marTop w:val="0"/>
      <w:marBottom w:val="0"/>
      <w:divBdr>
        <w:top w:val="none" w:sz="0" w:space="0" w:color="auto"/>
        <w:left w:val="none" w:sz="0" w:space="0" w:color="auto"/>
        <w:bottom w:val="none" w:sz="0" w:space="0" w:color="auto"/>
        <w:right w:val="none" w:sz="0" w:space="0" w:color="auto"/>
      </w:divBdr>
    </w:div>
    <w:div w:id="994839836">
      <w:bodyDiv w:val="1"/>
      <w:marLeft w:val="0"/>
      <w:marRight w:val="0"/>
      <w:marTop w:val="0"/>
      <w:marBottom w:val="0"/>
      <w:divBdr>
        <w:top w:val="none" w:sz="0" w:space="0" w:color="auto"/>
        <w:left w:val="none" w:sz="0" w:space="0" w:color="auto"/>
        <w:bottom w:val="none" w:sz="0" w:space="0" w:color="auto"/>
        <w:right w:val="none" w:sz="0" w:space="0" w:color="auto"/>
      </w:divBdr>
    </w:div>
    <w:div w:id="998113673">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3800268">
      <w:bodyDiv w:val="1"/>
      <w:marLeft w:val="0"/>
      <w:marRight w:val="0"/>
      <w:marTop w:val="0"/>
      <w:marBottom w:val="0"/>
      <w:divBdr>
        <w:top w:val="none" w:sz="0" w:space="0" w:color="auto"/>
        <w:left w:val="none" w:sz="0" w:space="0" w:color="auto"/>
        <w:bottom w:val="none" w:sz="0" w:space="0" w:color="auto"/>
        <w:right w:val="none" w:sz="0" w:space="0" w:color="auto"/>
      </w:divBdr>
    </w:div>
    <w:div w:id="1014382624">
      <w:bodyDiv w:val="1"/>
      <w:marLeft w:val="0"/>
      <w:marRight w:val="0"/>
      <w:marTop w:val="0"/>
      <w:marBottom w:val="0"/>
      <w:divBdr>
        <w:top w:val="none" w:sz="0" w:space="0" w:color="auto"/>
        <w:left w:val="none" w:sz="0" w:space="0" w:color="auto"/>
        <w:bottom w:val="none" w:sz="0" w:space="0" w:color="auto"/>
        <w:right w:val="none" w:sz="0" w:space="0" w:color="auto"/>
      </w:divBdr>
    </w:div>
    <w:div w:id="1016735336">
      <w:bodyDiv w:val="1"/>
      <w:marLeft w:val="0"/>
      <w:marRight w:val="0"/>
      <w:marTop w:val="0"/>
      <w:marBottom w:val="0"/>
      <w:divBdr>
        <w:top w:val="none" w:sz="0" w:space="0" w:color="auto"/>
        <w:left w:val="none" w:sz="0" w:space="0" w:color="auto"/>
        <w:bottom w:val="none" w:sz="0" w:space="0" w:color="auto"/>
        <w:right w:val="none" w:sz="0" w:space="0" w:color="auto"/>
      </w:divBdr>
    </w:div>
    <w:div w:id="1016809398">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2265883">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38049663">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2753706">
      <w:bodyDiv w:val="1"/>
      <w:marLeft w:val="0"/>
      <w:marRight w:val="0"/>
      <w:marTop w:val="0"/>
      <w:marBottom w:val="0"/>
      <w:divBdr>
        <w:top w:val="none" w:sz="0" w:space="0" w:color="auto"/>
        <w:left w:val="none" w:sz="0" w:space="0" w:color="auto"/>
        <w:bottom w:val="none" w:sz="0" w:space="0" w:color="auto"/>
        <w:right w:val="none" w:sz="0" w:space="0" w:color="auto"/>
      </w:divBdr>
    </w:div>
    <w:div w:id="1045372934">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612785">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66958098">
      <w:bodyDiv w:val="1"/>
      <w:marLeft w:val="0"/>
      <w:marRight w:val="0"/>
      <w:marTop w:val="0"/>
      <w:marBottom w:val="0"/>
      <w:divBdr>
        <w:top w:val="none" w:sz="0" w:space="0" w:color="auto"/>
        <w:left w:val="none" w:sz="0" w:space="0" w:color="auto"/>
        <w:bottom w:val="none" w:sz="0" w:space="0" w:color="auto"/>
        <w:right w:val="none" w:sz="0" w:space="0" w:color="auto"/>
      </w:divBdr>
    </w:div>
    <w:div w:id="1073965191">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061472">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86730589">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1853617">
      <w:bodyDiv w:val="1"/>
      <w:marLeft w:val="0"/>
      <w:marRight w:val="0"/>
      <w:marTop w:val="0"/>
      <w:marBottom w:val="0"/>
      <w:divBdr>
        <w:top w:val="none" w:sz="0" w:space="0" w:color="auto"/>
        <w:left w:val="none" w:sz="0" w:space="0" w:color="auto"/>
        <w:bottom w:val="none" w:sz="0" w:space="0" w:color="auto"/>
        <w:right w:val="none" w:sz="0" w:space="0" w:color="auto"/>
      </w:divBdr>
    </w:div>
    <w:div w:id="1091972727">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10175">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07231917">
      <w:bodyDiv w:val="1"/>
      <w:marLeft w:val="0"/>
      <w:marRight w:val="0"/>
      <w:marTop w:val="0"/>
      <w:marBottom w:val="0"/>
      <w:divBdr>
        <w:top w:val="none" w:sz="0" w:space="0" w:color="auto"/>
        <w:left w:val="none" w:sz="0" w:space="0" w:color="auto"/>
        <w:bottom w:val="none" w:sz="0" w:space="0" w:color="auto"/>
        <w:right w:val="none" w:sz="0" w:space="0" w:color="auto"/>
      </w:divBdr>
    </w:div>
    <w:div w:id="1109352189">
      <w:bodyDiv w:val="1"/>
      <w:marLeft w:val="0"/>
      <w:marRight w:val="0"/>
      <w:marTop w:val="0"/>
      <w:marBottom w:val="0"/>
      <w:divBdr>
        <w:top w:val="none" w:sz="0" w:space="0" w:color="auto"/>
        <w:left w:val="none" w:sz="0" w:space="0" w:color="auto"/>
        <w:bottom w:val="none" w:sz="0" w:space="0" w:color="auto"/>
        <w:right w:val="none" w:sz="0" w:space="0" w:color="auto"/>
      </w:divBdr>
    </w:div>
    <w:div w:id="1109662940">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14788831">
      <w:bodyDiv w:val="1"/>
      <w:marLeft w:val="0"/>
      <w:marRight w:val="0"/>
      <w:marTop w:val="0"/>
      <w:marBottom w:val="0"/>
      <w:divBdr>
        <w:top w:val="none" w:sz="0" w:space="0" w:color="auto"/>
        <w:left w:val="none" w:sz="0" w:space="0" w:color="auto"/>
        <w:bottom w:val="none" w:sz="0" w:space="0" w:color="auto"/>
        <w:right w:val="none" w:sz="0" w:space="0" w:color="auto"/>
      </w:divBdr>
    </w:div>
    <w:div w:id="1115170374">
      <w:bodyDiv w:val="1"/>
      <w:marLeft w:val="0"/>
      <w:marRight w:val="0"/>
      <w:marTop w:val="0"/>
      <w:marBottom w:val="0"/>
      <w:divBdr>
        <w:top w:val="none" w:sz="0" w:space="0" w:color="auto"/>
        <w:left w:val="none" w:sz="0" w:space="0" w:color="auto"/>
        <w:bottom w:val="none" w:sz="0" w:space="0" w:color="auto"/>
        <w:right w:val="none" w:sz="0" w:space="0" w:color="auto"/>
      </w:divBdr>
    </w:div>
    <w:div w:id="1115247449">
      <w:bodyDiv w:val="1"/>
      <w:marLeft w:val="0"/>
      <w:marRight w:val="0"/>
      <w:marTop w:val="0"/>
      <w:marBottom w:val="0"/>
      <w:divBdr>
        <w:top w:val="none" w:sz="0" w:space="0" w:color="auto"/>
        <w:left w:val="none" w:sz="0" w:space="0" w:color="auto"/>
        <w:bottom w:val="none" w:sz="0" w:space="0" w:color="auto"/>
        <w:right w:val="none" w:sz="0" w:space="0" w:color="auto"/>
      </w:divBdr>
    </w:div>
    <w:div w:id="1116876119">
      <w:bodyDiv w:val="1"/>
      <w:marLeft w:val="0"/>
      <w:marRight w:val="0"/>
      <w:marTop w:val="0"/>
      <w:marBottom w:val="0"/>
      <w:divBdr>
        <w:top w:val="none" w:sz="0" w:space="0" w:color="auto"/>
        <w:left w:val="none" w:sz="0" w:space="0" w:color="auto"/>
        <w:bottom w:val="none" w:sz="0" w:space="0" w:color="auto"/>
        <w:right w:val="none" w:sz="0" w:space="0" w:color="auto"/>
      </w:divBdr>
    </w:div>
    <w:div w:id="111767339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3906582">
      <w:bodyDiv w:val="1"/>
      <w:marLeft w:val="0"/>
      <w:marRight w:val="0"/>
      <w:marTop w:val="0"/>
      <w:marBottom w:val="0"/>
      <w:divBdr>
        <w:top w:val="none" w:sz="0" w:space="0" w:color="auto"/>
        <w:left w:val="none" w:sz="0" w:space="0" w:color="auto"/>
        <w:bottom w:val="none" w:sz="0" w:space="0" w:color="auto"/>
        <w:right w:val="none" w:sz="0" w:space="0" w:color="auto"/>
      </w:divBdr>
    </w:div>
    <w:div w:id="1135829819">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1847034">
      <w:bodyDiv w:val="1"/>
      <w:marLeft w:val="0"/>
      <w:marRight w:val="0"/>
      <w:marTop w:val="0"/>
      <w:marBottom w:val="0"/>
      <w:divBdr>
        <w:top w:val="none" w:sz="0" w:space="0" w:color="auto"/>
        <w:left w:val="none" w:sz="0" w:space="0" w:color="auto"/>
        <w:bottom w:val="none" w:sz="0" w:space="0" w:color="auto"/>
        <w:right w:val="none" w:sz="0" w:space="0" w:color="auto"/>
      </w:divBdr>
    </w:div>
    <w:div w:id="1142040429">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0243809">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135198">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223643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67789561">
      <w:bodyDiv w:val="1"/>
      <w:marLeft w:val="0"/>
      <w:marRight w:val="0"/>
      <w:marTop w:val="0"/>
      <w:marBottom w:val="0"/>
      <w:divBdr>
        <w:top w:val="none" w:sz="0" w:space="0" w:color="auto"/>
        <w:left w:val="none" w:sz="0" w:space="0" w:color="auto"/>
        <w:bottom w:val="none" w:sz="0" w:space="0" w:color="auto"/>
        <w:right w:val="none" w:sz="0" w:space="0" w:color="auto"/>
      </w:divBdr>
    </w:div>
    <w:div w:id="116963662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4344380">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7211664">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2184193">
      <w:bodyDiv w:val="1"/>
      <w:marLeft w:val="0"/>
      <w:marRight w:val="0"/>
      <w:marTop w:val="0"/>
      <w:marBottom w:val="0"/>
      <w:divBdr>
        <w:top w:val="none" w:sz="0" w:space="0" w:color="auto"/>
        <w:left w:val="none" w:sz="0" w:space="0" w:color="auto"/>
        <w:bottom w:val="none" w:sz="0" w:space="0" w:color="auto"/>
        <w:right w:val="none" w:sz="0" w:space="0" w:color="auto"/>
      </w:divBdr>
    </w:div>
    <w:div w:id="1193494780">
      <w:bodyDiv w:val="1"/>
      <w:marLeft w:val="0"/>
      <w:marRight w:val="0"/>
      <w:marTop w:val="0"/>
      <w:marBottom w:val="0"/>
      <w:divBdr>
        <w:top w:val="none" w:sz="0" w:space="0" w:color="auto"/>
        <w:left w:val="none" w:sz="0" w:space="0" w:color="auto"/>
        <w:bottom w:val="none" w:sz="0" w:space="0" w:color="auto"/>
        <w:right w:val="none" w:sz="0" w:space="0" w:color="auto"/>
      </w:divBdr>
    </w:div>
    <w:div w:id="1197890365">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3177363">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5799076">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5239544">
      <w:bodyDiv w:val="1"/>
      <w:marLeft w:val="0"/>
      <w:marRight w:val="0"/>
      <w:marTop w:val="0"/>
      <w:marBottom w:val="0"/>
      <w:divBdr>
        <w:top w:val="none" w:sz="0" w:space="0" w:color="auto"/>
        <w:left w:val="none" w:sz="0" w:space="0" w:color="auto"/>
        <w:bottom w:val="none" w:sz="0" w:space="0" w:color="auto"/>
        <w:right w:val="none" w:sz="0" w:space="0" w:color="auto"/>
      </w:divBdr>
    </w:div>
    <w:div w:id="1216696905">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34585713">
      <w:bodyDiv w:val="1"/>
      <w:marLeft w:val="0"/>
      <w:marRight w:val="0"/>
      <w:marTop w:val="0"/>
      <w:marBottom w:val="0"/>
      <w:divBdr>
        <w:top w:val="none" w:sz="0" w:space="0" w:color="auto"/>
        <w:left w:val="none" w:sz="0" w:space="0" w:color="auto"/>
        <w:bottom w:val="none" w:sz="0" w:space="0" w:color="auto"/>
        <w:right w:val="none" w:sz="0" w:space="0" w:color="auto"/>
      </w:divBdr>
    </w:div>
    <w:div w:id="1238595358">
      <w:bodyDiv w:val="1"/>
      <w:marLeft w:val="0"/>
      <w:marRight w:val="0"/>
      <w:marTop w:val="0"/>
      <w:marBottom w:val="0"/>
      <w:divBdr>
        <w:top w:val="none" w:sz="0" w:space="0" w:color="auto"/>
        <w:left w:val="none" w:sz="0" w:space="0" w:color="auto"/>
        <w:bottom w:val="none" w:sz="0" w:space="0" w:color="auto"/>
        <w:right w:val="none" w:sz="0" w:space="0" w:color="auto"/>
      </w:divBdr>
    </w:div>
    <w:div w:id="1241912142">
      <w:bodyDiv w:val="1"/>
      <w:marLeft w:val="0"/>
      <w:marRight w:val="0"/>
      <w:marTop w:val="0"/>
      <w:marBottom w:val="0"/>
      <w:divBdr>
        <w:top w:val="none" w:sz="0" w:space="0" w:color="auto"/>
        <w:left w:val="none" w:sz="0" w:space="0" w:color="auto"/>
        <w:bottom w:val="none" w:sz="0" w:space="0" w:color="auto"/>
        <w:right w:val="none" w:sz="0" w:space="0" w:color="auto"/>
      </w:divBdr>
    </w:div>
    <w:div w:id="124526597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48229909">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54705108">
      <w:bodyDiv w:val="1"/>
      <w:marLeft w:val="0"/>
      <w:marRight w:val="0"/>
      <w:marTop w:val="0"/>
      <w:marBottom w:val="0"/>
      <w:divBdr>
        <w:top w:val="none" w:sz="0" w:space="0" w:color="auto"/>
        <w:left w:val="none" w:sz="0" w:space="0" w:color="auto"/>
        <w:bottom w:val="none" w:sz="0" w:space="0" w:color="auto"/>
        <w:right w:val="none" w:sz="0" w:space="0" w:color="auto"/>
      </w:divBdr>
    </w:div>
    <w:div w:id="1258445633">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5728177">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79725513">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048265">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2563918">
      <w:bodyDiv w:val="1"/>
      <w:marLeft w:val="0"/>
      <w:marRight w:val="0"/>
      <w:marTop w:val="0"/>
      <w:marBottom w:val="0"/>
      <w:divBdr>
        <w:top w:val="none" w:sz="0" w:space="0" w:color="auto"/>
        <w:left w:val="none" w:sz="0" w:space="0" w:color="auto"/>
        <w:bottom w:val="none" w:sz="0" w:space="0" w:color="auto"/>
        <w:right w:val="none" w:sz="0" w:space="0" w:color="auto"/>
      </w:divBdr>
    </w:div>
    <w:div w:id="131872443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435921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29746337">
      <w:bodyDiv w:val="1"/>
      <w:marLeft w:val="0"/>
      <w:marRight w:val="0"/>
      <w:marTop w:val="0"/>
      <w:marBottom w:val="0"/>
      <w:divBdr>
        <w:top w:val="none" w:sz="0" w:space="0" w:color="auto"/>
        <w:left w:val="none" w:sz="0" w:space="0" w:color="auto"/>
        <w:bottom w:val="none" w:sz="0" w:space="0" w:color="auto"/>
        <w:right w:val="none" w:sz="0" w:space="0" w:color="auto"/>
      </w:divBdr>
    </w:div>
    <w:div w:id="1338653214">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39500670">
      <w:bodyDiv w:val="1"/>
      <w:marLeft w:val="0"/>
      <w:marRight w:val="0"/>
      <w:marTop w:val="0"/>
      <w:marBottom w:val="0"/>
      <w:divBdr>
        <w:top w:val="none" w:sz="0" w:space="0" w:color="auto"/>
        <w:left w:val="none" w:sz="0" w:space="0" w:color="auto"/>
        <w:bottom w:val="none" w:sz="0" w:space="0" w:color="auto"/>
        <w:right w:val="none" w:sz="0" w:space="0" w:color="auto"/>
      </w:divBdr>
    </w:div>
    <w:div w:id="1341201148">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4860350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501107">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60623789">
      <w:bodyDiv w:val="1"/>
      <w:marLeft w:val="0"/>
      <w:marRight w:val="0"/>
      <w:marTop w:val="0"/>
      <w:marBottom w:val="0"/>
      <w:divBdr>
        <w:top w:val="none" w:sz="0" w:space="0" w:color="auto"/>
        <w:left w:val="none" w:sz="0" w:space="0" w:color="auto"/>
        <w:bottom w:val="none" w:sz="0" w:space="0" w:color="auto"/>
        <w:right w:val="none" w:sz="0" w:space="0" w:color="auto"/>
      </w:divBdr>
    </w:div>
    <w:div w:id="1370186611">
      <w:bodyDiv w:val="1"/>
      <w:marLeft w:val="0"/>
      <w:marRight w:val="0"/>
      <w:marTop w:val="0"/>
      <w:marBottom w:val="0"/>
      <w:divBdr>
        <w:top w:val="none" w:sz="0" w:space="0" w:color="auto"/>
        <w:left w:val="none" w:sz="0" w:space="0" w:color="auto"/>
        <w:bottom w:val="none" w:sz="0" w:space="0" w:color="auto"/>
        <w:right w:val="none" w:sz="0" w:space="0" w:color="auto"/>
      </w:divBdr>
    </w:div>
    <w:div w:id="1372071123">
      <w:bodyDiv w:val="1"/>
      <w:marLeft w:val="0"/>
      <w:marRight w:val="0"/>
      <w:marTop w:val="0"/>
      <w:marBottom w:val="0"/>
      <w:divBdr>
        <w:top w:val="none" w:sz="0" w:space="0" w:color="auto"/>
        <w:left w:val="none" w:sz="0" w:space="0" w:color="auto"/>
        <w:bottom w:val="none" w:sz="0" w:space="0" w:color="auto"/>
        <w:right w:val="none" w:sz="0" w:space="0" w:color="auto"/>
      </w:divBdr>
    </w:div>
    <w:div w:id="137743737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3794397">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5448976">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1057663">
      <w:bodyDiv w:val="1"/>
      <w:marLeft w:val="0"/>
      <w:marRight w:val="0"/>
      <w:marTop w:val="0"/>
      <w:marBottom w:val="0"/>
      <w:divBdr>
        <w:top w:val="none" w:sz="0" w:space="0" w:color="auto"/>
        <w:left w:val="none" w:sz="0" w:space="0" w:color="auto"/>
        <w:bottom w:val="none" w:sz="0" w:space="0" w:color="auto"/>
        <w:right w:val="none" w:sz="0" w:space="0" w:color="auto"/>
      </w:divBdr>
    </w:div>
    <w:div w:id="1403674337">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09383209">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1366521">
      <w:bodyDiv w:val="1"/>
      <w:marLeft w:val="0"/>
      <w:marRight w:val="0"/>
      <w:marTop w:val="0"/>
      <w:marBottom w:val="0"/>
      <w:divBdr>
        <w:top w:val="none" w:sz="0" w:space="0" w:color="auto"/>
        <w:left w:val="none" w:sz="0" w:space="0" w:color="auto"/>
        <w:bottom w:val="none" w:sz="0" w:space="0" w:color="auto"/>
        <w:right w:val="none" w:sz="0" w:space="0" w:color="auto"/>
      </w:divBdr>
    </w:div>
    <w:div w:id="1423605104">
      <w:bodyDiv w:val="1"/>
      <w:marLeft w:val="0"/>
      <w:marRight w:val="0"/>
      <w:marTop w:val="0"/>
      <w:marBottom w:val="0"/>
      <w:divBdr>
        <w:top w:val="none" w:sz="0" w:space="0" w:color="auto"/>
        <w:left w:val="none" w:sz="0" w:space="0" w:color="auto"/>
        <w:bottom w:val="none" w:sz="0" w:space="0" w:color="auto"/>
        <w:right w:val="none" w:sz="0" w:space="0" w:color="auto"/>
      </w:divBdr>
    </w:div>
    <w:div w:id="1425112084">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29040343">
      <w:bodyDiv w:val="1"/>
      <w:marLeft w:val="0"/>
      <w:marRight w:val="0"/>
      <w:marTop w:val="0"/>
      <w:marBottom w:val="0"/>
      <w:divBdr>
        <w:top w:val="none" w:sz="0" w:space="0" w:color="auto"/>
        <w:left w:val="none" w:sz="0" w:space="0" w:color="auto"/>
        <w:bottom w:val="none" w:sz="0" w:space="0" w:color="auto"/>
        <w:right w:val="none" w:sz="0" w:space="0" w:color="auto"/>
      </w:divBdr>
    </w:div>
    <w:div w:id="1429960740">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3956211">
      <w:bodyDiv w:val="1"/>
      <w:marLeft w:val="0"/>
      <w:marRight w:val="0"/>
      <w:marTop w:val="0"/>
      <w:marBottom w:val="0"/>
      <w:divBdr>
        <w:top w:val="none" w:sz="0" w:space="0" w:color="auto"/>
        <w:left w:val="none" w:sz="0" w:space="0" w:color="auto"/>
        <w:bottom w:val="none" w:sz="0" w:space="0" w:color="auto"/>
        <w:right w:val="none" w:sz="0" w:space="0" w:color="auto"/>
      </w:divBdr>
    </w:div>
    <w:div w:id="1445151196">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3669738">
      <w:bodyDiv w:val="1"/>
      <w:marLeft w:val="0"/>
      <w:marRight w:val="0"/>
      <w:marTop w:val="0"/>
      <w:marBottom w:val="0"/>
      <w:divBdr>
        <w:top w:val="none" w:sz="0" w:space="0" w:color="auto"/>
        <w:left w:val="none" w:sz="0" w:space="0" w:color="auto"/>
        <w:bottom w:val="none" w:sz="0" w:space="0" w:color="auto"/>
        <w:right w:val="none" w:sz="0" w:space="0" w:color="auto"/>
      </w:divBdr>
    </w:div>
    <w:div w:id="145413388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58447127">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5856037">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2556365">
      <w:bodyDiv w:val="1"/>
      <w:marLeft w:val="0"/>
      <w:marRight w:val="0"/>
      <w:marTop w:val="0"/>
      <w:marBottom w:val="0"/>
      <w:divBdr>
        <w:top w:val="none" w:sz="0" w:space="0" w:color="auto"/>
        <w:left w:val="none" w:sz="0" w:space="0" w:color="auto"/>
        <w:bottom w:val="none" w:sz="0" w:space="0" w:color="auto"/>
        <w:right w:val="none" w:sz="0" w:space="0" w:color="auto"/>
      </w:divBdr>
    </w:div>
    <w:div w:id="1473674023">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0994857">
      <w:bodyDiv w:val="1"/>
      <w:marLeft w:val="0"/>
      <w:marRight w:val="0"/>
      <w:marTop w:val="0"/>
      <w:marBottom w:val="0"/>
      <w:divBdr>
        <w:top w:val="none" w:sz="0" w:space="0" w:color="auto"/>
        <w:left w:val="none" w:sz="0" w:space="0" w:color="auto"/>
        <w:bottom w:val="none" w:sz="0" w:space="0" w:color="auto"/>
        <w:right w:val="none" w:sz="0" w:space="0" w:color="auto"/>
      </w:divBdr>
    </w:div>
    <w:div w:id="1484421401">
      <w:bodyDiv w:val="1"/>
      <w:marLeft w:val="0"/>
      <w:marRight w:val="0"/>
      <w:marTop w:val="0"/>
      <w:marBottom w:val="0"/>
      <w:divBdr>
        <w:top w:val="none" w:sz="0" w:space="0" w:color="auto"/>
        <w:left w:val="none" w:sz="0" w:space="0" w:color="auto"/>
        <w:bottom w:val="none" w:sz="0" w:space="0" w:color="auto"/>
        <w:right w:val="none" w:sz="0" w:space="0" w:color="auto"/>
      </w:divBdr>
    </w:div>
    <w:div w:id="1484735091">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624081">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496611389">
      <w:bodyDiv w:val="1"/>
      <w:marLeft w:val="0"/>
      <w:marRight w:val="0"/>
      <w:marTop w:val="0"/>
      <w:marBottom w:val="0"/>
      <w:divBdr>
        <w:top w:val="none" w:sz="0" w:space="0" w:color="auto"/>
        <w:left w:val="none" w:sz="0" w:space="0" w:color="auto"/>
        <w:bottom w:val="none" w:sz="0" w:space="0" w:color="auto"/>
        <w:right w:val="none" w:sz="0" w:space="0" w:color="auto"/>
      </w:divBdr>
    </w:div>
    <w:div w:id="1504398088">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22430710">
      <w:bodyDiv w:val="1"/>
      <w:marLeft w:val="0"/>
      <w:marRight w:val="0"/>
      <w:marTop w:val="0"/>
      <w:marBottom w:val="0"/>
      <w:divBdr>
        <w:top w:val="none" w:sz="0" w:space="0" w:color="auto"/>
        <w:left w:val="none" w:sz="0" w:space="0" w:color="auto"/>
        <w:bottom w:val="none" w:sz="0" w:space="0" w:color="auto"/>
        <w:right w:val="none" w:sz="0" w:space="0" w:color="auto"/>
      </w:divBdr>
    </w:div>
    <w:div w:id="1522550693">
      <w:bodyDiv w:val="1"/>
      <w:marLeft w:val="0"/>
      <w:marRight w:val="0"/>
      <w:marTop w:val="0"/>
      <w:marBottom w:val="0"/>
      <w:divBdr>
        <w:top w:val="none" w:sz="0" w:space="0" w:color="auto"/>
        <w:left w:val="none" w:sz="0" w:space="0" w:color="auto"/>
        <w:bottom w:val="none" w:sz="0" w:space="0" w:color="auto"/>
        <w:right w:val="none" w:sz="0" w:space="0" w:color="auto"/>
      </w:divBdr>
    </w:div>
    <w:div w:id="1530140410">
      <w:bodyDiv w:val="1"/>
      <w:marLeft w:val="0"/>
      <w:marRight w:val="0"/>
      <w:marTop w:val="0"/>
      <w:marBottom w:val="0"/>
      <w:divBdr>
        <w:top w:val="none" w:sz="0" w:space="0" w:color="auto"/>
        <w:left w:val="none" w:sz="0" w:space="0" w:color="auto"/>
        <w:bottom w:val="none" w:sz="0" w:space="0" w:color="auto"/>
        <w:right w:val="none" w:sz="0" w:space="0" w:color="auto"/>
      </w:divBdr>
    </w:div>
    <w:div w:id="1531140754">
      <w:bodyDiv w:val="1"/>
      <w:marLeft w:val="0"/>
      <w:marRight w:val="0"/>
      <w:marTop w:val="0"/>
      <w:marBottom w:val="0"/>
      <w:divBdr>
        <w:top w:val="none" w:sz="0" w:space="0" w:color="auto"/>
        <w:left w:val="none" w:sz="0" w:space="0" w:color="auto"/>
        <w:bottom w:val="none" w:sz="0" w:space="0" w:color="auto"/>
        <w:right w:val="none" w:sz="0" w:space="0" w:color="auto"/>
      </w:divBdr>
    </w:div>
    <w:div w:id="1531606283">
      <w:bodyDiv w:val="1"/>
      <w:marLeft w:val="0"/>
      <w:marRight w:val="0"/>
      <w:marTop w:val="0"/>
      <w:marBottom w:val="0"/>
      <w:divBdr>
        <w:top w:val="none" w:sz="0" w:space="0" w:color="auto"/>
        <w:left w:val="none" w:sz="0" w:space="0" w:color="auto"/>
        <w:bottom w:val="none" w:sz="0" w:space="0" w:color="auto"/>
        <w:right w:val="none" w:sz="0" w:space="0" w:color="auto"/>
      </w:divBdr>
    </w:div>
    <w:div w:id="153160876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88469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5343505">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37623342">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55965935">
      <w:bodyDiv w:val="1"/>
      <w:marLeft w:val="0"/>
      <w:marRight w:val="0"/>
      <w:marTop w:val="0"/>
      <w:marBottom w:val="0"/>
      <w:divBdr>
        <w:top w:val="none" w:sz="0" w:space="0" w:color="auto"/>
        <w:left w:val="none" w:sz="0" w:space="0" w:color="auto"/>
        <w:bottom w:val="none" w:sz="0" w:space="0" w:color="auto"/>
        <w:right w:val="none" w:sz="0" w:space="0" w:color="auto"/>
      </w:divBdr>
    </w:div>
    <w:div w:id="1560750186">
      <w:bodyDiv w:val="1"/>
      <w:marLeft w:val="0"/>
      <w:marRight w:val="0"/>
      <w:marTop w:val="0"/>
      <w:marBottom w:val="0"/>
      <w:divBdr>
        <w:top w:val="none" w:sz="0" w:space="0" w:color="auto"/>
        <w:left w:val="none" w:sz="0" w:space="0" w:color="auto"/>
        <w:bottom w:val="none" w:sz="0" w:space="0" w:color="auto"/>
        <w:right w:val="none" w:sz="0" w:space="0" w:color="auto"/>
      </w:divBdr>
    </w:div>
    <w:div w:id="1561555146">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6669965">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6837061">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89652459">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4893729">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598246120">
      <w:bodyDiv w:val="1"/>
      <w:marLeft w:val="0"/>
      <w:marRight w:val="0"/>
      <w:marTop w:val="0"/>
      <w:marBottom w:val="0"/>
      <w:divBdr>
        <w:top w:val="none" w:sz="0" w:space="0" w:color="auto"/>
        <w:left w:val="none" w:sz="0" w:space="0" w:color="auto"/>
        <w:bottom w:val="none" w:sz="0" w:space="0" w:color="auto"/>
        <w:right w:val="none" w:sz="0" w:space="0" w:color="auto"/>
      </w:divBdr>
    </w:div>
    <w:div w:id="159974963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0505338">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2592131">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5861459">
      <w:bodyDiv w:val="1"/>
      <w:marLeft w:val="0"/>
      <w:marRight w:val="0"/>
      <w:marTop w:val="0"/>
      <w:marBottom w:val="0"/>
      <w:divBdr>
        <w:top w:val="none" w:sz="0" w:space="0" w:color="auto"/>
        <w:left w:val="none" w:sz="0" w:space="0" w:color="auto"/>
        <w:bottom w:val="none" w:sz="0" w:space="0" w:color="auto"/>
        <w:right w:val="none" w:sz="0" w:space="0" w:color="auto"/>
      </w:divBdr>
    </w:div>
    <w:div w:id="1616784919">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19875984">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0821072">
      <w:bodyDiv w:val="1"/>
      <w:marLeft w:val="0"/>
      <w:marRight w:val="0"/>
      <w:marTop w:val="0"/>
      <w:marBottom w:val="0"/>
      <w:divBdr>
        <w:top w:val="none" w:sz="0" w:space="0" w:color="auto"/>
        <w:left w:val="none" w:sz="0" w:space="0" w:color="auto"/>
        <w:bottom w:val="none" w:sz="0" w:space="0" w:color="auto"/>
        <w:right w:val="none" w:sz="0" w:space="0" w:color="auto"/>
      </w:divBdr>
    </w:div>
    <w:div w:id="1632592509">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2755654">
      <w:bodyDiv w:val="1"/>
      <w:marLeft w:val="0"/>
      <w:marRight w:val="0"/>
      <w:marTop w:val="0"/>
      <w:marBottom w:val="0"/>
      <w:divBdr>
        <w:top w:val="none" w:sz="0" w:space="0" w:color="auto"/>
        <w:left w:val="none" w:sz="0" w:space="0" w:color="auto"/>
        <w:bottom w:val="none" w:sz="0" w:space="0" w:color="auto"/>
        <w:right w:val="none" w:sz="0" w:space="0" w:color="auto"/>
      </w:divBdr>
    </w:div>
    <w:div w:id="1653632832">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56446260">
      <w:bodyDiv w:val="1"/>
      <w:marLeft w:val="0"/>
      <w:marRight w:val="0"/>
      <w:marTop w:val="0"/>
      <w:marBottom w:val="0"/>
      <w:divBdr>
        <w:top w:val="none" w:sz="0" w:space="0" w:color="auto"/>
        <w:left w:val="none" w:sz="0" w:space="0" w:color="auto"/>
        <w:bottom w:val="none" w:sz="0" w:space="0" w:color="auto"/>
        <w:right w:val="none" w:sz="0" w:space="0" w:color="auto"/>
      </w:divBdr>
    </w:div>
    <w:div w:id="1658996002">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72683225">
      <w:bodyDiv w:val="1"/>
      <w:marLeft w:val="0"/>
      <w:marRight w:val="0"/>
      <w:marTop w:val="0"/>
      <w:marBottom w:val="0"/>
      <w:divBdr>
        <w:top w:val="none" w:sz="0" w:space="0" w:color="auto"/>
        <w:left w:val="none" w:sz="0" w:space="0" w:color="auto"/>
        <w:bottom w:val="none" w:sz="0" w:space="0" w:color="auto"/>
        <w:right w:val="none" w:sz="0" w:space="0" w:color="auto"/>
      </w:divBdr>
    </w:div>
    <w:div w:id="1677267873">
      <w:bodyDiv w:val="1"/>
      <w:marLeft w:val="0"/>
      <w:marRight w:val="0"/>
      <w:marTop w:val="0"/>
      <w:marBottom w:val="0"/>
      <w:divBdr>
        <w:top w:val="none" w:sz="0" w:space="0" w:color="auto"/>
        <w:left w:val="none" w:sz="0" w:space="0" w:color="auto"/>
        <w:bottom w:val="none" w:sz="0" w:space="0" w:color="auto"/>
        <w:right w:val="none" w:sz="0" w:space="0" w:color="auto"/>
      </w:divBdr>
    </w:div>
    <w:div w:id="1679189302">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6400005">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696227623">
      <w:bodyDiv w:val="1"/>
      <w:marLeft w:val="0"/>
      <w:marRight w:val="0"/>
      <w:marTop w:val="0"/>
      <w:marBottom w:val="0"/>
      <w:divBdr>
        <w:top w:val="none" w:sz="0" w:space="0" w:color="auto"/>
        <w:left w:val="none" w:sz="0" w:space="0" w:color="auto"/>
        <w:bottom w:val="none" w:sz="0" w:space="0" w:color="auto"/>
        <w:right w:val="none" w:sz="0" w:space="0" w:color="auto"/>
      </w:divBdr>
    </w:div>
    <w:div w:id="1697386376">
      <w:bodyDiv w:val="1"/>
      <w:marLeft w:val="0"/>
      <w:marRight w:val="0"/>
      <w:marTop w:val="0"/>
      <w:marBottom w:val="0"/>
      <w:divBdr>
        <w:top w:val="none" w:sz="0" w:space="0" w:color="auto"/>
        <w:left w:val="none" w:sz="0" w:space="0" w:color="auto"/>
        <w:bottom w:val="none" w:sz="0" w:space="0" w:color="auto"/>
        <w:right w:val="none" w:sz="0" w:space="0" w:color="auto"/>
      </w:divBdr>
    </w:div>
    <w:div w:id="1699428418">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123666">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3553169">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0229289">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4965396">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29184146">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38018768">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5301854">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6129770">
      <w:bodyDiv w:val="1"/>
      <w:marLeft w:val="0"/>
      <w:marRight w:val="0"/>
      <w:marTop w:val="0"/>
      <w:marBottom w:val="0"/>
      <w:divBdr>
        <w:top w:val="none" w:sz="0" w:space="0" w:color="auto"/>
        <w:left w:val="none" w:sz="0" w:space="0" w:color="auto"/>
        <w:bottom w:val="none" w:sz="0" w:space="0" w:color="auto"/>
        <w:right w:val="none" w:sz="0" w:space="0" w:color="auto"/>
      </w:divBdr>
    </w:div>
    <w:div w:id="1756323902">
      <w:bodyDiv w:val="1"/>
      <w:marLeft w:val="0"/>
      <w:marRight w:val="0"/>
      <w:marTop w:val="0"/>
      <w:marBottom w:val="0"/>
      <w:divBdr>
        <w:top w:val="none" w:sz="0" w:space="0" w:color="auto"/>
        <w:left w:val="none" w:sz="0" w:space="0" w:color="auto"/>
        <w:bottom w:val="none" w:sz="0" w:space="0" w:color="auto"/>
        <w:right w:val="none" w:sz="0" w:space="0" w:color="auto"/>
      </w:divBdr>
    </w:div>
    <w:div w:id="1756585395">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3184217">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0854515">
      <w:bodyDiv w:val="1"/>
      <w:marLeft w:val="0"/>
      <w:marRight w:val="0"/>
      <w:marTop w:val="0"/>
      <w:marBottom w:val="0"/>
      <w:divBdr>
        <w:top w:val="none" w:sz="0" w:space="0" w:color="auto"/>
        <w:left w:val="none" w:sz="0" w:space="0" w:color="auto"/>
        <w:bottom w:val="none" w:sz="0" w:space="0" w:color="auto"/>
        <w:right w:val="none" w:sz="0" w:space="0" w:color="auto"/>
      </w:divBdr>
    </w:div>
    <w:div w:id="1771005923">
      <w:bodyDiv w:val="1"/>
      <w:marLeft w:val="0"/>
      <w:marRight w:val="0"/>
      <w:marTop w:val="0"/>
      <w:marBottom w:val="0"/>
      <w:divBdr>
        <w:top w:val="none" w:sz="0" w:space="0" w:color="auto"/>
        <w:left w:val="none" w:sz="0" w:space="0" w:color="auto"/>
        <w:bottom w:val="none" w:sz="0" w:space="0" w:color="auto"/>
        <w:right w:val="none" w:sz="0" w:space="0" w:color="auto"/>
      </w:divBdr>
    </w:div>
    <w:div w:id="1773011457">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79833209">
      <w:bodyDiv w:val="1"/>
      <w:marLeft w:val="0"/>
      <w:marRight w:val="0"/>
      <w:marTop w:val="0"/>
      <w:marBottom w:val="0"/>
      <w:divBdr>
        <w:top w:val="none" w:sz="0" w:space="0" w:color="auto"/>
        <w:left w:val="none" w:sz="0" w:space="0" w:color="auto"/>
        <w:bottom w:val="none" w:sz="0" w:space="0" w:color="auto"/>
        <w:right w:val="none" w:sz="0" w:space="0" w:color="auto"/>
      </w:divBdr>
    </w:div>
    <w:div w:id="1780904122">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88159407">
      <w:bodyDiv w:val="1"/>
      <w:marLeft w:val="0"/>
      <w:marRight w:val="0"/>
      <w:marTop w:val="0"/>
      <w:marBottom w:val="0"/>
      <w:divBdr>
        <w:top w:val="none" w:sz="0" w:space="0" w:color="auto"/>
        <w:left w:val="none" w:sz="0" w:space="0" w:color="auto"/>
        <w:bottom w:val="none" w:sz="0" w:space="0" w:color="auto"/>
        <w:right w:val="none" w:sz="0" w:space="0" w:color="auto"/>
      </w:divBdr>
    </w:div>
    <w:div w:id="1792746515">
      <w:bodyDiv w:val="1"/>
      <w:marLeft w:val="0"/>
      <w:marRight w:val="0"/>
      <w:marTop w:val="0"/>
      <w:marBottom w:val="0"/>
      <w:divBdr>
        <w:top w:val="none" w:sz="0" w:space="0" w:color="auto"/>
        <w:left w:val="none" w:sz="0" w:space="0" w:color="auto"/>
        <w:bottom w:val="none" w:sz="0" w:space="0" w:color="auto"/>
        <w:right w:val="none" w:sz="0" w:space="0" w:color="auto"/>
      </w:divBdr>
    </w:div>
    <w:div w:id="1793747924">
      <w:bodyDiv w:val="1"/>
      <w:marLeft w:val="0"/>
      <w:marRight w:val="0"/>
      <w:marTop w:val="0"/>
      <w:marBottom w:val="0"/>
      <w:divBdr>
        <w:top w:val="none" w:sz="0" w:space="0" w:color="auto"/>
        <w:left w:val="none" w:sz="0" w:space="0" w:color="auto"/>
        <w:bottom w:val="none" w:sz="0" w:space="0" w:color="auto"/>
        <w:right w:val="none" w:sz="0" w:space="0" w:color="auto"/>
      </w:divBdr>
    </w:div>
    <w:div w:id="1799950337">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26970532">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3401578">
      <w:bodyDiv w:val="1"/>
      <w:marLeft w:val="0"/>
      <w:marRight w:val="0"/>
      <w:marTop w:val="0"/>
      <w:marBottom w:val="0"/>
      <w:divBdr>
        <w:top w:val="none" w:sz="0" w:space="0" w:color="auto"/>
        <w:left w:val="none" w:sz="0" w:space="0" w:color="auto"/>
        <w:bottom w:val="none" w:sz="0" w:space="0" w:color="auto"/>
        <w:right w:val="none" w:sz="0" w:space="0" w:color="auto"/>
      </w:divBdr>
    </w:div>
    <w:div w:id="1834486555">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46284665">
      <w:bodyDiv w:val="1"/>
      <w:marLeft w:val="0"/>
      <w:marRight w:val="0"/>
      <w:marTop w:val="0"/>
      <w:marBottom w:val="0"/>
      <w:divBdr>
        <w:top w:val="none" w:sz="0" w:space="0" w:color="auto"/>
        <w:left w:val="none" w:sz="0" w:space="0" w:color="auto"/>
        <w:bottom w:val="none" w:sz="0" w:space="0" w:color="auto"/>
        <w:right w:val="none" w:sz="0" w:space="0" w:color="auto"/>
      </w:divBdr>
    </w:div>
    <w:div w:id="1849363387">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7889151">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59544097">
      <w:bodyDiv w:val="1"/>
      <w:marLeft w:val="0"/>
      <w:marRight w:val="0"/>
      <w:marTop w:val="0"/>
      <w:marBottom w:val="0"/>
      <w:divBdr>
        <w:top w:val="none" w:sz="0" w:space="0" w:color="auto"/>
        <w:left w:val="none" w:sz="0" w:space="0" w:color="auto"/>
        <w:bottom w:val="none" w:sz="0" w:space="0" w:color="auto"/>
        <w:right w:val="none" w:sz="0" w:space="0" w:color="auto"/>
      </w:divBdr>
    </w:div>
    <w:div w:id="1859545102">
      <w:bodyDiv w:val="1"/>
      <w:marLeft w:val="0"/>
      <w:marRight w:val="0"/>
      <w:marTop w:val="0"/>
      <w:marBottom w:val="0"/>
      <w:divBdr>
        <w:top w:val="none" w:sz="0" w:space="0" w:color="auto"/>
        <w:left w:val="none" w:sz="0" w:space="0" w:color="auto"/>
        <w:bottom w:val="none" w:sz="0" w:space="0" w:color="auto"/>
        <w:right w:val="none" w:sz="0" w:space="0" w:color="auto"/>
      </w:divBdr>
    </w:div>
    <w:div w:id="1860007176">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1620297">
      <w:bodyDiv w:val="1"/>
      <w:marLeft w:val="0"/>
      <w:marRight w:val="0"/>
      <w:marTop w:val="0"/>
      <w:marBottom w:val="0"/>
      <w:divBdr>
        <w:top w:val="none" w:sz="0" w:space="0" w:color="auto"/>
        <w:left w:val="none" w:sz="0" w:space="0" w:color="auto"/>
        <w:bottom w:val="none" w:sz="0" w:space="0" w:color="auto"/>
        <w:right w:val="none" w:sz="0" w:space="0" w:color="auto"/>
      </w:divBdr>
    </w:div>
    <w:div w:id="1863782827">
      <w:bodyDiv w:val="1"/>
      <w:marLeft w:val="0"/>
      <w:marRight w:val="0"/>
      <w:marTop w:val="0"/>
      <w:marBottom w:val="0"/>
      <w:divBdr>
        <w:top w:val="none" w:sz="0" w:space="0" w:color="auto"/>
        <w:left w:val="none" w:sz="0" w:space="0" w:color="auto"/>
        <w:bottom w:val="none" w:sz="0" w:space="0" w:color="auto"/>
        <w:right w:val="none" w:sz="0" w:space="0" w:color="auto"/>
      </w:divBdr>
    </w:div>
    <w:div w:id="1864050839">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354637">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1359766">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5853166">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7281682">
      <w:bodyDiv w:val="1"/>
      <w:marLeft w:val="0"/>
      <w:marRight w:val="0"/>
      <w:marTop w:val="0"/>
      <w:marBottom w:val="0"/>
      <w:divBdr>
        <w:top w:val="none" w:sz="0" w:space="0" w:color="auto"/>
        <w:left w:val="none" w:sz="0" w:space="0" w:color="auto"/>
        <w:bottom w:val="none" w:sz="0" w:space="0" w:color="auto"/>
        <w:right w:val="none" w:sz="0" w:space="0" w:color="auto"/>
      </w:divBdr>
    </w:div>
    <w:div w:id="1897935669">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3440136">
      <w:bodyDiv w:val="1"/>
      <w:marLeft w:val="0"/>
      <w:marRight w:val="0"/>
      <w:marTop w:val="0"/>
      <w:marBottom w:val="0"/>
      <w:divBdr>
        <w:top w:val="none" w:sz="0" w:space="0" w:color="auto"/>
        <w:left w:val="none" w:sz="0" w:space="0" w:color="auto"/>
        <w:bottom w:val="none" w:sz="0" w:space="0" w:color="auto"/>
        <w:right w:val="none" w:sz="0" w:space="0" w:color="auto"/>
      </w:divBdr>
    </w:div>
    <w:div w:id="1907450200">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14586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32930633">
      <w:bodyDiv w:val="1"/>
      <w:marLeft w:val="0"/>
      <w:marRight w:val="0"/>
      <w:marTop w:val="0"/>
      <w:marBottom w:val="0"/>
      <w:divBdr>
        <w:top w:val="none" w:sz="0" w:space="0" w:color="auto"/>
        <w:left w:val="none" w:sz="0" w:space="0" w:color="auto"/>
        <w:bottom w:val="none" w:sz="0" w:space="0" w:color="auto"/>
        <w:right w:val="none" w:sz="0" w:space="0" w:color="auto"/>
      </w:divBdr>
    </w:div>
    <w:div w:id="1941987420">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5724671">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53243789">
      <w:bodyDiv w:val="1"/>
      <w:marLeft w:val="0"/>
      <w:marRight w:val="0"/>
      <w:marTop w:val="0"/>
      <w:marBottom w:val="0"/>
      <w:divBdr>
        <w:top w:val="none" w:sz="0" w:space="0" w:color="auto"/>
        <w:left w:val="none" w:sz="0" w:space="0" w:color="auto"/>
        <w:bottom w:val="none" w:sz="0" w:space="0" w:color="auto"/>
        <w:right w:val="none" w:sz="0" w:space="0" w:color="auto"/>
      </w:divBdr>
    </w:div>
    <w:div w:id="1954942521">
      <w:bodyDiv w:val="1"/>
      <w:marLeft w:val="0"/>
      <w:marRight w:val="0"/>
      <w:marTop w:val="0"/>
      <w:marBottom w:val="0"/>
      <w:divBdr>
        <w:top w:val="none" w:sz="0" w:space="0" w:color="auto"/>
        <w:left w:val="none" w:sz="0" w:space="0" w:color="auto"/>
        <w:bottom w:val="none" w:sz="0" w:space="0" w:color="auto"/>
        <w:right w:val="none" w:sz="0" w:space="0" w:color="auto"/>
      </w:divBdr>
    </w:div>
    <w:div w:id="1958102563">
      <w:bodyDiv w:val="1"/>
      <w:marLeft w:val="0"/>
      <w:marRight w:val="0"/>
      <w:marTop w:val="0"/>
      <w:marBottom w:val="0"/>
      <w:divBdr>
        <w:top w:val="none" w:sz="0" w:space="0" w:color="auto"/>
        <w:left w:val="none" w:sz="0" w:space="0" w:color="auto"/>
        <w:bottom w:val="none" w:sz="0" w:space="0" w:color="auto"/>
        <w:right w:val="none" w:sz="0" w:space="0" w:color="auto"/>
      </w:divBdr>
    </w:div>
    <w:div w:id="1962882313">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4263915">
      <w:bodyDiv w:val="1"/>
      <w:marLeft w:val="0"/>
      <w:marRight w:val="0"/>
      <w:marTop w:val="0"/>
      <w:marBottom w:val="0"/>
      <w:divBdr>
        <w:top w:val="none" w:sz="0" w:space="0" w:color="auto"/>
        <w:left w:val="none" w:sz="0" w:space="0" w:color="auto"/>
        <w:bottom w:val="none" w:sz="0" w:space="0" w:color="auto"/>
        <w:right w:val="none" w:sz="0" w:space="0" w:color="auto"/>
      </w:divBdr>
    </w:div>
    <w:div w:id="1966424159">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2132183">
      <w:bodyDiv w:val="1"/>
      <w:marLeft w:val="0"/>
      <w:marRight w:val="0"/>
      <w:marTop w:val="0"/>
      <w:marBottom w:val="0"/>
      <w:divBdr>
        <w:top w:val="none" w:sz="0" w:space="0" w:color="auto"/>
        <w:left w:val="none" w:sz="0" w:space="0" w:color="auto"/>
        <w:bottom w:val="none" w:sz="0" w:space="0" w:color="auto"/>
        <w:right w:val="none" w:sz="0" w:space="0" w:color="auto"/>
      </w:divBdr>
    </w:div>
    <w:div w:id="1973636768">
      <w:bodyDiv w:val="1"/>
      <w:marLeft w:val="0"/>
      <w:marRight w:val="0"/>
      <w:marTop w:val="0"/>
      <w:marBottom w:val="0"/>
      <w:divBdr>
        <w:top w:val="none" w:sz="0" w:space="0" w:color="auto"/>
        <w:left w:val="none" w:sz="0" w:space="0" w:color="auto"/>
        <w:bottom w:val="none" w:sz="0" w:space="0" w:color="auto"/>
        <w:right w:val="none" w:sz="0" w:space="0" w:color="auto"/>
      </w:divBdr>
    </w:div>
    <w:div w:id="1974289834">
      <w:bodyDiv w:val="1"/>
      <w:marLeft w:val="0"/>
      <w:marRight w:val="0"/>
      <w:marTop w:val="0"/>
      <w:marBottom w:val="0"/>
      <w:divBdr>
        <w:top w:val="none" w:sz="0" w:space="0" w:color="auto"/>
        <w:left w:val="none" w:sz="0" w:space="0" w:color="auto"/>
        <w:bottom w:val="none" w:sz="0" w:space="0" w:color="auto"/>
        <w:right w:val="none" w:sz="0" w:space="0" w:color="auto"/>
      </w:divBdr>
    </w:div>
    <w:div w:id="1974476789">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77561842">
      <w:bodyDiv w:val="1"/>
      <w:marLeft w:val="0"/>
      <w:marRight w:val="0"/>
      <w:marTop w:val="0"/>
      <w:marBottom w:val="0"/>
      <w:divBdr>
        <w:top w:val="none" w:sz="0" w:space="0" w:color="auto"/>
        <w:left w:val="none" w:sz="0" w:space="0" w:color="auto"/>
        <w:bottom w:val="none" w:sz="0" w:space="0" w:color="auto"/>
        <w:right w:val="none" w:sz="0" w:space="0" w:color="auto"/>
      </w:divBdr>
    </w:div>
    <w:div w:id="1978293348">
      <w:bodyDiv w:val="1"/>
      <w:marLeft w:val="0"/>
      <w:marRight w:val="0"/>
      <w:marTop w:val="0"/>
      <w:marBottom w:val="0"/>
      <w:divBdr>
        <w:top w:val="none" w:sz="0" w:space="0" w:color="auto"/>
        <w:left w:val="none" w:sz="0" w:space="0" w:color="auto"/>
        <w:bottom w:val="none" w:sz="0" w:space="0" w:color="auto"/>
        <w:right w:val="none" w:sz="0" w:space="0" w:color="auto"/>
      </w:divBdr>
    </w:div>
    <w:div w:id="1980333913">
      <w:bodyDiv w:val="1"/>
      <w:marLeft w:val="0"/>
      <w:marRight w:val="0"/>
      <w:marTop w:val="0"/>
      <w:marBottom w:val="0"/>
      <w:divBdr>
        <w:top w:val="none" w:sz="0" w:space="0" w:color="auto"/>
        <w:left w:val="none" w:sz="0" w:space="0" w:color="auto"/>
        <w:bottom w:val="none" w:sz="0" w:space="0" w:color="auto"/>
        <w:right w:val="none" w:sz="0" w:space="0" w:color="auto"/>
      </w:divBdr>
    </w:div>
    <w:div w:id="1983002034">
      <w:bodyDiv w:val="1"/>
      <w:marLeft w:val="0"/>
      <w:marRight w:val="0"/>
      <w:marTop w:val="0"/>
      <w:marBottom w:val="0"/>
      <w:divBdr>
        <w:top w:val="none" w:sz="0" w:space="0" w:color="auto"/>
        <w:left w:val="none" w:sz="0" w:space="0" w:color="auto"/>
        <w:bottom w:val="none" w:sz="0" w:space="0" w:color="auto"/>
        <w:right w:val="none" w:sz="0" w:space="0" w:color="auto"/>
      </w:divBdr>
    </w:div>
    <w:div w:id="1983852117">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1443803">
      <w:bodyDiv w:val="1"/>
      <w:marLeft w:val="0"/>
      <w:marRight w:val="0"/>
      <w:marTop w:val="0"/>
      <w:marBottom w:val="0"/>
      <w:divBdr>
        <w:top w:val="none" w:sz="0" w:space="0" w:color="auto"/>
        <w:left w:val="none" w:sz="0" w:space="0" w:color="auto"/>
        <w:bottom w:val="none" w:sz="0" w:space="0" w:color="auto"/>
        <w:right w:val="none" w:sz="0" w:space="0" w:color="auto"/>
      </w:divBdr>
    </w:div>
    <w:div w:id="1992295225">
      <w:bodyDiv w:val="1"/>
      <w:marLeft w:val="0"/>
      <w:marRight w:val="0"/>
      <w:marTop w:val="0"/>
      <w:marBottom w:val="0"/>
      <w:divBdr>
        <w:top w:val="none" w:sz="0" w:space="0" w:color="auto"/>
        <w:left w:val="none" w:sz="0" w:space="0" w:color="auto"/>
        <w:bottom w:val="none" w:sz="0" w:space="0" w:color="auto"/>
        <w:right w:val="none" w:sz="0" w:space="0" w:color="auto"/>
      </w:divBdr>
    </w:div>
    <w:div w:id="199471976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4820198">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19381990">
      <w:bodyDiv w:val="1"/>
      <w:marLeft w:val="0"/>
      <w:marRight w:val="0"/>
      <w:marTop w:val="0"/>
      <w:marBottom w:val="0"/>
      <w:divBdr>
        <w:top w:val="none" w:sz="0" w:space="0" w:color="auto"/>
        <w:left w:val="none" w:sz="0" w:space="0" w:color="auto"/>
        <w:bottom w:val="none" w:sz="0" w:space="0" w:color="auto"/>
        <w:right w:val="none" w:sz="0" w:space="0" w:color="auto"/>
      </w:divBdr>
    </w:div>
    <w:div w:id="2021271833">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28212275">
      <w:bodyDiv w:val="1"/>
      <w:marLeft w:val="0"/>
      <w:marRight w:val="0"/>
      <w:marTop w:val="0"/>
      <w:marBottom w:val="0"/>
      <w:divBdr>
        <w:top w:val="none" w:sz="0" w:space="0" w:color="auto"/>
        <w:left w:val="none" w:sz="0" w:space="0" w:color="auto"/>
        <w:bottom w:val="none" w:sz="0" w:space="0" w:color="auto"/>
        <w:right w:val="none" w:sz="0" w:space="0" w:color="auto"/>
      </w:divBdr>
    </w:div>
    <w:div w:id="2029720610">
      <w:bodyDiv w:val="1"/>
      <w:marLeft w:val="0"/>
      <w:marRight w:val="0"/>
      <w:marTop w:val="0"/>
      <w:marBottom w:val="0"/>
      <w:divBdr>
        <w:top w:val="none" w:sz="0" w:space="0" w:color="auto"/>
        <w:left w:val="none" w:sz="0" w:space="0" w:color="auto"/>
        <w:bottom w:val="none" w:sz="0" w:space="0" w:color="auto"/>
        <w:right w:val="none" w:sz="0" w:space="0" w:color="auto"/>
      </w:divBdr>
    </w:div>
    <w:div w:id="2029720794">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1587269">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58235514">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144455">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451859">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028672">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2924946">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3021622">
      <w:bodyDiv w:val="1"/>
      <w:marLeft w:val="0"/>
      <w:marRight w:val="0"/>
      <w:marTop w:val="0"/>
      <w:marBottom w:val="0"/>
      <w:divBdr>
        <w:top w:val="none" w:sz="0" w:space="0" w:color="auto"/>
        <w:left w:val="none" w:sz="0" w:space="0" w:color="auto"/>
        <w:bottom w:val="none" w:sz="0" w:space="0" w:color="auto"/>
        <w:right w:val="none" w:sz="0" w:space="0" w:color="auto"/>
      </w:divBdr>
    </w:div>
    <w:div w:id="2088720842">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8475332">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4284015">
      <w:bodyDiv w:val="1"/>
      <w:marLeft w:val="0"/>
      <w:marRight w:val="0"/>
      <w:marTop w:val="0"/>
      <w:marBottom w:val="0"/>
      <w:divBdr>
        <w:top w:val="none" w:sz="0" w:space="0" w:color="auto"/>
        <w:left w:val="none" w:sz="0" w:space="0" w:color="auto"/>
        <w:bottom w:val="none" w:sz="0" w:space="0" w:color="auto"/>
        <w:right w:val="none" w:sz="0" w:space="0" w:color="auto"/>
      </w:divBdr>
    </w:div>
    <w:div w:id="2117210165">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4106358">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1970489">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5660420">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emf"/><Relationship Id="rId33"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yperlink" Target="http://www.esay.edu.mx/wp/wp-content/uploads/2018/09/6-Reglamento-de-Alumnos.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hyperlink" Target="http://www.esay.edu.mx/wp/wp-content/uploads/2019/05/Reglamento-Bibliotecas..pdf"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emf"/><Relationship Id="rId28" Type="http://schemas.openxmlformats.org/officeDocument/2006/relationships/hyperlink" Target="http://www.esay.edu.mx/wp/wp-content/uploads/2019/09/Modificacio%CC%81n-al-RPPPA.pdf" TargetMode="Externa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http://www.esay.edu.mx/wp/wp-content/uploads/2018/09/9-Reglamento-de-Posgrado.-ESAY.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package" Target="embeddings/Hoja_de_c_lculo_de_Microsoft_Excel.xlsx"/><Relationship Id="rId27" Type="http://schemas.openxmlformats.org/officeDocument/2006/relationships/hyperlink" Target="http://www.esay.edu.mx/wp/wp-content/uploads/2019/02/ESAY_Codigo_etica_Gobierno_del_Estado_Acuerdo_4_2019.pdf" TargetMode="External"/><Relationship Id="rId30" Type="http://schemas.openxmlformats.org/officeDocument/2006/relationships/hyperlink" Target="http://www.esay.edu.mx/wp/wp-content/uploads/2019/08/Reglamento-de-Servicio-Social-2019.pdf" TargetMode="Externa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398F4-A176-48A8-97E0-8F04884C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6971</Words>
  <Characters>38343</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liliana.medina</dc:creator>
  <cp:lastModifiedBy>Sharon Yanelli Lara Medrano</cp:lastModifiedBy>
  <cp:revision>2</cp:revision>
  <cp:lastPrinted>2020-12-06T01:22:00Z</cp:lastPrinted>
  <dcterms:created xsi:type="dcterms:W3CDTF">2021-04-30T15:58:00Z</dcterms:created>
  <dcterms:modified xsi:type="dcterms:W3CDTF">2021-04-30T15:58:00Z</dcterms:modified>
</cp:coreProperties>
</file>