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12" w:rsidRPr="00D763EA" w:rsidRDefault="00335812" w:rsidP="00335812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bookmarkStart w:id="0" w:name="_GoBack"/>
      <w:bookmarkEnd w:id="0"/>
      <w:r w:rsidRPr="00D763EA">
        <w:rPr>
          <w:rFonts w:ascii="Barlow" w:hAnsi="Barlow"/>
          <w:b/>
          <w:sz w:val="20"/>
        </w:rPr>
        <w:t>Notas a los Estados Financieros</w:t>
      </w:r>
    </w:p>
    <w:p w:rsidR="00335812" w:rsidRPr="00D763EA" w:rsidRDefault="00335812" w:rsidP="00335812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</w:p>
    <w:p w:rsidR="00335812" w:rsidRPr="00D763EA" w:rsidRDefault="00335812" w:rsidP="00335812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r w:rsidRPr="00D763EA">
        <w:rPr>
          <w:rFonts w:ascii="Barlow" w:hAnsi="Barlow"/>
          <w:b/>
          <w:sz w:val="20"/>
        </w:rPr>
        <w:t>Al 3</w:t>
      </w:r>
      <w:r>
        <w:rPr>
          <w:rFonts w:ascii="Barlow" w:hAnsi="Barlow"/>
          <w:b/>
          <w:sz w:val="20"/>
        </w:rPr>
        <w:t>1 de marzo</w:t>
      </w:r>
      <w:r w:rsidRPr="00D763EA">
        <w:rPr>
          <w:rFonts w:ascii="Barlow" w:hAnsi="Barlow"/>
          <w:b/>
          <w:sz w:val="20"/>
        </w:rPr>
        <w:t xml:space="preserve"> del</w:t>
      </w:r>
      <w:r>
        <w:rPr>
          <w:rFonts w:ascii="Barlow" w:hAnsi="Barlow"/>
          <w:b/>
          <w:sz w:val="20"/>
        </w:rPr>
        <w:t xml:space="preserve"> 2021</w:t>
      </w:r>
    </w:p>
    <w:p w:rsidR="00335812" w:rsidRPr="00D763EA" w:rsidRDefault="00335812" w:rsidP="00335812">
      <w:pPr>
        <w:pStyle w:val="Texto"/>
        <w:spacing w:after="0" w:line="240" w:lineRule="exact"/>
        <w:ind w:firstLine="708"/>
        <w:jc w:val="center"/>
        <w:rPr>
          <w:rFonts w:ascii="Barlow" w:hAnsi="Barlow"/>
          <w:b/>
          <w:sz w:val="20"/>
        </w:rPr>
      </w:pPr>
    </w:p>
    <w:p w:rsidR="00335812" w:rsidRPr="00D763EA" w:rsidRDefault="00335812" w:rsidP="00335812">
      <w:pPr>
        <w:pStyle w:val="Texto"/>
        <w:spacing w:after="0" w:line="240" w:lineRule="exact"/>
        <w:jc w:val="center"/>
        <w:rPr>
          <w:rFonts w:ascii="Barlow" w:hAnsi="Barlow"/>
          <w:b/>
          <w:sz w:val="20"/>
        </w:rPr>
      </w:pPr>
      <w:r w:rsidRPr="00D763EA">
        <w:rPr>
          <w:rFonts w:ascii="Barlow" w:hAnsi="Barlow"/>
          <w:b/>
          <w:sz w:val="20"/>
        </w:rPr>
        <w:t>(</w:t>
      </w:r>
      <w:r>
        <w:rPr>
          <w:rFonts w:ascii="Barlow" w:hAnsi="Barlow"/>
          <w:b/>
          <w:sz w:val="20"/>
        </w:rPr>
        <w:t xml:space="preserve">Cifras en </w:t>
      </w:r>
      <w:r w:rsidRPr="00D763EA">
        <w:rPr>
          <w:rFonts w:ascii="Barlow" w:hAnsi="Barlow"/>
          <w:b/>
          <w:sz w:val="20"/>
        </w:rPr>
        <w:t>Pesos)</w:t>
      </w:r>
    </w:p>
    <w:p w:rsidR="0079582C" w:rsidRPr="00B276A4" w:rsidRDefault="0079582C" w:rsidP="00540418">
      <w:pPr>
        <w:pStyle w:val="Texto"/>
        <w:spacing w:after="0" w:line="240" w:lineRule="exact"/>
        <w:jc w:val="center"/>
        <w:rPr>
          <w:rFonts w:asciiTheme="minorHAnsi" w:hAnsiTheme="minorHAnsi"/>
          <w:b/>
          <w:sz w:val="20"/>
        </w:rPr>
      </w:pPr>
    </w:p>
    <w:p w:rsidR="00103888" w:rsidRPr="00B276A4" w:rsidRDefault="00103888" w:rsidP="00540418">
      <w:pPr>
        <w:pStyle w:val="Texto"/>
        <w:spacing w:after="0" w:line="240" w:lineRule="exact"/>
        <w:jc w:val="center"/>
        <w:rPr>
          <w:rFonts w:asciiTheme="minorHAnsi" w:hAnsiTheme="minorHAnsi"/>
          <w:b/>
          <w:sz w:val="20"/>
        </w:rPr>
      </w:pPr>
    </w:p>
    <w:p w:rsidR="00A46449" w:rsidRPr="00335812" w:rsidRDefault="00A46449" w:rsidP="005B61EC">
      <w:pPr>
        <w:pStyle w:val="Texto"/>
        <w:spacing w:after="0" w:line="240" w:lineRule="exact"/>
        <w:jc w:val="left"/>
        <w:rPr>
          <w:rFonts w:ascii="Barlow" w:hAnsi="Barlow"/>
          <w:b/>
          <w:sz w:val="20"/>
        </w:rPr>
      </w:pPr>
      <w:r w:rsidRPr="00335812">
        <w:rPr>
          <w:rFonts w:ascii="Barlow" w:hAnsi="Barlow"/>
          <w:b/>
          <w:sz w:val="20"/>
        </w:rPr>
        <w:t>Ente Público:</w:t>
      </w:r>
      <w:r w:rsidR="00E01DAD" w:rsidRPr="00335812">
        <w:rPr>
          <w:rFonts w:ascii="Barlow" w:hAnsi="Barlow"/>
          <w:b/>
          <w:sz w:val="20"/>
        </w:rPr>
        <w:t xml:space="preserve"> PROGRAMA DE BECAS NACIONALES PARA LA EDUCACION SUPERIOR MANUTENCION EN YUCATAN.</w:t>
      </w:r>
    </w:p>
    <w:p w:rsidR="005B61EC" w:rsidRPr="00335812" w:rsidRDefault="005B61EC" w:rsidP="005B61EC">
      <w:pPr>
        <w:pStyle w:val="Texto"/>
        <w:spacing w:after="0" w:line="240" w:lineRule="exact"/>
        <w:jc w:val="left"/>
        <w:rPr>
          <w:rFonts w:ascii="Barlow" w:hAnsi="Barlow"/>
          <w:b/>
          <w:sz w:val="20"/>
        </w:rPr>
      </w:pPr>
    </w:p>
    <w:p w:rsidR="00540418" w:rsidRPr="00335812" w:rsidRDefault="00540418" w:rsidP="005B61EC">
      <w:pPr>
        <w:pStyle w:val="Texto"/>
        <w:spacing w:after="0" w:line="240" w:lineRule="exact"/>
        <w:jc w:val="left"/>
        <w:rPr>
          <w:rFonts w:ascii="Barlow" w:hAnsi="Barlow"/>
          <w:sz w:val="20"/>
        </w:rPr>
      </w:pPr>
      <w:r w:rsidRPr="00335812">
        <w:rPr>
          <w:rFonts w:ascii="Barlow" w:hAnsi="Barlow"/>
          <w:b/>
          <w:sz w:val="20"/>
        </w:rPr>
        <w:t>a) NOTAS DE DESGLOSE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  <w:lang w:val="es-MX"/>
        </w:rPr>
      </w:pPr>
    </w:p>
    <w:p w:rsidR="00540418" w:rsidRPr="00335812" w:rsidRDefault="00540418" w:rsidP="005174EA">
      <w:pPr>
        <w:pStyle w:val="INCISO"/>
        <w:numPr>
          <w:ilvl w:val="0"/>
          <w:numId w:val="6"/>
        </w:numPr>
        <w:spacing w:after="0" w:line="240" w:lineRule="exact"/>
        <w:rPr>
          <w:rFonts w:ascii="Barlow" w:hAnsi="Barlow"/>
          <w:b/>
          <w:smallCaps/>
          <w:sz w:val="20"/>
          <w:szCs w:val="20"/>
        </w:rPr>
      </w:pPr>
      <w:r w:rsidRPr="00335812">
        <w:rPr>
          <w:rFonts w:ascii="Barlow" w:hAnsi="Barlow"/>
          <w:b/>
          <w:smallCaps/>
          <w:sz w:val="20"/>
          <w:szCs w:val="20"/>
        </w:rPr>
        <w:t>Notas al Estado de Situación Financiera</w:t>
      </w:r>
    </w:p>
    <w:p w:rsidR="00613ECF" w:rsidRPr="00335812" w:rsidRDefault="00613ECF" w:rsidP="00613ECF">
      <w:pPr>
        <w:pStyle w:val="INCISO"/>
        <w:spacing w:after="0" w:line="240" w:lineRule="exact"/>
        <w:rPr>
          <w:rFonts w:ascii="Barlow" w:hAnsi="Barlow"/>
          <w:b/>
          <w:smallCaps/>
          <w:sz w:val="20"/>
          <w:szCs w:val="20"/>
        </w:rPr>
      </w:pPr>
    </w:p>
    <w:p w:rsidR="00540418" w:rsidRPr="00335812" w:rsidRDefault="00540418" w:rsidP="00164CF5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Activo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540418" w:rsidP="00540418">
      <w:pPr>
        <w:pStyle w:val="Texto"/>
        <w:spacing w:after="0" w:line="240" w:lineRule="exact"/>
        <w:ind w:firstLine="706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Efectivo y Equivalentes</w:t>
      </w:r>
    </w:p>
    <w:p w:rsidR="003C1161" w:rsidRPr="00335812" w:rsidRDefault="00A656BC" w:rsidP="00540418">
      <w:pPr>
        <w:pStyle w:val="Texto"/>
        <w:spacing w:after="0" w:line="240" w:lineRule="exact"/>
        <w:ind w:firstLine="706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 xml:space="preserve"> Bancos y Tesorerí</w:t>
      </w:r>
      <w:r w:rsidR="003C1161" w:rsidRPr="00335812">
        <w:rPr>
          <w:rFonts w:ascii="Barlow" w:hAnsi="Barlow"/>
          <w:b/>
          <w:sz w:val="20"/>
          <w:lang w:val="es-MX"/>
        </w:rPr>
        <w:t>a</w:t>
      </w:r>
    </w:p>
    <w:p w:rsidR="00ED29C8" w:rsidRPr="00335812" w:rsidRDefault="009F13E4" w:rsidP="00F6202C">
      <w:pPr>
        <w:pStyle w:val="Texto"/>
        <w:spacing w:after="0" w:line="240" w:lineRule="exact"/>
        <w:ind w:left="-567" w:firstLine="0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noProof/>
          <w:sz w:val="20"/>
          <w:highlight w:val="yellow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5.75pt;margin-top:4.1pt;width:637.3pt;height:151.95pt;z-index:251653632">
            <v:imagedata r:id="rId8" o:title=""/>
            <w10:wrap type="square"/>
          </v:shape>
          <o:OLEObject Type="Embed" ProgID="Excel.Sheet.12" ShapeID="_x0000_s1032" DrawAspect="Content" ObjectID="_1685188271" r:id="rId9"/>
        </w:object>
      </w:r>
    </w:p>
    <w:p w:rsidR="00ED29C8" w:rsidRPr="00335812" w:rsidRDefault="00ED29C8" w:rsidP="00540418">
      <w:pPr>
        <w:pStyle w:val="Texto"/>
        <w:spacing w:after="0" w:line="240" w:lineRule="exact"/>
        <w:ind w:firstLine="706"/>
        <w:rPr>
          <w:rFonts w:ascii="Barlow" w:hAnsi="Barlow"/>
          <w:b/>
          <w:sz w:val="20"/>
          <w:lang w:val="es-MX"/>
        </w:rPr>
      </w:pPr>
    </w:p>
    <w:p w:rsidR="00ED29C8" w:rsidRPr="00335812" w:rsidRDefault="00ED29C8" w:rsidP="006A4FF8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536609" w:rsidRPr="00335812" w:rsidRDefault="00536609" w:rsidP="00164CF5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536609" w:rsidRPr="00335812" w:rsidRDefault="00536609" w:rsidP="004A508F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5263BA" w:rsidRPr="00335812" w:rsidRDefault="005263BA" w:rsidP="004A508F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5263BA" w:rsidRDefault="005263BA" w:rsidP="004A508F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335812" w:rsidRPr="00335812" w:rsidRDefault="00335812" w:rsidP="004A508F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ED29C8" w:rsidRPr="00335812" w:rsidRDefault="00335812" w:rsidP="00540418">
      <w:pPr>
        <w:pStyle w:val="Texto"/>
        <w:spacing w:after="0" w:line="240" w:lineRule="exact"/>
        <w:ind w:firstLine="706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noProof/>
          <w:sz w:val="20"/>
        </w:rPr>
        <w:object w:dxaOrig="1440" w:dyaOrig="1440">
          <v:shape id="_x0000_s1034" type="#_x0000_t75" style="position:absolute;left:0;text-align:left;margin-left:-105.6pt;margin-top:-42.05pt;width:796.5pt;height:107.8pt;z-index:251654656">
            <v:imagedata r:id="rId10" o:title=""/>
          </v:shape>
          <o:OLEObject Type="Embed" ProgID="Excel.Sheet.12" ShapeID="_x0000_s1034" DrawAspect="Content" ObjectID="_1685188272" r:id="rId11"/>
        </w:object>
      </w:r>
      <w:r w:rsidR="00536609" w:rsidRPr="00335812">
        <w:rPr>
          <w:rFonts w:ascii="Barlow" w:hAnsi="Barlow"/>
          <w:b/>
          <w:sz w:val="20"/>
          <w:lang w:val="es-MX"/>
        </w:rPr>
        <w:t>D</w:t>
      </w:r>
      <w:r w:rsidR="0074321E" w:rsidRPr="00335812">
        <w:rPr>
          <w:rFonts w:ascii="Barlow" w:hAnsi="Barlow"/>
          <w:b/>
          <w:sz w:val="20"/>
          <w:lang w:val="es-MX"/>
        </w:rPr>
        <w:t>erechos a recibir Efectivo y Equivalentes y Bienes o Servicios a Recibir</w:t>
      </w:r>
    </w:p>
    <w:p w:rsidR="00ED29C8" w:rsidRPr="00335812" w:rsidRDefault="00ED29C8" w:rsidP="00540418">
      <w:pPr>
        <w:pStyle w:val="Texto"/>
        <w:spacing w:after="0" w:line="240" w:lineRule="exact"/>
        <w:ind w:firstLine="706"/>
        <w:rPr>
          <w:rFonts w:ascii="Barlow" w:hAnsi="Barlow"/>
          <w:b/>
          <w:sz w:val="20"/>
          <w:lang w:val="es-MX"/>
        </w:rPr>
      </w:pPr>
    </w:p>
    <w:p w:rsidR="00ED29C8" w:rsidRPr="00335812" w:rsidRDefault="00ED29C8" w:rsidP="00540418">
      <w:pPr>
        <w:pStyle w:val="Texto"/>
        <w:spacing w:after="0" w:line="240" w:lineRule="exact"/>
        <w:ind w:firstLine="706"/>
        <w:rPr>
          <w:rFonts w:ascii="Barlow" w:hAnsi="Barlow"/>
          <w:b/>
          <w:sz w:val="20"/>
          <w:lang w:val="es-MX"/>
        </w:rPr>
      </w:pPr>
    </w:p>
    <w:p w:rsidR="00ED29C8" w:rsidRPr="00335812" w:rsidRDefault="00ED29C8" w:rsidP="00540418">
      <w:pPr>
        <w:pStyle w:val="Texto"/>
        <w:spacing w:after="0" w:line="240" w:lineRule="exact"/>
        <w:ind w:firstLine="706"/>
        <w:rPr>
          <w:rFonts w:ascii="Barlow" w:hAnsi="Barlow"/>
          <w:b/>
          <w:sz w:val="20"/>
          <w:lang w:val="es-MX"/>
        </w:rPr>
      </w:pPr>
    </w:p>
    <w:p w:rsidR="00ED29C8" w:rsidRPr="00335812" w:rsidRDefault="00ED29C8" w:rsidP="00DC4E81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694E66" w:rsidRPr="00335812" w:rsidRDefault="00694E66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E01DAD" w:rsidRPr="00335812" w:rsidRDefault="00540418" w:rsidP="00E01DAD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ab/>
      </w:r>
    </w:p>
    <w:p w:rsidR="002B13F9" w:rsidRPr="00335812" w:rsidRDefault="00540418" w:rsidP="00E01DAD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>Bienes Disponibles para su Transformación o Consumo (inventarios)</w:t>
      </w:r>
    </w:p>
    <w:p w:rsidR="002B13F9" w:rsidRPr="00335812" w:rsidRDefault="002B13F9" w:rsidP="004256E9">
      <w:pPr>
        <w:pStyle w:val="ROMANOS"/>
        <w:spacing w:after="0" w:line="240" w:lineRule="exact"/>
        <w:ind w:hanging="12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>No Aplica</w:t>
      </w:r>
    </w:p>
    <w:p w:rsidR="005F34C0" w:rsidRPr="00335812" w:rsidRDefault="00540418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ab/>
        <w:t>Inversiones Financieras</w:t>
      </w:r>
    </w:p>
    <w:p w:rsidR="00540418" w:rsidRPr="00335812" w:rsidRDefault="005F34C0" w:rsidP="004256E9">
      <w:pPr>
        <w:pStyle w:val="ROMANOS"/>
        <w:spacing w:after="0" w:line="240" w:lineRule="exact"/>
        <w:ind w:hanging="12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>No Aplica</w:t>
      </w:r>
      <w:r w:rsidR="00540418" w:rsidRPr="00335812">
        <w:rPr>
          <w:rFonts w:ascii="Barlow" w:hAnsi="Barlow"/>
          <w:sz w:val="20"/>
          <w:szCs w:val="20"/>
          <w:lang w:val="es-MX"/>
        </w:rPr>
        <w:t>.</w:t>
      </w:r>
    </w:p>
    <w:p w:rsidR="00540418" w:rsidRPr="00335812" w:rsidRDefault="00540418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ab/>
        <w:t>Bienes Muebles, Inmuebles e Intangibles</w:t>
      </w:r>
    </w:p>
    <w:p w:rsidR="006734E2" w:rsidRPr="00335812" w:rsidRDefault="006734E2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6734E2" w:rsidRDefault="006734E2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164CF5" w:rsidRPr="00335812" w:rsidRDefault="00164CF5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6734E2" w:rsidRPr="00335812" w:rsidRDefault="009F13E4" w:rsidP="004256E9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b/>
          <w:noProof/>
          <w:sz w:val="20"/>
          <w:szCs w:val="20"/>
        </w:rPr>
        <w:lastRenderedPageBreak/>
        <w:object w:dxaOrig="1440" w:dyaOrig="1440">
          <v:shape id="_x0000_s1035" type="#_x0000_t75" style="position:absolute;left:0;text-align:left;margin-left:-15.55pt;margin-top:10.1pt;width:686.3pt;height:198.9pt;z-index:251655680">
            <v:imagedata r:id="rId12" o:title=""/>
          </v:shape>
          <o:OLEObject Type="Embed" ProgID="Excel.Sheet.12" ShapeID="_x0000_s1035" DrawAspect="Content" ObjectID="_1685188273" r:id="rId13"/>
        </w:object>
      </w: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E175F6" w:rsidP="00355041">
      <w:pPr>
        <w:pStyle w:val="ROMANOS"/>
        <w:spacing w:after="0" w:line="240" w:lineRule="exact"/>
        <w:ind w:hanging="11"/>
        <w:rPr>
          <w:rFonts w:ascii="Barlow" w:hAnsi="Barlow"/>
          <w:sz w:val="20"/>
          <w:szCs w:val="20"/>
          <w:lang w:val="es-MX"/>
        </w:rPr>
      </w:pPr>
    </w:p>
    <w:p w:rsidR="00A41929" w:rsidRPr="00335812" w:rsidRDefault="00A41929" w:rsidP="00E175F6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A41929" w:rsidRPr="00335812" w:rsidRDefault="00A41929" w:rsidP="004A508F">
      <w:pPr>
        <w:pStyle w:val="ROMANOS"/>
        <w:spacing w:after="0" w:line="240" w:lineRule="exact"/>
        <w:ind w:left="0" w:firstLine="0"/>
        <w:jc w:val="left"/>
        <w:rPr>
          <w:rFonts w:ascii="Barlow" w:hAnsi="Barlow"/>
          <w:sz w:val="20"/>
          <w:szCs w:val="20"/>
          <w:lang w:val="es-MX"/>
        </w:rPr>
      </w:pPr>
    </w:p>
    <w:p w:rsidR="004A508F" w:rsidRPr="00335812" w:rsidRDefault="004A508F" w:rsidP="004A508F">
      <w:pPr>
        <w:pStyle w:val="ROMANOS"/>
        <w:spacing w:after="0" w:line="240" w:lineRule="exact"/>
        <w:ind w:left="0" w:firstLine="0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9317D7" w:rsidRPr="00335812" w:rsidRDefault="009317D7" w:rsidP="00A41929">
      <w:pPr>
        <w:pStyle w:val="ROMANOS"/>
        <w:spacing w:after="0" w:line="240" w:lineRule="exact"/>
        <w:jc w:val="left"/>
        <w:rPr>
          <w:rFonts w:ascii="Barlow" w:hAnsi="Barlow"/>
          <w:sz w:val="20"/>
          <w:szCs w:val="20"/>
          <w:lang w:val="es-MX"/>
        </w:rPr>
      </w:pPr>
    </w:p>
    <w:p w:rsidR="00E175F6" w:rsidRPr="00335812" w:rsidRDefault="00191B41" w:rsidP="00A41929">
      <w:pPr>
        <w:pStyle w:val="ROMANOS"/>
        <w:spacing w:after="0" w:line="240" w:lineRule="exact"/>
        <w:jc w:val="lef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 xml:space="preserve">En el apartado de ANEXOS dentro de la </w:t>
      </w:r>
      <w:r w:rsidRPr="00335812">
        <w:rPr>
          <w:rFonts w:ascii="Barlow" w:hAnsi="Barlow"/>
          <w:b/>
          <w:sz w:val="20"/>
          <w:szCs w:val="20"/>
          <w:lang w:val="es-MX"/>
        </w:rPr>
        <w:t>relación de</w:t>
      </w:r>
      <w:r w:rsidRPr="00335812">
        <w:rPr>
          <w:rFonts w:ascii="Barlow" w:hAnsi="Barlow"/>
          <w:sz w:val="20"/>
          <w:szCs w:val="20"/>
          <w:lang w:val="es-MX"/>
        </w:rPr>
        <w:t xml:space="preserve"> </w:t>
      </w:r>
      <w:r w:rsidRPr="00335812">
        <w:rPr>
          <w:rFonts w:ascii="Barlow" w:hAnsi="Barlow"/>
          <w:b/>
          <w:sz w:val="20"/>
          <w:szCs w:val="20"/>
          <w:lang w:val="es-MX"/>
        </w:rPr>
        <w:t>bienes muebles</w:t>
      </w:r>
      <w:r w:rsidRPr="00335812">
        <w:rPr>
          <w:rFonts w:ascii="Barlow" w:hAnsi="Barlow"/>
          <w:sz w:val="20"/>
          <w:szCs w:val="20"/>
          <w:lang w:val="es-MX"/>
        </w:rPr>
        <w:t xml:space="preserve"> presentamos lo que tenemos registrado en nuestra contabilidad</w:t>
      </w:r>
      <w:r w:rsidR="00355041" w:rsidRPr="00335812">
        <w:rPr>
          <w:rFonts w:ascii="Barlow" w:hAnsi="Barlow"/>
          <w:sz w:val="20"/>
          <w:szCs w:val="20"/>
          <w:lang w:val="es-MX"/>
        </w:rPr>
        <w:t>.</w:t>
      </w:r>
      <w:r w:rsidR="00153441" w:rsidRPr="00335812">
        <w:rPr>
          <w:rFonts w:ascii="Barlow" w:hAnsi="Barlow"/>
          <w:b/>
          <w:sz w:val="20"/>
          <w:szCs w:val="20"/>
          <w:lang w:val="es-MX"/>
        </w:rPr>
        <w:t xml:space="preserve"> </w:t>
      </w:r>
    </w:p>
    <w:p w:rsidR="009D7C02" w:rsidRPr="00335812" w:rsidRDefault="00153441" w:rsidP="00E175F6">
      <w:pPr>
        <w:pStyle w:val="ROMANOS"/>
        <w:tabs>
          <w:tab w:val="clear" w:pos="720"/>
          <w:tab w:val="left" w:pos="851"/>
        </w:tabs>
        <w:spacing w:after="0" w:line="240" w:lineRule="exact"/>
        <w:ind w:left="709" w:hanging="421"/>
        <w:jc w:val="left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 xml:space="preserve">Las depreciaciones se realizaban </w:t>
      </w:r>
      <w:r w:rsidR="007A7B76" w:rsidRPr="00335812">
        <w:rPr>
          <w:rFonts w:ascii="Barlow" w:hAnsi="Barlow"/>
          <w:sz w:val="20"/>
          <w:szCs w:val="20"/>
          <w:lang w:val="es-MX"/>
        </w:rPr>
        <w:t>a partir del</w:t>
      </w:r>
      <w:r w:rsidRPr="00335812">
        <w:rPr>
          <w:rFonts w:ascii="Barlow" w:hAnsi="Barlow"/>
          <w:sz w:val="20"/>
          <w:szCs w:val="20"/>
          <w:lang w:val="es-MX"/>
        </w:rPr>
        <w:t xml:space="preserve"> siguiente</w:t>
      </w:r>
      <w:r w:rsidR="007A7B76" w:rsidRPr="00335812">
        <w:rPr>
          <w:rFonts w:ascii="Barlow" w:hAnsi="Barlow"/>
          <w:sz w:val="20"/>
          <w:szCs w:val="20"/>
          <w:lang w:val="es-MX"/>
        </w:rPr>
        <w:t xml:space="preserve"> mes de su adquisición aplicando los porcentajes de la CONAC.</w:t>
      </w:r>
    </w:p>
    <w:p w:rsidR="009731F9" w:rsidRPr="00335812" w:rsidRDefault="009731F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9731F9" w:rsidRPr="00335812" w:rsidRDefault="00335812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noProof/>
          <w:sz w:val="20"/>
          <w:szCs w:val="20"/>
        </w:rPr>
        <w:lastRenderedPageBreak/>
        <w:object w:dxaOrig="1440" w:dyaOrig="1440">
          <v:shape id="_x0000_s1037" type="#_x0000_t75" style="position:absolute;left:0;text-align:left;margin-left:0;margin-top:.65pt;width:607.95pt;height:226.35pt;z-index:251656704;mso-position-horizontal:center">
            <v:imagedata r:id="rId14" o:title=""/>
            <w10:wrap type="square"/>
          </v:shape>
          <o:OLEObject Type="Embed" ProgID="Excel.Sheet.12" ShapeID="_x0000_s1037" DrawAspect="Content" ObjectID="_1685188274" r:id="rId15"/>
        </w:object>
      </w:r>
    </w:p>
    <w:p w:rsidR="0063020D" w:rsidRPr="00335812" w:rsidRDefault="0063020D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63020D" w:rsidRPr="00335812" w:rsidRDefault="0063020D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A41929" w:rsidRPr="00335812" w:rsidRDefault="00A41929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540418" w:rsidRPr="00335812" w:rsidRDefault="00540418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>Estimaciones y Deterioros</w:t>
      </w:r>
    </w:p>
    <w:p w:rsidR="00540418" w:rsidRPr="00335812" w:rsidRDefault="00125D35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ab/>
      </w:r>
      <w:r w:rsidR="001C4165" w:rsidRPr="00335812">
        <w:rPr>
          <w:rFonts w:ascii="Barlow" w:hAnsi="Barlow"/>
          <w:sz w:val="20"/>
          <w:szCs w:val="20"/>
          <w:lang w:val="es-MX"/>
        </w:rPr>
        <w:t>No Aplica</w:t>
      </w:r>
    </w:p>
    <w:p w:rsidR="00540418" w:rsidRPr="00335812" w:rsidRDefault="00540418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1C4165" w:rsidRPr="00335812" w:rsidRDefault="00FE7EF5" w:rsidP="00FE7EF5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 xml:space="preserve">     </w:t>
      </w:r>
      <w:r w:rsidR="005A5552" w:rsidRPr="00335812">
        <w:rPr>
          <w:rFonts w:ascii="Barlow" w:hAnsi="Barlow"/>
          <w:sz w:val="20"/>
          <w:szCs w:val="20"/>
          <w:lang w:val="es-MX"/>
        </w:rPr>
        <w:t xml:space="preserve"> </w:t>
      </w:r>
      <w:r w:rsidR="005A5552" w:rsidRPr="00335812">
        <w:rPr>
          <w:rFonts w:ascii="Barlow" w:hAnsi="Barlow"/>
          <w:b/>
          <w:sz w:val="20"/>
          <w:szCs w:val="20"/>
          <w:lang w:val="es-MX"/>
        </w:rPr>
        <w:t>Otros Activos</w:t>
      </w:r>
    </w:p>
    <w:p w:rsidR="005A5552" w:rsidRPr="00335812" w:rsidRDefault="009731F9" w:rsidP="005A5552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ab/>
      </w:r>
      <w:r w:rsidR="005A5552" w:rsidRPr="00335812">
        <w:rPr>
          <w:rFonts w:ascii="Barlow" w:hAnsi="Barlow"/>
          <w:sz w:val="20"/>
          <w:szCs w:val="20"/>
          <w:lang w:val="es-MX"/>
        </w:rPr>
        <w:t>No Aplica</w:t>
      </w:r>
    </w:p>
    <w:p w:rsidR="00335812" w:rsidRDefault="00335812" w:rsidP="004A508F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</w:p>
    <w:p w:rsidR="00335812" w:rsidRDefault="00335812" w:rsidP="004A508F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</w:p>
    <w:p w:rsidR="00335812" w:rsidRDefault="00335812" w:rsidP="004A508F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</w:p>
    <w:p w:rsidR="00164CF5" w:rsidRDefault="00164CF5" w:rsidP="004A508F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</w:p>
    <w:p w:rsidR="00164CF5" w:rsidRDefault="00164CF5" w:rsidP="004A508F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</w:p>
    <w:p w:rsidR="00335812" w:rsidRDefault="00335812" w:rsidP="004A508F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</w:p>
    <w:p w:rsidR="00540418" w:rsidRPr="00335812" w:rsidRDefault="00A41929" w:rsidP="004A508F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lastRenderedPageBreak/>
        <w:t>P</w:t>
      </w:r>
      <w:r w:rsidR="00540418" w:rsidRPr="00335812">
        <w:rPr>
          <w:rFonts w:ascii="Barlow" w:hAnsi="Barlow"/>
          <w:b/>
          <w:sz w:val="20"/>
          <w:szCs w:val="20"/>
          <w:lang w:val="es-MX"/>
        </w:rPr>
        <w:t>asivo</w:t>
      </w:r>
    </w:p>
    <w:p w:rsidR="009317D7" w:rsidRPr="00335812" w:rsidRDefault="009F13E4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  <w:r w:rsidRPr="00335812">
        <w:rPr>
          <w:rFonts w:ascii="Barlow" w:hAnsi="Barlow"/>
          <w:noProof/>
          <w:sz w:val="20"/>
          <w:szCs w:val="20"/>
        </w:rPr>
        <w:object w:dxaOrig="1440" w:dyaOrig="1440">
          <v:shape id="_x0000_s1039" type="#_x0000_t75" style="position:absolute;left:0;text-align:left;margin-left:-44.7pt;margin-top:16.75pt;width:767.9pt;height:322.05pt;z-index:251657728">
            <v:imagedata r:id="rId16" o:title=""/>
            <w10:wrap type="square"/>
          </v:shape>
          <o:OLEObject Type="Embed" ProgID="Excel.Sheet.12" ShapeID="_x0000_s1039" DrawAspect="Content" ObjectID="_1685188275" r:id="rId17"/>
        </w:object>
      </w:r>
    </w:p>
    <w:p w:rsidR="009317D7" w:rsidRPr="00335812" w:rsidRDefault="009317D7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335812" w:rsidRDefault="00335812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540418" w:rsidRPr="00335812" w:rsidRDefault="00540418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  <w:r w:rsidRPr="00335812">
        <w:rPr>
          <w:rFonts w:ascii="Barlow" w:hAnsi="Barlow"/>
          <w:b/>
          <w:smallCaps/>
          <w:sz w:val="20"/>
          <w:szCs w:val="20"/>
        </w:rPr>
        <w:lastRenderedPageBreak/>
        <w:t>II)</w:t>
      </w:r>
      <w:r w:rsidRPr="00335812">
        <w:rPr>
          <w:rFonts w:ascii="Barlow" w:hAnsi="Barlow"/>
          <w:b/>
          <w:smallCaps/>
          <w:sz w:val="20"/>
          <w:szCs w:val="20"/>
        </w:rPr>
        <w:tab/>
        <w:t>Notas al Estado de Actividades</w:t>
      </w:r>
    </w:p>
    <w:p w:rsidR="00540418" w:rsidRPr="00335812" w:rsidRDefault="00540418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D509E7" w:rsidRPr="00335812" w:rsidRDefault="00D509E7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540418" w:rsidRPr="00335812" w:rsidRDefault="00540418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>Ingresos de Gestión</w:t>
      </w:r>
    </w:p>
    <w:p w:rsidR="000B6167" w:rsidRPr="00335812" w:rsidRDefault="000B6167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D509E7" w:rsidRPr="00335812" w:rsidRDefault="009F13E4" w:rsidP="00164CF5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noProof/>
          <w:sz w:val="20"/>
          <w:szCs w:val="20"/>
        </w:rPr>
        <w:object w:dxaOrig="1440" w:dyaOrig="1440">
          <v:shape id="_x0000_s1040" type="#_x0000_t75" style="position:absolute;left:0;text-align:left;margin-left:0;margin-top:3pt;width:630.75pt;height:174pt;z-index:251658752;mso-position-horizontal:center">
            <v:imagedata r:id="rId18" o:title=""/>
            <w10:wrap type="square"/>
          </v:shape>
          <o:OLEObject Type="Embed" ProgID="Excel.Sheet.12" ShapeID="_x0000_s1040" DrawAspect="Content" ObjectID="_1685188276" r:id="rId19"/>
        </w:object>
      </w:r>
    </w:p>
    <w:p w:rsidR="00CE4E81" w:rsidRPr="00335812" w:rsidRDefault="00CE4E81" w:rsidP="00335812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</w:p>
    <w:p w:rsidR="00540418" w:rsidRPr="00335812" w:rsidRDefault="00540418" w:rsidP="006C7188">
      <w:pPr>
        <w:pStyle w:val="ROMANOS"/>
        <w:spacing w:after="0" w:line="240" w:lineRule="exact"/>
        <w:ind w:left="0" w:firstLine="0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>Gastos y Otras Pérdidas:</w:t>
      </w:r>
    </w:p>
    <w:p w:rsidR="00245DAB" w:rsidRPr="00335812" w:rsidRDefault="005263BA" w:rsidP="00C6498D">
      <w:pPr>
        <w:pStyle w:val="ROMANOS"/>
        <w:tabs>
          <w:tab w:val="clear" w:pos="720"/>
          <w:tab w:val="left" w:pos="426"/>
        </w:tabs>
        <w:spacing w:after="0" w:line="240" w:lineRule="exact"/>
        <w:ind w:left="284" w:firstLine="4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>No se h</w:t>
      </w:r>
      <w:r w:rsidR="00D32997" w:rsidRPr="00335812">
        <w:rPr>
          <w:rFonts w:ascii="Barlow" w:hAnsi="Barlow"/>
          <w:sz w:val="20"/>
          <w:szCs w:val="20"/>
          <w:lang w:val="es-MX"/>
        </w:rPr>
        <w:t xml:space="preserve">icieron pagos </w:t>
      </w:r>
      <w:r w:rsidR="00335812" w:rsidRPr="00335812">
        <w:rPr>
          <w:rFonts w:ascii="Barlow" w:hAnsi="Barlow"/>
          <w:sz w:val="20"/>
          <w:szCs w:val="20"/>
          <w:lang w:val="es-MX"/>
        </w:rPr>
        <w:t>en el</w:t>
      </w:r>
      <w:r w:rsidR="00D32997" w:rsidRPr="00335812">
        <w:rPr>
          <w:rFonts w:ascii="Barlow" w:hAnsi="Barlow"/>
          <w:sz w:val="20"/>
          <w:szCs w:val="20"/>
          <w:lang w:val="es-MX"/>
        </w:rPr>
        <w:t xml:space="preserve"> mes de </w:t>
      </w:r>
      <w:r w:rsidR="00335812" w:rsidRPr="00335812">
        <w:rPr>
          <w:rFonts w:ascii="Barlow" w:hAnsi="Barlow"/>
          <w:sz w:val="20"/>
          <w:szCs w:val="20"/>
          <w:lang w:val="es-MX"/>
        </w:rPr>
        <w:t>septiembre</w:t>
      </w:r>
    </w:p>
    <w:p w:rsidR="00C14FFC" w:rsidRPr="00335812" w:rsidRDefault="00C14FFC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540418" w:rsidRPr="00335812" w:rsidRDefault="00540418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  <w:r w:rsidRPr="00335812">
        <w:rPr>
          <w:rFonts w:ascii="Barlow" w:hAnsi="Barlow"/>
          <w:b/>
          <w:smallCaps/>
          <w:sz w:val="20"/>
          <w:szCs w:val="20"/>
        </w:rPr>
        <w:t>III)</w:t>
      </w:r>
      <w:r w:rsidRPr="00335812">
        <w:rPr>
          <w:rFonts w:ascii="Barlow" w:hAnsi="Barlow"/>
          <w:b/>
          <w:smallCaps/>
          <w:sz w:val="20"/>
          <w:szCs w:val="20"/>
        </w:rPr>
        <w:tab/>
        <w:t>Notas al Estado de Variación en la Hacienda Pública</w:t>
      </w:r>
    </w:p>
    <w:p w:rsidR="00540418" w:rsidRPr="00335812" w:rsidRDefault="00025FB9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 xml:space="preserve"> </w:t>
      </w:r>
      <w:r w:rsidR="003C7220" w:rsidRPr="00335812">
        <w:rPr>
          <w:rFonts w:ascii="Barlow" w:hAnsi="Barlow"/>
          <w:sz w:val="20"/>
          <w:szCs w:val="20"/>
          <w:lang w:val="es-MX"/>
        </w:rPr>
        <w:t>Patrimonio Contribuido: No</w:t>
      </w:r>
      <w:r w:rsidR="00327439" w:rsidRPr="00335812">
        <w:rPr>
          <w:rFonts w:ascii="Barlow" w:hAnsi="Barlow"/>
          <w:sz w:val="20"/>
          <w:szCs w:val="20"/>
          <w:lang w:val="es-MX"/>
        </w:rPr>
        <w:t xml:space="preserve"> aplica</w:t>
      </w:r>
    </w:p>
    <w:p w:rsidR="00C01D6A" w:rsidRPr="00335812" w:rsidRDefault="00455F91" w:rsidP="005143A4">
      <w:pPr>
        <w:pStyle w:val="Ttulo1"/>
        <w:shd w:val="clear" w:color="auto" w:fill="FFFFFF"/>
        <w:spacing w:before="300" w:beforeAutospacing="0" w:after="150" w:afterAutospacing="0"/>
        <w:jc w:val="both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Nuestro Patrimonio Generado co</w:t>
      </w:r>
      <w:r w:rsidR="00F73B2D" w:rsidRPr="00335812">
        <w:rPr>
          <w:rFonts w:ascii="Barlow" w:hAnsi="Barlow"/>
          <w:sz w:val="20"/>
          <w:szCs w:val="20"/>
        </w:rPr>
        <w:t>n</w:t>
      </w:r>
      <w:r w:rsidRPr="00335812">
        <w:rPr>
          <w:rFonts w:ascii="Barlow" w:hAnsi="Barlow"/>
          <w:sz w:val="20"/>
          <w:szCs w:val="20"/>
        </w:rPr>
        <w:t xml:space="preserve">templa un </w:t>
      </w:r>
      <w:r w:rsidR="002E443E" w:rsidRPr="00335812">
        <w:rPr>
          <w:rFonts w:ascii="Barlow" w:hAnsi="Barlow"/>
          <w:sz w:val="20"/>
          <w:szCs w:val="20"/>
        </w:rPr>
        <w:t>Desa</w:t>
      </w:r>
      <w:r w:rsidRPr="00335812">
        <w:rPr>
          <w:rFonts w:ascii="Barlow" w:hAnsi="Barlow"/>
          <w:sz w:val="20"/>
          <w:szCs w:val="20"/>
        </w:rPr>
        <w:t>horro (</w:t>
      </w:r>
      <w:r w:rsidR="002E443E" w:rsidRPr="00335812">
        <w:rPr>
          <w:rFonts w:ascii="Barlow" w:hAnsi="Barlow"/>
          <w:sz w:val="20"/>
          <w:szCs w:val="20"/>
        </w:rPr>
        <w:t>Perdida</w:t>
      </w:r>
      <w:r w:rsidR="00F73B2D" w:rsidRPr="00335812">
        <w:rPr>
          <w:rFonts w:ascii="Barlow" w:hAnsi="Barlow"/>
          <w:sz w:val="20"/>
          <w:szCs w:val="20"/>
        </w:rPr>
        <w:t xml:space="preserve">) de </w:t>
      </w:r>
      <w:r w:rsidR="00247B65" w:rsidRPr="00335812">
        <w:rPr>
          <w:rFonts w:ascii="Barlow" w:hAnsi="Barlow"/>
          <w:sz w:val="20"/>
          <w:szCs w:val="20"/>
        </w:rPr>
        <w:t xml:space="preserve">$- </w:t>
      </w:r>
      <w:r w:rsidR="00316542" w:rsidRPr="00335812">
        <w:rPr>
          <w:rFonts w:ascii="Barlow" w:hAnsi="Barlow"/>
          <w:sz w:val="20"/>
          <w:szCs w:val="20"/>
        </w:rPr>
        <w:t>162</w:t>
      </w:r>
      <w:r w:rsidR="00247B65" w:rsidRPr="00335812">
        <w:rPr>
          <w:rFonts w:ascii="Barlow" w:hAnsi="Barlow"/>
          <w:sz w:val="20"/>
          <w:szCs w:val="20"/>
        </w:rPr>
        <w:t>,</w:t>
      </w:r>
      <w:r w:rsidR="00316542" w:rsidRPr="00335812">
        <w:rPr>
          <w:rFonts w:ascii="Barlow" w:hAnsi="Barlow"/>
          <w:sz w:val="20"/>
          <w:szCs w:val="20"/>
        </w:rPr>
        <w:t>800</w:t>
      </w:r>
      <w:r w:rsidR="00247B65" w:rsidRPr="00335812">
        <w:rPr>
          <w:rFonts w:ascii="Barlow" w:hAnsi="Barlow"/>
          <w:sz w:val="20"/>
          <w:szCs w:val="20"/>
        </w:rPr>
        <w:t>.</w:t>
      </w:r>
      <w:r w:rsidR="00316542" w:rsidRPr="00335812">
        <w:rPr>
          <w:rFonts w:ascii="Barlow" w:hAnsi="Barlow"/>
          <w:sz w:val="20"/>
          <w:szCs w:val="20"/>
        </w:rPr>
        <w:t>0</w:t>
      </w:r>
      <w:r w:rsidR="00146C05" w:rsidRPr="00335812">
        <w:rPr>
          <w:rFonts w:ascii="Barlow" w:hAnsi="Barlow"/>
          <w:sz w:val="20"/>
          <w:szCs w:val="20"/>
        </w:rPr>
        <w:t xml:space="preserve"> (</w:t>
      </w:r>
      <w:r w:rsidR="00E0773A" w:rsidRPr="00335812">
        <w:rPr>
          <w:rFonts w:ascii="Barlow" w:hAnsi="Barlow"/>
          <w:sz w:val="20"/>
          <w:szCs w:val="20"/>
        </w:rPr>
        <w:t>S</w:t>
      </w:r>
      <w:r w:rsidR="00326986" w:rsidRPr="00335812">
        <w:rPr>
          <w:rFonts w:ascii="Barlow" w:hAnsi="Barlow"/>
          <w:sz w:val="20"/>
          <w:szCs w:val="20"/>
        </w:rPr>
        <w:t>on:</w:t>
      </w:r>
      <w:r w:rsidR="00613A9F" w:rsidRPr="00335812">
        <w:rPr>
          <w:rFonts w:ascii="Barlow" w:hAnsi="Barlow"/>
          <w:sz w:val="20"/>
          <w:szCs w:val="20"/>
        </w:rPr>
        <w:t xml:space="preserve"> </w:t>
      </w:r>
      <w:r w:rsidR="00316542" w:rsidRPr="00335812">
        <w:rPr>
          <w:rFonts w:ascii="Barlow" w:hAnsi="Barlow"/>
          <w:sz w:val="20"/>
          <w:szCs w:val="20"/>
        </w:rPr>
        <w:t xml:space="preserve">Ciento Sesenta y Dos Mil Ochocientos </w:t>
      </w:r>
      <w:r w:rsidR="00335812" w:rsidRPr="00335812">
        <w:rPr>
          <w:rFonts w:ascii="Barlow" w:hAnsi="Barlow"/>
          <w:sz w:val="20"/>
          <w:szCs w:val="20"/>
        </w:rPr>
        <w:t>Pesos 00</w:t>
      </w:r>
      <w:r w:rsidR="00326986" w:rsidRPr="00335812">
        <w:rPr>
          <w:rFonts w:ascii="Barlow" w:hAnsi="Barlow"/>
          <w:sz w:val="20"/>
          <w:szCs w:val="20"/>
        </w:rPr>
        <w:t xml:space="preserve">/100 M.N.) </w:t>
      </w:r>
      <w:r w:rsidR="00146C05" w:rsidRPr="00335812">
        <w:rPr>
          <w:rFonts w:ascii="Barlow" w:hAnsi="Barlow"/>
          <w:sz w:val="20"/>
          <w:szCs w:val="20"/>
        </w:rPr>
        <w:t>Generada</w:t>
      </w:r>
      <w:r w:rsidR="00F73B2D" w:rsidRPr="00335812">
        <w:rPr>
          <w:rFonts w:ascii="Barlow" w:hAnsi="Barlow"/>
          <w:sz w:val="20"/>
          <w:szCs w:val="20"/>
        </w:rPr>
        <w:t xml:space="preserve"> por los ingresos en </w:t>
      </w:r>
      <w:proofErr w:type="spellStart"/>
      <w:r w:rsidR="00F73B2D" w:rsidRPr="00335812">
        <w:rPr>
          <w:rFonts w:ascii="Barlow" w:hAnsi="Barlow"/>
          <w:sz w:val="20"/>
          <w:szCs w:val="20"/>
        </w:rPr>
        <w:t>Transf</w:t>
      </w:r>
      <w:proofErr w:type="spellEnd"/>
      <w:r w:rsidR="00F73B2D" w:rsidRPr="00335812">
        <w:rPr>
          <w:rFonts w:ascii="Barlow" w:hAnsi="Barlow"/>
          <w:sz w:val="20"/>
          <w:szCs w:val="20"/>
        </w:rPr>
        <w:t>.</w:t>
      </w:r>
      <w:r w:rsidR="003D07BD" w:rsidRPr="00335812">
        <w:rPr>
          <w:rFonts w:ascii="Barlow" w:hAnsi="Barlow"/>
          <w:sz w:val="20"/>
          <w:szCs w:val="20"/>
        </w:rPr>
        <w:t xml:space="preserve"> </w:t>
      </w:r>
      <w:proofErr w:type="spellStart"/>
      <w:r w:rsidR="003D07BD" w:rsidRPr="00335812">
        <w:rPr>
          <w:rFonts w:ascii="Barlow" w:hAnsi="Barlow"/>
          <w:sz w:val="20"/>
          <w:szCs w:val="20"/>
        </w:rPr>
        <w:t>Asignac</w:t>
      </w:r>
      <w:proofErr w:type="spellEnd"/>
      <w:r w:rsidR="003D07BD" w:rsidRPr="00335812">
        <w:rPr>
          <w:rFonts w:ascii="Barlow" w:hAnsi="Barlow"/>
          <w:sz w:val="20"/>
          <w:szCs w:val="20"/>
        </w:rPr>
        <w:t xml:space="preserve">. </w:t>
      </w:r>
      <w:r w:rsidR="00146C05" w:rsidRPr="00335812">
        <w:rPr>
          <w:rFonts w:ascii="Barlow" w:hAnsi="Barlow"/>
          <w:sz w:val="20"/>
          <w:szCs w:val="20"/>
        </w:rPr>
        <w:t>Y</w:t>
      </w:r>
      <w:r w:rsidR="003D07BD" w:rsidRPr="00335812">
        <w:rPr>
          <w:rFonts w:ascii="Barlow" w:hAnsi="Barlow"/>
          <w:sz w:val="20"/>
          <w:szCs w:val="20"/>
        </w:rPr>
        <w:t xml:space="preserve"> Subsidios</w:t>
      </w:r>
      <w:r w:rsidR="000D10D0" w:rsidRPr="00335812">
        <w:rPr>
          <w:rFonts w:ascii="Barlow" w:hAnsi="Barlow"/>
          <w:sz w:val="20"/>
          <w:szCs w:val="20"/>
        </w:rPr>
        <w:t>,</w:t>
      </w:r>
      <w:r w:rsidR="00F73B2D" w:rsidRPr="00335812">
        <w:rPr>
          <w:rFonts w:ascii="Barlow" w:hAnsi="Barlow"/>
          <w:sz w:val="20"/>
          <w:szCs w:val="20"/>
        </w:rPr>
        <w:t xml:space="preserve"> l</w:t>
      </w:r>
      <w:r w:rsidR="000D10D0" w:rsidRPr="00335812">
        <w:rPr>
          <w:rFonts w:ascii="Barlow" w:hAnsi="Barlow"/>
          <w:sz w:val="20"/>
          <w:szCs w:val="20"/>
        </w:rPr>
        <w:t>o</w:t>
      </w:r>
      <w:r w:rsidR="00F73B2D" w:rsidRPr="00335812">
        <w:rPr>
          <w:rFonts w:ascii="Barlow" w:hAnsi="Barlow"/>
          <w:sz w:val="20"/>
          <w:szCs w:val="20"/>
        </w:rPr>
        <w:t xml:space="preserve">s cuales fueron </w:t>
      </w:r>
      <w:r w:rsidR="004E47A0" w:rsidRPr="00335812">
        <w:rPr>
          <w:rFonts w:ascii="Barlow" w:hAnsi="Barlow"/>
          <w:sz w:val="20"/>
          <w:szCs w:val="20"/>
        </w:rPr>
        <w:t>Menores</w:t>
      </w:r>
      <w:r w:rsidR="00F73B2D" w:rsidRPr="00335812">
        <w:rPr>
          <w:rFonts w:ascii="Barlow" w:hAnsi="Barlow"/>
          <w:sz w:val="20"/>
          <w:szCs w:val="20"/>
        </w:rPr>
        <w:t xml:space="preserve"> </w:t>
      </w:r>
      <w:r w:rsidR="00D41446" w:rsidRPr="00335812">
        <w:rPr>
          <w:rFonts w:ascii="Barlow" w:hAnsi="Barlow"/>
          <w:sz w:val="20"/>
          <w:szCs w:val="20"/>
        </w:rPr>
        <w:t>a</w:t>
      </w:r>
      <w:r w:rsidR="00F73B2D" w:rsidRPr="00335812">
        <w:rPr>
          <w:rFonts w:ascii="Barlow" w:hAnsi="Barlow"/>
          <w:sz w:val="20"/>
          <w:szCs w:val="20"/>
        </w:rPr>
        <w:t xml:space="preserve"> los Gastos y otras pérdidas realizadas.</w:t>
      </w:r>
    </w:p>
    <w:p w:rsidR="009F2367" w:rsidRDefault="009F2367" w:rsidP="00164CF5">
      <w:pPr>
        <w:pStyle w:val="INCISO"/>
        <w:spacing w:after="0" w:line="240" w:lineRule="exact"/>
        <w:ind w:left="0" w:firstLine="0"/>
        <w:rPr>
          <w:rFonts w:ascii="Barlow" w:hAnsi="Barlow"/>
          <w:b/>
          <w:smallCaps/>
          <w:sz w:val="20"/>
          <w:szCs w:val="20"/>
        </w:rPr>
      </w:pPr>
    </w:p>
    <w:p w:rsidR="00335812" w:rsidRPr="00335812" w:rsidRDefault="00335812" w:rsidP="0074321E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74321E" w:rsidRPr="00335812" w:rsidRDefault="0074321E" w:rsidP="0074321E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  <w:r w:rsidRPr="00335812">
        <w:rPr>
          <w:rFonts w:ascii="Barlow" w:hAnsi="Barlow"/>
          <w:b/>
          <w:smallCaps/>
          <w:sz w:val="20"/>
          <w:szCs w:val="20"/>
        </w:rPr>
        <w:t>IV)</w:t>
      </w:r>
      <w:r w:rsidRPr="00335812">
        <w:rPr>
          <w:rFonts w:ascii="Barlow" w:hAnsi="Barlow"/>
          <w:b/>
          <w:smallCaps/>
          <w:sz w:val="20"/>
          <w:szCs w:val="20"/>
        </w:rPr>
        <w:tab/>
        <w:t xml:space="preserve">Notas al Estado de Flujos de Efectivo </w:t>
      </w:r>
    </w:p>
    <w:p w:rsidR="001266EA" w:rsidRPr="00335812" w:rsidRDefault="001266EA" w:rsidP="0074321E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74321E" w:rsidRPr="00335812" w:rsidRDefault="0074321E" w:rsidP="0074321E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74321E" w:rsidRPr="00335812" w:rsidRDefault="0074321E" w:rsidP="0074321E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>Efectivo y equivalentes</w:t>
      </w:r>
    </w:p>
    <w:p w:rsidR="00986AEB" w:rsidRPr="00335812" w:rsidRDefault="00986AEB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540418" w:rsidRPr="00335812" w:rsidRDefault="00335812" w:rsidP="00540418">
      <w:pPr>
        <w:pStyle w:val="ROMANOS"/>
        <w:spacing w:after="0" w:line="240" w:lineRule="exact"/>
        <w:ind w:left="1008" w:firstLine="0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noProof/>
          <w:sz w:val="20"/>
          <w:szCs w:val="20"/>
        </w:rPr>
        <w:object w:dxaOrig="1440" w:dyaOrig="1440">
          <v:shape id="_x0000_s1043" type="#_x0000_t75" style="position:absolute;left:0;text-align:left;margin-left:-34.2pt;margin-top:7.9pt;width:851.5pt;height:251.35pt;z-index:251659776">
            <v:imagedata r:id="rId20" o:title=""/>
          </v:shape>
          <o:OLEObject Type="Embed" ProgID="Excel.Sheet.12" ShapeID="_x0000_s1043" DrawAspect="Content" ObjectID="_1685188277" r:id="rId21"/>
        </w:object>
      </w:r>
      <w:r w:rsidR="00012CEE" w:rsidRPr="00335812">
        <w:rPr>
          <w:rFonts w:ascii="Barlow" w:hAnsi="Barlow"/>
          <w:sz w:val="20"/>
          <w:szCs w:val="20"/>
          <w:lang w:val="es-MX"/>
        </w:rPr>
        <w:t xml:space="preserve"> </w:t>
      </w:r>
    </w:p>
    <w:p w:rsidR="00355041" w:rsidRPr="00335812" w:rsidRDefault="0063020D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ab/>
      </w:r>
    </w:p>
    <w:p w:rsidR="00355041" w:rsidRPr="00335812" w:rsidRDefault="00355041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355041" w:rsidRPr="00335812" w:rsidRDefault="00355041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355041" w:rsidRPr="00335812" w:rsidRDefault="00355041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C01D6A" w:rsidRPr="00335812" w:rsidRDefault="0063020D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  <w:r w:rsidRPr="00335812">
        <w:rPr>
          <w:rFonts w:ascii="Barlow" w:hAnsi="Barlow"/>
          <w:b/>
          <w:sz w:val="20"/>
          <w:szCs w:val="20"/>
          <w:lang w:val="es-MX"/>
        </w:rPr>
        <w:tab/>
      </w:r>
    </w:p>
    <w:p w:rsidR="00C01D6A" w:rsidRPr="00335812" w:rsidRDefault="00C01D6A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C01D6A" w:rsidRPr="00335812" w:rsidRDefault="00C01D6A" w:rsidP="00540418">
      <w:pPr>
        <w:pStyle w:val="ROMANOS"/>
        <w:spacing w:after="0" w:line="240" w:lineRule="exact"/>
        <w:rPr>
          <w:rFonts w:ascii="Barlow" w:hAnsi="Barlow"/>
          <w:b/>
          <w:sz w:val="20"/>
          <w:szCs w:val="20"/>
          <w:lang w:val="es-MX"/>
        </w:rPr>
      </w:pPr>
    </w:p>
    <w:p w:rsidR="00355041" w:rsidRPr="00335812" w:rsidRDefault="00355041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55041" w:rsidRPr="00335812" w:rsidRDefault="00355041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55041" w:rsidRPr="00335812" w:rsidRDefault="00355041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55041" w:rsidRPr="00335812" w:rsidRDefault="00355041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55041" w:rsidRDefault="00355041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335812" w:rsidRDefault="00335812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AE6796" w:rsidRDefault="00AE6796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164CF5" w:rsidRDefault="00164CF5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164CF5" w:rsidRPr="00335812" w:rsidRDefault="00164CF5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5D53C8" w:rsidRPr="00335812" w:rsidRDefault="005D53C8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lastRenderedPageBreak/>
        <w:t xml:space="preserve">La tabla anterior presenta los rubros de Flujos de Efectivo </w:t>
      </w:r>
      <w:r w:rsidR="00490681" w:rsidRPr="00335812">
        <w:rPr>
          <w:rFonts w:ascii="Barlow" w:hAnsi="Barlow"/>
          <w:sz w:val="20"/>
          <w:szCs w:val="20"/>
          <w:lang w:val="es-MX"/>
        </w:rPr>
        <w:t>N</w:t>
      </w:r>
      <w:r w:rsidRPr="00335812">
        <w:rPr>
          <w:rFonts w:ascii="Barlow" w:hAnsi="Barlow"/>
          <w:sz w:val="20"/>
          <w:szCs w:val="20"/>
          <w:lang w:val="es-MX"/>
        </w:rPr>
        <w:t xml:space="preserve">etos de las </w:t>
      </w:r>
      <w:r w:rsidR="00490681" w:rsidRPr="00335812">
        <w:rPr>
          <w:rFonts w:ascii="Barlow" w:hAnsi="Barlow"/>
          <w:sz w:val="20"/>
          <w:szCs w:val="20"/>
          <w:lang w:val="es-MX"/>
        </w:rPr>
        <w:t>A</w:t>
      </w:r>
      <w:r w:rsidRPr="00335812">
        <w:rPr>
          <w:rFonts w:ascii="Barlow" w:hAnsi="Barlow"/>
          <w:sz w:val="20"/>
          <w:szCs w:val="20"/>
          <w:lang w:val="es-MX"/>
        </w:rPr>
        <w:t>ctividades de Operación y la cuenta de Ahorro/Desahorro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  <w:lang w:val="es-MX"/>
        </w:rPr>
      </w:pPr>
    </w:p>
    <w:p w:rsidR="00490681" w:rsidRPr="00335812" w:rsidRDefault="005B4315" w:rsidP="00D94DF2">
      <w:pPr>
        <w:pStyle w:val="ROMANOS"/>
        <w:tabs>
          <w:tab w:val="clear" w:pos="720"/>
        </w:tabs>
        <w:spacing w:after="0" w:line="240" w:lineRule="exact"/>
        <w:ind w:left="284" w:firstLine="4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>En este mes</w:t>
      </w:r>
      <w:r w:rsidR="008637A1" w:rsidRPr="00335812">
        <w:rPr>
          <w:rFonts w:ascii="Barlow" w:hAnsi="Barlow"/>
          <w:sz w:val="20"/>
          <w:szCs w:val="20"/>
          <w:lang w:val="es-MX"/>
        </w:rPr>
        <w:t xml:space="preserve"> </w:t>
      </w:r>
      <w:r w:rsidR="008637A1" w:rsidRPr="00335812">
        <w:rPr>
          <w:rFonts w:ascii="Barlow" w:hAnsi="Barlow"/>
          <w:b/>
          <w:sz w:val="20"/>
          <w:szCs w:val="20"/>
          <w:lang w:val="es-MX"/>
        </w:rPr>
        <w:t>NO</w:t>
      </w:r>
      <w:r w:rsidR="008C4D35" w:rsidRPr="00335812">
        <w:rPr>
          <w:rFonts w:ascii="Barlow" w:hAnsi="Barlow"/>
          <w:sz w:val="20"/>
          <w:szCs w:val="20"/>
          <w:lang w:val="es-MX"/>
        </w:rPr>
        <w:t xml:space="preserve"> </w:t>
      </w:r>
      <w:r w:rsidR="008237BA" w:rsidRPr="00335812">
        <w:rPr>
          <w:rFonts w:ascii="Barlow" w:hAnsi="Barlow"/>
          <w:sz w:val="20"/>
          <w:szCs w:val="20"/>
          <w:lang w:val="es-MX"/>
        </w:rPr>
        <w:t>se adquirió</w:t>
      </w:r>
      <w:r w:rsidR="008637A1" w:rsidRPr="00335812">
        <w:rPr>
          <w:rFonts w:ascii="Barlow" w:hAnsi="Barlow"/>
          <w:sz w:val="20"/>
          <w:szCs w:val="20"/>
          <w:lang w:val="es-MX"/>
        </w:rPr>
        <w:t xml:space="preserve"> activo alguno</w:t>
      </w:r>
      <w:r w:rsidR="008C4D35" w:rsidRPr="00335812">
        <w:rPr>
          <w:rFonts w:ascii="Barlow" w:hAnsi="Barlow"/>
          <w:sz w:val="20"/>
          <w:szCs w:val="20"/>
          <w:lang w:val="es-MX"/>
        </w:rPr>
        <w:t>.</w:t>
      </w:r>
    </w:p>
    <w:p w:rsidR="00107A44" w:rsidRDefault="00107A44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335812" w:rsidRPr="00335812" w:rsidRDefault="00335812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107A44" w:rsidRPr="00335812" w:rsidRDefault="00107A44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</w:p>
    <w:p w:rsidR="00540418" w:rsidRPr="00335812" w:rsidRDefault="00540418" w:rsidP="00540418">
      <w:pPr>
        <w:pStyle w:val="INCISO"/>
        <w:spacing w:after="0" w:line="240" w:lineRule="exact"/>
        <w:ind w:left="360"/>
        <w:rPr>
          <w:rFonts w:ascii="Barlow" w:hAnsi="Barlow"/>
          <w:b/>
          <w:smallCaps/>
          <w:sz w:val="20"/>
          <w:szCs w:val="20"/>
        </w:rPr>
      </w:pPr>
      <w:r w:rsidRPr="00335812">
        <w:rPr>
          <w:rFonts w:ascii="Barlow" w:hAnsi="Barlow"/>
          <w:b/>
          <w:smallCaps/>
          <w:sz w:val="20"/>
          <w:szCs w:val="20"/>
        </w:rPr>
        <w:t>V) Conciliación entre los ingresos presupuestarios y contables, así como entre los egresos presupuestarios y los gastos contables</w:t>
      </w:r>
    </w:p>
    <w:p w:rsidR="00540418" w:rsidRPr="00335812" w:rsidRDefault="00540418" w:rsidP="00540418">
      <w:pPr>
        <w:pStyle w:val="Texto"/>
        <w:spacing w:after="0" w:line="240" w:lineRule="exact"/>
        <w:jc w:val="center"/>
        <w:rPr>
          <w:rFonts w:ascii="Barlow" w:hAnsi="Barlow"/>
          <w:b/>
          <w:smallCaps/>
          <w:sz w:val="20"/>
          <w:lang w:val="es-MX"/>
        </w:rPr>
      </w:pPr>
    </w:p>
    <w:p w:rsidR="00540418" w:rsidRPr="00335812" w:rsidRDefault="00540418" w:rsidP="00025FB9">
      <w:pPr>
        <w:pStyle w:val="Texto"/>
        <w:spacing w:after="0" w:line="240" w:lineRule="exact"/>
        <w:ind w:left="284" w:firstLine="4"/>
        <w:rPr>
          <w:rFonts w:ascii="Barlow" w:hAnsi="Barlow"/>
          <w:sz w:val="20"/>
          <w:lang w:val="es-MX"/>
        </w:rPr>
      </w:pPr>
      <w:r w:rsidRPr="00335812">
        <w:rPr>
          <w:rFonts w:ascii="Barlow" w:hAnsi="Barlow"/>
          <w:sz w:val="20"/>
          <w:lang w:val="es-MX"/>
        </w:rPr>
        <w:t xml:space="preserve">La conciliación se presentará </w:t>
      </w:r>
      <w:r w:rsidR="004F36D3" w:rsidRPr="00335812">
        <w:rPr>
          <w:rFonts w:ascii="Barlow" w:hAnsi="Barlow"/>
          <w:sz w:val="20"/>
          <w:lang w:val="es-MX"/>
        </w:rPr>
        <w:t xml:space="preserve">atendiendo a lo dispuesto </w:t>
      </w:r>
      <w:r w:rsidR="00335812" w:rsidRPr="00335812">
        <w:rPr>
          <w:rFonts w:ascii="Barlow" w:hAnsi="Barlow"/>
          <w:sz w:val="20"/>
          <w:lang w:val="es-MX"/>
        </w:rPr>
        <w:t>por Acuerdo</w:t>
      </w:r>
      <w:r w:rsidRPr="00335812">
        <w:rPr>
          <w:rFonts w:ascii="Barlow" w:hAnsi="Barlow"/>
          <w:sz w:val="20"/>
          <w:lang w:val="es-MX"/>
        </w:rPr>
        <w:t xml:space="preserve"> por el que se emite el formato de conciliación entre los ingresos presupuestarios y contables, así como entre los egresos presupuestarios y los gastos contables.</w:t>
      </w:r>
    </w:p>
    <w:p w:rsidR="009A279D" w:rsidRPr="00335812" w:rsidRDefault="009A279D" w:rsidP="00B849EE">
      <w:pPr>
        <w:pStyle w:val="Texto"/>
        <w:spacing w:after="0" w:line="240" w:lineRule="exact"/>
        <w:ind w:firstLine="0"/>
        <w:rPr>
          <w:rFonts w:ascii="Barlow" w:hAnsi="Barlow"/>
          <w:sz w:val="20"/>
          <w:lang w:val="es-MX"/>
        </w:rPr>
      </w:pPr>
    </w:p>
    <w:p w:rsidR="009A279D" w:rsidRPr="00335812" w:rsidRDefault="009A279D" w:rsidP="00B849EE">
      <w:pPr>
        <w:pStyle w:val="Texto"/>
        <w:spacing w:after="0" w:line="240" w:lineRule="exact"/>
        <w:ind w:firstLine="0"/>
        <w:rPr>
          <w:rFonts w:ascii="Barlow" w:hAnsi="Barlow"/>
          <w:sz w:val="20"/>
          <w:lang w:val="es-MX"/>
        </w:rPr>
      </w:pPr>
    </w:p>
    <w:p w:rsidR="007E57F0" w:rsidRPr="00335812" w:rsidRDefault="00164CF5" w:rsidP="00B849EE">
      <w:pPr>
        <w:pStyle w:val="Texto"/>
        <w:spacing w:after="0" w:line="240" w:lineRule="exact"/>
        <w:ind w:firstLine="0"/>
        <w:rPr>
          <w:rFonts w:ascii="Barlow" w:hAnsi="Barlow"/>
          <w:sz w:val="20"/>
          <w:lang w:val="es-MX"/>
        </w:rPr>
      </w:pPr>
      <w:r w:rsidRPr="00335812">
        <w:rPr>
          <w:rFonts w:ascii="Barlow" w:hAnsi="Barlow"/>
          <w:noProof/>
          <w:sz w:val="20"/>
        </w:rPr>
        <w:lastRenderedPageBreak/>
        <w:object w:dxaOrig="1440" w:dyaOrig="1440">
          <v:shape id="_x0000_s1044" type="#_x0000_t75" style="position:absolute;left:0;text-align:left;margin-left:-20.85pt;margin-top:30.9pt;width:714.65pt;height:325.65pt;z-index:251660800">
            <v:imagedata r:id="rId22" o:title=""/>
            <w10:wrap type="square"/>
          </v:shape>
          <o:OLEObject Type="Embed" ProgID="Excel.Sheet.12" ShapeID="_x0000_s1044" DrawAspect="Content" ObjectID="_1685188278" r:id="rId23"/>
        </w:object>
      </w:r>
    </w:p>
    <w:p w:rsidR="007E57F0" w:rsidRPr="00335812" w:rsidRDefault="007E57F0" w:rsidP="00B849EE">
      <w:pPr>
        <w:pStyle w:val="Texto"/>
        <w:spacing w:after="0" w:line="240" w:lineRule="exact"/>
        <w:ind w:firstLine="0"/>
        <w:rPr>
          <w:rFonts w:ascii="Barlow" w:hAnsi="Barlow"/>
          <w:sz w:val="20"/>
          <w:lang w:val="es-MX"/>
        </w:rPr>
      </w:pPr>
    </w:p>
    <w:p w:rsidR="00AE6796" w:rsidRPr="00335812" w:rsidRDefault="00AE6796" w:rsidP="00B849EE">
      <w:pPr>
        <w:pStyle w:val="Texto"/>
        <w:spacing w:after="0" w:line="240" w:lineRule="exact"/>
        <w:ind w:firstLine="0"/>
        <w:rPr>
          <w:rFonts w:ascii="Barlow" w:hAnsi="Barlow"/>
          <w:sz w:val="20"/>
          <w:lang w:val="es-MX"/>
        </w:rPr>
      </w:pPr>
    </w:p>
    <w:p w:rsidR="00AE6796" w:rsidRPr="00335812" w:rsidRDefault="00AE6796" w:rsidP="00B849EE">
      <w:pPr>
        <w:pStyle w:val="Texto"/>
        <w:spacing w:after="0" w:line="240" w:lineRule="exact"/>
        <w:ind w:firstLine="0"/>
        <w:rPr>
          <w:rFonts w:ascii="Barlow" w:hAnsi="Barlow"/>
          <w:sz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7"/>
        <w:gridCol w:w="4810"/>
        <w:gridCol w:w="1462"/>
        <w:gridCol w:w="2938"/>
      </w:tblGrid>
      <w:tr w:rsidR="0085335D" w:rsidRPr="0085335D" w:rsidTr="0085335D">
        <w:trPr>
          <w:trHeight w:val="165"/>
          <w:jc w:val="center"/>
        </w:trPr>
        <w:tc>
          <w:tcPr>
            <w:tcW w:w="13120" w:type="dxa"/>
            <w:gridSpan w:val="4"/>
            <w:noWrap/>
            <w:hideMark/>
          </w:tcPr>
          <w:p w:rsidR="0085335D" w:rsidRPr="0085335D" w:rsidRDefault="0085335D" w:rsidP="0085335D">
            <w:pPr>
              <w:pStyle w:val="Texto"/>
              <w:spacing w:line="240" w:lineRule="exact"/>
              <w:jc w:val="center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lastRenderedPageBreak/>
              <w:t>Programa de Becas Nacionales para la Educación Superior de Manutención en Yucatán.</w:t>
            </w:r>
          </w:p>
        </w:tc>
      </w:tr>
      <w:tr w:rsidR="0085335D" w:rsidRPr="0085335D" w:rsidTr="0085335D">
        <w:trPr>
          <w:trHeight w:val="165"/>
          <w:jc w:val="center"/>
        </w:trPr>
        <w:tc>
          <w:tcPr>
            <w:tcW w:w="13120" w:type="dxa"/>
            <w:gridSpan w:val="4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jc w:val="center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>Conciliación entre los Egresos Presupuestarios y los Gastos Contables</w:t>
            </w:r>
          </w:p>
        </w:tc>
      </w:tr>
      <w:tr w:rsidR="0085335D" w:rsidRPr="0085335D" w:rsidTr="0085335D">
        <w:trPr>
          <w:trHeight w:val="165"/>
          <w:jc w:val="center"/>
        </w:trPr>
        <w:tc>
          <w:tcPr>
            <w:tcW w:w="13120" w:type="dxa"/>
            <w:gridSpan w:val="4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jc w:val="center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>Correspondiente del 1 de Enero al 31 de Diciembre de 2020</w:t>
            </w: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13120" w:type="dxa"/>
            <w:gridSpan w:val="4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jc w:val="center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>(Cifras en pesos)</w:t>
            </w: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9027" w:type="dxa"/>
            <w:gridSpan w:val="2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>1. Total de egresos (presupuestarios)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</w:p>
        </w:tc>
        <w:tc>
          <w:tcPr>
            <w:tcW w:w="2938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 xml:space="preserve">                     162,800.00 </w:t>
            </w: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9027" w:type="dxa"/>
            <w:gridSpan w:val="2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  <w:tc>
          <w:tcPr>
            <w:tcW w:w="2938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9027" w:type="dxa"/>
            <w:gridSpan w:val="2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>2. Menos egresos presupuestarios no contables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2938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 xml:space="preserve">                                   -   </w:t>
            </w: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Mobiliario y equipo de administración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Mobiliario y equipo educacional y recreativo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Equipo e instrumental médico y de laboratorio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Vehículos y equipo de transporte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Equipo de defensa y seguridad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Maquinaria, otros equipos y herramientas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Activos biológicos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Bienes inmuebles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Activos intangibles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Obra pública en bienes propios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Acciones y participaciones de capital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Compra de títulos y valores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Inversiones en fideicomisos, mandatos y otros análogos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Provisiones para contingencias y otras erogaciones especiales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Amortización de la deuda publica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Adeudos de ejercicios fiscales anteriores (ADEFAS)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9027" w:type="dxa"/>
            <w:gridSpan w:val="2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Otros Egresos Presupuestales No Contables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0.00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9027" w:type="dxa"/>
            <w:gridSpan w:val="2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  <w:tc>
          <w:tcPr>
            <w:tcW w:w="2938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9027" w:type="dxa"/>
            <w:gridSpan w:val="2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>3. Más Gasto Contables No Presupuestales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2938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 xml:space="preserve">                                   -   </w:t>
            </w:r>
          </w:p>
        </w:tc>
      </w:tr>
      <w:tr w:rsidR="0085335D" w:rsidRPr="0085335D" w:rsidTr="0085335D">
        <w:trPr>
          <w:trHeight w:val="345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Estimaciones, depreciaciones, deterioros, obsolescencia y amortizaciones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 xml:space="preserve">0.00 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lastRenderedPageBreak/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Provisiones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 xml:space="preserve">0.00 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Disminución de inventarios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 xml:space="preserve">0.00 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345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 xml:space="preserve">0.00 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Aumento por insuficiencia de provisiones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 xml:space="preserve">0.00 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4810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Otros Gastos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 xml:space="preserve">0.00 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9027" w:type="dxa"/>
            <w:gridSpan w:val="2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ind w:firstLine="0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Otros Gastos Contables No Presupuestales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 xml:space="preserve">0.00 </w:t>
            </w:r>
          </w:p>
        </w:tc>
        <w:tc>
          <w:tcPr>
            <w:tcW w:w="2938" w:type="dxa"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9027" w:type="dxa"/>
            <w:gridSpan w:val="2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  <w:r w:rsidRPr="0085335D">
              <w:rPr>
                <w:rFonts w:ascii="Barlow" w:hAnsi="Barlow"/>
                <w:sz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  <w:tc>
          <w:tcPr>
            <w:tcW w:w="2938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sz w:val="20"/>
              </w:rPr>
            </w:pPr>
          </w:p>
        </w:tc>
      </w:tr>
      <w:tr w:rsidR="0085335D" w:rsidRPr="0085335D" w:rsidTr="0085335D">
        <w:trPr>
          <w:trHeight w:val="180"/>
          <w:jc w:val="center"/>
        </w:trPr>
        <w:tc>
          <w:tcPr>
            <w:tcW w:w="4217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>4. Total de Gasto Contable (4 = 1 - 2 + 3)</w:t>
            </w:r>
          </w:p>
        </w:tc>
        <w:tc>
          <w:tcPr>
            <w:tcW w:w="4810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  <w:r w:rsidRPr="0085335D">
              <w:rPr>
                <w:rFonts w:ascii="Barlow" w:hAnsi="Barlow"/>
                <w:b/>
                <w:bCs/>
                <w:sz w:val="20"/>
              </w:rPr>
              <w:t xml:space="preserve">162,800.00 </w:t>
            </w:r>
          </w:p>
        </w:tc>
        <w:tc>
          <w:tcPr>
            <w:tcW w:w="2938" w:type="dxa"/>
            <w:noWrap/>
            <w:hideMark/>
          </w:tcPr>
          <w:p w:rsidR="0085335D" w:rsidRPr="0085335D" w:rsidRDefault="0085335D" w:rsidP="0085335D">
            <w:pPr>
              <w:pStyle w:val="Texto"/>
              <w:spacing w:after="0" w:line="240" w:lineRule="exact"/>
              <w:rPr>
                <w:rFonts w:ascii="Barlow" w:hAnsi="Barlow"/>
                <w:b/>
                <w:bCs/>
                <w:sz w:val="20"/>
              </w:rPr>
            </w:pPr>
          </w:p>
        </w:tc>
      </w:tr>
    </w:tbl>
    <w:p w:rsidR="00AE6796" w:rsidRPr="00335812" w:rsidRDefault="00AE6796" w:rsidP="00B849EE">
      <w:pPr>
        <w:pStyle w:val="Texto"/>
        <w:spacing w:after="0" w:line="240" w:lineRule="exact"/>
        <w:ind w:firstLine="0"/>
        <w:rPr>
          <w:rFonts w:ascii="Barlow" w:hAnsi="Barlow"/>
          <w:sz w:val="20"/>
          <w:lang w:val="es-MX"/>
        </w:rPr>
      </w:pPr>
    </w:p>
    <w:p w:rsidR="00AE6796" w:rsidRPr="00335812" w:rsidRDefault="00AE6796" w:rsidP="00B849EE">
      <w:pPr>
        <w:pStyle w:val="Texto"/>
        <w:spacing w:after="0" w:line="240" w:lineRule="exact"/>
        <w:ind w:firstLine="0"/>
        <w:rPr>
          <w:rFonts w:ascii="Barlow" w:hAnsi="Barlow"/>
          <w:sz w:val="20"/>
          <w:lang w:val="es-MX"/>
        </w:rPr>
      </w:pPr>
    </w:p>
    <w:p w:rsidR="00D32997" w:rsidRPr="00335812" w:rsidRDefault="00D32997" w:rsidP="005B61EC">
      <w:pPr>
        <w:pStyle w:val="Texto"/>
        <w:spacing w:after="0" w:line="240" w:lineRule="exact"/>
        <w:ind w:firstLine="0"/>
        <w:jc w:val="left"/>
        <w:rPr>
          <w:rFonts w:ascii="Barlow" w:hAnsi="Barlow"/>
          <w:b/>
          <w:sz w:val="20"/>
        </w:rPr>
      </w:pPr>
    </w:p>
    <w:p w:rsidR="00CC0575" w:rsidRPr="00335812" w:rsidRDefault="00540418" w:rsidP="005B61EC">
      <w:pPr>
        <w:pStyle w:val="Texto"/>
        <w:spacing w:after="0" w:line="240" w:lineRule="exact"/>
        <w:ind w:firstLine="0"/>
        <w:jc w:val="lef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</w:rPr>
        <w:t>b)</w:t>
      </w:r>
      <w:r w:rsidRPr="00335812">
        <w:rPr>
          <w:rFonts w:ascii="Barlow" w:hAnsi="Barlow"/>
          <w:sz w:val="20"/>
        </w:rPr>
        <w:t xml:space="preserve"> </w:t>
      </w:r>
      <w:r w:rsidRPr="00335812">
        <w:rPr>
          <w:rFonts w:ascii="Barlow" w:hAnsi="Barlow"/>
          <w:b/>
          <w:sz w:val="20"/>
          <w:lang w:val="es-MX"/>
        </w:rPr>
        <w:t>NOTAS DE MEMORIA (CUENTAS DE ORDEN)</w:t>
      </w:r>
    </w:p>
    <w:p w:rsidR="00CC0575" w:rsidRPr="00335812" w:rsidRDefault="00CC0575" w:rsidP="00540418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B849EE" w:rsidRPr="00335812" w:rsidRDefault="00B849EE" w:rsidP="00540418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</w:p>
    <w:p w:rsidR="00540418" w:rsidRPr="00335812" w:rsidRDefault="00540418" w:rsidP="007A7436">
      <w:pPr>
        <w:pStyle w:val="Texto"/>
        <w:spacing w:after="0" w:line="240" w:lineRule="exact"/>
        <w:ind w:left="708" w:firstLine="0"/>
        <w:rPr>
          <w:rFonts w:ascii="Barlow" w:hAnsi="Barlow"/>
          <w:sz w:val="20"/>
          <w:lang w:val="es-MX"/>
        </w:rPr>
      </w:pPr>
      <w:r w:rsidRPr="00335812">
        <w:rPr>
          <w:rFonts w:ascii="Barlow" w:hAnsi="Barlow"/>
          <w:sz w:val="20"/>
          <w:lang w:val="es-MX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  <w:lang w:val="es-MX"/>
        </w:rPr>
      </w:pPr>
    </w:p>
    <w:p w:rsidR="00B849EE" w:rsidRPr="00335812" w:rsidRDefault="00540418" w:rsidP="007A7436">
      <w:pPr>
        <w:pStyle w:val="Texto"/>
        <w:spacing w:after="0" w:line="240" w:lineRule="exact"/>
        <w:ind w:firstLine="708"/>
        <w:rPr>
          <w:rFonts w:ascii="Barlow" w:hAnsi="Barlow"/>
          <w:sz w:val="20"/>
          <w:lang w:val="es-MX"/>
        </w:rPr>
      </w:pPr>
      <w:r w:rsidRPr="00335812">
        <w:rPr>
          <w:rFonts w:ascii="Barlow" w:hAnsi="Barlow"/>
          <w:sz w:val="20"/>
          <w:lang w:val="es-MX"/>
        </w:rPr>
        <w:t>Las cuentas que se manejan para efectos de este documento son las siguientes:</w:t>
      </w:r>
    </w:p>
    <w:p w:rsidR="00B849EE" w:rsidRPr="00335812" w:rsidRDefault="00B849EE" w:rsidP="00540418">
      <w:pPr>
        <w:pStyle w:val="Texto"/>
        <w:spacing w:after="0" w:line="240" w:lineRule="exact"/>
        <w:rPr>
          <w:rFonts w:ascii="Barlow" w:hAnsi="Barlow"/>
          <w:sz w:val="20"/>
          <w:lang w:val="es-MX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</w:rPr>
      </w:pPr>
      <w:r w:rsidRPr="00335812">
        <w:rPr>
          <w:rFonts w:ascii="Barlow" w:hAnsi="Barlow"/>
          <w:b/>
          <w:sz w:val="20"/>
        </w:rPr>
        <w:t>Cuentas de Orden Contables y Presupuestarias: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</w:rPr>
      </w:pPr>
    </w:p>
    <w:p w:rsidR="00540418" w:rsidRPr="00335812" w:rsidRDefault="007A7436" w:rsidP="00540418">
      <w:pPr>
        <w:pStyle w:val="ROMANOS"/>
        <w:spacing w:after="0" w:line="240" w:lineRule="exact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ab/>
      </w:r>
      <w:r w:rsidR="00126A9C" w:rsidRPr="00335812">
        <w:rPr>
          <w:rFonts w:ascii="Barlow" w:hAnsi="Barlow"/>
          <w:sz w:val="20"/>
          <w:szCs w:val="20"/>
          <w:lang w:val="es-MX"/>
        </w:rPr>
        <w:t>Las cuentas de orden presupuestarias son las que sirven para el registro de los momentos presupuestarios/contables de los ingresos y egresos.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</w:rPr>
      </w:pPr>
    </w:p>
    <w:p w:rsidR="00540418" w:rsidRPr="00335812" w:rsidRDefault="00540418" w:rsidP="005B61EC">
      <w:pPr>
        <w:pStyle w:val="Texto"/>
        <w:spacing w:after="0" w:line="240" w:lineRule="exact"/>
        <w:ind w:firstLine="0"/>
        <w:jc w:val="lef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c) NOTAS DE GESTIÓN ADMINISTRATIVA</w:t>
      </w:r>
    </w:p>
    <w:p w:rsidR="00540418" w:rsidRPr="00335812" w:rsidRDefault="00540418" w:rsidP="00540418">
      <w:pPr>
        <w:pStyle w:val="Texto"/>
        <w:spacing w:after="0" w:line="240" w:lineRule="exact"/>
        <w:ind w:firstLine="0"/>
        <w:jc w:val="left"/>
        <w:rPr>
          <w:rFonts w:ascii="Barlow" w:hAnsi="Barlow"/>
          <w:b/>
          <w:sz w:val="20"/>
          <w:lang w:val="es-MX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</w:rPr>
      </w:pPr>
      <w:r w:rsidRPr="00335812">
        <w:rPr>
          <w:rFonts w:ascii="Barlow" w:hAnsi="Barlow"/>
          <w:b/>
          <w:sz w:val="20"/>
          <w:lang w:val="es-MX"/>
        </w:rPr>
        <w:t>1.</w:t>
      </w:r>
      <w:r w:rsidRPr="00335812">
        <w:rPr>
          <w:rFonts w:ascii="Barlow" w:hAnsi="Barlow"/>
          <w:b/>
          <w:sz w:val="20"/>
          <w:lang w:val="es-MX"/>
        </w:rPr>
        <w:tab/>
        <w:t>Introducción</w:t>
      </w:r>
    </w:p>
    <w:p w:rsidR="00540418" w:rsidRPr="00335812" w:rsidRDefault="00540418" w:rsidP="007A7436">
      <w:pPr>
        <w:pStyle w:val="Texto"/>
        <w:spacing w:after="0" w:line="240" w:lineRule="exact"/>
        <w:ind w:firstLine="708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t>Los Estados Financieros de los entes públicos, proveen de información financiera a los principales usuarios de la misma, al Congreso y a los ciudadanos.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</w:rPr>
      </w:pPr>
    </w:p>
    <w:p w:rsidR="00540418" w:rsidRPr="00335812" w:rsidRDefault="00540418" w:rsidP="007A7436">
      <w:pPr>
        <w:pStyle w:val="Texto"/>
        <w:spacing w:after="0" w:line="240" w:lineRule="exact"/>
        <w:ind w:left="708" w:firstLine="0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lastRenderedPageBreak/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:rsidR="00540418" w:rsidRPr="00335812" w:rsidRDefault="00540418" w:rsidP="007A7436">
      <w:pPr>
        <w:pStyle w:val="Texto"/>
        <w:spacing w:after="0" w:line="240" w:lineRule="exact"/>
        <w:ind w:left="708" w:firstLine="0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:rsidR="00540418" w:rsidRPr="00335812" w:rsidRDefault="007A7436" w:rsidP="00540418">
      <w:pPr>
        <w:pStyle w:val="Texto"/>
        <w:spacing w:after="0" w:line="240" w:lineRule="exact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tab/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2.</w:t>
      </w:r>
      <w:r w:rsidRPr="00335812">
        <w:rPr>
          <w:rFonts w:ascii="Barlow" w:hAnsi="Barlow"/>
          <w:b/>
          <w:sz w:val="20"/>
          <w:lang w:val="es-MX"/>
        </w:rPr>
        <w:tab/>
        <w:t>Panorama Económico y Financiero</w:t>
      </w:r>
    </w:p>
    <w:p w:rsidR="00D41446" w:rsidRPr="00335812" w:rsidRDefault="00D41446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27523E" w:rsidP="007A7436">
      <w:pPr>
        <w:pStyle w:val="Texto"/>
        <w:spacing w:after="0" w:line="240" w:lineRule="exact"/>
        <w:ind w:left="648" w:firstLine="0"/>
        <w:rPr>
          <w:rFonts w:ascii="Barlow" w:hAnsi="Barlow"/>
          <w:sz w:val="20"/>
        </w:rPr>
      </w:pPr>
      <w:r w:rsidRPr="00335812">
        <w:rPr>
          <w:rFonts w:ascii="Barlow" w:hAnsi="Barlow"/>
          <w:sz w:val="20"/>
          <w:lang w:val="es-MX"/>
        </w:rPr>
        <w:t>El</w:t>
      </w:r>
      <w:r w:rsidRPr="00335812">
        <w:rPr>
          <w:rFonts w:ascii="Barlow" w:hAnsi="Barlow"/>
          <w:sz w:val="20"/>
        </w:rPr>
        <w:t xml:space="preserve"> </w:t>
      </w:r>
      <w:r w:rsidR="008637A1" w:rsidRPr="00335812">
        <w:rPr>
          <w:rFonts w:ascii="Barlow" w:hAnsi="Barlow"/>
          <w:sz w:val="20"/>
        </w:rPr>
        <w:t xml:space="preserve">Fidecomiso </w:t>
      </w:r>
      <w:r w:rsidRPr="00335812">
        <w:rPr>
          <w:rFonts w:ascii="Barlow" w:hAnsi="Barlow"/>
          <w:sz w:val="20"/>
        </w:rPr>
        <w:t xml:space="preserve">opera en base al presupuesto asignado por el gobierno del Estado de Yucatán y por el Gobierno Federal, sobre los programas de becas para los </w:t>
      </w:r>
      <w:r w:rsidR="00025FB9" w:rsidRPr="00335812">
        <w:rPr>
          <w:rFonts w:ascii="Barlow" w:hAnsi="Barlow"/>
          <w:sz w:val="20"/>
        </w:rPr>
        <w:t xml:space="preserve">  </w:t>
      </w:r>
      <w:r w:rsidRPr="00335812">
        <w:rPr>
          <w:rFonts w:ascii="Barlow" w:hAnsi="Barlow"/>
          <w:sz w:val="20"/>
        </w:rPr>
        <w:t>estudiantes de escasos recurso</w:t>
      </w:r>
      <w:r w:rsidR="00C3733F" w:rsidRPr="00335812">
        <w:rPr>
          <w:rFonts w:ascii="Barlow" w:hAnsi="Barlow"/>
          <w:sz w:val="20"/>
        </w:rPr>
        <w:t>s</w:t>
      </w:r>
      <w:r w:rsidRPr="00335812">
        <w:rPr>
          <w:rFonts w:ascii="Barlow" w:hAnsi="Barlow"/>
          <w:sz w:val="20"/>
        </w:rPr>
        <w:t xml:space="preserve"> de nivel profesional, que requieren recursos para concluir sus estudios. Estos recursos se canalizan a los beneficiario</w:t>
      </w:r>
      <w:r w:rsidR="008501BD" w:rsidRPr="00335812">
        <w:rPr>
          <w:rFonts w:ascii="Barlow" w:hAnsi="Barlow"/>
          <w:sz w:val="20"/>
        </w:rPr>
        <w:t>s aplicando los procedimientos y</w:t>
      </w:r>
      <w:r w:rsidRPr="00335812">
        <w:rPr>
          <w:rFonts w:ascii="Barlow" w:hAnsi="Barlow"/>
          <w:sz w:val="20"/>
        </w:rPr>
        <w:t xml:space="preserve"> criterios establecidos en las reglas de operación. </w:t>
      </w:r>
    </w:p>
    <w:p w:rsidR="00540418" w:rsidRDefault="00540418" w:rsidP="0085335D">
      <w:pPr>
        <w:pStyle w:val="Texto"/>
        <w:spacing w:after="0" w:line="240" w:lineRule="exact"/>
        <w:ind w:firstLine="0"/>
        <w:rPr>
          <w:rFonts w:ascii="Barlow" w:hAnsi="Barlow"/>
          <w:sz w:val="20"/>
        </w:rPr>
      </w:pPr>
    </w:p>
    <w:p w:rsidR="00164CF5" w:rsidRPr="00335812" w:rsidRDefault="00164CF5" w:rsidP="00540418">
      <w:pPr>
        <w:pStyle w:val="Texto"/>
        <w:spacing w:after="0" w:line="240" w:lineRule="exact"/>
        <w:rPr>
          <w:rFonts w:ascii="Barlow" w:hAnsi="Barlow"/>
          <w:sz w:val="20"/>
        </w:rPr>
      </w:pPr>
    </w:p>
    <w:p w:rsidR="00540418" w:rsidRPr="00335812" w:rsidRDefault="00540418" w:rsidP="00675B51">
      <w:pPr>
        <w:pStyle w:val="Texto"/>
        <w:numPr>
          <w:ilvl w:val="0"/>
          <w:numId w:val="5"/>
        </w:numPr>
        <w:tabs>
          <w:tab w:val="left" w:pos="709"/>
        </w:tabs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Autorización e Historia</w:t>
      </w:r>
    </w:p>
    <w:p w:rsidR="00D41446" w:rsidRPr="00335812" w:rsidRDefault="00D41446" w:rsidP="00D41446">
      <w:pPr>
        <w:pStyle w:val="Texto"/>
        <w:spacing w:after="0" w:line="240" w:lineRule="exact"/>
        <w:ind w:left="648" w:firstLine="0"/>
        <w:rPr>
          <w:rFonts w:ascii="Barlow" w:hAnsi="Barlow"/>
          <w:b/>
          <w:sz w:val="20"/>
          <w:lang w:val="es-MX"/>
        </w:rPr>
      </w:pPr>
    </w:p>
    <w:p w:rsidR="00540418" w:rsidRPr="00335812" w:rsidRDefault="008637A1" w:rsidP="008637A1">
      <w:pPr>
        <w:pStyle w:val="INCISO"/>
        <w:spacing w:after="0" w:line="240" w:lineRule="exact"/>
        <w:ind w:left="648" w:firstLine="0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 xml:space="preserve">El día 14 de </w:t>
      </w:r>
      <w:r w:rsidR="00335812" w:rsidRPr="00335812">
        <w:rPr>
          <w:rFonts w:ascii="Barlow" w:hAnsi="Barlow"/>
          <w:sz w:val="20"/>
          <w:szCs w:val="20"/>
        </w:rPr>
        <w:t>noviembre</w:t>
      </w:r>
      <w:r w:rsidRPr="00335812">
        <w:rPr>
          <w:rFonts w:ascii="Barlow" w:hAnsi="Barlow"/>
          <w:sz w:val="20"/>
          <w:szCs w:val="20"/>
        </w:rPr>
        <w:t xml:space="preserve"> de 2014 se firmó el contrato de administración del fideicomiso “PROGRAMA DE BECAS NACIONALES PARA LA EDUC. SUPERIOR MANUTENCIÓN”, que sustituye a PRONABES, con el fiduciario BANAMEX.</w:t>
      </w:r>
    </w:p>
    <w:p w:rsidR="00540418" w:rsidRPr="00335812" w:rsidRDefault="0027523E" w:rsidP="007A7436">
      <w:pPr>
        <w:pStyle w:val="INCISO"/>
        <w:spacing w:after="0" w:line="240" w:lineRule="exact"/>
        <w:ind w:left="648" w:firstLine="0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El principal cambio en su estructura es el nombramiento de</w:t>
      </w:r>
      <w:r w:rsidR="001C635D" w:rsidRPr="00335812">
        <w:rPr>
          <w:rFonts w:ascii="Barlow" w:hAnsi="Barlow"/>
          <w:sz w:val="20"/>
          <w:szCs w:val="20"/>
        </w:rPr>
        <w:t>l</w:t>
      </w:r>
      <w:r w:rsidRPr="00335812">
        <w:rPr>
          <w:rFonts w:ascii="Barlow" w:hAnsi="Barlow"/>
          <w:sz w:val="20"/>
          <w:szCs w:val="20"/>
        </w:rPr>
        <w:t xml:space="preserve"> </w:t>
      </w:r>
      <w:r w:rsidR="007C0A18" w:rsidRPr="00335812">
        <w:rPr>
          <w:rFonts w:ascii="Barlow" w:hAnsi="Barlow"/>
          <w:sz w:val="20"/>
          <w:szCs w:val="20"/>
        </w:rPr>
        <w:t>Secretari</w:t>
      </w:r>
      <w:r w:rsidR="000746A6" w:rsidRPr="00335812">
        <w:rPr>
          <w:rFonts w:ascii="Barlow" w:hAnsi="Barlow"/>
          <w:sz w:val="20"/>
          <w:szCs w:val="20"/>
        </w:rPr>
        <w:t>o</w:t>
      </w:r>
      <w:r w:rsidR="007C0A18" w:rsidRPr="00335812">
        <w:rPr>
          <w:rFonts w:ascii="Barlow" w:hAnsi="Barlow"/>
          <w:sz w:val="20"/>
          <w:szCs w:val="20"/>
        </w:rPr>
        <w:t xml:space="preserve"> Ejecutiv</w:t>
      </w:r>
      <w:r w:rsidR="000746A6" w:rsidRPr="00335812">
        <w:rPr>
          <w:rFonts w:ascii="Barlow" w:hAnsi="Barlow"/>
          <w:sz w:val="20"/>
          <w:szCs w:val="20"/>
        </w:rPr>
        <w:t>o</w:t>
      </w:r>
      <w:r w:rsidR="007C0A18" w:rsidRPr="00335812">
        <w:rPr>
          <w:rFonts w:ascii="Barlow" w:hAnsi="Barlow"/>
          <w:sz w:val="20"/>
          <w:szCs w:val="20"/>
        </w:rPr>
        <w:t xml:space="preserve"> de Manutención, </w:t>
      </w:r>
      <w:r w:rsidR="000746A6" w:rsidRPr="00335812">
        <w:rPr>
          <w:rFonts w:ascii="Barlow" w:hAnsi="Barlow"/>
          <w:sz w:val="20"/>
          <w:szCs w:val="20"/>
        </w:rPr>
        <w:t xml:space="preserve">CD. Francisco Javier Chimal </w:t>
      </w:r>
      <w:proofErr w:type="gramStart"/>
      <w:r w:rsidR="000746A6" w:rsidRPr="00335812">
        <w:rPr>
          <w:rFonts w:ascii="Barlow" w:hAnsi="Barlow"/>
          <w:sz w:val="20"/>
          <w:szCs w:val="20"/>
        </w:rPr>
        <w:t xml:space="preserve">Kuk </w:t>
      </w:r>
      <w:r w:rsidR="007C0A18" w:rsidRPr="00335812">
        <w:rPr>
          <w:rFonts w:ascii="Barlow" w:hAnsi="Barlow"/>
          <w:sz w:val="20"/>
          <w:szCs w:val="20"/>
        </w:rPr>
        <w:t>,</w:t>
      </w:r>
      <w:proofErr w:type="gramEnd"/>
      <w:r w:rsidR="007C0A18" w:rsidRPr="00335812">
        <w:rPr>
          <w:rFonts w:ascii="Barlow" w:hAnsi="Barlow"/>
          <w:sz w:val="20"/>
          <w:szCs w:val="20"/>
        </w:rPr>
        <w:t xml:space="preserve"> </w:t>
      </w:r>
      <w:r w:rsidR="006B50DF" w:rsidRPr="00335812">
        <w:rPr>
          <w:rFonts w:ascii="Barlow" w:hAnsi="Barlow"/>
          <w:sz w:val="20"/>
          <w:szCs w:val="20"/>
        </w:rPr>
        <w:t xml:space="preserve">el día </w:t>
      </w:r>
      <w:r w:rsidR="000746A6" w:rsidRPr="00335812">
        <w:rPr>
          <w:rFonts w:ascii="Barlow" w:hAnsi="Barlow"/>
          <w:sz w:val="20"/>
          <w:szCs w:val="20"/>
        </w:rPr>
        <w:t>01</w:t>
      </w:r>
      <w:r w:rsidR="006B50DF" w:rsidRPr="00335812">
        <w:rPr>
          <w:rFonts w:ascii="Barlow" w:hAnsi="Barlow"/>
          <w:sz w:val="20"/>
          <w:szCs w:val="20"/>
        </w:rPr>
        <w:t xml:space="preserve"> de </w:t>
      </w:r>
      <w:r w:rsidR="000746A6" w:rsidRPr="00335812">
        <w:rPr>
          <w:rFonts w:ascii="Barlow" w:hAnsi="Barlow"/>
          <w:sz w:val="20"/>
          <w:szCs w:val="20"/>
        </w:rPr>
        <w:t>Octu</w:t>
      </w:r>
      <w:r w:rsidR="007C0A18" w:rsidRPr="00335812">
        <w:rPr>
          <w:rFonts w:ascii="Barlow" w:hAnsi="Barlow"/>
          <w:sz w:val="20"/>
          <w:szCs w:val="20"/>
        </w:rPr>
        <w:t>bre</w:t>
      </w:r>
      <w:r w:rsidR="006B50DF" w:rsidRPr="00335812">
        <w:rPr>
          <w:rFonts w:ascii="Barlow" w:hAnsi="Barlow"/>
          <w:sz w:val="20"/>
          <w:szCs w:val="20"/>
        </w:rPr>
        <w:t xml:space="preserve"> de 201</w:t>
      </w:r>
      <w:r w:rsidR="000746A6" w:rsidRPr="00335812">
        <w:rPr>
          <w:rFonts w:ascii="Barlow" w:hAnsi="Barlow"/>
          <w:sz w:val="20"/>
          <w:szCs w:val="20"/>
        </w:rPr>
        <w:t>8</w:t>
      </w:r>
      <w:r w:rsidR="006B50DF" w:rsidRPr="00335812">
        <w:rPr>
          <w:rFonts w:ascii="Barlow" w:hAnsi="Barlow"/>
          <w:sz w:val="20"/>
          <w:szCs w:val="20"/>
        </w:rPr>
        <w:t>.</w:t>
      </w:r>
    </w:p>
    <w:p w:rsidR="00143C7F" w:rsidRPr="00335812" w:rsidRDefault="00143C7F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E0124B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</w:rPr>
      </w:pPr>
      <w:r w:rsidRPr="00335812">
        <w:rPr>
          <w:rFonts w:ascii="Barlow" w:hAnsi="Barlow"/>
          <w:b/>
          <w:sz w:val="20"/>
          <w:lang w:val="es-MX"/>
        </w:rPr>
        <w:t>4.</w:t>
      </w:r>
      <w:r w:rsidRPr="00335812">
        <w:rPr>
          <w:rFonts w:ascii="Barlow" w:hAnsi="Barlow"/>
          <w:b/>
          <w:sz w:val="20"/>
          <w:lang w:val="es-MX"/>
        </w:rPr>
        <w:tab/>
        <w:t>Organización y Objeto Social</w:t>
      </w:r>
    </w:p>
    <w:p w:rsidR="00E0124B" w:rsidRPr="00335812" w:rsidRDefault="00E0124B" w:rsidP="00540418">
      <w:pPr>
        <w:pStyle w:val="Texto"/>
        <w:spacing w:after="0" w:line="240" w:lineRule="exact"/>
        <w:rPr>
          <w:rFonts w:ascii="Barlow" w:hAnsi="Barlow"/>
          <w:sz w:val="20"/>
        </w:rPr>
      </w:pPr>
    </w:p>
    <w:p w:rsidR="00D943F5" w:rsidRPr="00335812" w:rsidRDefault="007B16FE" w:rsidP="007A7436">
      <w:pPr>
        <w:pStyle w:val="Texto"/>
        <w:spacing w:after="0" w:line="240" w:lineRule="exact"/>
        <w:ind w:left="708" w:firstLine="0"/>
        <w:jc w:val="left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t xml:space="preserve">El </w:t>
      </w:r>
      <w:r w:rsidR="008637A1" w:rsidRPr="00335812">
        <w:rPr>
          <w:rFonts w:ascii="Barlow" w:hAnsi="Barlow"/>
          <w:sz w:val="20"/>
        </w:rPr>
        <w:t>Fidecomiso</w:t>
      </w:r>
      <w:r w:rsidRPr="00335812">
        <w:rPr>
          <w:rFonts w:ascii="Barlow" w:hAnsi="Barlow"/>
          <w:sz w:val="20"/>
        </w:rPr>
        <w:t xml:space="preserve"> tien</w:t>
      </w:r>
      <w:r w:rsidR="00FB452D" w:rsidRPr="00335812">
        <w:rPr>
          <w:rFonts w:ascii="Barlow" w:hAnsi="Barlow"/>
          <w:sz w:val="20"/>
        </w:rPr>
        <w:t xml:space="preserve">e por objeto el otorgamiento de becas </w:t>
      </w:r>
      <w:r w:rsidR="008501BD" w:rsidRPr="00335812">
        <w:rPr>
          <w:rFonts w:ascii="Barlow" w:hAnsi="Barlow"/>
          <w:sz w:val="20"/>
        </w:rPr>
        <w:t xml:space="preserve">con base a sus reglas de operación </w:t>
      </w:r>
      <w:r w:rsidR="00FB452D" w:rsidRPr="00335812">
        <w:rPr>
          <w:rFonts w:ascii="Barlow" w:hAnsi="Barlow"/>
          <w:sz w:val="20"/>
        </w:rPr>
        <w:t>respectiv</w:t>
      </w:r>
      <w:r w:rsidR="008501BD" w:rsidRPr="00335812">
        <w:rPr>
          <w:rFonts w:ascii="Barlow" w:hAnsi="Barlow"/>
          <w:sz w:val="20"/>
        </w:rPr>
        <w:t>a</w:t>
      </w:r>
      <w:r w:rsidR="00FB452D" w:rsidRPr="00335812">
        <w:rPr>
          <w:rFonts w:ascii="Barlow" w:hAnsi="Barlow"/>
          <w:sz w:val="20"/>
        </w:rPr>
        <w:t>s</w:t>
      </w:r>
      <w:r w:rsidRPr="00335812">
        <w:rPr>
          <w:rFonts w:ascii="Barlow" w:hAnsi="Barlow"/>
          <w:sz w:val="20"/>
        </w:rPr>
        <w:t>, c</w:t>
      </w:r>
      <w:r w:rsidR="007C1BCC" w:rsidRPr="00335812">
        <w:rPr>
          <w:rFonts w:ascii="Barlow" w:hAnsi="Barlow"/>
          <w:sz w:val="20"/>
        </w:rPr>
        <w:t>on la finalidad</w:t>
      </w:r>
      <w:r w:rsidR="00D943F5" w:rsidRPr="00335812">
        <w:rPr>
          <w:rFonts w:ascii="Barlow" w:hAnsi="Barlow"/>
          <w:sz w:val="20"/>
        </w:rPr>
        <w:t xml:space="preserve"> </w:t>
      </w:r>
      <w:r w:rsidR="007C1BCC" w:rsidRPr="00335812">
        <w:rPr>
          <w:rFonts w:ascii="Barlow" w:hAnsi="Barlow"/>
          <w:sz w:val="20"/>
        </w:rPr>
        <w:t>de ampliar las</w:t>
      </w:r>
      <w:r w:rsidR="000B4634" w:rsidRPr="00335812">
        <w:rPr>
          <w:rFonts w:ascii="Barlow" w:hAnsi="Barlow"/>
          <w:sz w:val="20"/>
        </w:rPr>
        <w:t xml:space="preserve"> </w:t>
      </w:r>
      <w:r w:rsidR="007C1BCC" w:rsidRPr="00335812">
        <w:rPr>
          <w:rFonts w:ascii="Barlow" w:hAnsi="Barlow"/>
          <w:sz w:val="20"/>
        </w:rPr>
        <w:t xml:space="preserve">oportunidades de educación, para contribuir el mejoramiento económico, cultural y social del Estado, mediante la optimización y captación de los </w:t>
      </w:r>
      <w:r w:rsidR="00335812" w:rsidRPr="00335812">
        <w:rPr>
          <w:rFonts w:ascii="Barlow" w:hAnsi="Barlow"/>
          <w:sz w:val="20"/>
        </w:rPr>
        <w:t>recursos económicos</w:t>
      </w:r>
      <w:r w:rsidR="008637A1" w:rsidRPr="00335812">
        <w:rPr>
          <w:rFonts w:ascii="Barlow" w:hAnsi="Barlow"/>
          <w:sz w:val="20"/>
        </w:rPr>
        <w:t xml:space="preserve"> que se le proveen</w:t>
      </w:r>
      <w:r w:rsidR="007C1BCC" w:rsidRPr="00335812">
        <w:rPr>
          <w:rFonts w:ascii="Barlow" w:hAnsi="Barlow"/>
          <w:sz w:val="20"/>
        </w:rPr>
        <w:t>.</w:t>
      </w:r>
    </w:p>
    <w:p w:rsidR="00540418" w:rsidRPr="00335812" w:rsidRDefault="00335812" w:rsidP="007A7436">
      <w:pPr>
        <w:pStyle w:val="Texto"/>
        <w:spacing w:after="0" w:line="240" w:lineRule="exact"/>
        <w:ind w:firstLine="708"/>
        <w:jc w:val="left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t>Sus principales actividades son</w:t>
      </w:r>
      <w:r w:rsidR="007C1BCC" w:rsidRPr="00335812">
        <w:rPr>
          <w:rFonts w:ascii="Barlow" w:hAnsi="Barlow"/>
          <w:sz w:val="20"/>
        </w:rPr>
        <w:t>: el otorgamiento de becas.</w:t>
      </w:r>
    </w:p>
    <w:p w:rsidR="00540418" w:rsidRPr="00335812" w:rsidRDefault="00FB452D" w:rsidP="00540418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Estos estados financieros corresponden a</w:t>
      </w:r>
      <w:r w:rsidR="00126A9C" w:rsidRPr="00335812">
        <w:rPr>
          <w:rFonts w:ascii="Barlow" w:hAnsi="Barlow"/>
          <w:sz w:val="20"/>
          <w:szCs w:val="20"/>
        </w:rPr>
        <w:t>l Ejercicio Fiscal 201</w:t>
      </w:r>
      <w:r w:rsidR="000845ED" w:rsidRPr="00335812">
        <w:rPr>
          <w:rFonts w:ascii="Barlow" w:hAnsi="Barlow"/>
          <w:sz w:val="20"/>
          <w:szCs w:val="20"/>
        </w:rPr>
        <w:t>8</w:t>
      </w:r>
      <w:r w:rsidR="003C7220" w:rsidRPr="00335812">
        <w:rPr>
          <w:rFonts w:ascii="Barlow" w:hAnsi="Barlow"/>
          <w:sz w:val="20"/>
          <w:szCs w:val="20"/>
        </w:rPr>
        <w:t>.</w:t>
      </w:r>
    </w:p>
    <w:p w:rsidR="00124BB8" w:rsidRPr="00335812" w:rsidRDefault="00124BB8" w:rsidP="00540418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Fidecomiso sin estructura orgánica</w:t>
      </w:r>
    </w:p>
    <w:p w:rsidR="00540418" w:rsidRPr="00335812" w:rsidRDefault="00124BB8" w:rsidP="00124BB8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No aplican obligaciones fiscales al Fidecomiso.</w:t>
      </w:r>
    </w:p>
    <w:p w:rsidR="00124BB8" w:rsidRPr="00335812" w:rsidRDefault="00124BB8" w:rsidP="00191B41">
      <w:pPr>
        <w:pStyle w:val="INCISO"/>
        <w:tabs>
          <w:tab w:val="left" w:pos="1418"/>
        </w:tabs>
        <w:spacing w:after="0" w:line="240" w:lineRule="exact"/>
        <w:ind w:left="709" w:firstLine="0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 xml:space="preserve">La </w:t>
      </w:r>
      <w:r w:rsidR="007458F7" w:rsidRPr="00335812">
        <w:rPr>
          <w:rFonts w:ascii="Barlow" w:hAnsi="Barlow"/>
          <w:sz w:val="20"/>
          <w:szCs w:val="20"/>
        </w:rPr>
        <w:t>estructura</w:t>
      </w:r>
      <w:r w:rsidRPr="00335812">
        <w:rPr>
          <w:rFonts w:ascii="Barlow" w:hAnsi="Barlow"/>
          <w:sz w:val="20"/>
          <w:szCs w:val="20"/>
        </w:rPr>
        <w:t xml:space="preserve"> organización básica es con la que cuenta el Instituto de Becas y </w:t>
      </w:r>
      <w:r w:rsidR="000746A6" w:rsidRPr="00335812">
        <w:rPr>
          <w:rFonts w:ascii="Barlow" w:hAnsi="Barlow"/>
          <w:sz w:val="20"/>
          <w:szCs w:val="20"/>
        </w:rPr>
        <w:t>Crédito</w:t>
      </w:r>
      <w:r w:rsidRPr="00335812">
        <w:rPr>
          <w:rFonts w:ascii="Barlow" w:hAnsi="Barlow"/>
          <w:sz w:val="20"/>
          <w:szCs w:val="20"/>
        </w:rPr>
        <w:t xml:space="preserve"> Educativo del Estado de Yucatán que es el ente público que lo opera</w:t>
      </w:r>
      <w:r w:rsidR="00CC504D" w:rsidRPr="00335812">
        <w:rPr>
          <w:rFonts w:ascii="Barlow" w:hAnsi="Barlow"/>
          <w:sz w:val="20"/>
          <w:szCs w:val="20"/>
        </w:rPr>
        <w:t>.</w:t>
      </w:r>
      <w:r w:rsidR="007458F7" w:rsidRPr="00335812">
        <w:rPr>
          <w:rFonts w:ascii="Barlow" w:hAnsi="Barlow"/>
          <w:sz w:val="20"/>
          <w:szCs w:val="20"/>
        </w:rPr>
        <w:t xml:space="preserve"> </w:t>
      </w:r>
    </w:p>
    <w:p w:rsidR="00540418" w:rsidRPr="00335812" w:rsidRDefault="00015F40" w:rsidP="00191B41">
      <w:pPr>
        <w:pStyle w:val="INCISO"/>
        <w:tabs>
          <w:tab w:val="left" w:pos="1418"/>
        </w:tabs>
        <w:spacing w:after="0" w:line="240" w:lineRule="exact"/>
        <w:ind w:left="709" w:firstLine="0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lastRenderedPageBreak/>
        <w:t xml:space="preserve">El día 14 de </w:t>
      </w:r>
      <w:r w:rsidR="00335812" w:rsidRPr="00335812">
        <w:rPr>
          <w:rFonts w:ascii="Barlow" w:hAnsi="Barlow"/>
          <w:sz w:val="20"/>
          <w:szCs w:val="20"/>
        </w:rPr>
        <w:t>noviembre</w:t>
      </w:r>
      <w:r w:rsidRPr="00335812">
        <w:rPr>
          <w:rFonts w:ascii="Barlow" w:hAnsi="Barlow"/>
          <w:sz w:val="20"/>
          <w:szCs w:val="20"/>
        </w:rPr>
        <w:t xml:space="preserve"> de 2014 se firmó el contrato de administración del fideicomiso </w:t>
      </w:r>
      <w:r w:rsidR="00124BB8" w:rsidRPr="00335812">
        <w:rPr>
          <w:rFonts w:ascii="Barlow" w:hAnsi="Barlow"/>
          <w:sz w:val="20"/>
          <w:szCs w:val="20"/>
        </w:rPr>
        <w:t>con el fiduciario BANAMEX, fidecomiso que sustituye a PRONABES.</w:t>
      </w:r>
      <w:r w:rsidRPr="00335812">
        <w:rPr>
          <w:rFonts w:ascii="Barlow" w:hAnsi="Barlow"/>
          <w:sz w:val="20"/>
          <w:szCs w:val="20"/>
        </w:rPr>
        <w:tab/>
      </w:r>
      <w:r w:rsidR="00264883" w:rsidRPr="00335812">
        <w:rPr>
          <w:rFonts w:ascii="Barlow" w:hAnsi="Barlow"/>
          <w:sz w:val="20"/>
          <w:szCs w:val="20"/>
        </w:rPr>
        <w:t xml:space="preserve"> </w:t>
      </w:r>
    </w:p>
    <w:p w:rsidR="00D41446" w:rsidRPr="00335812" w:rsidRDefault="00D41446" w:rsidP="003A0303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5.</w:t>
      </w:r>
      <w:r w:rsidRPr="00335812">
        <w:rPr>
          <w:rFonts w:ascii="Barlow" w:hAnsi="Barlow"/>
          <w:b/>
          <w:sz w:val="20"/>
          <w:lang w:val="es-MX"/>
        </w:rPr>
        <w:tab/>
        <w:t>Bases de Preparación de los Estados Financieros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</w:rPr>
      </w:pPr>
    </w:p>
    <w:p w:rsidR="00540418" w:rsidRDefault="00494EBE" w:rsidP="00025FB9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 xml:space="preserve">La contabilidad se encuentra </w:t>
      </w:r>
      <w:r w:rsidR="00335812" w:rsidRPr="00335812">
        <w:rPr>
          <w:rFonts w:ascii="Barlow" w:hAnsi="Barlow"/>
          <w:sz w:val="20"/>
          <w:szCs w:val="20"/>
        </w:rPr>
        <w:t>alineada al</w:t>
      </w:r>
      <w:r w:rsidRPr="00335812">
        <w:rPr>
          <w:rFonts w:ascii="Barlow" w:hAnsi="Barlow"/>
          <w:sz w:val="20"/>
          <w:szCs w:val="20"/>
        </w:rPr>
        <w:t xml:space="preserve"> plan de cuentas del CONAC y demás </w:t>
      </w:r>
      <w:r w:rsidR="00335812" w:rsidRPr="00335812">
        <w:rPr>
          <w:rFonts w:ascii="Barlow" w:hAnsi="Barlow"/>
          <w:sz w:val="20"/>
          <w:szCs w:val="20"/>
        </w:rPr>
        <w:t>disposiciones aplicables</w:t>
      </w:r>
      <w:r w:rsidR="0006327B" w:rsidRPr="00335812">
        <w:rPr>
          <w:rFonts w:ascii="Barlow" w:hAnsi="Barlow"/>
          <w:sz w:val="20"/>
          <w:szCs w:val="20"/>
        </w:rPr>
        <w:t>, considerando la normati</w:t>
      </w:r>
      <w:r w:rsidRPr="00335812">
        <w:rPr>
          <w:rFonts w:ascii="Barlow" w:hAnsi="Barlow"/>
          <w:sz w:val="20"/>
          <w:szCs w:val="20"/>
        </w:rPr>
        <w:t>v</w:t>
      </w:r>
      <w:r w:rsidR="0006327B" w:rsidRPr="00335812">
        <w:rPr>
          <w:rFonts w:ascii="Barlow" w:hAnsi="Barlow"/>
          <w:sz w:val="20"/>
          <w:szCs w:val="20"/>
        </w:rPr>
        <w:t>i</w:t>
      </w:r>
      <w:r w:rsidRPr="00335812">
        <w:rPr>
          <w:rFonts w:ascii="Barlow" w:hAnsi="Barlow"/>
          <w:sz w:val="20"/>
          <w:szCs w:val="20"/>
        </w:rPr>
        <w:t>dad</w:t>
      </w:r>
      <w:r w:rsidR="0006327B" w:rsidRPr="00335812">
        <w:rPr>
          <w:rFonts w:ascii="Barlow" w:hAnsi="Barlow"/>
          <w:sz w:val="20"/>
          <w:szCs w:val="20"/>
        </w:rPr>
        <w:t xml:space="preserve"> de CONAC</w:t>
      </w:r>
      <w:r w:rsidR="000845ED" w:rsidRPr="00335812">
        <w:rPr>
          <w:rFonts w:ascii="Barlow" w:hAnsi="Barlow"/>
          <w:sz w:val="20"/>
          <w:szCs w:val="20"/>
        </w:rPr>
        <w:t>, contamos</w:t>
      </w:r>
      <w:r w:rsidR="000746A6" w:rsidRPr="00335812">
        <w:rPr>
          <w:rFonts w:ascii="Barlow" w:hAnsi="Barlow"/>
          <w:sz w:val="20"/>
          <w:szCs w:val="20"/>
        </w:rPr>
        <w:t xml:space="preserve"> </w:t>
      </w:r>
      <w:r w:rsidR="000845ED" w:rsidRPr="00335812">
        <w:rPr>
          <w:rFonts w:ascii="Barlow" w:hAnsi="Barlow"/>
          <w:sz w:val="20"/>
          <w:szCs w:val="20"/>
        </w:rPr>
        <w:t>con el</w:t>
      </w:r>
      <w:r w:rsidR="00927839" w:rsidRPr="00335812">
        <w:rPr>
          <w:rFonts w:ascii="Barlow" w:hAnsi="Barlow"/>
          <w:sz w:val="20"/>
          <w:szCs w:val="20"/>
        </w:rPr>
        <w:t xml:space="preserve"> sistema administrativo-contable SAACG.NET, paquetería con licen</w:t>
      </w:r>
      <w:r w:rsidR="003C74D0" w:rsidRPr="00335812">
        <w:rPr>
          <w:rFonts w:ascii="Barlow" w:hAnsi="Barlow"/>
          <w:sz w:val="20"/>
          <w:szCs w:val="20"/>
        </w:rPr>
        <w:t>cia del INDETEC</w:t>
      </w:r>
      <w:r w:rsidR="00F33AAE" w:rsidRPr="00335812">
        <w:rPr>
          <w:rFonts w:ascii="Barlow" w:hAnsi="Barlow"/>
          <w:sz w:val="20"/>
          <w:szCs w:val="20"/>
        </w:rPr>
        <w:t>.</w:t>
      </w:r>
      <w:r w:rsidR="00124BB8" w:rsidRPr="00335812">
        <w:rPr>
          <w:rFonts w:ascii="Barlow" w:hAnsi="Barlow"/>
          <w:sz w:val="20"/>
          <w:szCs w:val="20"/>
        </w:rPr>
        <w:t xml:space="preserve"> L</w:t>
      </w:r>
      <w:r w:rsidR="00F33AAE" w:rsidRPr="00335812">
        <w:rPr>
          <w:rFonts w:ascii="Barlow" w:hAnsi="Barlow"/>
          <w:sz w:val="20"/>
          <w:szCs w:val="20"/>
        </w:rPr>
        <w:t xml:space="preserve">icencia que se </w:t>
      </w:r>
      <w:r w:rsidR="000845ED" w:rsidRPr="00335812">
        <w:rPr>
          <w:rFonts w:ascii="Barlow" w:hAnsi="Barlow"/>
          <w:sz w:val="20"/>
          <w:szCs w:val="20"/>
        </w:rPr>
        <w:t>buscó</w:t>
      </w:r>
      <w:r w:rsidR="00F33AAE" w:rsidRPr="00335812">
        <w:rPr>
          <w:rFonts w:ascii="Barlow" w:hAnsi="Barlow"/>
          <w:sz w:val="20"/>
          <w:szCs w:val="20"/>
        </w:rPr>
        <w:t xml:space="preserve"> correlacionar en su configuración y catálogo con el sistema ya existente del IBECEY, y poder integrar las dos contabilidades para la debida presentación de la cuenta pública.</w:t>
      </w:r>
    </w:p>
    <w:p w:rsidR="00164CF5" w:rsidRPr="00335812" w:rsidRDefault="00164CF5" w:rsidP="0085335D">
      <w:pPr>
        <w:pStyle w:val="INCISO"/>
        <w:spacing w:after="0" w:line="240" w:lineRule="exact"/>
        <w:ind w:left="0" w:firstLine="0"/>
        <w:rPr>
          <w:rFonts w:ascii="Barlow" w:hAnsi="Barlow"/>
          <w:sz w:val="20"/>
          <w:szCs w:val="20"/>
        </w:rPr>
      </w:pPr>
    </w:p>
    <w:p w:rsidR="00540418" w:rsidRPr="00335812" w:rsidRDefault="00540418" w:rsidP="00540418">
      <w:pPr>
        <w:pStyle w:val="Texto"/>
        <w:spacing w:after="0" w:line="240" w:lineRule="exact"/>
        <w:ind w:left="1440" w:hanging="360"/>
        <w:rPr>
          <w:rFonts w:ascii="Barlow" w:hAnsi="Barlow"/>
          <w:sz w:val="20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6.</w:t>
      </w:r>
      <w:r w:rsidRPr="00335812">
        <w:rPr>
          <w:rFonts w:ascii="Barlow" w:hAnsi="Barlow"/>
          <w:b/>
          <w:sz w:val="20"/>
          <w:lang w:val="es-MX"/>
        </w:rPr>
        <w:tab/>
        <w:t>Políticas de Contabilidad Significativas</w:t>
      </w:r>
    </w:p>
    <w:p w:rsidR="00D41446" w:rsidRPr="00335812" w:rsidRDefault="00D41446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E175A7" w:rsidRPr="00335812" w:rsidRDefault="00E175A7" w:rsidP="00BC0DDF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En el ejercicio 2016 por cuestiones de políticas de contabilización nos alineamos a la de la Secretaría de Administración y Finanzas</w:t>
      </w:r>
      <w:r w:rsidR="002D22EC" w:rsidRPr="00335812">
        <w:rPr>
          <w:rFonts w:ascii="Barlow" w:hAnsi="Barlow"/>
          <w:sz w:val="20"/>
          <w:szCs w:val="20"/>
        </w:rPr>
        <w:t>, pasando de</w:t>
      </w:r>
      <w:r w:rsidRPr="00335812">
        <w:rPr>
          <w:rFonts w:ascii="Barlow" w:hAnsi="Barlow"/>
          <w:sz w:val="20"/>
          <w:szCs w:val="20"/>
        </w:rPr>
        <w:t xml:space="preserve">l </w:t>
      </w:r>
      <w:r w:rsidR="002D22EC" w:rsidRPr="00335812">
        <w:rPr>
          <w:rFonts w:ascii="Barlow" w:hAnsi="Barlow"/>
          <w:sz w:val="20"/>
          <w:szCs w:val="20"/>
        </w:rPr>
        <w:t>9</w:t>
      </w:r>
      <w:r w:rsidRPr="00335812">
        <w:rPr>
          <w:rFonts w:ascii="Barlow" w:hAnsi="Barlow"/>
          <w:sz w:val="20"/>
          <w:szCs w:val="20"/>
        </w:rPr>
        <w:t>4</w:t>
      </w:r>
      <w:r w:rsidR="002D22EC" w:rsidRPr="00335812">
        <w:rPr>
          <w:rFonts w:ascii="Barlow" w:hAnsi="Barlow"/>
          <w:sz w:val="20"/>
          <w:szCs w:val="20"/>
        </w:rPr>
        <w:t xml:space="preserve"> AYUDAS SOCIALES al</w:t>
      </w:r>
      <w:r w:rsidRPr="00335812">
        <w:rPr>
          <w:rFonts w:ascii="Barlow" w:hAnsi="Barlow"/>
          <w:sz w:val="20"/>
          <w:szCs w:val="20"/>
        </w:rPr>
        <w:t xml:space="preserve"> </w:t>
      </w:r>
      <w:r w:rsidR="002D22EC" w:rsidRPr="00335812">
        <w:rPr>
          <w:rFonts w:ascii="Barlow" w:hAnsi="Barlow"/>
          <w:sz w:val="20"/>
          <w:szCs w:val="20"/>
        </w:rPr>
        <w:t>9</w:t>
      </w:r>
      <w:r w:rsidR="008E1B6D" w:rsidRPr="00335812">
        <w:rPr>
          <w:rFonts w:ascii="Barlow" w:hAnsi="Barlow"/>
          <w:sz w:val="20"/>
          <w:szCs w:val="20"/>
        </w:rPr>
        <w:t>1</w:t>
      </w:r>
      <w:r w:rsidRPr="00335812">
        <w:rPr>
          <w:rFonts w:ascii="Barlow" w:hAnsi="Barlow"/>
          <w:sz w:val="20"/>
          <w:szCs w:val="20"/>
        </w:rPr>
        <w:t xml:space="preserve"> </w:t>
      </w:r>
      <w:r w:rsidR="008E1B6D" w:rsidRPr="00335812">
        <w:rPr>
          <w:rFonts w:ascii="Barlow" w:hAnsi="Barlow"/>
          <w:sz w:val="20"/>
          <w:szCs w:val="20"/>
        </w:rPr>
        <w:t>TRANSFERENCIAS INTERNAS Y ASIGNACIONES AL SECTOR PÚBLICO</w:t>
      </w:r>
      <w:r w:rsidRPr="00335812">
        <w:rPr>
          <w:rFonts w:ascii="Barlow" w:hAnsi="Barlow"/>
          <w:sz w:val="20"/>
          <w:szCs w:val="20"/>
        </w:rPr>
        <w:t xml:space="preserve"> del Clasificador por </w:t>
      </w:r>
      <w:r w:rsidR="002D22EC" w:rsidRPr="00335812">
        <w:rPr>
          <w:rFonts w:ascii="Barlow" w:hAnsi="Barlow"/>
          <w:sz w:val="20"/>
          <w:szCs w:val="20"/>
        </w:rPr>
        <w:t>Rubro</w:t>
      </w:r>
      <w:r w:rsidRPr="00335812">
        <w:rPr>
          <w:rFonts w:ascii="Barlow" w:hAnsi="Barlow"/>
          <w:sz w:val="20"/>
          <w:szCs w:val="20"/>
        </w:rPr>
        <w:t xml:space="preserve"> de</w:t>
      </w:r>
      <w:r w:rsidR="002D22EC" w:rsidRPr="00335812">
        <w:rPr>
          <w:rFonts w:ascii="Barlow" w:hAnsi="Barlow"/>
          <w:sz w:val="20"/>
          <w:szCs w:val="20"/>
        </w:rPr>
        <w:t xml:space="preserve"> Ingresos</w:t>
      </w:r>
      <w:r w:rsidRPr="00335812">
        <w:rPr>
          <w:rFonts w:ascii="Barlow" w:hAnsi="Barlow"/>
          <w:sz w:val="20"/>
          <w:szCs w:val="20"/>
        </w:rPr>
        <w:t xml:space="preserve">, los </w:t>
      </w:r>
      <w:r w:rsidR="002D22EC" w:rsidRPr="00335812">
        <w:rPr>
          <w:rFonts w:ascii="Barlow" w:hAnsi="Barlow"/>
          <w:sz w:val="20"/>
          <w:szCs w:val="20"/>
        </w:rPr>
        <w:t xml:space="preserve">ingresos recibidos por </w:t>
      </w:r>
      <w:r w:rsidR="002D22EC" w:rsidRPr="00335812">
        <w:rPr>
          <w:rFonts w:ascii="Barlow" w:hAnsi="Barlow"/>
          <w:b/>
          <w:sz w:val="20"/>
          <w:szCs w:val="20"/>
        </w:rPr>
        <w:t>Transferencias, Asignaciones, Subsidios y Otras Ayudas</w:t>
      </w:r>
      <w:r w:rsidR="002D22EC" w:rsidRPr="00335812">
        <w:rPr>
          <w:rFonts w:ascii="Barlow" w:hAnsi="Barlow"/>
          <w:sz w:val="20"/>
          <w:szCs w:val="20"/>
        </w:rPr>
        <w:t>.</w:t>
      </w:r>
      <w:r w:rsidR="008E1B6D" w:rsidRPr="00335812">
        <w:rPr>
          <w:rFonts w:ascii="Barlow" w:hAnsi="Barlow"/>
          <w:sz w:val="20"/>
          <w:szCs w:val="20"/>
        </w:rPr>
        <w:t xml:space="preserve"> </w:t>
      </w:r>
    </w:p>
    <w:p w:rsidR="00BC0DDF" w:rsidRPr="00335812" w:rsidRDefault="00BC0DDF" w:rsidP="00BC0DDF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</w:p>
    <w:p w:rsidR="004A508F" w:rsidRPr="00335812" w:rsidRDefault="004A508F" w:rsidP="00BC0DDF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7.</w:t>
      </w:r>
      <w:r w:rsidRPr="00335812">
        <w:rPr>
          <w:rFonts w:ascii="Barlow" w:hAnsi="Barlow"/>
          <w:b/>
          <w:sz w:val="20"/>
          <w:lang w:val="es-MX"/>
        </w:rPr>
        <w:tab/>
        <w:t>Posición en Moneda Extranjera y Protección por Riesgo Cambiario</w:t>
      </w:r>
    </w:p>
    <w:p w:rsidR="00D73F99" w:rsidRPr="00335812" w:rsidRDefault="00D73F99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D73F99" w:rsidP="00540418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No Aplica</w:t>
      </w:r>
    </w:p>
    <w:p w:rsidR="00124BB8" w:rsidRPr="00335812" w:rsidRDefault="00124BB8" w:rsidP="00675B51">
      <w:pPr>
        <w:pStyle w:val="Texto"/>
        <w:tabs>
          <w:tab w:val="left" w:pos="709"/>
        </w:tabs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124BB8" w:rsidRPr="00335812" w:rsidRDefault="00124BB8" w:rsidP="00675B51">
      <w:pPr>
        <w:pStyle w:val="Texto"/>
        <w:tabs>
          <w:tab w:val="left" w:pos="709"/>
        </w:tabs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540418" w:rsidP="00675B51">
      <w:pPr>
        <w:pStyle w:val="Texto"/>
        <w:tabs>
          <w:tab w:val="left" w:pos="709"/>
        </w:tabs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8.</w:t>
      </w:r>
      <w:r w:rsidR="00675B51" w:rsidRPr="00335812">
        <w:rPr>
          <w:rFonts w:ascii="Barlow" w:hAnsi="Barlow"/>
          <w:b/>
          <w:sz w:val="20"/>
          <w:lang w:val="es-MX"/>
        </w:rPr>
        <w:t xml:space="preserve">     </w:t>
      </w:r>
      <w:r w:rsidRPr="00335812">
        <w:rPr>
          <w:rFonts w:ascii="Barlow" w:hAnsi="Barlow"/>
          <w:b/>
          <w:sz w:val="20"/>
          <w:lang w:val="es-MX"/>
        </w:rPr>
        <w:t xml:space="preserve"> Reporte Analítico del Activo</w:t>
      </w:r>
    </w:p>
    <w:p w:rsidR="000B4634" w:rsidRPr="00335812" w:rsidRDefault="000B4634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025FB9" w:rsidRDefault="00D73F99" w:rsidP="00675B51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 xml:space="preserve">Lo más importante </w:t>
      </w:r>
      <w:r w:rsidR="0085335D" w:rsidRPr="00335812">
        <w:rPr>
          <w:rFonts w:ascii="Barlow" w:hAnsi="Barlow"/>
          <w:sz w:val="20"/>
          <w:szCs w:val="20"/>
        </w:rPr>
        <w:t>de nuestros</w:t>
      </w:r>
      <w:r w:rsidRPr="00335812">
        <w:rPr>
          <w:rFonts w:ascii="Barlow" w:hAnsi="Barlow"/>
          <w:sz w:val="20"/>
          <w:szCs w:val="20"/>
        </w:rPr>
        <w:t xml:space="preserve"> activos se lo presentamos en </w:t>
      </w:r>
      <w:r w:rsidR="000B4634" w:rsidRPr="00335812">
        <w:rPr>
          <w:rFonts w:ascii="Barlow" w:hAnsi="Barlow"/>
          <w:sz w:val="20"/>
          <w:szCs w:val="20"/>
        </w:rPr>
        <w:t>las NOTAS AL ESTADO DE SITUACIÓN FINANCIERA en la parte de Bienes M</w:t>
      </w:r>
      <w:r w:rsidR="00191B41" w:rsidRPr="00335812">
        <w:rPr>
          <w:rFonts w:ascii="Barlow" w:hAnsi="Barlow"/>
          <w:sz w:val="20"/>
          <w:szCs w:val="20"/>
        </w:rPr>
        <w:t>uebles, Inmuebles e Intangibles.</w:t>
      </w:r>
    </w:p>
    <w:p w:rsidR="0085335D" w:rsidRDefault="0085335D" w:rsidP="00675B51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</w:p>
    <w:p w:rsidR="0085335D" w:rsidRDefault="0085335D" w:rsidP="00675B51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</w:p>
    <w:p w:rsidR="0085335D" w:rsidRPr="00335812" w:rsidRDefault="0085335D" w:rsidP="00675B51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</w:p>
    <w:p w:rsidR="00025FB9" w:rsidRPr="00335812" w:rsidRDefault="00025FB9" w:rsidP="000B4634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</w:p>
    <w:p w:rsidR="000B4634" w:rsidRPr="00335812" w:rsidRDefault="000B4634" w:rsidP="000B4634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lastRenderedPageBreak/>
        <w:t>9.</w:t>
      </w:r>
      <w:r w:rsidRPr="00335812">
        <w:rPr>
          <w:rFonts w:ascii="Barlow" w:hAnsi="Barlow"/>
          <w:b/>
          <w:sz w:val="20"/>
          <w:lang w:val="es-MX"/>
        </w:rPr>
        <w:tab/>
        <w:t>Fideicomisos, Mandatos y Análogos</w:t>
      </w:r>
    </w:p>
    <w:p w:rsidR="000B4634" w:rsidRPr="00335812" w:rsidRDefault="000B4634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124BB8" w:rsidP="00B7498D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 xml:space="preserve">Este </w:t>
      </w:r>
      <w:r w:rsidR="000B4634" w:rsidRPr="00335812">
        <w:rPr>
          <w:rFonts w:ascii="Barlow" w:hAnsi="Barlow"/>
          <w:sz w:val="20"/>
          <w:szCs w:val="20"/>
        </w:rPr>
        <w:t xml:space="preserve">Fideicomiso </w:t>
      </w:r>
      <w:r w:rsidR="00E90AB0" w:rsidRPr="00335812">
        <w:rPr>
          <w:rFonts w:ascii="Barlow" w:hAnsi="Barlow"/>
          <w:sz w:val="20"/>
          <w:szCs w:val="20"/>
        </w:rPr>
        <w:t>l</w:t>
      </w:r>
      <w:r w:rsidR="007B16FE" w:rsidRPr="00335812">
        <w:rPr>
          <w:rFonts w:ascii="Barlow" w:hAnsi="Barlow"/>
          <w:sz w:val="20"/>
          <w:szCs w:val="20"/>
        </w:rPr>
        <w:t>o</w:t>
      </w:r>
      <w:r w:rsidR="00BC0DDF" w:rsidRPr="00335812">
        <w:rPr>
          <w:rFonts w:ascii="Barlow" w:hAnsi="Barlow"/>
          <w:sz w:val="20"/>
          <w:szCs w:val="20"/>
        </w:rPr>
        <w:t xml:space="preserve"> conforma</w:t>
      </w:r>
      <w:r w:rsidR="00AE6F40" w:rsidRPr="00335812">
        <w:rPr>
          <w:rFonts w:ascii="Barlow" w:hAnsi="Barlow"/>
          <w:sz w:val="20"/>
          <w:szCs w:val="20"/>
        </w:rPr>
        <w:t xml:space="preserve"> l</w:t>
      </w:r>
      <w:r w:rsidR="007B16FE" w:rsidRPr="00335812">
        <w:rPr>
          <w:rFonts w:ascii="Barlow" w:hAnsi="Barlow"/>
          <w:sz w:val="20"/>
          <w:szCs w:val="20"/>
        </w:rPr>
        <w:t>a</w:t>
      </w:r>
      <w:r w:rsidR="00AE6F40" w:rsidRPr="00335812">
        <w:rPr>
          <w:rFonts w:ascii="Barlow" w:hAnsi="Barlow"/>
          <w:sz w:val="20"/>
          <w:szCs w:val="20"/>
        </w:rPr>
        <w:t xml:space="preserve"> Secretar</w:t>
      </w:r>
      <w:r w:rsidR="007B16FE" w:rsidRPr="00335812">
        <w:rPr>
          <w:rFonts w:ascii="Barlow" w:hAnsi="Barlow"/>
          <w:sz w:val="20"/>
          <w:szCs w:val="20"/>
        </w:rPr>
        <w:t>ía</w:t>
      </w:r>
      <w:r w:rsidR="00AE6F40" w:rsidRPr="00335812">
        <w:rPr>
          <w:rFonts w:ascii="Barlow" w:hAnsi="Barlow"/>
          <w:sz w:val="20"/>
          <w:szCs w:val="20"/>
        </w:rPr>
        <w:t xml:space="preserve"> de Educación </w:t>
      </w:r>
      <w:r w:rsidR="00BC0DDF" w:rsidRPr="00335812">
        <w:rPr>
          <w:rFonts w:ascii="Barlow" w:hAnsi="Barlow"/>
          <w:sz w:val="20"/>
          <w:szCs w:val="20"/>
        </w:rPr>
        <w:t xml:space="preserve">General </w:t>
      </w:r>
      <w:r w:rsidR="00AE6F40" w:rsidRPr="00335812">
        <w:rPr>
          <w:rFonts w:ascii="Barlow" w:hAnsi="Barlow"/>
          <w:sz w:val="20"/>
          <w:szCs w:val="20"/>
        </w:rPr>
        <w:t xml:space="preserve">del Estado de </w:t>
      </w:r>
      <w:r w:rsidR="00335812" w:rsidRPr="00335812">
        <w:rPr>
          <w:rFonts w:ascii="Barlow" w:hAnsi="Barlow"/>
          <w:sz w:val="20"/>
          <w:szCs w:val="20"/>
        </w:rPr>
        <w:t>Yucatán, la</w:t>
      </w:r>
      <w:r w:rsidR="000B4634" w:rsidRPr="00335812">
        <w:rPr>
          <w:rFonts w:ascii="Barlow" w:hAnsi="Barlow"/>
          <w:sz w:val="20"/>
          <w:szCs w:val="20"/>
        </w:rPr>
        <w:t xml:space="preserve"> Secretaría de Educación Federal </w:t>
      </w:r>
      <w:r w:rsidR="00BC0DDF" w:rsidRPr="00335812">
        <w:rPr>
          <w:rFonts w:ascii="Barlow" w:hAnsi="Barlow"/>
          <w:sz w:val="20"/>
          <w:szCs w:val="20"/>
        </w:rPr>
        <w:t xml:space="preserve">y </w:t>
      </w:r>
      <w:r w:rsidR="007D2077" w:rsidRPr="00335812">
        <w:rPr>
          <w:rFonts w:ascii="Barlow" w:hAnsi="Barlow"/>
          <w:sz w:val="20"/>
          <w:szCs w:val="20"/>
        </w:rPr>
        <w:t xml:space="preserve">el banco </w:t>
      </w:r>
      <w:r w:rsidR="00BC0DDF" w:rsidRPr="00335812">
        <w:rPr>
          <w:rFonts w:ascii="Barlow" w:hAnsi="Barlow"/>
          <w:sz w:val="20"/>
          <w:szCs w:val="20"/>
        </w:rPr>
        <w:t>BANAMEX</w:t>
      </w:r>
      <w:r w:rsidR="007D2077" w:rsidRPr="00335812">
        <w:rPr>
          <w:rFonts w:ascii="Barlow" w:hAnsi="Barlow"/>
          <w:sz w:val="20"/>
          <w:szCs w:val="20"/>
        </w:rPr>
        <w:t xml:space="preserve"> como Fiduciario</w:t>
      </w:r>
      <w:r w:rsidR="00BC0DDF" w:rsidRPr="00335812">
        <w:rPr>
          <w:rFonts w:ascii="Barlow" w:hAnsi="Barlow"/>
          <w:sz w:val="20"/>
          <w:szCs w:val="20"/>
        </w:rPr>
        <w:t>.</w:t>
      </w:r>
    </w:p>
    <w:p w:rsidR="00246371" w:rsidRPr="00335812" w:rsidRDefault="00246371" w:rsidP="00B7498D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</w:p>
    <w:p w:rsidR="007D2077" w:rsidRPr="00335812" w:rsidRDefault="007D2077" w:rsidP="00B7498D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 xml:space="preserve">En el mes de </w:t>
      </w:r>
      <w:r w:rsidR="00335812" w:rsidRPr="00335812">
        <w:rPr>
          <w:rFonts w:ascii="Barlow" w:hAnsi="Barlow"/>
          <w:sz w:val="20"/>
          <w:szCs w:val="20"/>
        </w:rPr>
        <w:t>noviembre</w:t>
      </w:r>
      <w:r w:rsidRPr="00335812">
        <w:rPr>
          <w:rFonts w:ascii="Barlow" w:hAnsi="Barlow"/>
          <w:sz w:val="20"/>
          <w:szCs w:val="20"/>
        </w:rPr>
        <w:t xml:space="preserve"> del 2014 se firmó el contrato que </w:t>
      </w:r>
      <w:r w:rsidR="008E1B9F" w:rsidRPr="00335812">
        <w:rPr>
          <w:rFonts w:ascii="Barlow" w:hAnsi="Barlow"/>
          <w:sz w:val="20"/>
          <w:szCs w:val="20"/>
        </w:rPr>
        <w:t>establece el contrato</w:t>
      </w:r>
      <w:r w:rsidRPr="00335812">
        <w:rPr>
          <w:rFonts w:ascii="Barlow" w:hAnsi="Barlow"/>
          <w:sz w:val="20"/>
          <w:szCs w:val="20"/>
        </w:rPr>
        <w:t xml:space="preserve"> del Fideicomiso</w:t>
      </w:r>
      <w:r w:rsidR="008E1B9F" w:rsidRPr="00335812">
        <w:rPr>
          <w:rFonts w:ascii="Barlow" w:hAnsi="Barlow"/>
          <w:sz w:val="20"/>
          <w:szCs w:val="20"/>
        </w:rPr>
        <w:t xml:space="preserve"> del “Programa de Becas Nacionales para la Educación Superior</w:t>
      </w:r>
      <w:r w:rsidRPr="00335812">
        <w:rPr>
          <w:rFonts w:ascii="Barlow" w:hAnsi="Barlow"/>
          <w:sz w:val="20"/>
          <w:szCs w:val="20"/>
        </w:rPr>
        <w:t xml:space="preserve"> </w:t>
      </w:r>
      <w:r w:rsidR="008E1B9F" w:rsidRPr="00335812">
        <w:rPr>
          <w:rFonts w:ascii="Barlow" w:hAnsi="Barlow"/>
          <w:sz w:val="20"/>
          <w:szCs w:val="20"/>
        </w:rPr>
        <w:t>en su Modalidad Manutención”</w:t>
      </w:r>
      <w:r w:rsidR="00BC0DDF" w:rsidRPr="00335812">
        <w:rPr>
          <w:rFonts w:ascii="Barlow" w:hAnsi="Barlow"/>
          <w:sz w:val="20"/>
          <w:szCs w:val="20"/>
        </w:rPr>
        <w:t>.</w:t>
      </w:r>
    </w:p>
    <w:p w:rsidR="00540418" w:rsidRPr="00335812" w:rsidRDefault="00540418" w:rsidP="00540418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10.</w:t>
      </w:r>
      <w:r w:rsidRPr="00335812">
        <w:rPr>
          <w:rFonts w:ascii="Barlow" w:hAnsi="Barlow"/>
          <w:b/>
          <w:sz w:val="20"/>
          <w:lang w:val="es-MX"/>
        </w:rPr>
        <w:tab/>
        <w:t>Reporte de la Recaudación</w:t>
      </w:r>
    </w:p>
    <w:p w:rsidR="00AE6F40" w:rsidRPr="00335812" w:rsidRDefault="00AE6F40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164CF5" w:rsidRDefault="00AE6F40" w:rsidP="0085335D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No Aplica.</w:t>
      </w:r>
    </w:p>
    <w:p w:rsidR="00164CF5" w:rsidRPr="00335812" w:rsidRDefault="00164CF5" w:rsidP="00540418">
      <w:pPr>
        <w:pStyle w:val="INCISO"/>
        <w:spacing w:after="0" w:line="240" w:lineRule="exact"/>
        <w:ind w:left="0" w:firstLine="0"/>
        <w:rPr>
          <w:rFonts w:ascii="Barlow" w:hAnsi="Barlow"/>
          <w:sz w:val="20"/>
          <w:szCs w:val="20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11.</w:t>
      </w:r>
      <w:r w:rsidRPr="00335812">
        <w:rPr>
          <w:rFonts w:ascii="Barlow" w:hAnsi="Barlow"/>
          <w:b/>
          <w:sz w:val="20"/>
          <w:lang w:val="es-MX"/>
        </w:rPr>
        <w:tab/>
        <w:t>Información sobre la Deuda y el Reporte Analítico de la Deuda</w:t>
      </w:r>
    </w:p>
    <w:p w:rsidR="00AE6F40" w:rsidRPr="00335812" w:rsidRDefault="00AE6F40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AE6F40" w:rsidP="00540418">
      <w:pPr>
        <w:pStyle w:val="INCISO"/>
        <w:spacing w:after="0" w:line="240" w:lineRule="exact"/>
        <w:rPr>
          <w:rFonts w:ascii="Barlow" w:hAnsi="Barlow"/>
          <w:sz w:val="20"/>
          <w:szCs w:val="20"/>
          <w:lang w:val="es-MX"/>
        </w:rPr>
      </w:pPr>
      <w:r w:rsidRPr="00335812">
        <w:rPr>
          <w:rFonts w:ascii="Barlow" w:hAnsi="Barlow"/>
          <w:sz w:val="20"/>
          <w:szCs w:val="20"/>
          <w:lang w:val="es-MX"/>
        </w:rPr>
        <w:t>No Aplica.</w:t>
      </w:r>
    </w:p>
    <w:p w:rsidR="00540418" w:rsidRPr="00335812" w:rsidRDefault="00540418" w:rsidP="00540418">
      <w:pPr>
        <w:pStyle w:val="INCISO"/>
        <w:spacing w:after="0" w:line="240" w:lineRule="exact"/>
        <w:rPr>
          <w:rFonts w:ascii="Barlow" w:hAnsi="Barlow"/>
          <w:sz w:val="20"/>
          <w:szCs w:val="20"/>
          <w:lang w:val="es-MX"/>
        </w:rPr>
      </w:pPr>
    </w:p>
    <w:p w:rsidR="00540418" w:rsidRPr="00335812" w:rsidRDefault="00540418" w:rsidP="00675B51">
      <w:pPr>
        <w:pStyle w:val="Texto"/>
        <w:tabs>
          <w:tab w:val="left" w:pos="709"/>
        </w:tabs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 xml:space="preserve">12. </w:t>
      </w:r>
      <w:r w:rsidR="00675B51" w:rsidRPr="00335812">
        <w:rPr>
          <w:rFonts w:ascii="Barlow" w:hAnsi="Barlow"/>
          <w:b/>
          <w:sz w:val="20"/>
          <w:lang w:val="es-MX"/>
        </w:rPr>
        <w:t xml:space="preserve">   </w:t>
      </w:r>
      <w:r w:rsidRPr="00335812">
        <w:rPr>
          <w:rFonts w:ascii="Barlow" w:hAnsi="Barlow"/>
          <w:b/>
          <w:sz w:val="20"/>
          <w:lang w:val="es-MX"/>
        </w:rPr>
        <w:t>Calificaciones otorgadas</w:t>
      </w:r>
    </w:p>
    <w:p w:rsidR="00AE6F40" w:rsidRPr="00335812" w:rsidRDefault="00AE6F40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AE6F40" w:rsidP="00025FB9">
      <w:pPr>
        <w:pStyle w:val="Texto"/>
        <w:spacing w:after="0" w:line="240" w:lineRule="exact"/>
        <w:ind w:firstLine="708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t>No Aplica.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</w:rPr>
      </w:pPr>
    </w:p>
    <w:p w:rsidR="00540418" w:rsidRPr="00335812" w:rsidRDefault="00540418" w:rsidP="003F5CF9">
      <w:pPr>
        <w:pStyle w:val="Texto"/>
        <w:spacing w:after="0" w:line="240" w:lineRule="exact"/>
        <w:ind w:firstLine="0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13.</w:t>
      </w:r>
      <w:r w:rsidRPr="00335812">
        <w:rPr>
          <w:rFonts w:ascii="Barlow" w:hAnsi="Barlow"/>
          <w:b/>
          <w:sz w:val="20"/>
          <w:lang w:val="es-MX"/>
        </w:rPr>
        <w:tab/>
        <w:t>Proceso de Mejora</w:t>
      </w:r>
    </w:p>
    <w:p w:rsidR="00540418" w:rsidRPr="00335812" w:rsidRDefault="003F3EAE" w:rsidP="00E90AB0">
      <w:pPr>
        <w:pStyle w:val="INCISO"/>
        <w:spacing w:after="0" w:line="240" w:lineRule="exact"/>
        <w:ind w:left="720" w:firstLine="0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 xml:space="preserve">Las medidas de desempeño financiero se </w:t>
      </w:r>
      <w:r w:rsidR="00CE6A7A" w:rsidRPr="00335812">
        <w:rPr>
          <w:rFonts w:ascii="Barlow" w:hAnsi="Barlow"/>
          <w:sz w:val="20"/>
          <w:szCs w:val="20"/>
        </w:rPr>
        <w:t>traducen</w:t>
      </w:r>
      <w:r w:rsidRPr="00335812">
        <w:rPr>
          <w:rFonts w:ascii="Barlow" w:hAnsi="Barlow"/>
          <w:sz w:val="20"/>
          <w:szCs w:val="20"/>
        </w:rPr>
        <w:t xml:space="preserve"> en la aplicación correcta de los recursos, en la generación de los mejores rendimientos financieros según lo </w:t>
      </w:r>
      <w:r w:rsidR="00CE6A7A" w:rsidRPr="00335812">
        <w:rPr>
          <w:rFonts w:ascii="Barlow" w:hAnsi="Barlow"/>
          <w:sz w:val="20"/>
          <w:szCs w:val="20"/>
        </w:rPr>
        <w:t>permitan</w:t>
      </w:r>
      <w:r w:rsidRPr="00335812">
        <w:rPr>
          <w:rFonts w:ascii="Barlow" w:hAnsi="Barlow"/>
          <w:sz w:val="20"/>
          <w:szCs w:val="20"/>
        </w:rPr>
        <w:t xml:space="preserve"> las reglas de operación y buscando las instituciones bancarias que ofrezcan un servicio </w:t>
      </w:r>
      <w:r w:rsidR="00590F76" w:rsidRPr="00335812">
        <w:rPr>
          <w:rFonts w:ascii="Barlow" w:hAnsi="Barlow"/>
          <w:sz w:val="20"/>
          <w:szCs w:val="20"/>
        </w:rPr>
        <w:t xml:space="preserve">eficiente </w:t>
      </w:r>
      <w:r w:rsidR="00164CF5" w:rsidRPr="00335812">
        <w:rPr>
          <w:rFonts w:ascii="Barlow" w:hAnsi="Barlow"/>
          <w:sz w:val="20"/>
          <w:szCs w:val="20"/>
        </w:rPr>
        <w:t>para el</w:t>
      </w:r>
      <w:r w:rsidRPr="00335812">
        <w:rPr>
          <w:rFonts w:ascii="Barlow" w:hAnsi="Barlow"/>
          <w:sz w:val="20"/>
          <w:szCs w:val="20"/>
        </w:rPr>
        <w:t xml:space="preserve"> Instituto y que</w:t>
      </w:r>
      <w:r w:rsidR="00590F76" w:rsidRPr="00335812">
        <w:rPr>
          <w:rFonts w:ascii="Barlow" w:hAnsi="Barlow"/>
          <w:sz w:val="20"/>
          <w:szCs w:val="20"/>
        </w:rPr>
        <w:t xml:space="preserve"> se</w:t>
      </w:r>
      <w:r w:rsidRPr="00335812">
        <w:rPr>
          <w:rFonts w:ascii="Barlow" w:hAnsi="Barlow"/>
          <w:sz w:val="20"/>
          <w:szCs w:val="20"/>
        </w:rPr>
        <w:t xml:space="preserve"> traduzca en</w:t>
      </w:r>
      <w:r w:rsidR="00590F76" w:rsidRPr="00335812">
        <w:rPr>
          <w:rFonts w:ascii="Barlow" w:hAnsi="Barlow"/>
          <w:sz w:val="20"/>
          <w:szCs w:val="20"/>
        </w:rPr>
        <w:t xml:space="preserve"> un</w:t>
      </w:r>
      <w:r w:rsidRPr="00335812">
        <w:rPr>
          <w:rFonts w:ascii="Barlow" w:hAnsi="Barlow"/>
          <w:sz w:val="20"/>
          <w:szCs w:val="20"/>
        </w:rPr>
        <w:t xml:space="preserve"> beneficio </w:t>
      </w:r>
      <w:r w:rsidR="00590F76" w:rsidRPr="00335812">
        <w:rPr>
          <w:rFonts w:ascii="Barlow" w:hAnsi="Barlow"/>
          <w:sz w:val="20"/>
          <w:szCs w:val="20"/>
        </w:rPr>
        <w:t>al</w:t>
      </w:r>
      <w:r w:rsidRPr="00335812">
        <w:rPr>
          <w:rFonts w:ascii="Barlow" w:hAnsi="Barlow"/>
          <w:sz w:val="20"/>
          <w:szCs w:val="20"/>
        </w:rPr>
        <w:t xml:space="preserve"> sector de la población a que estamos direccionados.</w:t>
      </w:r>
    </w:p>
    <w:p w:rsidR="003F3EAE" w:rsidRPr="00335812" w:rsidRDefault="003F3EAE" w:rsidP="00025FB9">
      <w:pPr>
        <w:pStyle w:val="INCISO"/>
        <w:spacing w:after="0" w:line="240" w:lineRule="exact"/>
        <w:ind w:left="709" w:firstLine="11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Nuestras metas siempre están dirigidas al cumplimiento de nuestros presupuestos en su totalidad y considerando aplicar un Presupuesto en Base a Resultados para crecer en ejercicios futuros.</w:t>
      </w:r>
    </w:p>
    <w:p w:rsidR="003F3EAE" w:rsidRPr="00335812" w:rsidRDefault="003F3EAE" w:rsidP="00540418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>Buscamos un alcance del 100% de los solicitantes de becas que cumplan con los requisitos de</w:t>
      </w:r>
      <w:r w:rsidR="00D41446" w:rsidRPr="00335812">
        <w:rPr>
          <w:rFonts w:ascii="Barlow" w:hAnsi="Barlow"/>
          <w:sz w:val="20"/>
          <w:szCs w:val="20"/>
        </w:rPr>
        <w:t xml:space="preserve"> </w:t>
      </w:r>
      <w:r w:rsidRPr="00335812">
        <w:rPr>
          <w:rFonts w:ascii="Barlow" w:hAnsi="Barlow"/>
          <w:sz w:val="20"/>
          <w:szCs w:val="20"/>
        </w:rPr>
        <w:t xml:space="preserve">otorgamiento. </w:t>
      </w:r>
    </w:p>
    <w:p w:rsidR="00C94DFF" w:rsidRPr="00335812" w:rsidRDefault="00C94DFF" w:rsidP="00540418">
      <w:pPr>
        <w:pStyle w:val="INCISO"/>
        <w:spacing w:after="0" w:line="240" w:lineRule="exact"/>
        <w:rPr>
          <w:rFonts w:ascii="Barlow" w:hAnsi="Barlow"/>
          <w:sz w:val="20"/>
          <w:szCs w:val="20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14.</w:t>
      </w:r>
      <w:r w:rsidRPr="00335812">
        <w:rPr>
          <w:rFonts w:ascii="Barlow" w:hAnsi="Barlow"/>
          <w:b/>
          <w:sz w:val="20"/>
          <w:lang w:val="es-MX"/>
        </w:rPr>
        <w:tab/>
        <w:t>Información por Segmentos</w:t>
      </w:r>
    </w:p>
    <w:p w:rsidR="002F3822" w:rsidRPr="00335812" w:rsidRDefault="002F3822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2F3822" w:rsidP="00025FB9">
      <w:pPr>
        <w:pStyle w:val="Texto"/>
        <w:spacing w:after="0" w:line="240" w:lineRule="exact"/>
        <w:ind w:firstLine="708"/>
        <w:rPr>
          <w:rFonts w:ascii="Barlow" w:hAnsi="Barlow"/>
          <w:sz w:val="20"/>
          <w:lang w:val="es-MX"/>
        </w:rPr>
      </w:pPr>
      <w:r w:rsidRPr="00335812">
        <w:rPr>
          <w:rFonts w:ascii="Barlow" w:hAnsi="Barlow"/>
          <w:sz w:val="20"/>
          <w:lang w:val="es-MX"/>
        </w:rPr>
        <w:t>No Aplica</w:t>
      </w:r>
      <w:r w:rsidR="00540418" w:rsidRPr="00335812">
        <w:rPr>
          <w:rFonts w:ascii="Barlow" w:hAnsi="Barlow"/>
          <w:sz w:val="20"/>
          <w:lang w:val="es-MX"/>
        </w:rPr>
        <w:t>.</w:t>
      </w: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sz w:val="20"/>
          <w:lang w:val="es-MX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lastRenderedPageBreak/>
        <w:t>15.</w:t>
      </w:r>
      <w:r w:rsidRPr="00335812">
        <w:rPr>
          <w:rFonts w:ascii="Barlow" w:hAnsi="Barlow"/>
          <w:b/>
          <w:sz w:val="20"/>
          <w:lang w:val="es-MX"/>
        </w:rPr>
        <w:tab/>
        <w:t>Eventos Posteriores al Cierre</w:t>
      </w:r>
    </w:p>
    <w:p w:rsidR="00E90AB0" w:rsidRPr="00335812" w:rsidRDefault="00E90AB0" w:rsidP="00E90AB0">
      <w:pPr>
        <w:pStyle w:val="Texto"/>
        <w:spacing w:after="0" w:line="240" w:lineRule="exact"/>
        <w:ind w:firstLine="708"/>
        <w:rPr>
          <w:rFonts w:ascii="Barlow" w:hAnsi="Barlow"/>
          <w:sz w:val="20"/>
          <w:lang w:val="es-MX"/>
        </w:rPr>
      </w:pPr>
      <w:r w:rsidRPr="00335812">
        <w:rPr>
          <w:rFonts w:ascii="Barlow" w:hAnsi="Barlow"/>
          <w:sz w:val="20"/>
          <w:lang w:val="es-MX"/>
        </w:rPr>
        <w:t>No Aplica.</w:t>
      </w:r>
    </w:p>
    <w:p w:rsidR="002F3822" w:rsidRPr="00335812" w:rsidRDefault="002F3822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540418" w:rsidRPr="00335812" w:rsidRDefault="00540418" w:rsidP="00540418">
      <w:pPr>
        <w:pStyle w:val="Texto"/>
        <w:spacing w:after="0" w:line="240" w:lineRule="exact"/>
        <w:ind w:firstLine="0"/>
        <w:rPr>
          <w:rFonts w:ascii="Barlow" w:hAnsi="Barlow"/>
          <w:sz w:val="20"/>
        </w:rPr>
      </w:pPr>
    </w:p>
    <w:p w:rsidR="00540418" w:rsidRPr="00335812" w:rsidRDefault="00540418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  <w:r w:rsidRPr="00335812">
        <w:rPr>
          <w:rFonts w:ascii="Barlow" w:hAnsi="Barlow"/>
          <w:b/>
          <w:sz w:val="20"/>
          <w:lang w:val="es-MX"/>
        </w:rPr>
        <w:t>16.</w:t>
      </w:r>
      <w:r w:rsidRPr="00335812">
        <w:rPr>
          <w:rFonts w:ascii="Barlow" w:hAnsi="Barlow"/>
          <w:b/>
          <w:sz w:val="20"/>
          <w:lang w:val="es-MX"/>
        </w:rPr>
        <w:tab/>
        <w:t>Partes Relacionadas</w:t>
      </w:r>
    </w:p>
    <w:p w:rsidR="002F3822" w:rsidRPr="00335812" w:rsidRDefault="002F3822" w:rsidP="00540418">
      <w:pPr>
        <w:pStyle w:val="Texto"/>
        <w:spacing w:after="0" w:line="240" w:lineRule="exact"/>
        <w:rPr>
          <w:rFonts w:ascii="Barlow" w:hAnsi="Barlow"/>
          <w:b/>
          <w:sz w:val="20"/>
          <w:lang w:val="es-MX"/>
        </w:rPr>
      </w:pPr>
    </w:p>
    <w:p w:rsidR="002F3822" w:rsidRPr="00335812" w:rsidRDefault="002F3822" w:rsidP="003F5CF9">
      <w:pPr>
        <w:pStyle w:val="Texto"/>
        <w:spacing w:after="0" w:line="240" w:lineRule="exact"/>
        <w:ind w:firstLine="708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t>N</w:t>
      </w:r>
      <w:r w:rsidR="00675B51" w:rsidRPr="00335812">
        <w:rPr>
          <w:rFonts w:ascii="Barlow" w:hAnsi="Barlow"/>
          <w:sz w:val="20"/>
        </w:rPr>
        <w:t>o</w:t>
      </w:r>
      <w:r w:rsidRPr="00335812">
        <w:rPr>
          <w:rFonts w:ascii="Barlow" w:hAnsi="Barlow"/>
          <w:sz w:val="20"/>
        </w:rPr>
        <w:t xml:space="preserve"> Aplica.</w:t>
      </w:r>
    </w:p>
    <w:p w:rsidR="003F5CF9" w:rsidRPr="00335812" w:rsidRDefault="003F5CF9" w:rsidP="003F5CF9">
      <w:pPr>
        <w:pStyle w:val="Texto"/>
        <w:spacing w:after="0" w:line="240" w:lineRule="exact"/>
        <w:ind w:firstLine="708"/>
        <w:rPr>
          <w:rFonts w:ascii="Barlow" w:hAnsi="Barlow"/>
          <w:sz w:val="20"/>
        </w:rPr>
      </w:pPr>
    </w:p>
    <w:p w:rsidR="00352B24" w:rsidRPr="00335812" w:rsidRDefault="00352B24" w:rsidP="00352B24">
      <w:pPr>
        <w:pStyle w:val="Texto"/>
        <w:spacing w:after="0" w:line="240" w:lineRule="exact"/>
        <w:rPr>
          <w:rFonts w:ascii="Barlow" w:hAnsi="Barlow"/>
          <w:sz w:val="20"/>
          <w:lang w:val="es-MX"/>
        </w:rPr>
      </w:pPr>
    </w:p>
    <w:p w:rsidR="00352B24" w:rsidRPr="00335812" w:rsidRDefault="00352B24" w:rsidP="00352B24">
      <w:pPr>
        <w:pStyle w:val="Texto"/>
        <w:spacing w:after="0" w:line="240" w:lineRule="exact"/>
        <w:rPr>
          <w:rFonts w:ascii="Barlow" w:hAnsi="Barlow"/>
          <w:sz w:val="20"/>
          <w:lang w:val="es-MX"/>
        </w:rPr>
      </w:pPr>
    </w:p>
    <w:p w:rsidR="002F3822" w:rsidRPr="00335812" w:rsidRDefault="002F3822" w:rsidP="004C6E90">
      <w:pPr>
        <w:pStyle w:val="Texto"/>
        <w:spacing w:after="0" w:line="240" w:lineRule="exact"/>
        <w:rPr>
          <w:rFonts w:ascii="Barlow" w:hAnsi="Barlow"/>
          <w:sz w:val="20"/>
        </w:rPr>
      </w:pPr>
      <w:r w:rsidRPr="00335812">
        <w:rPr>
          <w:rFonts w:ascii="Barlow" w:hAnsi="Barlow"/>
          <w:sz w:val="20"/>
        </w:rPr>
        <w:t>Bajo protesta de decir verdad declaramos que los Estados Financieros y sus Notas son razonablemente correctos y responsabilidad del emisor.</w:t>
      </w:r>
    </w:p>
    <w:p w:rsidR="00A47BC0" w:rsidRPr="00335812" w:rsidRDefault="00A47BC0" w:rsidP="00602F6C">
      <w:pPr>
        <w:rPr>
          <w:rFonts w:ascii="Barlow" w:hAnsi="Barlow"/>
          <w:sz w:val="20"/>
          <w:szCs w:val="20"/>
        </w:rPr>
      </w:pPr>
      <w:r w:rsidRPr="00335812">
        <w:rPr>
          <w:rFonts w:ascii="Barlow" w:hAnsi="Barlow"/>
          <w:sz w:val="20"/>
          <w:szCs w:val="20"/>
        </w:rPr>
        <w:t xml:space="preserve">                                                                       </w:t>
      </w:r>
    </w:p>
    <w:sectPr w:rsidR="00A47BC0" w:rsidRPr="00335812" w:rsidSect="00335812">
      <w:headerReference w:type="default" r:id="rId24"/>
      <w:footerReference w:type="even" r:id="rId25"/>
      <w:footerReference w:type="default" r:id="rId26"/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E4" w:rsidRDefault="009F13E4" w:rsidP="00EA5418">
      <w:pPr>
        <w:spacing w:after="0" w:line="240" w:lineRule="auto"/>
      </w:pPr>
      <w:r>
        <w:separator/>
      </w:r>
    </w:p>
  </w:endnote>
  <w:endnote w:type="continuationSeparator" w:id="0">
    <w:p w:rsidR="009F13E4" w:rsidRDefault="009F13E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44" w:rsidRDefault="005C2FB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71144" w:rsidRPr="00DB276D">
      <w:rPr>
        <w:noProof/>
        <w:lang w:val="es-ES"/>
      </w:rPr>
      <w:t>4</w:t>
    </w:r>
    <w:r>
      <w:rPr>
        <w:noProof/>
        <w:lang w:val="es-ES"/>
      </w:rPr>
      <w:fldChar w:fldCharType="end"/>
    </w:r>
  </w:p>
  <w:p w:rsidR="00D71144" w:rsidRDefault="00D711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44" w:rsidRPr="00163D6C" w:rsidRDefault="00D71144" w:rsidP="008E3652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E4" w:rsidRDefault="009F13E4" w:rsidP="00EA5418">
      <w:pPr>
        <w:spacing w:after="0" w:line="240" w:lineRule="auto"/>
      </w:pPr>
      <w:r>
        <w:separator/>
      </w:r>
    </w:p>
  </w:footnote>
  <w:footnote w:type="continuationSeparator" w:id="0">
    <w:p w:rsidR="009F13E4" w:rsidRDefault="009F13E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144" w:rsidRPr="00832D5A" w:rsidRDefault="00D71144" w:rsidP="0013011C">
    <w:pPr>
      <w:pStyle w:val="Encabezado"/>
      <w:jc w:val="center"/>
      <w:rPr>
        <w:rFonts w:cs="Arial"/>
        <w:b/>
        <w:sz w:val="20"/>
      </w:rPr>
    </w:pPr>
    <w:r w:rsidRPr="00832D5A">
      <w:rPr>
        <w:rFonts w:cs="Arial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009654C"/>
    <w:multiLevelType w:val="hybridMultilevel"/>
    <w:tmpl w:val="9F5C30EA"/>
    <w:lvl w:ilvl="0" w:tplc="C7B27D5C">
      <w:start w:val="1"/>
      <w:numFmt w:val="upperRoman"/>
      <w:lvlText w:val="%1)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3287A65"/>
    <w:multiLevelType w:val="hybridMultilevel"/>
    <w:tmpl w:val="EA7E6914"/>
    <w:lvl w:ilvl="0" w:tplc="3D728D1C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5EBE"/>
    <w:rsid w:val="00012123"/>
    <w:rsid w:val="000121D3"/>
    <w:rsid w:val="00012CEE"/>
    <w:rsid w:val="00014263"/>
    <w:rsid w:val="00015F40"/>
    <w:rsid w:val="00017EAA"/>
    <w:rsid w:val="000202F4"/>
    <w:rsid w:val="00025FB9"/>
    <w:rsid w:val="000273F6"/>
    <w:rsid w:val="00030181"/>
    <w:rsid w:val="000327A9"/>
    <w:rsid w:val="00033344"/>
    <w:rsid w:val="00035BBE"/>
    <w:rsid w:val="00036D6D"/>
    <w:rsid w:val="00040466"/>
    <w:rsid w:val="00040E50"/>
    <w:rsid w:val="00041E59"/>
    <w:rsid w:val="00054C2B"/>
    <w:rsid w:val="000552CB"/>
    <w:rsid w:val="000557B8"/>
    <w:rsid w:val="00062C64"/>
    <w:rsid w:val="0006327B"/>
    <w:rsid w:val="00063AD4"/>
    <w:rsid w:val="00072633"/>
    <w:rsid w:val="00074541"/>
    <w:rsid w:val="000746A6"/>
    <w:rsid w:val="0007473D"/>
    <w:rsid w:val="00075FD4"/>
    <w:rsid w:val="0008051D"/>
    <w:rsid w:val="0008311A"/>
    <w:rsid w:val="00083A44"/>
    <w:rsid w:val="000845ED"/>
    <w:rsid w:val="00084623"/>
    <w:rsid w:val="0009122F"/>
    <w:rsid w:val="00092607"/>
    <w:rsid w:val="000944B1"/>
    <w:rsid w:val="00097B67"/>
    <w:rsid w:val="000A42CA"/>
    <w:rsid w:val="000A61E0"/>
    <w:rsid w:val="000B122C"/>
    <w:rsid w:val="000B3ABA"/>
    <w:rsid w:val="000B4634"/>
    <w:rsid w:val="000B6167"/>
    <w:rsid w:val="000C050B"/>
    <w:rsid w:val="000C39E5"/>
    <w:rsid w:val="000C435A"/>
    <w:rsid w:val="000C59B0"/>
    <w:rsid w:val="000D10D0"/>
    <w:rsid w:val="000D4646"/>
    <w:rsid w:val="000E32D1"/>
    <w:rsid w:val="000E5B86"/>
    <w:rsid w:val="000E5F27"/>
    <w:rsid w:val="000E64BE"/>
    <w:rsid w:val="000E7719"/>
    <w:rsid w:val="000F2622"/>
    <w:rsid w:val="000F2788"/>
    <w:rsid w:val="000F317A"/>
    <w:rsid w:val="000F6503"/>
    <w:rsid w:val="00101A9D"/>
    <w:rsid w:val="00103888"/>
    <w:rsid w:val="00104D48"/>
    <w:rsid w:val="00104FEF"/>
    <w:rsid w:val="00106F77"/>
    <w:rsid w:val="00107A44"/>
    <w:rsid w:val="0011054F"/>
    <w:rsid w:val="00110F15"/>
    <w:rsid w:val="001136FF"/>
    <w:rsid w:val="00124BB8"/>
    <w:rsid w:val="00125763"/>
    <w:rsid w:val="00125D35"/>
    <w:rsid w:val="001266B1"/>
    <w:rsid w:val="001266EA"/>
    <w:rsid w:val="00126A9C"/>
    <w:rsid w:val="0013011C"/>
    <w:rsid w:val="001308EC"/>
    <w:rsid w:val="001354B6"/>
    <w:rsid w:val="00143C7F"/>
    <w:rsid w:val="00144287"/>
    <w:rsid w:val="00146C05"/>
    <w:rsid w:val="00147CFA"/>
    <w:rsid w:val="00153441"/>
    <w:rsid w:val="0015675F"/>
    <w:rsid w:val="00160291"/>
    <w:rsid w:val="00163D6C"/>
    <w:rsid w:val="00164CF5"/>
    <w:rsid w:val="001662BE"/>
    <w:rsid w:val="00175355"/>
    <w:rsid w:val="00180D19"/>
    <w:rsid w:val="0018157C"/>
    <w:rsid w:val="00185D69"/>
    <w:rsid w:val="00191B41"/>
    <w:rsid w:val="001948BC"/>
    <w:rsid w:val="00197114"/>
    <w:rsid w:val="001A1430"/>
    <w:rsid w:val="001A1D01"/>
    <w:rsid w:val="001A3BB5"/>
    <w:rsid w:val="001A6E63"/>
    <w:rsid w:val="001B189B"/>
    <w:rsid w:val="001B1B72"/>
    <w:rsid w:val="001B6CEB"/>
    <w:rsid w:val="001C3BA4"/>
    <w:rsid w:val="001C4165"/>
    <w:rsid w:val="001C635D"/>
    <w:rsid w:val="001C6B6F"/>
    <w:rsid w:val="001C6FD8"/>
    <w:rsid w:val="001D009D"/>
    <w:rsid w:val="001D3F76"/>
    <w:rsid w:val="001D57A5"/>
    <w:rsid w:val="001D7D32"/>
    <w:rsid w:val="001E0AE8"/>
    <w:rsid w:val="001E5BA5"/>
    <w:rsid w:val="001F0260"/>
    <w:rsid w:val="001F2166"/>
    <w:rsid w:val="001F21B9"/>
    <w:rsid w:val="0020264C"/>
    <w:rsid w:val="00203DE5"/>
    <w:rsid w:val="00210419"/>
    <w:rsid w:val="00212982"/>
    <w:rsid w:val="00214123"/>
    <w:rsid w:val="002204DB"/>
    <w:rsid w:val="00225662"/>
    <w:rsid w:val="00226A57"/>
    <w:rsid w:val="00227D43"/>
    <w:rsid w:val="00230143"/>
    <w:rsid w:val="00234DDB"/>
    <w:rsid w:val="00235A7A"/>
    <w:rsid w:val="00236660"/>
    <w:rsid w:val="00241D8F"/>
    <w:rsid w:val="00241DE0"/>
    <w:rsid w:val="00243899"/>
    <w:rsid w:val="00245DAB"/>
    <w:rsid w:val="00246371"/>
    <w:rsid w:val="00247214"/>
    <w:rsid w:val="002473AC"/>
    <w:rsid w:val="00247B65"/>
    <w:rsid w:val="00255872"/>
    <w:rsid w:val="002577BF"/>
    <w:rsid w:val="00260051"/>
    <w:rsid w:val="00260D1C"/>
    <w:rsid w:val="00264883"/>
    <w:rsid w:val="00264F91"/>
    <w:rsid w:val="002734E9"/>
    <w:rsid w:val="00274971"/>
    <w:rsid w:val="0027523E"/>
    <w:rsid w:val="00277080"/>
    <w:rsid w:val="002852C7"/>
    <w:rsid w:val="00286094"/>
    <w:rsid w:val="00290A64"/>
    <w:rsid w:val="00291EA3"/>
    <w:rsid w:val="0029354A"/>
    <w:rsid w:val="00294FCF"/>
    <w:rsid w:val="002A0071"/>
    <w:rsid w:val="002A2633"/>
    <w:rsid w:val="002A5EA5"/>
    <w:rsid w:val="002A70B3"/>
    <w:rsid w:val="002B0107"/>
    <w:rsid w:val="002B13F9"/>
    <w:rsid w:val="002B2A72"/>
    <w:rsid w:val="002B62D9"/>
    <w:rsid w:val="002C1AD2"/>
    <w:rsid w:val="002C49DE"/>
    <w:rsid w:val="002C4E23"/>
    <w:rsid w:val="002C77FD"/>
    <w:rsid w:val="002D0B27"/>
    <w:rsid w:val="002D14D2"/>
    <w:rsid w:val="002D22EC"/>
    <w:rsid w:val="002D2BC4"/>
    <w:rsid w:val="002D3BF5"/>
    <w:rsid w:val="002D4F1F"/>
    <w:rsid w:val="002D6977"/>
    <w:rsid w:val="002D6CB6"/>
    <w:rsid w:val="002E40D7"/>
    <w:rsid w:val="002E443E"/>
    <w:rsid w:val="002F3822"/>
    <w:rsid w:val="002F5DCE"/>
    <w:rsid w:val="003059FE"/>
    <w:rsid w:val="00306E27"/>
    <w:rsid w:val="003072DC"/>
    <w:rsid w:val="003109F8"/>
    <w:rsid w:val="003131E0"/>
    <w:rsid w:val="003155B8"/>
    <w:rsid w:val="00315E3C"/>
    <w:rsid w:val="00316542"/>
    <w:rsid w:val="00320426"/>
    <w:rsid w:val="00326986"/>
    <w:rsid w:val="00326BC5"/>
    <w:rsid w:val="00327439"/>
    <w:rsid w:val="0032782B"/>
    <w:rsid w:val="00335812"/>
    <w:rsid w:val="00335851"/>
    <w:rsid w:val="00347834"/>
    <w:rsid w:val="00352AC8"/>
    <w:rsid w:val="00352B24"/>
    <w:rsid w:val="00353762"/>
    <w:rsid w:val="00354362"/>
    <w:rsid w:val="00355041"/>
    <w:rsid w:val="003551FD"/>
    <w:rsid w:val="00364F87"/>
    <w:rsid w:val="00367831"/>
    <w:rsid w:val="00372F40"/>
    <w:rsid w:val="003835E2"/>
    <w:rsid w:val="00387368"/>
    <w:rsid w:val="00390816"/>
    <w:rsid w:val="003921FD"/>
    <w:rsid w:val="00392D12"/>
    <w:rsid w:val="003A0303"/>
    <w:rsid w:val="003A07DE"/>
    <w:rsid w:val="003A290C"/>
    <w:rsid w:val="003A2C9F"/>
    <w:rsid w:val="003A3087"/>
    <w:rsid w:val="003B0DBD"/>
    <w:rsid w:val="003B4621"/>
    <w:rsid w:val="003B68D8"/>
    <w:rsid w:val="003C1161"/>
    <w:rsid w:val="003C1806"/>
    <w:rsid w:val="003C1C17"/>
    <w:rsid w:val="003C2B38"/>
    <w:rsid w:val="003C3BD9"/>
    <w:rsid w:val="003C6246"/>
    <w:rsid w:val="003C7220"/>
    <w:rsid w:val="003C74D0"/>
    <w:rsid w:val="003C7BCD"/>
    <w:rsid w:val="003D07BD"/>
    <w:rsid w:val="003D4C98"/>
    <w:rsid w:val="003D5DBF"/>
    <w:rsid w:val="003E51AA"/>
    <w:rsid w:val="003E7DC2"/>
    <w:rsid w:val="003E7FD0"/>
    <w:rsid w:val="003F05BE"/>
    <w:rsid w:val="003F1E2F"/>
    <w:rsid w:val="003F3EAE"/>
    <w:rsid w:val="003F463A"/>
    <w:rsid w:val="003F5134"/>
    <w:rsid w:val="003F5CF9"/>
    <w:rsid w:val="003F70D5"/>
    <w:rsid w:val="00405FF2"/>
    <w:rsid w:val="0041044F"/>
    <w:rsid w:val="00410BFA"/>
    <w:rsid w:val="00414709"/>
    <w:rsid w:val="00423186"/>
    <w:rsid w:val="004256E9"/>
    <w:rsid w:val="00426EF8"/>
    <w:rsid w:val="0043120F"/>
    <w:rsid w:val="00431CBD"/>
    <w:rsid w:val="0043587F"/>
    <w:rsid w:val="0044253C"/>
    <w:rsid w:val="00443B41"/>
    <w:rsid w:val="00444205"/>
    <w:rsid w:val="00447255"/>
    <w:rsid w:val="004478F3"/>
    <w:rsid w:val="0045166C"/>
    <w:rsid w:val="00452B8C"/>
    <w:rsid w:val="00452D97"/>
    <w:rsid w:val="00454134"/>
    <w:rsid w:val="00454318"/>
    <w:rsid w:val="00455B9A"/>
    <w:rsid w:val="00455F91"/>
    <w:rsid w:val="004575CA"/>
    <w:rsid w:val="0046489E"/>
    <w:rsid w:val="004659B8"/>
    <w:rsid w:val="0047433B"/>
    <w:rsid w:val="00474E5D"/>
    <w:rsid w:val="0047527B"/>
    <w:rsid w:val="004825FA"/>
    <w:rsid w:val="00484C0D"/>
    <w:rsid w:val="00490681"/>
    <w:rsid w:val="00490C8C"/>
    <w:rsid w:val="004912BA"/>
    <w:rsid w:val="0049155F"/>
    <w:rsid w:val="00493E5E"/>
    <w:rsid w:val="004943EB"/>
    <w:rsid w:val="00494A97"/>
    <w:rsid w:val="00494EBE"/>
    <w:rsid w:val="00497D8B"/>
    <w:rsid w:val="004A0FA7"/>
    <w:rsid w:val="004A2482"/>
    <w:rsid w:val="004A34D2"/>
    <w:rsid w:val="004A508F"/>
    <w:rsid w:val="004A62F1"/>
    <w:rsid w:val="004B3220"/>
    <w:rsid w:val="004B532E"/>
    <w:rsid w:val="004B6110"/>
    <w:rsid w:val="004C1708"/>
    <w:rsid w:val="004C2C3D"/>
    <w:rsid w:val="004C6577"/>
    <w:rsid w:val="004C6E1E"/>
    <w:rsid w:val="004C6E90"/>
    <w:rsid w:val="004D3A96"/>
    <w:rsid w:val="004D41B8"/>
    <w:rsid w:val="004E312E"/>
    <w:rsid w:val="004E47A0"/>
    <w:rsid w:val="004E5809"/>
    <w:rsid w:val="004E5CF4"/>
    <w:rsid w:val="004E5E68"/>
    <w:rsid w:val="004F0EA6"/>
    <w:rsid w:val="004F36D3"/>
    <w:rsid w:val="004F7FC9"/>
    <w:rsid w:val="00503A53"/>
    <w:rsid w:val="00504F07"/>
    <w:rsid w:val="00506590"/>
    <w:rsid w:val="00507009"/>
    <w:rsid w:val="00513E7F"/>
    <w:rsid w:val="00513EC8"/>
    <w:rsid w:val="005143A4"/>
    <w:rsid w:val="00516876"/>
    <w:rsid w:val="005174EA"/>
    <w:rsid w:val="00522632"/>
    <w:rsid w:val="005238DE"/>
    <w:rsid w:val="005263BA"/>
    <w:rsid w:val="00526576"/>
    <w:rsid w:val="0052708D"/>
    <w:rsid w:val="00527395"/>
    <w:rsid w:val="00530CB4"/>
    <w:rsid w:val="00534643"/>
    <w:rsid w:val="005352E2"/>
    <w:rsid w:val="0053581A"/>
    <w:rsid w:val="00536609"/>
    <w:rsid w:val="005366D3"/>
    <w:rsid w:val="00540418"/>
    <w:rsid w:val="005419E4"/>
    <w:rsid w:val="00543421"/>
    <w:rsid w:val="00546428"/>
    <w:rsid w:val="00546AE6"/>
    <w:rsid w:val="00552422"/>
    <w:rsid w:val="00553CC7"/>
    <w:rsid w:val="00554D3B"/>
    <w:rsid w:val="0056047D"/>
    <w:rsid w:val="00564AB2"/>
    <w:rsid w:val="00567E70"/>
    <w:rsid w:val="00570497"/>
    <w:rsid w:val="00584C05"/>
    <w:rsid w:val="00590F76"/>
    <w:rsid w:val="005913A9"/>
    <w:rsid w:val="00593156"/>
    <w:rsid w:val="005A368E"/>
    <w:rsid w:val="005A4783"/>
    <w:rsid w:val="005A5552"/>
    <w:rsid w:val="005B0BCA"/>
    <w:rsid w:val="005B129D"/>
    <w:rsid w:val="005B2F64"/>
    <w:rsid w:val="005B4315"/>
    <w:rsid w:val="005B61EC"/>
    <w:rsid w:val="005C0893"/>
    <w:rsid w:val="005C2FBA"/>
    <w:rsid w:val="005C3841"/>
    <w:rsid w:val="005C4FE6"/>
    <w:rsid w:val="005C4FED"/>
    <w:rsid w:val="005C7A33"/>
    <w:rsid w:val="005D251E"/>
    <w:rsid w:val="005D4AD6"/>
    <w:rsid w:val="005D53C8"/>
    <w:rsid w:val="005D6D24"/>
    <w:rsid w:val="005E1255"/>
    <w:rsid w:val="005E5725"/>
    <w:rsid w:val="005F030C"/>
    <w:rsid w:val="005F34C0"/>
    <w:rsid w:val="005F618B"/>
    <w:rsid w:val="005F6A14"/>
    <w:rsid w:val="00600C54"/>
    <w:rsid w:val="00601EFA"/>
    <w:rsid w:val="0060252F"/>
    <w:rsid w:val="00602F6C"/>
    <w:rsid w:val="00603E8A"/>
    <w:rsid w:val="00604DC1"/>
    <w:rsid w:val="00613A9F"/>
    <w:rsid w:val="00613ECF"/>
    <w:rsid w:val="006217D0"/>
    <w:rsid w:val="00622B99"/>
    <w:rsid w:val="00624E0A"/>
    <w:rsid w:val="00625750"/>
    <w:rsid w:val="0063020D"/>
    <w:rsid w:val="006329C4"/>
    <w:rsid w:val="00632F50"/>
    <w:rsid w:val="00637485"/>
    <w:rsid w:val="00640D2A"/>
    <w:rsid w:val="00643348"/>
    <w:rsid w:val="00643756"/>
    <w:rsid w:val="006514D6"/>
    <w:rsid w:val="00653A85"/>
    <w:rsid w:val="006548F0"/>
    <w:rsid w:val="0065647D"/>
    <w:rsid w:val="006668F0"/>
    <w:rsid w:val="006724AB"/>
    <w:rsid w:val="006734E2"/>
    <w:rsid w:val="00675996"/>
    <w:rsid w:val="00675B51"/>
    <w:rsid w:val="00675D95"/>
    <w:rsid w:val="00677336"/>
    <w:rsid w:val="0068799E"/>
    <w:rsid w:val="006928C0"/>
    <w:rsid w:val="006941BC"/>
    <w:rsid w:val="006942B9"/>
    <w:rsid w:val="00694E66"/>
    <w:rsid w:val="006954E8"/>
    <w:rsid w:val="00696113"/>
    <w:rsid w:val="006A4FF8"/>
    <w:rsid w:val="006B00EB"/>
    <w:rsid w:val="006B0BF0"/>
    <w:rsid w:val="006B3A5D"/>
    <w:rsid w:val="006B50DF"/>
    <w:rsid w:val="006B6B58"/>
    <w:rsid w:val="006C1CA4"/>
    <w:rsid w:val="006C7188"/>
    <w:rsid w:val="006C72B5"/>
    <w:rsid w:val="006C7EA4"/>
    <w:rsid w:val="006D0ACE"/>
    <w:rsid w:val="006D3682"/>
    <w:rsid w:val="006D399E"/>
    <w:rsid w:val="006D547E"/>
    <w:rsid w:val="006E4AD1"/>
    <w:rsid w:val="006E4D4C"/>
    <w:rsid w:val="006E6885"/>
    <w:rsid w:val="006E7020"/>
    <w:rsid w:val="006E77DD"/>
    <w:rsid w:val="006F4D43"/>
    <w:rsid w:val="006F697F"/>
    <w:rsid w:val="006F6C87"/>
    <w:rsid w:val="0070709C"/>
    <w:rsid w:val="00710353"/>
    <w:rsid w:val="00714A0A"/>
    <w:rsid w:val="00715799"/>
    <w:rsid w:val="00717839"/>
    <w:rsid w:val="00720FB3"/>
    <w:rsid w:val="00722071"/>
    <w:rsid w:val="00726F64"/>
    <w:rsid w:val="0074321E"/>
    <w:rsid w:val="007446CE"/>
    <w:rsid w:val="007458F7"/>
    <w:rsid w:val="00751C6B"/>
    <w:rsid w:val="007529A6"/>
    <w:rsid w:val="00752FBB"/>
    <w:rsid w:val="0075454E"/>
    <w:rsid w:val="00755779"/>
    <w:rsid w:val="00756F3E"/>
    <w:rsid w:val="00763CD8"/>
    <w:rsid w:val="007666A8"/>
    <w:rsid w:val="0076750C"/>
    <w:rsid w:val="00770406"/>
    <w:rsid w:val="0077091C"/>
    <w:rsid w:val="0078343C"/>
    <w:rsid w:val="00784CAF"/>
    <w:rsid w:val="007915F7"/>
    <w:rsid w:val="0079582C"/>
    <w:rsid w:val="00796DBB"/>
    <w:rsid w:val="00796E93"/>
    <w:rsid w:val="0079714D"/>
    <w:rsid w:val="007A0784"/>
    <w:rsid w:val="007A3851"/>
    <w:rsid w:val="007A3B3E"/>
    <w:rsid w:val="007A543B"/>
    <w:rsid w:val="007A7436"/>
    <w:rsid w:val="007A7B76"/>
    <w:rsid w:val="007B10E1"/>
    <w:rsid w:val="007B16FE"/>
    <w:rsid w:val="007B5E1F"/>
    <w:rsid w:val="007B7553"/>
    <w:rsid w:val="007C0A18"/>
    <w:rsid w:val="007C1B27"/>
    <w:rsid w:val="007C1BCC"/>
    <w:rsid w:val="007C3A9F"/>
    <w:rsid w:val="007C3AC3"/>
    <w:rsid w:val="007C51E4"/>
    <w:rsid w:val="007C5D7A"/>
    <w:rsid w:val="007C6924"/>
    <w:rsid w:val="007C7C51"/>
    <w:rsid w:val="007D10A4"/>
    <w:rsid w:val="007D2077"/>
    <w:rsid w:val="007D6E9A"/>
    <w:rsid w:val="007E3A08"/>
    <w:rsid w:val="007E4A53"/>
    <w:rsid w:val="007E57F0"/>
    <w:rsid w:val="007F1CC0"/>
    <w:rsid w:val="007F59A4"/>
    <w:rsid w:val="007F7CD9"/>
    <w:rsid w:val="00802603"/>
    <w:rsid w:val="008036F0"/>
    <w:rsid w:val="00805B7B"/>
    <w:rsid w:val="00805DDC"/>
    <w:rsid w:val="008060B1"/>
    <w:rsid w:val="008109DA"/>
    <w:rsid w:val="00811DAC"/>
    <w:rsid w:val="00812FD6"/>
    <w:rsid w:val="00813441"/>
    <w:rsid w:val="008175E2"/>
    <w:rsid w:val="00817F6F"/>
    <w:rsid w:val="00820826"/>
    <w:rsid w:val="008208A7"/>
    <w:rsid w:val="00821AE4"/>
    <w:rsid w:val="00822212"/>
    <w:rsid w:val="008237BA"/>
    <w:rsid w:val="008245E2"/>
    <w:rsid w:val="008257BF"/>
    <w:rsid w:val="00826E1D"/>
    <w:rsid w:val="00830B71"/>
    <w:rsid w:val="00832D5A"/>
    <w:rsid w:val="00833470"/>
    <w:rsid w:val="00833AF0"/>
    <w:rsid w:val="00841542"/>
    <w:rsid w:val="008416FB"/>
    <w:rsid w:val="00841BD8"/>
    <w:rsid w:val="008474C5"/>
    <w:rsid w:val="00847907"/>
    <w:rsid w:val="008501BD"/>
    <w:rsid w:val="0085335D"/>
    <w:rsid w:val="00854423"/>
    <w:rsid w:val="008576F4"/>
    <w:rsid w:val="00860322"/>
    <w:rsid w:val="008606CE"/>
    <w:rsid w:val="008637A1"/>
    <w:rsid w:val="00866D70"/>
    <w:rsid w:val="00866D8D"/>
    <w:rsid w:val="00874A63"/>
    <w:rsid w:val="00874A8D"/>
    <w:rsid w:val="00882930"/>
    <w:rsid w:val="00890B74"/>
    <w:rsid w:val="00894A47"/>
    <w:rsid w:val="008A1911"/>
    <w:rsid w:val="008A6481"/>
    <w:rsid w:val="008A6CB7"/>
    <w:rsid w:val="008A6E4D"/>
    <w:rsid w:val="008A783E"/>
    <w:rsid w:val="008B0017"/>
    <w:rsid w:val="008B25E1"/>
    <w:rsid w:val="008B41CF"/>
    <w:rsid w:val="008B4416"/>
    <w:rsid w:val="008B5E9B"/>
    <w:rsid w:val="008C2A82"/>
    <w:rsid w:val="008C4D35"/>
    <w:rsid w:val="008D0236"/>
    <w:rsid w:val="008D1A3F"/>
    <w:rsid w:val="008D2649"/>
    <w:rsid w:val="008D43E9"/>
    <w:rsid w:val="008D484C"/>
    <w:rsid w:val="008D49AE"/>
    <w:rsid w:val="008D66F5"/>
    <w:rsid w:val="008D7A63"/>
    <w:rsid w:val="008E1B6D"/>
    <w:rsid w:val="008E1B9F"/>
    <w:rsid w:val="008E3297"/>
    <w:rsid w:val="008E3652"/>
    <w:rsid w:val="008E4230"/>
    <w:rsid w:val="008F028D"/>
    <w:rsid w:val="008F1757"/>
    <w:rsid w:val="008F20D2"/>
    <w:rsid w:val="008F5729"/>
    <w:rsid w:val="008F5936"/>
    <w:rsid w:val="008F5956"/>
    <w:rsid w:val="008F6D58"/>
    <w:rsid w:val="008F70B9"/>
    <w:rsid w:val="008F7F6E"/>
    <w:rsid w:val="009066EA"/>
    <w:rsid w:val="00914AED"/>
    <w:rsid w:val="00920DB0"/>
    <w:rsid w:val="00927839"/>
    <w:rsid w:val="0092783C"/>
    <w:rsid w:val="0093085B"/>
    <w:rsid w:val="009317D7"/>
    <w:rsid w:val="00931C53"/>
    <w:rsid w:val="00934FE4"/>
    <w:rsid w:val="0093567B"/>
    <w:rsid w:val="00941D50"/>
    <w:rsid w:val="00942AF1"/>
    <w:rsid w:val="00942C2A"/>
    <w:rsid w:val="00943F28"/>
    <w:rsid w:val="00944546"/>
    <w:rsid w:val="00945430"/>
    <w:rsid w:val="00947F19"/>
    <w:rsid w:val="00950FE6"/>
    <w:rsid w:val="0095276D"/>
    <w:rsid w:val="00956140"/>
    <w:rsid w:val="009664DA"/>
    <w:rsid w:val="00971083"/>
    <w:rsid w:val="009731F9"/>
    <w:rsid w:val="00977B11"/>
    <w:rsid w:val="00981A43"/>
    <w:rsid w:val="00986AEB"/>
    <w:rsid w:val="009A0298"/>
    <w:rsid w:val="009A279D"/>
    <w:rsid w:val="009A3DAA"/>
    <w:rsid w:val="009A5029"/>
    <w:rsid w:val="009B108B"/>
    <w:rsid w:val="009B2ED6"/>
    <w:rsid w:val="009B32E6"/>
    <w:rsid w:val="009B40DE"/>
    <w:rsid w:val="009B42B9"/>
    <w:rsid w:val="009B54C6"/>
    <w:rsid w:val="009C0572"/>
    <w:rsid w:val="009C0A8D"/>
    <w:rsid w:val="009C25D6"/>
    <w:rsid w:val="009C4264"/>
    <w:rsid w:val="009C5D10"/>
    <w:rsid w:val="009C6F03"/>
    <w:rsid w:val="009C7BE7"/>
    <w:rsid w:val="009D29D0"/>
    <w:rsid w:val="009D5C72"/>
    <w:rsid w:val="009D720C"/>
    <w:rsid w:val="009D7C02"/>
    <w:rsid w:val="009E0910"/>
    <w:rsid w:val="009E190F"/>
    <w:rsid w:val="009E3E4F"/>
    <w:rsid w:val="009E6B39"/>
    <w:rsid w:val="009E7AC7"/>
    <w:rsid w:val="009E7F10"/>
    <w:rsid w:val="009F05AF"/>
    <w:rsid w:val="009F13E4"/>
    <w:rsid w:val="009F2367"/>
    <w:rsid w:val="009F4AAF"/>
    <w:rsid w:val="00A02671"/>
    <w:rsid w:val="00A04C00"/>
    <w:rsid w:val="00A05E73"/>
    <w:rsid w:val="00A06E0F"/>
    <w:rsid w:val="00A1033A"/>
    <w:rsid w:val="00A20AA3"/>
    <w:rsid w:val="00A24243"/>
    <w:rsid w:val="00A349FA"/>
    <w:rsid w:val="00A41929"/>
    <w:rsid w:val="00A43C2A"/>
    <w:rsid w:val="00A4433D"/>
    <w:rsid w:val="00A46449"/>
    <w:rsid w:val="00A47BC0"/>
    <w:rsid w:val="00A50F5F"/>
    <w:rsid w:val="00A51E49"/>
    <w:rsid w:val="00A522CE"/>
    <w:rsid w:val="00A55AD9"/>
    <w:rsid w:val="00A60EA7"/>
    <w:rsid w:val="00A642D2"/>
    <w:rsid w:val="00A656BC"/>
    <w:rsid w:val="00A6637A"/>
    <w:rsid w:val="00A70EB6"/>
    <w:rsid w:val="00A75B2E"/>
    <w:rsid w:val="00A7736E"/>
    <w:rsid w:val="00A84520"/>
    <w:rsid w:val="00A85FD6"/>
    <w:rsid w:val="00A862A2"/>
    <w:rsid w:val="00A907A2"/>
    <w:rsid w:val="00A90C4D"/>
    <w:rsid w:val="00A914EA"/>
    <w:rsid w:val="00A92152"/>
    <w:rsid w:val="00A966B3"/>
    <w:rsid w:val="00A97B3D"/>
    <w:rsid w:val="00AA40A0"/>
    <w:rsid w:val="00AB2D24"/>
    <w:rsid w:val="00AB5201"/>
    <w:rsid w:val="00AB585E"/>
    <w:rsid w:val="00AB687A"/>
    <w:rsid w:val="00AC0841"/>
    <w:rsid w:val="00AC1385"/>
    <w:rsid w:val="00AE1563"/>
    <w:rsid w:val="00AE1842"/>
    <w:rsid w:val="00AE5B7A"/>
    <w:rsid w:val="00AE6796"/>
    <w:rsid w:val="00AE6D4C"/>
    <w:rsid w:val="00AE6F40"/>
    <w:rsid w:val="00AF5AF9"/>
    <w:rsid w:val="00AF6973"/>
    <w:rsid w:val="00AF7004"/>
    <w:rsid w:val="00B01E10"/>
    <w:rsid w:val="00B02C29"/>
    <w:rsid w:val="00B04957"/>
    <w:rsid w:val="00B04EB7"/>
    <w:rsid w:val="00B05FBD"/>
    <w:rsid w:val="00B06100"/>
    <w:rsid w:val="00B20DEE"/>
    <w:rsid w:val="00B2424B"/>
    <w:rsid w:val="00B24253"/>
    <w:rsid w:val="00B276A4"/>
    <w:rsid w:val="00B32701"/>
    <w:rsid w:val="00B368BA"/>
    <w:rsid w:val="00B62ABE"/>
    <w:rsid w:val="00B639D8"/>
    <w:rsid w:val="00B654B9"/>
    <w:rsid w:val="00B65F24"/>
    <w:rsid w:val="00B7498D"/>
    <w:rsid w:val="00B76E91"/>
    <w:rsid w:val="00B81C09"/>
    <w:rsid w:val="00B82BEB"/>
    <w:rsid w:val="00B849EE"/>
    <w:rsid w:val="00BA0315"/>
    <w:rsid w:val="00BA2940"/>
    <w:rsid w:val="00BA5E08"/>
    <w:rsid w:val="00BA69A6"/>
    <w:rsid w:val="00BA717C"/>
    <w:rsid w:val="00BB046A"/>
    <w:rsid w:val="00BB1DE2"/>
    <w:rsid w:val="00BB3050"/>
    <w:rsid w:val="00BB3251"/>
    <w:rsid w:val="00BB4920"/>
    <w:rsid w:val="00BB516D"/>
    <w:rsid w:val="00BB606A"/>
    <w:rsid w:val="00BC0DDF"/>
    <w:rsid w:val="00BC3CB1"/>
    <w:rsid w:val="00BC4E7C"/>
    <w:rsid w:val="00BC598B"/>
    <w:rsid w:val="00BC59B5"/>
    <w:rsid w:val="00BC6E2E"/>
    <w:rsid w:val="00BD07D1"/>
    <w:rsid w:val="00BD1741"/>
    <w:rsid w:val="00BD6B1A"/>
    <w:rsid w:val="00BD6ED9"/>
    <w:rsid w:val="00BD6F99"/>
    <w:rsid w:val="00BE5537"/>
    <w:rsid w:val="00BE702C"/>
    <w:rsid w:val="00BF08B5"/>
    <w:rsid w:val="00C01D6A"/>
    <w:rsid w:val="00C036DC"/>
    <w:rsid w:val="00C0758A"/>
    <w:rsid w:val="00C07749"/>
    <w:rsid w:val="00C14F09"/>
    <w:rsid w:val="00C14FFC"/>
    <w:rsid w:val="00C157CC"/>
    <w:rsid w:val="00C273DA"/>
    <w:rsid w:val="00C31376"/>
    <w:rsid w:val="00C32D85"/>
    <w:rsid w:val="00C3721F"/>
    <w:rsid w:val="00C3733F"/>
    <w:rsid w:val="00C37F66"/>
    <w:rsid w:val="00C41172"/>
    <w:rsid w:val="00C416F2"/>
    <w:rsid w:val="00C51339"/>
    <w:rsid w:val="00C5188D"/>
    <w:rsid w:val="00C52EB1"/>
    <w:rsid w:val="00C54927"/>
    <w:rsid w:val="00C5681C"/>
    <w:rsid w:val="00C62E0D"/>
    <w:rsid w:val="00C6498D"/>
    <w:rsid w:val="00C65978"/>
    <w:rsid w:val="00C65F20"/>
    <w:rsid w:val="00C83C2E"/>
    <w:rsid w:val="00C850BE"/>
    <w:rsid w:val="00C85753"/>
    <w:rsid w:val="00C85E47"/>
    <w:rsid w:val="00C85F12"/>
    <w:rsid w:val="00C86D49"/>
    <w:rsid w:val="00C94DFF"/>
    <w:rsid w:val="00C956B0"/>
    <w:rsid w:val="00C95FF4"/>
    <w:rsid w:val="00C97EA8"/>
    <w:rsid w:val="00CA017E"/>
    <w:rsid w:val="00CA5AAD"/>
    <w:rsid w:val="00CA668F"/>
    <w:rsid w:val="00CB0E9C"/>
    <w:rsid w:val="00CB22A9"/>
    <w:rsid w:val="00CB24ED"/>
    <w:rsid w:val="00CB3791"/>
    <w:rsid w:val="00CB720A"/>
    <w:rsid w:val="00CC0575"/>
    <w:rsid w:val="00CC39DB"/>
    <w:rsid w:val="00CC3DF7"/>
    <w:rsid w:val="00CC504D"/>
    <w:rsid w:val="00CC5B48"/>
    <w:rsid w:val="00CD0037"/>
    <w:rsid w:val="00CD304F"/>
    <w:rsid w:val="00CE0568"/>
    <w:rsid w:val="00CE1F7B"/>
    <w:rsid w:val="00CE4E81"/>
    <w:rsid w:val="00CE6A7A"/>
    <w:rsid w:val="00CE6CAE"/>
    <w:rsid w:val="00CF2491"/>
    <w:rsid w:val="00CF5BEB"/>
    <w:rsid w:val="00CF7EE6"/>
    <w:rsid w:val="00D01398"/>
    <w:rsid w:val="00D01953"/>
    <w:rsid w:val="00D02CDD"/>
    <w:rsid w:val="00D03176"/>
    <w:rsid w:val="00D03B30"/>
    <w:rsid w:val="00D055EC"/>
    <w:rsid w:val="00D12ACC"/>
    <w:rsid w:val="00D138EB"/>
    <w:rsid w:val="00D1688B"/>
    <w:rsid w:val="00D17D68"/>
    <w:rsid w:val="00D23635"/>
    <w:rsid w:val="00D23D33"/>
    <w:rsid w:val="00D23F8A"/>
    <w:rsid w:val="00D260DF"/>
    <w:rsid w:val="00D26F48"/>
    <w:rsid w:val="00D30F5E"/>
    <w:rsid w:val="00D32997"/>
    <w:rsid w:val="00D3784C"/>
    <w:rsid w:val="00D40149"/>
    <w:rsid w:val="00D41412"/>
    <w:rsid w:val="00D41446"/>
    <w:rsid w:val="00D46477"/>
    <w:rsid w:val="00D47B95"/>
    <w:rsid w:val="00D509E7"/>
    <w:rsid w:val="00D52DA9"/>
    <w:rsid w:val="00D56F37"/>
    <w:rsid w:val="00D572E6"/>
    <w:rsid w:val="00D65A66"/>
    <w:rsid w:val="00D71144"/>
    <w:rsid w:val="00D7206E"/>
    <w:rsid w:val="00D734C8"/>
    <w:rsid w:val="00D73F99"/>
    <w:rsid w:val="00D770C3"/>
    <w:rsid w:val="00D900BD"/>
    <w:rsid w:val="00D906BA"/>
    <w:rsid w:val="00D918A5"/>
    <w:rsid w:val="00D93398"/>
    <w:rsid w:val="00D943F5"/>
    <w:rsid w:val="00D94DF2"/>
    <w:rsid w:val="00D96BBB"/>
    <w:rsid w:val="00DA2A9E"/>
    <w:rsid w:val="00DA7103"/>
    <w:rsid w:val="00DB123E"/>
    <w:rsid w:val="00DB276D"/>
    <w:rsid w:val="00DC4E81"/>
    <w:rsid w:val="00DC53C5"/>
    <w:rsid w:val="00DD57AF"/>
    <w:rsid w:val="00DE2292"/>
    <w:rsid w:val="00DE7134"/>
    <w:rsid w:val="00DE748E"/>
    <w:rsid w:val="00DE7914"/>
    <w:rsid w:val="00DF3384"/>
    <w:rsid w:val="00DF463D"/>
    <w:rsid w:val="00E0124B"/>
    <w:rsid w:val="00E01DAD"/>
    <w:rsid w:val="00E039E7"/>
    <w:rsid w:val="00E0773A"/>
    <w:rsid w:val="00E13387"/>
    <w:rsid w:val="00E145A3"/>
    <w:rsid w:val="00E14F18"/>
    <w:rsid w:val="00E175A7"/>
    <w:rsid w:val="00E175F6"/>
    <w:rsid w:val="00E27B5A"/>
    <w:rsid w:val="00E32708"/>
    <w:rsid w:val="00E34AD9"/>
    <w:rsid w:val="00E43386"/>
    <w:rsid w:val="00E444BC"/>
    <w:rsid w:val="00E50252"/>
    <w:rsid w:val="00E569C8"/>
    <w:rsid w:val="00E57E98"/>
    <w:rsid w:val="00E65366"/>
    <w:rsid w:val="00E65E1F"/>
    <w:rsid w:val="00E665F4"/>
    <w:rsid w:val="00E66689"/>
    <w:rsid w:val="00E66A28"/>
    <w:rsid w:val="00E66D2F"/>
    <w:rsid w:val="00E673A7"/>
    <w:rsid w:val="00E70A59"/>
    <w:rsid w:val="00E72E26"/>
    <w:rsid w:val="00E748AC"/>
    <w:rsid w:val="00E7729C"/>
    <w:rsid w:val="00E80FCA"/>
    <w:rsid w:val="00E83A4E"/>
    <w:rsid w:val="00E8450D"/>
    <w:rsid w:val="00E86B81"/>
    <w:rsid w:val="00E90AB0"/>
    <w:rsid w:val="00EA5418"/>
    <w:rsid w:val="00EB3B8D"/>
    <w:rsid w:val="00EB4758"/>
    <w:rsid w:val="00EB5D70"/>
    <w:rsid w:val="00EB6A74"/>
    <w:rsid w:val="00EB74B0"/>
    <w:rsid w:val="00EC179B"/>
    <w:rsid w:val="00EC1DDA"/>
    <w:rsid w:val="00EC2B28"/>
    <w:rsid w:val="00EC5BDA"/>
    <w:rsid w:val="00ED29C8"/>
    <w:rsid w:val="00ED6AB4"/>
    <w:rsid w:val="00ED7BFC"/>
    <w:rsid w:val="00ED7C87"/>
    <w:rsid w:val="00EE7156"/>
    <w:rsid w:val="00EE71A1"/>
    <w:rsid w:val="00EF0525"/>
    <w:rsid w:val="00EF4128"/>
    <w:rsid w:val="00F01F23"/>
    <w:rsid w:val="00F04E26"/>
    <w:rsid w:val="00F06449"/>
    <w:rsid w:val="00F11D6E"/>
    <w:rsid w:val="00F14570"/>
    <w:rsid w:val="00F16613"/>
    <w:rsid w:val="00F16923"/>
    <w:rsid w:val="00F21682"/>
    <w:rsid w:val="00F22BF9"/>
    <w:rsid w:val="00F23D0C"/>
    <w:rsid w:val="00F25AF5"/>
    <w:rsid w:val="00F31102"/>
    <w:rsid w:val="00F33AAE"/>
    <w:rsid w:val="00F36D55"/>
    <w:rsid w:val="00F42404"/>
    <w:rsid w:val="00F432BF"/>
    <w:rsid w:val="00F516B1"/>
    <w:rsid w:val="00F55078"/>
    <w:rsid w:val="00F60641"/>
    <w:rsid w:val="00F61086"/>
    <w:rsid w:val="00F6202C"/>
    <w:rsid w:val="00F623E7"/>
    <w:rsid w:val="00F62770"/>
    <w:rsid w:val="00F64AF6"/>
    <w:rsid w:val="00F65D91"/>
    <w:rsid w:val="00F6725D"/>
    <w:rsid w:val="00F717D7"/>
    <w:rsid w:val="00F73B2D"/>
    <w:rsid w:val="00F7642D"/>
    <w:rsid w:val="00F77CEB"/>
    <w:rsid w:val="00F903BA"/>
    <w:rsid w:val="00F96094"/>
    <w:rsid w:val="00F97030"/>
    <w:rsid w:val="00F97AF9"/>
    <w:rsid w:val="00FA4646"/>
    <w:rsid w:val="00FB093A"/>
    <w:rsid w:val="00FB0BEF"/>
    <w:rsid w:val="00FB1010"/>
    <w:rsid w:val="00FB4053"/>
    <w:rsid w:val="00FB442A"/>
    <w:rsid w:val="00FB452D"/>
    <w:rsid w:val="00FB5A57"/>
    <w:rsid w:val="00FB79BE"/>
    <w:rsid w:val="00FB7BEE"/>
    <w:rsid w:val="00FC4EA6"/>
    <w:rsid w:val="00FC56CA"/>
    <w:rsid w:val="00FD0390"/>
    <w:rsid w:val="00FD0E3D"/>
    <w:rsid w:val="00FD2C8F"/>
    <w:rsid w:val="00FE32EC"/>
    <w:rsid w:val="00FE4CD0"/>
    <w:rsid w:val="00FE64AF"/>
    <w:rsid w:val="00FE7EF5"/>
    <w:rsid w:val="00FF0E12"/>
    <w:rsid w:val="00FF1A9A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052DC"/>
  <w15:docId w15:val="{C40F9F63-3A7E-48B4-9CF0-80E6263E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00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link w:val="Ttulo1Car"/>
    <w:uiPriority w:val="9"/>
    <w:qFormat/>
    <w:rsid w:val="004E4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E47A0"/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table" w:styleId="Tablaconcuadrcula">
    <w:name w:val="Table Grid"/>
    <w:basedOn w:val="Tablanormal"/>
    <w:uiPriority w:val="59"/>
    <w:rsid w:val="00853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2.xlsx"/><Relationship Id="rId18" Type="http://schemas.openxmlformats.org/officeDocument/2006/relationships/image" Target="media/image6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4.xls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23" Type="http://schemas.openxmlformats.org/officeDocument/2006/relationships/package" Target="embeddings/Hoja_de_c_lculo_de_Microsoft_Excel7.xlsx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5.xlsx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8776F-58E6-4226-80FC-D212F8EC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1486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Sharon Yanelli Lara Medrano</cp:lastModifiedBy>
  <cp:revision>3</cp:revision>
  <cp:lastPrinted>2019-03-04T16:43:00Z</cp:lastPrinted>
  <dcterms:created xsi:type="dcterms:W3CDTF">2021-06-14T20:01:00Z</dcterms:created>
  <dcterms:modified xsi:type="dcterms:W3CDTF">2021-06-14T20:04:00Z</dcterms:modified>
</cp:coreProperties>
</file>