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5228" w:rsidRPr="00C45228" w:rsidRDefault="00C45228" w:rsidP="00C45228">
      <w:pPr>
        <w:jc w:val="center"/>
        <w:rPr>
          <w:rFonts w:ascii="Barlow" w:hAnsi="Barlow"/>
          <w:b/>
          <w:sz w:val="20"/>
          <w:szCs w:val="20"/>
        </w:rPr>
      </w:pPr>
      <w:r w:rsidRPr="00C45228">
        <w:rPr>
          <w:rFonts w:ascii="Barlow" w:hAnsi="Barlow"/>
          <w:b/>
          <w:sz w:val="20"/>
          <w:szCs w:val="20"/>
        </w:rPr>
        <w:t>Notas a los Estados Financieros</w:t>
      </w:r>
    </w:p>
    <w:p w:rsidR="00C45228" w:rsidRPr="00C45228" w:rsidRDefault="00C45228" w:rsidP="00C45228">
      <w:pPr>
        <w:jc w:val="center"/>
        <w:rPr>
          <w:rFonts w:ascii="Barlow" w:hAnsi="Barlow"/>
          <w:b/>
          <w:sz w:val="20"/>
          <w:szCs w:val="20"/>
        </w:rPr>
      </w:pPr>
      <w:r w:rsidRPr="00C45228">
        <w:rPr>
          <w:rFonts w:ascii="Barlow" w:hAnsi="Barlow"/>
          <w:b/>
          <w:sz w:val="20"/>
          <w:szCs w:val="20"/>
        </w:rPr>
        <w:t>Al 31 de marzo del 2021</w:t>
      </w:r>
    </w:p>
    <w:p w:rsidR="00C45228" w:rsidRPr="00C45228" w:rsidRDefault="00C45228" w:rsidP="00C45228">
      <w:pPr>
        <w:jc w:val="center"/>
        <w:rPr>
          <w:rFonts w:ascii="Barlow" w:hAnsi="Barlow"/>
          <w:b/>
          <w:sz w:val="20"/>
          <w:szCs w:val="20"/>
        </w:rPr>
      </w:pPr>
      <w:r w:rsidRPr="00C45228">
        <w:rPr>
          <w:rFonts w:ascii="Barlow" w:hAnsi="Barlow"/>
          <w:b/>
          <w:sz w:val="20"/>
          <w:szCs w:val="20"/>
        </w:rPr>
        <w:t>(Cifras en Pesos)</w:t>
      </w:r>
    </w:p>
    <w:p w:rsidR="00C45228" w:rsidRPr="00C45228" w:rsidRDefault="00C45228" w:rsidP="00C45228">
      <w:pPr>
        <w:rPr>
          <w:rFonts w:ascii="Barlow" w:hAnsi="Barlow"/>
          <w:b/>
          <w:sz w:val="20"/>
          <w:szCs w:val="20"/>
        </w:rPr>
      </w:pPr>
    </w:p>
    <w:p w:rsidR="00C45228" w:rsidRPr="00C45228" w:rsidRDefault="00C45228" w:rsidP="00C45228">
      <w:pPr>
        <w:rPr>
          <w:rFonts w:ascii="Barlow" w:hAnsi="Barlow"/>
          <w:b/>
          <w:sz w:val="20"/>
          <w:szCs w:val="20"/>
        </w:rPr>
      </w:pPr>
      <w:r w:rsidRPr="00C45228">
        <w:rPr>
          <w:rFonts w:ascii="Barlow" w:hAnsi="Barlow"/>
          <w:b/>
          <w:sz w:val="20"/>
          <w:szCs w:val="20"/>
        </w:rPr>
        <w:t xml:space="preserve">Ente Público:  FIDEICOMISO FONDO PARA LA PROMOCIÓN TURÍSTICA DEL ESTADO DE YUCATÁN   </w:t>
      </w:r>
    </w:p>
    <w:p w:rsidR="00374E25" w:rsidRPr="00C45228" w:rsidRDefault="00374E25" w:rsidP="00374E25">
      <w:pPr>
        <w:spacing w:after="200" w:line="276" w:lineRule="auto"/>
        <w:jc w:val="both"/>
        <w:rPr>
          <w:rFonts w:ascii="Barlow" w:eastAsia="Calibri" w:hAnsi="Barlow" w:cs="Calibri"/>
          <w:sz w:val="20"/>
          <w:szCs w:val="20"/>
        </w:rPr>
      </w:pPr>
      <w:r w:rsidRPr="00C45228">
        <w:rPr>
          <w:rFonts w:ascii="Barlow" w:eastAsia="Calibri" w:hAnsi="Barlow" w:cs="Calibri"/>
          <w:sz w:val="20"/>
          <w:szCs w:val="20"/>
        </w:rPr>
        <w:t>Con el propósito de dar cumplimiento a los artículos 46 y 49 de la Ley General de Contabilidad Gubernamental, los entes públicos deberán acompañar notas a los estados financieros cuyos rubros así lo requieran teniendo presente los postulados de revelación suficiente e importancia relativa, con la finalidad que la información sea de mayor utilidad para los usuarios.</w:t>
      </w:r>
    </w:p>
    <w:p w:rsidR="00374E25" w:rsidRPr="00C45228" w:rsidRDefault="00374E25" w:rsidP="00374E25">
      <w:pPr>
        <w:spacing w:after="200" w:line="276" w:lineRule="auto"/>
        <w:jc w:val="both"/>
        <w:rPr>
          <w:rFonts w:ascii="Barlow" w:eastAsia="Calibri" w:hAnsi="Barlow" w:cs="Calibri"/>
          <w:sz w:val="20"/>
          <w:szCs w:val="20"/>
        </w:rPr>
      </w:pPr>
      <w:r w:rsidRPr="00C45228">
        <w:rPr>
          <w:rFonts w:ascii="Barlow" w:eastAsia="Calibri" w:hAnsi="Barlow" w:cs="Calibri"/>
          <w:sz w:val="20"/>
          <w:szCs w:val="20"/>
        </w:rPr>
        <w:t>A continuación, se presentan los tres tipos de notas que acompañan a los estados, a saber:</w:t>
      </w:r>
    </w:p>
    <w:p w:rsidR="00374E25" w:rsidRPr="00C45228" w:rsidRDefault="00374E25" w:rsidP="00374E25">
      <w:pPr>
        <w:spacing w:after="200" w:line="276" w:lineRule="auto"/>
        <w:jc w:val="both"/>
        <w:rPr>
          <w:rFonts w:ascii="Barlow" w:eastAsia="Calibri" w:hAnsi="Barlow" w:cs="Calibri"/>
          <w:sz w:val="20"/>
          <w:szCs w:val="20"/>
        </w:rPr>
      </w:pPr>
      <w:r w:rsidRPr="00C45228">
        <w:rPr>
          <w:rFonts w:ascii="Barlow" w:eastAsia="Calibri" w:hAnsi="Barlow" w:cs="Calibri"/>
          <w:sz w:val="20"/>
          <w:szCs w:val="20"/>
        </w:rPr>
        <w:t>a) Notas de desglose;</w:t>
      </w:r>
    </w:p>
    <w:p w:rsidR="00374E25" w:rsidRPr="00C45228" w:rsidRDefault="00374E25" w:rsidP="00374E25">
      <w:pPr>
        <w:spacing w:after="200" w:line="276" w:lineRule="auto"/>
        <w:jc w:val="both"/>
        <w:rPr>
          <w:rFonts w:ascii="Barlow" w:eastAsia="Calibri" w:hAnsi="Barlow" w:cs="Calibri"/>
          <w:sz w:val="20"/>
          <w:szCs w:val="20"/>
        </w:rPr>
      </w:pPr>
      <w:r w:rsidRPr="00C45228">
        <w:rPr>
          <w:rFonts w:ascii="Barlow" w:eastAsia="Calibri" w:hAnsi="Barlow" w:cs="Calibri"/>
          <w:sz w:val="20"/>
          <w:szCs w:val="20"/>
        </w:rPr>
        <w:t>b) Notas de memoria (cuentas de orden), y</w:t>
      </w:r>
    </w:p>
    <w:p w:rsidR="00374E25" w:rsidRPr="00C45228" w:rsidRDefault="00374E25" w:rsidP="00374E25">
      <w:pPr>
        <w:spacing w:after="200" w:line="276" w:lineRule="auto"/>
        <w:jc w:val="both"/>
        <w:rPr>
          <w:rFonts w:ascii="Barlow" w:eastAsia="Calibri" w:hAnsi="Barlow" w:cs="Calibri"/>
          <w:b/>
          <w:sz w:val="20"/>
          <w:szCs w:val="20"/>
        </w:rPr>
      </w:pPr>
      <w:r w:rsidRPr="00C45228">
        <w:rPr>
          <w:rFonts w:ascii="Barlow" w:eastAsia="Calibri" w:hAnsi="Barlow" w:cs="Calibri"/>
          <w:sz w:val="20"/>
          <w:szCs w:val="20"/>
        </w:rPr>
        <w:t>c) Notas de gestión administrativa.</w:t>
      </w:r>
    </w:p>
    <w:p w:rsidR="00E232E6" w:rsidRPr="00C45228" w:rsidRDefault="00E232E6" w:rsidP="00374E25">
      <w:pPr>
        <w:pStyle w:val="Prrafodelista"/>
        <w:numPr>
          <w:ilvl w:val="0"/>
          <w:numId w:val="7"/>
        </w:numPr>
        <w:spacing w:line="240" w:lineRule="auto"/>
        <w:jc w:val="center"/>
        <w:rPr>
          <w:rFonts w:ascii="Barlow" w:hAnsi="Barlow" w:cs="Arial"/>
          <w:b/>
          <w:sz w:val="20"/>
          <w:szCs w:val="20"/>
        </w:rPr>
      </w:pPr>
      <w:r w:rsidRPr="00C45228">
        <w:rPr>
          <w:rFonts w:ascii="Barlow" w:hAnsi="Barlow" w:cs="Arial"/>
          <w:b/>
          <w:sz w:val="20"/>
          <w:szCs w:val="20"/>
        </w:rPr>
        <w:t>NOTAS DE DESGLOSE</w:t>
      </w:r>
    </w:p>
    <w:p w:rsidR="00870CB8" w:rsidRPr="00C45228" w:rsidRDefault="00870CB8" w:rsidP="00870CB8">
      <w:pPr>
        <w:pStyle w:val="Prrafodelista"/>
        <w:spacing w:line="240" w:lineRule="auto"/>
        <w:ind w:left="360"/>
        <w:rPr>
          <w:rFonts w:ascii="Barlow" w:hAnsi="Barlow" w:cs="Arial"/>
          <w:b/>
          <w:sz w:val="20"/>
          <w:szCs w:val="20"/>
        </w:rPr>
      </w:pPr>
    </w:p>
    <w:p w:rsidR="00E232E6" w:rsidRPr="00C45228" w:rsidRDefault="0032179E" w:rsidP="00870CB8">
      <w:pPr>
        <w:pStyle w:val="Texto"/>
        <w:numPr>
          <w:ilvl w:val="0"/>
          <w:numId w:val="9"/>
        </w:numPr>
        <w:spacing w:after="80" w:line="276" w:lineRule="auto"/>
        <w:jc w:val="left"/>
        <w:rPr>
          <w:rFonts w:ascii="Barlow" w:hAnsi="Barlow" w:cstheme="minorHAnsi"/>
          <w:b/>
          <w:smallCaps/>
          <w:sz w:val="20"/>
        </w:rPr>
      </w:pPr>
      <w:r w:rsidRPr="00C45228">
        <w:rPr>
          <w:rFonts w:ascii="Barlow" w:hAnsi="Barlow" w:cstheme="minorHAnsi"/>
          <w:b/>
          <w:smallCaps/>
          <w:sz w:val="20"/>
        </w:rPr>
        <w:t>NOTAS AL ESTADO DE SITUACIÓN FINANCIERA</w:t>
      </w:r>
    </w:p>
    <w:p w:rsidR="00870CB8" w:rsidRPr="00C45228" w:rsidRDefault="00870CB8" w:rsidP="00870CB8">
      <w:pPr>
        <w:jc w:val="both"/>
        <w:rPr>
          <w:rFonts w:ascii="Barlow" w:eastAsia="Calibri" w:hAnsi="Barlow" w:cs="Calibri"/>
          <w:b/>
          <w:sz w:val="20"/>
          <w:szCs w:val="20"/>
        </w:rPr>
      </w:pPr>
      <w:r w:rsidRPr="00C45228">
        <w:rPr>
          <w:rFonts w:ascii="Barlow" w:eastAsia="Calibri" w:hAnsi="Barlow" w:cs="Calibri"/>
          <w:b/>
          <w:sz w:val="20"/>
          <w:szCs w:val="20"/>
        </w:rPr>
        <w:t>1.1 Activo</w:t>
      </w:r>
    </w:p>
    <w:p w:rsidR="00870CB8" w:rsidRPr="00C45228" w:rsidRDefault="00870CB8" w:rsidP="00870CB8">
      <w:pPr>
        <w:jc w:val="both"/>
        <w:rPr>
          <w:rFonts w:ascii="Barlow" w:eastAsia="Calibri" w:hAnsi="Barlow" w:cs="Calibri"/>
          <w:b/>
          <w:sz w:val="20"/>
          <w:szCs w:val="20"/>
        </w:rPr>
      </w:pPr>
      <w:r w:rsidRPr="00C45228">
        <w:rPr>
          <w:rFonts w:ascii="Barlow" w:eastAsia="Calibri" w:hAnsi="Barlow" w:cs="Calibri"/>
          <w:b/>
          <w:sz w:val="20"/>
          <w:szCs w:val="20"/>
        </w:rPr>
        <w:t>1.1.1 Efectivo y Equivalentes.</w:t>
      </w:r>
    </w:p>
    <w:p w:rsidR="00870CB8" w:rsidRPr="00C45228" w:rsidRDefault="00870CB8" w:rsidP="00870CB8">
      <w:pPr>
        <w:tabs>
          <w:tab w:val="left" w:pos="426"/>
        </w:tabs>
        <w:spacing w:after="200" w:line="276" w:lineRule="auto"/>
        <w:contextualSpacing/>
        <w:jc w:val="both"/>
        <w:rPr>
          <w:rFonts w:ascii="Barlow" w:eastAsia="Calibri" w:hAnsi="Barlow" w:cs="Calibri"/>
          <w:sz w:val="20"/>
          <w:szCs w:val="20"/>
        </w:rPr>
      </w:pPr>
      <w:r w:rsidRPr="00C45228">
        <w:rPr>
          <w:rFonts w:ascii="Barlow" w:eastAsia="Calibri" w:hAnsi="Barlow" w:cs="Calibri"/>
          <w:sz w:val="20"/>
          <w:szCs w:val="20"/>
        </w:rPr>
        <w:t xml:space="preserve">El rubro de Efectivo y Equivalente al </w:t>
      </w:r>
      <w:r w:rsidR="00B84D59" w:rsidRPr="00C45228">
        <w:rPr>
          <w:rFonts w:ascii="Barlow" w:eastAsia="Calibri" w:hAnsi="Barlow" w:cs="Calibri"/>
          <w:sz w:val="20"/>
          <w:szCs w:val="20"/>
        </w:rPr>
        <w:t>31 de Marzo</w:t>
      </w:r>
      <w:r w:rsidR="00A878D3" w:rsidRPr="00C45228">
        <w:rPr>
          <w:rFonts w:ascii="Barlow" w:eastAsia="Calibri" w:hAnsi="Barlow" w:cs="Calibri"/>
          <w:sz w:val="20"/>
          <w:szCs w:val="20"/>
        </w:rPr>
        <w:t xml:space="preserve"> del </w:t>
      </w:r>
      <w:r w:rsidR="00F77AFE" w:rsidRPr="00C45228">
        <w:rPr>
          <w:rFonts w:ascii="Barlow" w:eastAsia="Calibri" w:hAnsi="Barlow" w:cs="Calibri"/>
          <w:sz w:val="20"/>
          <w:szCs w:val="20"/>
        </w:rPr>
        <w:t>2021</w:t>
      </w:r>
      <w:r w:rsidRPr="00C45228">
        <w:rPr>
          <w:rFonts w:ascii="Barlow" w:eastAsia="Calibri" w:hAnsi="Barlow" w:cs="Calibri"/>
          <w:sz w:val="20"/>
          <w:szCs w:val="20"/>
        </w:rPr>
        <w:t>, se encuentra integrado de la siguiente manera:</w:t>
      </w:r>
    </w:p>
    <w:p w:rsidR="00870CB8" w:rsidRPr="00C45228" w:rsidRDefault="00870CB8" w:rsidP="00870CB8">
      <w:pPr>
        <w:tabs>
          <w:tab w:val="left" w:pos="426"/>
        </w:tabs>
        <w:spacing w:after="200" w:line="276" w:lineRule="auto"/>
        <w:contextualSpacing/>
        <w:jc w:val="both"/>
        <w:rPr>
          <w:rFonts w:ascii="Barlow" w:eastAsia="Calibri" w:hAnsi="Barlow"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4"/>
        <w:gridCol w:w="4044"/>
      </w:tblGrid>
      <w:tr w:rsidR="00E232E6" w:rsidRPr="00C45228" w:rsidTr="00C45228">
        <w:trPr>
          <w:trHeight w:val="287"/>
          <w:jc w:val="center"/>
        </w:trPr>
        <w:tc>
          <w:tcPr>
            <w:tcW w:w="4044" w:type="dxa"/>
          </w:tcPr>
          <w:p w:rsidR="00E232E6" w:rsidRPr="00C45228" w:rsidRDefault="00E232E6" w:rsidP="0032179E">
            <w:pPr>
              <w:jc w:val="center"/>
              <w:rPr>
                <w:rFonts w:ascii="Barlow" w:hAnsi="Barlow" w:cstheme="minorHAnsi"/>
                <w:b/>
                <w:sz w:val="20"/>
                <w:szCs w:val="20"/>
              </w:rPr>
            </w:pPr>
            <w:r w:rsidRPr="00C45228">
              <w:rPr>
                <w:rFonts w:ascii="Barlow" w:hAnsi="Barlow" w:cstheme="minorHAnsi"/>
                <w:b/>
                <w:sz w:val="20"/>
                <w:szCs w:val="20"/>
              </w:rPr>
              <w:lastRenderedPageBreak/>
              <w:t>Cuenta</w:t>
            </w:r>
          </w:p>
        </w:tc>
        <w:tc>
          <w:tcPr>
            <w:tcW w:w="4044" w:type="dxa"/>
          </w:tcPr>
          <w:p w:rsidR="00E232E6" w:rsidRPr="00C45228" w:rsidRDefault="00E232E6" w:rsidP="0032179E">
            <w:pPr>
              <w:jc w:val="center"/>
              <w:rPr>
                <w:rFonts w:ascii="Barlow" w:hAnsi="Barlow" w:cstheme="minorHAnsi"/>
                <w:b/>
                <w:sz w:val="20"/>
                <w:szCs w:val="20"/>
              </w:rPr>
            </w:pPr>
            <w:r w:rsidRPr="00C45228">
              <w:rPr>
                <w:rFonts w:ascii="Barlow" w:hAnsi="Barlow" w:cstheme="minorHAnsi"/>
                <w:b/>
                <w:sz w:val="20"/>
                <w:szCs w:val="20"/>
              </w:rPr>
              <w:t>Importe</w:t>
            </w:r>
          </w:p>
        </w:tc>
      </w:tr>
      <w:tr w:rsidR="00E232E6" w:rsidRPr="00C45228" w:rsidTr="00C45228">
        <w:trPr>
          <w:trHeight w:val="277"/>
          <w:jc w:val="center"/>
        </w:trPr>
        <w:tc>
          <w:tcPr>
            <w:tcW w:w="4044" w:type="dxa"/>
          </w:tcPr>
          <w:p w:rsidR="00E232E6" w:rsidRPr="00C45228" w:rsidRDefault="00475AB3" w:rsidP="00475AB3">
            <w:pPr>
              <w:spacing w:after="0"/>
              <w:jc w:val="both"/>
              <w:rPr>
                <w:rFonts w:ascii="Barlow" w:hAnsi="Barlow" w:cstheme="minorHAnsi"/>
                <w:b/>
                <w:sz w:val="20"/>
                <w:szCs w:val="20"/>
              </w:rPr>
            </w:pPr>
            <w:r w:rsidRPr="00C45228">
              <w:rPr>
                <w:rFonts w:ascii="Barlow" w:hAnsi="Barlow" w:cstheme="minorHAnsi"/>
                <w:b/>
                <w:sz w:val="20"/>
                <w:szCs w:val="20"/>
              </w:rPr>
              <w:t>Bancos/ Tesorería</w:t>
            </w:r>
          </w:p>
        </w:tc>
        <w:tc>
          <w:tcPr>
            <w:tcW w:w="4044" w:type="dxa"/>
          </w:tcPr>
          <w:p w:rsidR="00E232E6" w:rsidRPr="00C45228" w:rsidRDefault="00E232E6" w:rsidP="00E86F29">
            <w:pPr>
              <w:jc w:val="both"/>
              <w:rPr>
                <w:rFonts w:ascii="Barlow" w:hAnsi="Barlow" w:cstheme="minorHAnsi"/>
                <w:sz w:val="20"/>
                <w:szCs w:val="20"/>
              </w:rPr>
            </w:pPr>
            <w:r w:rsidRPr="00C45228">
              <w:rPr>
                <w:rFonts w:ascii="Barlow" w:hAnsi="Barlow" w:cstheme="minorHAnsi"/>
                <w:sz w:val="20"/>
                <w:szCs w:val="20"/>
              </w:rPr>
              <w:t xml:space="preserve">$                    </w:t>
            </w:r>
            <w:r w:rsidR="00870CB8" w:rsidRPr="00C45228">
              <w:rPr>
                <w:rFonts w:ascii="Barlow" w:hAnsi="Barlow" w:cstheme="minorHAnsi"/>
                <w:sz w:val="20"/>
                <w:szCs w:val="20"/>
              </w:rPr>
              <w:t xml:space="preserve"> </w:t>
            </w:r>
            <w:r w:rsidR="00E86F29" w:rsidRPr="00C45228">
              <w:rPr>
                <w:rFonts w:ascii="Barlow" w:hAnsi="Barlow" w:cstheme="minorHAnsi"/>
                <w:sz w:val="20"/>
                <w:szCs w:val="20"/>
              </w:rPr>
              <w:t xml:space="preserve">   </w:t>
            </w:r>
            <w:r w:rsidR="00870CB8" w:rsidRPr="00C45228">
              <w:rPr>
                <w:rFonts w:ascii="Barlow" w:hAnsi="Barlow" w:cstheme="minorHAnsi"/>
                <w:sz w:val="20"/>
                <w:szCs w:val="20"/>
              </w:rPr>
              <w:t xml:space="preserve">  </w:t>
            </w:r>
            <w:r w:rsidR="00E86F29" w:rsidRPr="00C45228">
              <w:rPr>
                <w:rFonts w:ascii="Barlow" w:hAnsi="Barlow" w:cstheme="minorHAnsi"/>
                <w:sz w:val="20"/>
                <w:szCs w:val="20"/>
              </w:rPr>
              <w:t>20,000.00</w:t>
            </w:r>
          </w:p>
        </w:tc>
      </w:tr>
      <w:tr w:rsidR="00E232E6" w:rsidRPr="00C45228" w:rsidTr="00C45228">
        <w:trPr>
          <w:trHeight w:val="287"/>
          <w:jc w:val="center"/>
        </w:trPr>
        <w:tc>
          <w:tcPr>
            <w:tcW w:w="4044" w:type="dxa"/>
          </w:tcPr>
          <w:p w:rsidR="00E232E6" w:rsidRPr="00C45228" w:rsidRDefault="00475AB3" w:rsidP="00D670A6">
            <w:pPr>
              <w:spacing w:after="0"/>
              <w:jc w:val="both"/>
              <w:rPr>
                <w:rFonts w:ascii="Barlow" w:hAnsi="Barlow" w:cstheme="minorHAnsi"/>
                <w:b/>
                <w:sz w:val="20"/>
                <w:szCs w:val="20"/>
              </w:rPr>
            </w:pPr>
            <w:r w:rsidRPr="00C45228">
              <w:rPr>
                <w:rFonts w:ascii="Barlow" w:hAnsi="Barlow" w:cstheme="minorHAnsi"/>
                <w:b/>
                <w:sz w:val="20"/>
                <w:szCs w:val="20"/>
              </w:rPr>
              <w:t>Inversiones</w:t>
            </w:r>
          </w:p>
        </w:tc>
        <w:tc>
          <w:tcPr>
            <w:tcW w:w="4044" w:type="dxa"/>
          </w:tcPr>
          <w:p w:rsidR="00E232E6" w:rsidRPr="00C45228" w:rsidRDefault="00E232E6" w:rsidP="0012200A">
            <w:pPr>
              <w:jc w:val="both"/>
              <w:rPr>
                <w:rFonts w:ascii="Barlow" w:hAnsi="Barlow" w:cstheme="minorHAnsi"/>
                <w:bCs/>
                <w:sz w:val="20"/>
                <w:szCs w:val="20"/>
              </w:rPr>
            </w:pPr>
            <w:r w:rsidRPr="00C45228">
              <w:rPr>
                <w:rFonts w:ascii="Barlow" w:hAnsi="Barlow" w:cstheme="minorHAnsi"/>
                <w:sz w:val="20"/>
                <w:szCs w:val="20"/>
              </w:rPr>
              <w:t xml:space="preserve">$                </w:t>
            </w:r>
            <w:r w:rsidR="00475AB3" w:rsidRPr="00C45228">
              <w:rPr>
                <w:rFonts w:ascii="Barlow" w:hAnsi="Barlow" w:cstheme="minorHAnsi"/>
                <w:sz w:val="20"/>
                <w:szCs w:val="20"/>
              </w:rPr>
              <w:t xml:space="preserve">   </w:t>
            </w:r>
            <w:r w:rsidR="00870CB8" w:rsidRPr="00C45228">
              <w:rPr>
                <w:rFonts w:ascii="Barlow" w:hAnsi="Barlow" w:cstheme="minorHAnsi"/>
                <w:sz w:val="20"/>
                <w:szCs w:val="20"/>
              </w:rPr>
              <w:t xml:space="preserve"> </w:t>
            </w:r>
            <w:r w:rsidR="00B84D59" w:rsidRPr="00C45228">
              <w:rPr>
                <w:rFonts w:ascii="Barlow" w:hAnsi="Barlow" w:cstheme="minorHAnsi"/>
                <w:sz w:val="20"/>
                <w:szCs w:val="20"/>
              </w:rPr>
              <w:t>13,598,277.3</w:t>
            </w:r>
          </w:p>
        </w:tc>
      </w:tr>
      <w:tr w:rsidR="00E232E6" w:rsidRPr="00C45228" w:rsidTr="00C45228">
        <w:trPr>
          <w:trHeight w:val="277"/>
          <w:jc w:val="center"/>
        </w:trPr>
        <w:tc>
          <w:tcPr>
            <w:tcW w:w="4044" w:type="dxa"/>
          </w:tcPr>
          <w:p w:rsidR="00E232E6" w:rsidRPr="00C45228" w:rsidRDefault="00E232E6" w:rsidP="00D670A6">
            <w:pPr>
              <w:spacing w:after="0"/>
              <w:jc w:val="both"/>
              <w:rPr>
                <w:rFonts w:ascii="Barlow" w:hAnsi="Barlow" w:cstheme="minorHAnsi"/>
                <w:b/>
                <w:sz w:val="20"/>
                <w:szCs w:val="20"/>
              </w:rPr>
            </w:pPr>
            <w:r w:rsidRPr="00C45228">
              <w:rPr>
                <w:rFonts w:ascii="Barlow" w:hAnsi="Barlow" w:cstheme="minorHAnsi"/>
                <w:b/>
                <w:sz w:val="20"/>
                <w:szCs w:val="20"/>
              </w:rPr>
              <w:t>Total Efectivo y Equivalentes</w:t>
            </w:r>
          </w:p>
        </w:tc>
        <w:tc>
          <w:tcPr>
            <w:tcW w:w="4044" w:type="dxa"/>
          </w:tcPr>
          <w:p w:rsidR="00E232E6" w:rsidRPr="00C45228" w:rsidRDefault="00E232E6" w:rsidP="0012200A">
            <w:pPr>
              <w:jc w:val="both"/>
              <w:rPr>
                <w:rFonts w:ascii="Barlow" w:hAnsi="Barlow" w:cstheme="minorHAnsi"/>
                <w:b/>
                <w:sz w:val="20"/>
                <w:szCs w:val="20"/>
                <w:highlight w:val="yellow"/>
              </w:rPr>
            </w:pPr>
            <w:r w:rsidRPr="00C45228">
              <w:rPr>
                <w:rFonts w:ascii="Barlow" w:hAnsi="Barlow" w:cstheme="minorHAnsi"/>
                <w:b/>
                <w:sz w:val="20"/>
                <w:szCs w:val="20"/>
              </w:rPr>
              <w:t xml:space="preserve">$                </w:t>
            </w:r>
            <w:r w:rsidR="00475AB3" w:rsidRPr="00C45228">
              <w:rPr>
                <w:rFonts w:ascii="Barlow" w:hAnsi="Barlow" w:cstheme="minorHAnsi"/>
                <w:b/>
                <w:sz w:val="20"/>
                <w:szCs w:val="20"/>
              </w:rPr>
              <w:t xml:space="preserve">    </w:t>
            </w:r>
            <w:r w:rsidR="00B84D59" w:rsidRPr="00C45228">
              <w:rPr>
                <w:rFonts w:ascii="Barlow" w:hAnsi="Barlow" w:cstheme="minorHAnsi"/>
                <w:b/>
                <w:sz w:val="20"/>
                <w:szCs w:val="20"/>
              </w:rPr>
              <w:t>13,618,277.30</w:t>
            </w:r>
          </w:p>
        </w:tc>
      </w:tr>
    </w:tbl>
    <w:p w:rsidR="00E232E6" w:rsidRPr="00C45228" w:rsidRDefault="00E232E6" w:rsidP="00E232E6">
      <w:pPr>
        <w:pStyle w:val="Texto"/>
        <w:spacing w:after="80" w:line="276" w:lineRule="auto"/>
        <w:ind w:firstLine="0"/>
        <w:jc w:val="left"/>
        <w:rPr>
          <w:rFonts w:ascii="Barlow" w:hAnsi="Barlow" w:cstheme="minorHAnsi"/>
          <w:sz w:val="20"/>
          <w:lang w:val="es-MX"/>
        </w:rPr>
      </w:pPr>
    </w:p>
    <w:p w:rsidR="00E232E6" w:rsidRPr="00C45228" w:rsidRDefault="00E232E6" w:rsidP="00E232E6">
      <w:pPr>
        <w:pStyle w:val="Texto"/>
        <w:spacing w:after="80" w:line="276" w:lineRule="auto"/>
        <w:jc w:val="left"/>
        <w:rPr>
          <w:rFonts w:ascii="Barlow" w:hAnsi="Barlow" w:cstheme="minorHAnsi"/>
          <w:i/>
          <w:sz w:val="20"/>
          <w:lang w:val="es-MX"/>
        </w:rPr>
      </w:pPr>
      <w:r w:rsidRPr="00C45228">
        <w:rPr>
          <w:rFonts w:ascii="Barlow" w:hAnsi="Barlow" w:cstheme="minorHAnsi"/>
          <w:i/>
          <w:sz w:val="20"/>
          <w:lang w:val="es-MX"/>
        </w:rPr>
        <w:t>Efectivo y Fondo Fijo. - Cuenta utilizada, para sufragar gastos menores.</w:t>
      </w:r>
    </w:p>
    <w:p w:rsidR="00E232E6" w:rsidRPr="00C45228" w:rsidRDefault="00E232E6" w:rsidP="00E232E6">
      <w:pPr>
        <w:pStyle w:val="Texto"/>
        <w:spacing w:after="80" w:line="276" w:lineRule="auto"/>
        <w:jc w:val="left"/>
        <w:rPr>
          <w:rFonts w:ascii="Barlow" w:hAnsi="Barlow" w:cstheme="minorHAnsi"/>
          <w:i/>
          <w:sz w:val="20"/>
          <w:lang w:val="es-MX"/>
        </w:rPr>
      </w:pPr>
      <w:r w:rsidRPr="00C45228">
        <w:rPr>
          <w:rFonts w:ascii="Barlow" w:hAnsi="Barlow" w:cstheme="minorHAnsi"/>
          <w:i/>
          <w:sz w:val="20"/>
          <w:lang w:val="es-MX"/>
        </w:rPr>
        <w:t>Bancos/Tesorería. - Cuenta bancaria utilizada para sufragar los gastos de operación indispensables para realizar las tareas del fideicomiso.</w:t>
      </w:r>
    </w:p>
    <w:p w:rsidR="00C73E88" w:rsidRPr="00C45228" w:rsidRDefault="00C73E88" w:rsidP="00C73E88">
      <w:pPr>
        <w:spacing w:after="200" w:line="276" w:lineRule="auto"/>
        <w:jc w:val="both"/>
        <w:rPr>
          <w:rFonts w:ascii="Barlow" w:eastAsia="Calibri" w:hAnsi="Barlow" w:cs="Calibri"/>
          <w:b/>
          <w:sz w:val="20"/>
          <w:szCs w:val="20"/>
        </w:rPr>
      </w:pPr>
      <w:r w:rsidRPr="00C45228">
        <w:rPr>
          <w:rFonts w:ascii="Barlow" w:eastAsia="Calibri" w:hAnsi="Barlow" w:cs="Calibri"/>
          <w:b/>
          <w:sz w:val="20"/>
          <w:szCs w:val="20"/>
        </w:rPr>
        <w:t>1.1.2. Derechos a recibir Efectivo y Equivalentes y Bienes o Servicios a Recibir.</w:t>
      </w:r>
    </w:p>
    <w:p w:rsidR="00C73E88" w:rsidRPr="00C45228" w:rsidRDefault="0012200A" w:rsidP="0012200A">
      <w:pPr>
        <w:pStyle w:val="Texto"/>
        <w:spacing w:after="80" w:line="276" w:lineRule="auto"/>
        <w:jc w:val="left"/>
        <w:rPr>
          <w:rFonts w:ascii="Barlow" w:hAnsi="Barlow" w:cstheme="minorHAnsi"/>
          <w:b/>
          <w:sz w:val="20"/>
          <w:lang w:val="es-MX"/>
        </w:rPr>
      </w:pPr>
      <w:r w:rsidRPr="00C45228">
        <w:rPr>
          <w:rFonts w:ascii="Barlow" w:hAnsi="Barlow" w:cstheme="minorHAnsi"/>
          <w:sz w:val="20"/>
          <w:lang w:val="es-MX"/>
        </w:rPr>
        <w:t xml:space="preserve">El saldo final al </w:t>
      </w:r>
      <w:r w:rsidR="00B84D59" w:rsidRPr="00C45228">
        <w:rPr>
          <w:rFonts w:ascii="Barlow" w:hAnsi="Barlow" w:cstheme="minorHAnsi"/>
          <w:sz w:val="20"/>
          <w:lang w:val="es-MX"/>
        </w:rPr>
        <w:t>31 de Marzo</w:t>
      </w:r>
      <w:r w:rsidRPr="00C45228">
        <w:rPr>
          <w:rFonts w:ascii="Barlow" w:hAnsi="Barlow" w:cstheme="minorHAnsi"/>
          <w:sz w:val="20"/>
          <w:lang w:val="es-MX"/>
        </w:rPr>
        <w:t xml:space="preserve"> del </w:t>
      </w:r>
      <w:r w:rsidR="00F77AFE" w:rsidRPr="00C45228">
        <w:rPr>
          <w:rFonts w:ascii="Barlow" w:hAnsi="Barlow" w:cstheme="minorHAnsi"/>
          <w:sz w:val="20"/>
          <w:lang w:val="es-MX"/>
        </w:rPr>
        <w:t>2021</w:t>
      </w:r>
      <w:r w:rsidRPr="00C45228">
        <w:rPr>
          <w:rFonts w:ascii="Barlow" w:hAnsi="Barlow" w:cstheme="minorHAnsi"/>
          <w:sz w:val="20"/>
          <w:lang w:val="es-MX"/>
        </w:rPr>
        <w:t xml:space="preserve"> es de: </w:t>
      </w:r>
      <w:r w:rsidR="00F77AFE" w:rsidRPr="00C45228">
        <w:rPr>
          <w:rFonts w:ascii="Barlow" w:hAnsi="Barlow" w:cstheme="minorHAnsi"/>
          <w:sz w:val="20"/>
          <w:lang w:val="es-MX"/>
        </w:rPr>
        <w:t>$</w:t>
      </w:r>
      <w:r w:rsidR="00F77AFE" w:rsidRPr="00C45228">
        <w:rPr>
          <w:rFonts w:ascii="Barlow" w:hAnsi="Barlow" w:cstheme="minorHAnsi"/>
          <w:b/>
          <w:sz w:val="20"/>
          <w:lang w:val="es-MX"/>
        </w:rPr>
        <w:t>0.00</w:t>
      </w:r>
    </w:p>
    <w:p w:rsidR="0012200A" w:rsidRPr="00C45228" w:rsidRDefault="0012200A" w:rsidP="0012200A">
      <w:pPr>
        <w:pStyle w:val="Texto"/>
        <w:spacing w:after="80" w:line="276" w:lineRule="auto"/>
        <w:jc w:val="left"/>
        <w:rPr>
          <w:rFonts w:ascii="Barlow" w:hAnsi="Barlow" w:cstheme="minorHAnsi"/>
          <w:b/>
          <w:sz w:val="20"/>
          <w:lang w:val="es-MX"/>
        </w:rPr>
      </w:pPr>
    </w:p>
    <w:p w:rsidR="00C73E88" w:rsidRPr="00C45228" w:rsidRDefault="00C73E88" w:rsidP="00C73E88">
      <w:pPr>
        <w:spacing w:after="200" w:line="276" w:lineRule="auto"/>
        <w:jc w:val="both"/>
        <w:rPr>
          <w:rFonts w:ascii="Barlow" w:eastAsia="Calibri" w:hAnsi="Barlow" w:cs="Calibri"/>
          <w:b/>
          <w:sz w:val="20"/>
          <w:szCs w:val="20"/>
        </w:rPr>
      </w:pPr>
      <w:r w:rsidRPr="00C45228">
        <w:rPr>
          <w:rFonts w:ascii="Barlow" w:eastAsia="Calibri" w:hAnsi="Barlow" w:cs="Calibri"/>
          <w:b/>
          <w:sz w:val="20"/>
          <w:szCs w:val="20"/>
        </w:rPr>
        <w:t>1.1.3. Bienes disponibles para su transformación aquéllos que se encuentren dentro de la cuenta Inventarios.</w:t>
      </w:r>
    </w:p>
    <w:p w:rsidR="003033DF" w:rsidRPr="00C45228" w:rsidRDefault="003033DF" w:rsidP="003033DF">
      <w:pPr>
        <w:pStyle w:val="Texto"/>
        <w:spacing w:after="80" w:line="276" w:lineRule="auto"/>
        <w:jc w:val="left"/>
        <w:rPr>
          <w:rFonts w:ascii="Barlow" w:hAnsi="Barlow" w:cstheme="minorHAnsi"/>
          <w:sz w:val="20"/>
          <w:lang w:val="es-MX"/>
        </w:rPr>
      </w:pPr>
      <w:r w:rsidRPr="00C45228">
        <w:rPr>
          <w:rFonts w:ascii="Barlow" w:hAnsi="Barlow" w:cstheme="minorHAnsi"/>
          <w:sz w:val="20"/>
          <w:lang w:val="es-MX"/>
        </w:rPr>
        <w:t>-No Aplica-</w:t>
      </w:r>
    </w:p>
    <w:p w:rsidR="00C73E88" w:rsidRPr="00C45228" w:rsidRDefault="00C73E88" w:rsidP="00C73E88">
      <w:pPr>
        <w:spacing w:after="200" w:line="276" w:lineRule="auto"/>
        <w:jc w:val="both"/>
        <w:rPr>
          <w:rFonts w:ascii="Barlow" w:eastAsia="Calibri" w:hAnsi="Barlow" w:cs="Calibri"/>
          <w:b/>
          <w:sz w:val="20"/>
          <w:szCs w:val="20"/>
        </w:rPr>
      </w:pPr>
      <w:r w:rsidRPr="00C45228">
        <w:rPr>
          <w:rFonts w:ascii="Barlow" w:eastAsia="Calibri" w:hAnsi="Barlow" w:cs="Calibri"/>
          <w:b/>
          <w:sz w:val="20"/>
          <w:szCs w:val="20"/>
        </w:rPr>
        <w:t>1.1.4 Inversiones Financieras</w:t>
      </w:r>
    </w:p>
    <w:p w:rsidR="00E232E6" w:rsidRPr="00C45228" w:rsidRDefault="003033DF" w:rsidP="00E232E6">
      <w:pPr>
        <w:pStyle w:val="Texto"/>
        <w:spacing w:after="80" w:line="276" w:lineRule="auto"/>
        <w:jc w:val="left"/>
        <w:rPr>
          <w:rFonts w:ascii="Barlow" w:hAnsi="Barlow" w:cstheme="minorHAnsi"/>
          <w:sz w:val="20"/>
          <w:lang w:val="es-MX"/>
        </w:rPr>
      </w:pPr>
      <w:r w:rsidRPr="00C45228">
        <w:rPr>
          <w:rFonts w:ascii="Barlow" w:hAnsi="Barlow" w:cstheme="minorHAnsi"/>
          <w:sz w:val="20"/>
          <w:lang w:val="es-MX"/>
        </w:rPr>
        <w:t>-No Aplica-</w:t>
      </w:r>
    </w:p>
    <w:p w:rsidR="00C73E88" w:rsidRPr="00C45228" w:rsidRDefault="00C73E88" w:rsidP="00C73E88">
      <w:pPr>
        <w:spacing w:after="200" w:line="276" w:lineRule="auto"/>
        <w:jc w:val="both"/>
        <w:rPr>
          <w:rFonts w:ascii="Barlow" w:eastAsia="Calibri" w:hAnsi="Barlow" w:cs="Calibri"/>
          <w:b/>
          <w:sz w:val="20"/>
          <w:szCs w:val="20"/>
        </w:rPr>
      </w:pPr>
      <w:r w:rsidRPr="00C45228">
        <w:rPr>
          <w:rFonts w:ascii="Barlow" w:eastAsia="Calibri" w:hAnsi="Barlow" w:cs="Calibri"/>
          <w:b/>
          <w:sz w:val="20"/>
          <w:szCs w:val="20"/>
        </w:rPr>
        <w:t>1.1.5 Bienes Muebles, Inmuebles e Intangibles</w:t>
      </w:r>
    </w:p>
    <w:p w:rsidR="007B776F" w:rsidRDefault="007B776F" w:rsidP="00C73E88">
      <w:pPr>
        <w:spacing w:after="200" w:line="276" w:lineRule="auto"/>
        <w:jc w:val="both"/>
        <w:rPr>
          <w:rFonts w:ascii="Barlow" w:eastAsia="Times New Roman" w:hAnsi="Barlow" w:cstheme="minorHAnsi"/>
          <w:sz w:val="20"/>
          <w:szCs w:val="20"/>
          <w:lang w:eastAsia="es-ES"/>
        </w:rPr>
      </w:pPr>
      <w:r w:rsidRPr="00C45228">
        <w:rPr>
          <w:rFonts w:ascii="Barlow" w:eastAsia="Times New Roman" w:hAnsi="Barlow" w:cstheme="minorHAnsi"/>
          <w:sz w:val="20"/>
          <w:szCs w:val="20"/>
          <w:lang w:eastAsia="es-ES"/>
        </w:rPr>
        <w:t xml:space="preserve">Al </w:t>
      </w:r>
      <w:r w:rsidR="00B84D59" w:rsidRPr="00C45228">
        <w:rPr>
          <w:rFonts w:ascii="Barlow" w:eastAsia="Times New Roman" w:hAnsi="Barlow" w:cstheme="minorHAnsi"/>
          <w:sz w:val="20"/>
          <w:szCs w:val="20"/>
          <w:lang w:eastAsia="es-ES"/>
        </w:rPr>
        <w:t>31 de Marzo</w:t>
      </w:r>
      <w:r w:rsidR="00A878D3" w:rsidRPr="00C45228">
        <w:rPr>
          <w:rFonts w:ascii="Barlow" w:eastAsia="Times New Roman" w:hAnsi="Barlow" w:cstheme="minorHAnsi"/>
          <w:sz w:val="20"/>
          <w:szCs w:val="20"/>
          <w:lang w:eastAsia="es-ES"/>
        </w:rPr>
        <w:t xml:space="preserve"> del </w:t>
      </w:r>
      <w:r w:rsidR="00F77AFE" w:rsidRPr="00C45228">
        <w:rPr>
          <w:rFonts w:ascii="Barlow" w:eastAsia="Times New Roman" w:hAnsi="Barlow" w:cstheme="minorHAnsi"/>
          <w:sz w:val="20"/>
          <w:szCs w:val="20"/>
          <w:lang w:eastAsia="es-ES"/>
        </w:rPr>
        <w:t>2021</w:t>
      </w:r>
      <w:r w:rsidRPr="00C45228">
        <w:rPr>
          <w:rFonts w:ascii="Barlow" w:eastAsia="Times New Roman" w:hAnsi="Barlow" w:cstheme="minorHAnsi"/>
          <w:sz w:val="20"/>
          <w:szCs w:val="20"/>
          <w:lang w:eastAsia="es-ES"/>
        </w:rPr>
        <w:t>, el Fideicomiso cuenta con los siguientes bienes muebles, inmuebles e intangibles.</w:t>
      </w:r>
    </w:p>
    <w:p w:rsidR="00C45228" w:rsidRDefault="00C45228" w:rsidP="00C73E88">
      <w:pPr>
        <w:spacing w:after="200" w:line="276" w:lineRule="auto"/>
        <w:jc w:val="both"/>
        <w:rPr>
          <w:rFonts w:ascii="Barlow" w:eastAsia="Times New Roman" w:hAnsi="Barlow" w:cstheme="minorHAnsi"/>
          <w:sz w:val="20"/>
          <w:szCs w:val="20"/>
          <w:lang w:eastAsia="es-ES"/>
        </w:rPr>
      </w:pPr>
    </w:p>
    <w:p w:rsidR="00C45228" w:rsidRPr="00C45228" w:rsidRDefault="00C45228" w:rsidP="00C73E88">
      <w:pPr>
        <w:spacing w:after="200" w:line="276" w:lineRule="auto"/>
        <w:jc w:val="both"/>
        <w:rPr>
          <w:rFonts w:ascii="Barlow" w:eastAsia="Times New Roman" w:hAnsi="Barlow" w:cstheme="minorHAnsi"/>
          <w:sz w:val="20"/>
          <w:szCs w:val="20"/>
          <w:lang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322"/>
      </w:tblGrid>
      <w:tr w:rsidR="003033DF" w:rsidRPr="00C45228" w:rsidTr="00C45228">
        <w:trPr>
          <w:jc w:val="center"/>
        </w:trPr>
        <w:tc>
          <w:tcPr>
            <w:tcW w:w="4322" w:type="dxa"/>
          </w:tcPr>
          <w:p w:rsidR="003033DF" w:rsidRPr="00C45228" w:rsidRDefault="003033DF" w:rsidP="0032179E">
            <w:pPr>
              <w:jc w:val="center"/>
              <w:rPr>
                <w:rFonts w:ascii="Barlow" w:hAnsi="Barlow" w:cstheme="minorHAnsi"/>
                <w:b/>
                <w:sz w:val="20"/>
                <w:szCs w:val="20"/>
              </w:rPr>
            </w:pPr>
            <w:r w:rsidRPr="00C45228">
              <w:rPr>
                <w:rFonts w:ascii="Barlow" w:hAnsi="Barlow" w:cstheme="minorHAnsi"/>
                <w:b/>
                <w:sz w:val="20"/>
                <w:szCs w:val="20"/>
              </w:rPr>
              <w:lastRenderedPageBreak/>
              <w:t>Cuenta</w:t>
            </w:r>
          </w:p>
        </w:tc>
        <w:tc>
          <w:tcPr>
            <w:tcW w:w="4322" w:type="dxa"/>
          </w:tcPr>
          <w:p w:rsidR="003033DF" w:rsidRPr="00C45228" w:rsidRDefault="003033DF" w:rsidP="0032179E">
            <w:pPr>
              <w:jc w:val="center"/>
              <w:rPr>
                <w:rFonts w:ascii="Barlow" w:hAnsi="Barlow" w:cstheme="minorHAnsi"/>
                <w:b/>
                <w:sz w:val="20"/>
                <w:szCs w:val="20"/>
              </w:rPr>
            </w:pPr>
            <w:r w:rsidRPr="00C45228">
              <w:rPr>
                <w:rFonts w:ascii="Barlow" w:hAnsi="Barlow" w:cstheme="minorHAnsi"/>
                <w:b/>
                <w:sz w:val="20"/>
                <w:szCs w:val="20"/>
              </w:rPr>
              <w:t>Importe</w:t>
            </w:r>
          </w:p>
        </w:tc>
      </w:tr>
      <w:tr w:rsidR="003033DF" w:rsidRPr="00C45228" w:rsidTr="00C45228">
        <w:trPr>
          <w:jc w:val="center"/>
        </w:trPr>
        <w:tc>
          <w:tcPr>
            <w:tcW w:w="4322" w:type="dxa"/>
          </w:tcPr>
          <w:p w:rsidR="003033DF" w:rsidRPr="00C45228" w:rsidRDefault="003033DF" w:rsidP="0046234B">
            <w:pPr>
              <w:spacing w:after="0"/>
              <w:jc w:val="both"/>
              <w:rPr>
                <w:rFonts w:ascii="Barlow" w:hAnsi="Barlow" w:cstheme="minorHAnsi"/>
                <w:b/>
                <w:sz w:val="20"/>
                <w:szCs w:val="20"/>
              </w:rPr>
            </w:pPr>
            <w:r w:rsidRPr="00C45228">
              <w:rPr>
                <w:rFonts w:ascii="Barlow" w:hAnsi="Barlow" w:cstheme="minorHAnsi"/>
                <w:b/>
                <w:sz w:val="20"/>
                <w:szCs w:val="20"/>
              </w:rPr>
              <w:t>Equipos y Aparatos de Comunicación</w:t>
            </w:r>
          </w:p>
        </w:tc>
        <w:tc>
          <w:tcPr>
            <w:tcW w:w="4322" w:type="dxa"/>
          </w:tcPr>
          <w:p w:rsidR="003033DF" w:rsidRPr="00C45228" w:rsidRDefault="003033DF" w:rsidP="0046234B">
            <w:pPr>
              <w:jc w:val="both"/>
              <w:rPr>
                <w:rFonts w:ascii="Barlow" w:hAnsi="Barlow" w:cstheme="minorHAnsi"/>
                <w:sz w:val="20"/>
                <w:szCs w:val="20"/>
              </w:rPr>
            </w:pPr>
            <w:r w:rsidRPr="00C45228">
              <w:rPr>
                <w:rFonts w:ascii="Barlow" w:hAnsi="Barlow" w:cstheme="minorHAnsi"/>
                <w:sz w:val="20"/>
                <w:szCs w:val="20"/>
              </w:rPr>
              <w:t>$                         184,880.80</w:t>
            </w:r>
          </w:p>
        </w:tc>
      </w:tr>
      <w:tr w:rsidR="003033DF" w:rsidRPr="00C45228" w:rsidTr="00C45228">
        <w:trPr>
          <w:jc w:val="center"/>
        </w:trPr>
        <w:tc>
          <w:tcPr>
            <w:tcW w:w="4322" w:type="dxa"/>
          </w:tcPr>
          <w:p w:rsidR="003033DF" w:rsidRPr="00C45228" w:rsidRDefault="003033DF" w:rsidP="0046234B">
            <w:pPr>
              <w:spacing w:after="0"/>
              <w:jc w:val="both"/>
              <w:rPr>
                <w:rFonts w:ascii="Barlow" w:hAnsi="Barlow" w:cstheme="minorHAnsi"/>
                <w:b/>
                <w:sz w:val="20"/>
                <w:szCs w:val="20"/>
              </w:rPr>
            </w:pPr>
            <w:r w:rsidRPr="00C45228">
              <w:rPr>
                <w:rFonts w:ascii="Barlow" w:hAnsi="Barlow" w:cstheme="minorHAnsi"/>
                <w:b/>
                <w:sz w:val="20"/>
                <w:szCs w:val="20"/>
              </w:rPr>
              <w:t>Total</w:t>
            </w:r>
            <w:r w:rsidR="0032179E" w:rsidRPr="00C45228">
              <w:rPr>
                <w:rFonts w:ascii="Barlow" w:hAnsi="Barlow" w:cstheme="minorHAnsi"/>
                <w:b/>
                <w:sz w:val="20"/>
                <w:szCs w:val="20"/>
              </w:rPr>
              <w:t xml:space="preserve"> Bienes Muebles</w:t>
            </w:r>
          </w:p>
        </w:tc>
        <w:tc>
          <w:tcPr>
            <w:tcW w:w="4322" w:type="dxa"/>
          </w:tcPr>
          <w:p w:rsidR="003033DF" w:rsidRPr="00C45228" w:rsidRDefault="003033DF" w:rsidP="0032179E">
            <w:pPr>
              <w:jc w:val="both"/>
              <w:rPr>
                <w:rFonts w:ascii="Barlow" w:hAnsi="Barlow" w:cstheme="minorHAnsi"/>
                <w:b/>
                <w:bCs/>
                <w:sz w:val="20"/>
                <w:szCs w:val="20"/>
              </w:rPr>
            </w:pPr>
            <w:r w:rsidRPr="00C45228">
              <w:rPr>
                <w:rFonts w:ascii="Barlow" w:hAnsi="Barlow" w:cstheme="minorHAnsi"/>
                <w:b/>
                <w:sz w:val="20"/>
                <w:szCs w:val="20"/>
              </w:rPr>
              <w:t>$                         184,880.80</w:t>
            </w:r>
          </w:p>
        </w:tc>
      </w:tr>
    </w:tbl>
    <w:p w:rsidR="003033DF" w:rsidRPr="00C45228" w:rsidRDefault="003033DF" w:rsidP="003033DF">
      <w:pPr>
        <w:pStyle w:val="Texto"/>
        <w:spacing w:after="80" w:line="276" w:lineRule="auto"/>
        <w:ind w:left="720" w:firstLine="0"/>
        <w:jc w:val="left"/>
        <w:rPr>
          <w:rFonts w:ascii="Barlow" w:hAnsi="Barlow" w:cstheme="minorHAnsi"/>
          <w:b/>
          <w:sz w:val="20"/>
          <w:lang w:val="es-MX"/>
        </w:rPr>
      </w:pPr>
    </w:p>
    <w:p w:rsidR="007B776F" w:rsidRPr="00C45228" w:rsidRDefault="007B776F" w:rsidP="007B776F">
      <w:pPr>
        <w:tabs>
          <w:tab w:val="left" w:pos="567"/>
        </w:tabs>
        <w:rPr>
          <w:rFonts w:ascii="Barlow" w:eastAsia="Calibri" w:hAnsi="Barlow"/>
          <w:b/>
          <w:sz w:val="20"/>
          <w:szCs w:val="20"/>
        </w:rPr>
      </w:pPr>
      <w:r w:rsidRPr="00C45228">
        <w:rPr>
          <w:rFonts w:ascii="Barlow" w:eastAsia="Calibri" w:hAnsi="Barlow"/>
          <w:b/>
          <w:sz w:val="20"/>
          <w:szCs w:val="20"/>
        </w:rPr>
        <w:t>1.1.7 Estimaciones y Deterioros.</w:t>
      </w:r>
    </w:p>
    <w:p w:rsidR="003033DF" w:rsidRPr="00C45228" w:rsidRDefault="003033DF" w:rsidP="003033DF">
      <w:pPr>
        <w:pStyle w:val="Texto"/>
        <w:spacing w:after="80" w:line="276" w:lineRule="auto"/>
        <w:ind w:left="720" w:firstLine="0"/>
        <w:jc w:val="left"/>
        <w:rPr>
          <w:rFonts w:ascii="Barlow" w:hAnsi="Barlow" w:cstheme="minorHAnsi"/>
          <w:sz w:val="20"/>
          <w:lang w:val="es-MX"/>
        </w:rPr>
      </w:pPr>
      <w:r w:rsidRPr="00C45228">
        <w:rPr>
          <w:rFonts w:ascii="Barlow" w:hAnsi="Barlow" w:cstheme="minorHAnsi"/>
          <w:sz w:val="20"/>
          <w:lang w:val="es-MX"/>
        </w:rPr>
        <w:t>-No Aplica-</w:t>
      </w:r>
    </w:p>
    <w:p w:rsidR="007B776F" w:rsidRPr="00C45228" w:rsidRDefault="007B776F" w:rsidP="007B776F">
      <w:pPr>
        <w:tabs>
          <w:tab w:val="left" w:pos="567"/>
        </w:tabs>
        <w:rPr>
          <w:rFonts w:ascii="Barlow" w:eastAsia="Calibri" w:hAnsi="Barlow"/>
          <w:b/>
          <w:sz w:val="20"/>
          <w:szCs w:val="20"/>
        </w:rPr>
      </w:pPr>
      <w:r w:rsidRPr="00C45228">
        <w:rPr>
          <w:rFonts w:ascii="Barlow" w:eastAsia="Calibri" w:hAnsi="Barlow"/>
          <w:b/>
          <w:sz w:val="20"/>
          <w:szCs w:val="20"/>
        </w:rPr>
        <w:t>1.1.7 Otros Activos Circulantes.</w:t>
      </w:r>
    </w:p>
    <w:p w:rsidR="003033DF" w:rsidRPr="00C45228" w:rsidRDefault="003033DF" w:rsidP="003033DF">
      <w:pPr>
        <w:pStyle w:val="Texto"/>
        <w:spacing w:after="80" w:line="276" w:lineRule="auto"/>
        <w:ind w:left="720" w:firstLine="0"/>
        <w:jc w:val="left"/>
        <w:rPr>
          <w:rFonts w:ascii="Barlow" w:hAnsi="Barlow" w:cstheme="minorHAnsi"/>
          <w:sz w:val="20"/>
          <w:lang w:val="es-MX"/>
        </w:rPr>
      </w:pPr>
      <w:r w:rsidRPr="00C45228">
        <w:rPr>
          <w:rFonts w:ascii="Barlow" w:hAnsi="Barlow" w:cstheme="minorHAnsi"/>
          <w:sz w:val="20"/>
          <w:lang w:val="es-MX"/>
        </w:rPr>
        <w:t>-No Aplica-</w:t>
      </w:r>
    </w:p>
    <w:p w:rsidR="007B776F" w:rsidRPr="00C45228" w:rsidRDefault="007B776F" w:rsidP="007B776F">
      <w:pPr>
        <w:spacing w:after="200" w:line="276" w:lineRule="auto"/>
        <w:jc w:val="both"/>
        <w:rPr>
          <w:rFonts w:ascii="Barlow" w:eastAsia="Calibri" w:hAnsi="Barlow" w:cs="Calibri"/>
          <w:b/>
          <w:sz w:val="20"/>
          <w:szCs w:val="20"/>
        </w:rPr>
      </w:pPr>
      <w:r w:rsidRPr="00C45228">
        <w:rPr>
          <w:rFonts w:ascii="Barlow" w:eastAsia="Calibri" w:hAnsi="Barlow" w:cs="Calibri"/>
          <w:b/>
          <w:sz w:val="20"/>
          <w:szCs w:val="20"/>
        </w:rPr>
        <w:t>1.2. Pasivo</w:t>
      </w:r>
    </w:p>
    <w:p w:rsidR="007B776F" w:rsidRPr="00C45228" w:rsidRDefault="007B776F" w:rsidP="007B776F">
      <w:pPr>
        <w:spacing w:after="200" w:line="276" w:lineRule="auto"/>
        <w:jc w:val="both"/>
        <w:rPr>
          <w:rFonts w:ascii="Barlow" w:eastAsia="Calibri" w:hAnsi="Barlow" w:cs="Calibri"/>
          <w:b/>
          <w:sz w:val="20"/>
          <w:szCs w:val="20"/>
        </w:rPr>
      </w:pPr>
      <w:r w:rsidRPr="00C45228">
        <w:rPr>
          <w:rFonts w:ascii="Barlow" w:eastAsia="Calibri" w:hAnsi="Barlow" w:cs="Calibri"/>
          <w:b/>
          <w:sz w:val="20"/>
          <w:szCs w:val="20"/>
        </w:rPr>
        <w:t>1.2.1. Cuentas por pagar a corto plazo.</w:t>
      </w:r>
    </w:p>
    <w:p w:rsidR="0032179E" w:rsidRPr="00C45228" w:rsidRDefault="00E232E6" w:rsidP="00E232E6">
      <w:pPr>
        <w:pStyle w:val="Texto"/>
        <w:spacing w:after="80" w:line="276" w:lineRule="auto"/>
        <w:ind w:firstLine="0"/>
        <w:jc w:val="left"/>
        <w:rPr>
          <w:rFonts w:ascii="Barlow" w:hAnsi="Barlow" w:cstheme="minorHAnsi"/>
          <w:sz w:val="20"/>
          <w:lang w:val="es-MX"/>
        </w:rPr>
      </w:pPr>
      <w:r w:rsidRPr="00C45228">
        <w:rPr>
          <w:rFonts w:ascii="Barlow" w:hAnsi="Barlow" w:cstheme="minorHAnsi"/>
          <w:sz w:val="20"/>
          <w:lang w:val="es-MX"/>
        </w:rPr>
        <w:t xml:space="preserve">El fideicomiso cuenta con pasivos circulantes en cuentas por pagar por $ </w:t>
      </w:r>
      <w:r w:rsidR="00532A3E" w:rsidRPr="00C45228">
        <w:rPr>
          <w:rFonts w:ascii="Barlow" w:hAnsi="Barlow" w:cstheme="minorHAnsi"/>
          <w:sz w:val="20"/>
          <w:lang w:val="es-MX"/>
        </w:rPr>
        <w:t xml:space="preserve">6,388,123.39 </w:t>
      </w:r>
      <w:r w:rsidR="0032179E" w:rsidRPr="00C45228">
        <w:rPr>
          <w:rFonts w:ascii="Barlow" w:hAnsi="Barlow" w:cstheme="minorHAnsi"/>
          <w:sz w:val="20"/>
          <w:lang w:val="es-MX"/>
        </w:rPr>
        <w:t>pesos, el cual está conformado de la siguiente manera: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322"/>
      </w:tblGrid>
      <w:tr w:rsidR="0032179E" w:rsidRPr="00C45228" w:rsidTr="00C45228">
        <w:trPr>
          <w:jc w:val="center"/>
        </w:trPr>
        <w:tc>
          <w:tcPr>
            <w:tcW w:w="4322" w:type="dxa"/>
          </w:tcPr>
          <w:p w:rsidR="0032179E" w:rsidRPr="00C45228" w:rsidRDefault="0032179E" w:rsidP="0046234B">
            <w:pPr>
              <w:jc w:val="center"/>
              <w:rPr>
                <w:rFonts w:ascii="Barlow" w:hAnsi="Barlow" w:cstheme="minorHAnsi"/>
                <w:b/>
                <w:sz w:val="20"/>
                <w:szCs w:val="20"/>
              </w:rPr>
            </w:pPr>
            <w:r w:rsidRPr="00C45228">
              <w:rPr>
                <w:rFonts w:ascii="Barlow" w:hAnsi="Barlow" w:cstheme="minorHAnsi"/>
                <w:b/>
                <w:sz w:val="20"/>
                <w:szCs w:val="20"/>
              </w:rPr>
              <w:t>Cuenta</w:t>
            </w:r>
          </w:p>
        </w:tc>
        <w:tc>
          <w:tcPr>
            <w:tcW w:w="4322" w:type="dxa"/>
          </w:tcPr>
          <w:p w:rsidR="0032179E" w:rsidRPr="00C45228" w:rsidRDefault="0032179E" w:rsidP="0046234B">
            <w:pPr>
              <w:jc w:val="center"/>
              <w:rPr>
                <w:rFonts w:ascii="Barlow" w:hAnsi="Barlow" w:cstheme="minorHAnsi"/>
                <w:b/>
                <w:sz w:val="20"/>
                <w:szCs w:val="20"/>
              </w:rPr>
            </w:pPr>
            <w:r w:rsidRPr="00C45228">
              <w:rPr>
                <w:rFonts w:ascii="Barlow" w:hAnsi="Barlow" w:cstheme="minorHAnsi"/>
                <w:b/>
                <w:sz w:val="20"/>
                <w:szCs w:val="20"/>
              </w:rPr>
              <w:t>Importe</w:t>
            </w:r>
          </w:p>
        </w:tc>
      </w:tr>
      <w:tr w:rsidR="00B84D59" w:rsidRPr="00C45228" w:rsidTr="00C45228">
        <w:trPr>
          <w:jc w:val="center"/>
        </w:trPr>
        <w:tc>
          <w:tcPr>
            <w:tcW w:w="4322" w:type="dxa"/>
          </w:tcPr>
          <w:p w:rsidR="00B84D59" w:rsidRPr="00C45228" w:rsidRDefault="00B84D59" w:rsidP="00B84D59">
            <w:pPr>
              <w:rPr>
                <w:rFonts w:ascii="Barlow" w:hAnsi="Barlow" w:cs="Arial"/>
                <w:color w:val="000000"/>
                <w:sz w:val="20"/>
                <w:szCs w:val="20"/>
              </w:rPr>
            </w:pPr>
            <w:r w:rsidRPr="00C45228">
              <w:rPr>
                <w:rFonts w:ascii="Barlow" w:hAnsi="Barlow" w:cs="Arial"/>
                <w:color w:val="000000"/>
                <w:sz w:val="20"/>
                <w:szCs w:val="20"/>
              </w:rPr>
              <w:t>Blue Panorama SPA</w:t>
            </w:r>
          </w:p>
        </w:tc>
        <w:tc>
          <w:tcPr>
            <w:tcW w:w="4322" w:type="dxa"/>
          </w:tcPr>
          <w:p w:rsidR="00B84D59" w:rsidRPr="00C45228" w:rsidRDefault="00B84D59" w:rsidP="00B84D59">
            <w:pPr>
              <w:jc w:val="right"/>
              <w:rPr>
                <w:rFonts w:ascii="Barlow" w:hAnsi="Barlow" w:cs="Arial"/>
                <w:color w:val="000000"/>
                <w:sz w:val="20"/>
                <w:szCs w:val="20"/>
              </w:rPr>
            </w:pPr>
            <w:r w:rsidRPr="00C45228">
              <w:rPr>
                <w:rFonts w:ascii="Barlow" w:hAnsi="Barlow" w:cs="Arial"/>
                <w:color w:val="000000"/>
                <w:sz w:val="20"/>
                <w:szCs w:val="20"/>
              </w:rPr>
              <w:t>2,398,018.91</w:t>
            </w:r>
          </w:p>
        </w:tc>
      </w:tr>
      <w:tr w:rsidR="00B84D59" w:rsidRPr="00C45228" w:rsidTr="00C45228">
        <w:trPr>
          <w:jc w:val="center"/>
        </w:trPr>
        <w:tc>
          <w:tcPr>
            <w:tcW w:w="4322" w:type="dxa"/>
          </w:tcPr>
          <w:p w:rsidR="00B84D59" w:rsidRPr="00C45228" w:rsidRDefault="00B84D59" w:rsidP="00B84D59">
            <w:pPr>
              <w:rPr>
                <w:rFonts w:ascii="Barlow" w:hAnsi="Barlow" w:cs="Arial"/>
                <w:color w:val="000000"/>
                <w:sz w:val="20"/>
                <w:szCs w:val="20"/>
              </w:rPr>
            </w:pPr>
            <w:r w:rsidRPr="00C45228">
              <w:rPr>
                <w:rFonts w:ascii="Barlow" w:hAnsi="Barlow" w:cs="Arial"/>
                <w:color w:val="000000"/>
                <w:sz w:val="20"/>
                <w:szCs w:val="20"/>
              </w:rPr>
              <w:t>INK</w:t>
            </w:r>
          </w:p>
        </w:tc>
        <w:tc>
          <w:tcPr>
            <w:tcW w:w="4322" w:type="dxa"/>
          </w:tcPr>
          <w:p w:rsidR="00B84D59" w:rsidRPr="00C45228" w:rsidRDefault="00B84D59" w:rsidP="00B84D59">
            <w:pPr>
              <w:jc w:val="right"/>
              <w:rPr>
                <w:rFonts w:ascii="Barlow" w:hAnsi="Barlow" w:cs="Arial"/>
                <w:color w:val="000000"/>
                <w:sz w:val="20"/>
                <w:szCs w:val="20"/>
              </w:rPr>
            </w:pPr>
            <w:r w:rsidRPr="00C45228">
              <w:rPr>
                <w:rFonts w:ascii="Barlow" w:hAnsi="Barlow" w:cs="Arial"/>
                <w:color w:val="000000"/>
                <w:sz w:val="20"/>
                <w:szCs w:val="20"/>
              </w:rPr>
              <w:t>22,440.00</w:t>
            </w:r>
          </w:p>
        </w:tc>
      </w:tr>
      <w:tr w:rsidR="00B84D59" w:rsidRPr="00C45228" w:rsidTr="00C45228">
        <w:trPr>
          <w:jc w:val="center"/>
        </w:trPr>
        <w:tc>
          <w:tcPr>
            <w:tcW w:w="4322" w:type="dxa"/>
          </w:tcPr>
          <w:p w:rsidR="00B84D59" w:rsidRPr="00C45228" w:rsidRDefault="00B84D59" w:rsidP="00B84D59">
            <w:pPr>
              <w:rPr>
                <w:rFonts w:ascii="Barlow" w:hAnsi="Barlow" w:cs="Arial"/>
                <w:color w:val="000000"/>
                <w:sz w:val="20"/>
                <w:szCs w:val="20"/>
              </w:rPr>
            </w:pPr>
            <w:r w:rsidRPr="00C45228">
              <w:rPr>
                <w:rFonts w:ascii="Barlow" w:hAnsi="Barlow" w:cs="Arial"/>
                <w:color w:val="000000"/>
                <w:sz w:val="20"/>
                <w:szCs w:val="20"/>
              </w:rPr>
              <w:t>Laura Beatriz Peraza Cantu</w:t>
            </w:r>
          </w:p>
        </w:tc>
        <w:tc>
          <w:tcPr>
            <w:tcW w:w="4322" w:type="dxa"/>
          </w:tcPr>
          <w:p w:rsidR="00B84D59" w:rsidRPr="00C45228" w:rsidRDefault="00B84D59" w:rsidP="00B84D59">
            <w:pPr>
              <w:jc w:val="right"/>
              <w:rPr>
                <w:rFonts w:ascii="Barlow" w:hAnsi="Barlow" w:cs="Arial"/>
                <w:color w:val="000000"/>
                <w:sz w:val="20"/>
                <w:szCs w:val="20"/>
              </w:rPr>
            </w:pPr>
            <w:r w:rsidRPr="00C45228">
              <w:rPr>
                <w:rFonts w:ascii="Barlow" w:hAnsi="Barlow" w:cs="Arial"/>
                <w:color w:val="000000"/>
                <w:sz w:val="20"/>
                <w:szCs w:val="20"/>
              </w:rPr>
              <w:t>662,023.60</w:t>
            </w:r>
          </w:p>
        </w:tc>
      </w:tr>
      <w:tr w:rsidR="00B84D59" w:rsidRPr="00C45228" w:rsidTr="00C45228">
        <w:trPr>
          <w:jc w:val="center"/>
        </w:trPr>
        <w:tc>
          <w:tcPr>
            <w:tcW w:w="4322" w:type="dxa"/>
          </w:tcPr>
          <w:p w:rsidR="00B84D59" w:rsidRPr="00C45228" w:rsidRDefault="00B84D59" w:rsidP="00B84D59">
            <w:pPr>
              <w:rPr>
                <w:rFonts w:ascii="Barlow" w:hAnsi="Barlow" w:cs="Arial"/>
                <w:color w:val="000000"/>
                <w:sz w:val="20"/>
                <w:szCs w:val="20"/>
              </w:rPr>
            </w:pPr>
            <w:r w:rsidRPr="00C45228">
              <w:rPr>
                <w:rFonts w:ascii="Barlow" w:hAnsi="Barlow" w:cs="Arial"/>
                <w:color w:val="000000"/>
                <w:sz w:val="20"/>
                <w:szCs w:val="20"/>
              </w:rPr>
              <w:t>Comercializadora IMU SA de CV</w:t>
            </w:r>
          </w:p>
        </w:tc>
        <w:tc>
          <w:tcPr>
            <w:tcW w:w="4322" w:type="dxa"/>
          </w:tcPr>
          <w:p w:rsidR="00B84D59" w:rsidRPr="00C45228" w:rsidRDefault="00B84D59" w:rsidP="00B84D59">
            <w:pPr>
              <w:jc w:val="right"/>
              <w:rPr>
                <w:rFonts w:ascii="Barlow" w:hAnsi="Barlow" w:cs="Arial"/>
                <w:color w:val="000000"/>
                <w:sz w:val="20"/>
                <w:szCs w:val="20"/>
              </w:rPr>
            </w:pPr>
            <w:r w:rsidRPr="00C45228">
              <w:rPr>
                <w:rFonts w:ascii="Barlow" w:hAnsi="Barlow" w:cs="Arial"/>
                <w:color w:val="000000"/>
                <w:sz w:val="20"/>
                <w:szCs w:val="20"/>
              </w:rPr>
              <w:t>1,594,040.00</w:t>
            </w:r>
          </w:p>
        </w:tc>
      </w:tr>
      <w:tr w:rsidR="00B84D59" w:rsidRPr="00C45228" w:rsidTr="00C45228">
        <w:trPr>
          <w:jc w:val="center"/>
        </w:trPr>
        <w:tc>
          <w:tcPr>
            <w:tcW w:w="4322" w:type="dxa"/>
          </w:tcPr>
          <w:p w:rsidR="00B84D59" w:rsidRPr="00C45228" w:rsidRDefault="00B84D59" w:rsidP="00B84D59">
            <w:pPr>
              <w:rPr>
                <w:rFonts w:ascii="Barlow" w:hAnsi="Barlow" w:cs="Arial"/>
                <w:color w:val="000000"/>
                <w:sz w:val="20"/>
                <w:szCs w:val="20"/>
              </w:rPr>
            </w:pPr>
            <w:r w:rsidRPr="00C45228">
              <w:rPr>
                <w:rFonts w:ascii="Barlow" w:hAnsi="Barlow" w:cs="Arial"/>
                <w:color w:val="000000"/>
                <w:sz w:val="20"/>
                <w:szCs w:val="20"/>
              </w:rPr>
              <w:t>Estrategias de Promocion Turistica SA de CV</w:t>
            </w:r>
          </w:p>
        </w:tc>
        <w:tc>
          <w:tcPr>
            <w:tcW w:w="4322" w:type="dxa"/>
          </w:tcPr>
          <w:p w:rsidR="00B84D59" w:rsidRPr="00C45228" w:rsidRDefault="00B84D59" w:rsidP="00B84D59">
            <w:pPr>
              <w:jc w:val="right"/>
              <w:rPr>
                <w:rFonts w:ascii="Barlow" w:hAnsi="Barlow" w:cs="Arial"/>
                <w:color w:val="000000"/>
                <w:sz w:val="20"/>
                <w:szCs w:val="20"/>
              </w:rPr>
            </w:pPr>
            <w:r w:rsidRPr="00C45228">
              <w:rPr>
                <w:rFonts w:ascii="Barlow" w:hAnsi="Barlow" w:cs="Arial"/>
                <w:color w:val="000000"/>
                <w:sz w:val="20"/>
                <w:szCs w:val="20"/>
              </w:rPr>
              <w:t>1,711,600.88</w:t>
            </w:r>
          </w:p>
        </w:tc>
      </w:tr>
      <w:tr w:rsidR="00532A3E" w:rsidRPr="00C45228" w:rsidTr="00C45228">
        <w:trPr>
          <w:jc w:val="center"/>
        </w:trPr>
        <w:tc>
          <w:tcPr>
            <w:tcW w:w="4322" w:type="dxa"/>
          </w:tcPr>
          <w:p w:rsidR="00532A3E" w:rsidRPr="00C45228" w:rsidRDefault="00532A3E" w:rsidP="00532A3E">
            <w:pPr>
              <w:rPr>
                <w:rFonts w:ascii="Barlow" w:hAnsi="Barlow" w:cs="Arial"/>
                <w:color w:val="000000"/>
                <w:sz w:val="20"/>
                <w:szCs w:val="20"/>
              </w:rPr>
            </w:pPr>
          </w:p>
        </w:tc>
        <w:tc>
          <w:tcPr>
            <w:tcW w:w="4322" w:type="dxa"/>
          </w:tcPr>
          <w:p w:rsidR="00532A3E" w:rsidRPr="00C45228" w:rsidRDefault="00532A3E" w:rsidP="00532A3E">
            <w:pPr>
              <w:jc w:val="right"/>
              <w:rPr>
                <w:rFonts w:ascii="Barlow" w:hAnsi="Barlow" w:cs="Arial"/>
                <w:color w:val="000000"/>
                <w:sz w:val="20"/>
                <w:szCs w:val="20"/>
              </w:rPr>
            </w:pPr>
          </w:p>
        </w:tc>
      </w:tr>
      <w:tr w:rsidR="00532A3E" w:rsidRPr="00C45228" w:rsidTr="00C45228">
        <w:trPr>
          <w:jc w:val="center"/>
        </w:trPr>
        <w:tc>
          <w:tcPr>
            <w:tcW w:w="4322" w:type="dxa"/>
          </w:tcPr>
          <w:p w:rsidR="00532A3E" w:rsidRPr="00C45228" w:rsidRDefault="00532A3E" w:rsidP="00F77AFE">
            <w:pPr>
              <w:rPr>
                <w:rFonts w:ascii="Barlow" w:hAnsi="Barlow" w:cs="Arial"/>
                <w:color w:val="000000"/>
                <w:sz w:val="20"/>
                <w:szCs w:val="20"/>
              </w:rPr>
            </w:pPr>
            <w:r w:rsidRPr="00C45228">
              <w:rPr>
                <w:rFonts w:ascii="Barlow" w:hAnsi="Barlow" w:cs="Arial"/>
                <w:color w:val="000000"/>
                <w:sz w:val="20"/>
                <w:szCs w:val="20"/>
              </w:rPr>
              <w:lastRenderedPageBreak/>
              <w:t>Total</w:t>
            </w:r>
          </w:p>
        </w:tc>
        <w:tc>
          <w:tcPr>
            <w:tcW w:w="4322" w:type="dxa"/>
          </w:tcPr>
          <w:p w:rsidR="00532A3E" w:rsidRPr="00C45228" w:rsidRDefault="00532A3E" w:rsidP="00F77AFE">
            <w:pPr>
              <w:jc w:val="right"/>
              <w:rPr>
                <w:rFonts w:ascii="Barlow" w:hAnsi="Barlow" w:cs="Arial"/>
                <w:color w:val="000000"/>
                <w:sz w:val="20"/>
                <w:szCs w:val="20"/>
              </w:rPr>
            </w:pPr>
            <w:r w:rsidRPr="00C45228">
              <w:rPr>
                <w:rFonts w:ascii="Barlow" w:hAnsi="Barlow" w:cs="Arial"/>
                <w:color w:val="000000"/>
                <w:sz w:val="20"/>
                <w:szCs w:val="20"/>
              </w:rPr>
              <w:t>6,388,123.39</w:t>
            </w:r>
          </w:p>
        </w:tc>
      </w:tr>
      <w:tr w:rsidR="00532A3E" w:rsidRPr="00C45228" w:rsidTr="00C45228">
        <w:trPr>
          <w:jc w:val="center"/>
        </w:trPr>
        <w:tc>
          <w:tcPr>
            <w:tcW w:w="4322" w:type="dxa"/>
          </w:tcPr>
          <w:p w:rsidR="00532A3E" w:rsidRPr="00C45228" w:rsidRDefault="00532A3E" w:rsidP="00F77AFE">
            <w:pPr>
              <w:rPr>
                <w:rFonts w:ascii="Barlow" w:hAnsi="Barlow" w:cs="Arial"/>
                <w:color w:val="000000"/>
                <w:sz w:val="20"/>
                <w:szCs w:val="20"/>
              </w:rPr>
            </w:pPr>
          </w:p>
        </w:tc>
        <w:tc>
          <w:tcPr>
            <w:tcW w:w="4322" w:type="dxa"/>
          </w:tcPr>
          <w:p w:rsidR="00532A3E" w:rsidRPr="00C45228" w:rsidRDefault="00532A3E" w:rsidP="00F77AFE">
            <w:pPr>
              <w:jc w:val="right"/>
              <w:rPr>
                <w:rFonts w:ascii="Barlow" w:hAnsi="Barlow" w:cs="Arial"/>
                <w:color w:val="000000"/>
                <w:sz w:val="20"/>
                <w:szCs w:val="20"/>
              </w:rPr>
            </w:pPr>
          </w:p>
        </w:tc>
      </w:tr>
    </w:tbl>
    <w:p w:rsidR="00703AF5" w:rsidRPr="00C45228" w:rsidRDefault="00703AF5" w:rsidP="00383C60">
      <w:pPr>
        <w:spacing w:after="200" w:line="276" w:lineRule="auto"/>
        <w:jc w:val="both"/>
        <w:rPr>
          <w:rFonts w:ascii="Barlow" w:eastAsia="Calibri" w:hAnsi="Barlow" w:cs="Calibri"/>
          <w:b/>
          <w:sz w:val="20"/>
          <w:szCs w:val="20"/>
        </w:rPr>
      </w:pPr>
    </w:p>
    <w:p w:rsidR="00532A3E" w:rsidRPr="00C45228" w:rsidRDefault="00532A3E" w:rsidP="00383C60">
      <w:pPr>
        <w:spacing w:after="200" w:line="276" w:lineRule="auto"/>
        <w:jc w:val="both"/>
        <w:rPr>
          <w:rFonts w:ascii="Barlow" w:eastAsia="Calibri" w:hAnsi="Barlow" w:cs="Calibri"/>
          <w:b/>
          <w:sz w:val="20"/>
          <w:szCs w:val="20"/>
        </w:rPr>
      </w:pPr>
    </w:p>
    <w:p w:rsidR="00383C60" w:rsidRPr="00C45228" w:rsidRDefault="00383C60" w:rsidP="00383C60">
      <w:pPr>
        <w:spacing w:after="200" w:line="276" w:lineRule="auto"/>
        <w:jc w:val="both"/>
        <w:rPr>
          <w:rFonts w:ascii="Barlow" w:eastAsia="Calibri" w:hAnsi="Barlow" w:cs="Calibri"/>
          <w:b/>
          <w:sz w:val="20"/>
          <w:szCs w:val="20"/>
        </w:rPr>
      </w:pPr>
      <w:r w:rsidRPr="00C45228">
        <w:rPr>
          <w:rFonts w:ascii="Barlow" w:eastAsia="Calibri" w:hAnsi="Barlow" w:cs="Calibri"/>
          <w:b/>
          <w:sz w:val="20"/>
          <w:szCs w:val="20"/>
        </w:rPr>
        <w:t>2) NOTAS AL ESTADO DE ACTIVIDADES</w:t>
      </w:r>
    </w:p>
    <w:p w:rsidR="00383C60" w:rsidRPr="00C45228" w:rsidRDefault="00383C60" w:rsidP="00383C60">
      <w:pPr>
        <w:spacing w:after="200" w:line="276" w:lineRule="auto"/>
        <w:jc w:val="both"/>
        <w:rPr>
          <w:rFonts w:ascii="Barlow" w:eastAsia="Calibri" w:hAnsi="Barlow" w:cs="Calibri"/>
          <w:b/>
          <w:sz w:val="20"/>
          <w:szCs w:val="20"/>
        </w:rPr>
      </w:pPr>
      <w:r w:rsidRPr="00C45228">
        <w:rPr>
          <w:rFonts w:ascii="Barlow" w:eastAsia="Calibri" w:hAnsi="Barlow" w:cs="Calibri"/>
          <w:b/>
          <w:sz w:val="20"/>
          <w:szCs w:val="20"/>
        </w:rPr>
        <w:t>2.1 Ingresos de Gestión</w:t>
      </w:r>
    </w:p>
    <w:p w:rsidR="00E232E6" w:rsidRPr="00C45228" w:rsidRDefault="00383C60" w:rsidP="00E232E6">
      <w:pPr>
        <w:jc w:val="both"/>
        <w:rPr>
          <w:rFonts w:ascii="Barlow" w:hAnsi="Barlow" w:cstheme="minorHAnsi"/>
          <w:sz w:val="20"/>
          <w:szCs w:val="20"/>
        </w:rPr>
      </w:pPr>
      <w:r w:rsidRPr="00C45228">
        <w:rPr>
          <w:rFonts w:ascii="Barlow" w:hAnsi="Barlow" w:cstheme="minorHAnsi"/>
          <w:b/>
          <w:sz w:val="20"/>
          <w:szCs w:val="20"/>
        </w:rPr>
        <w:t>2.1.1</w:t>
      </w:r>
      <w:r w:rsidRPr="00C45228">
        <w:rPr>
          <w:rFonts w:ascii="Barlow" w:hAnsi="Barlow" w:cstheme="minorHAnsi"/>
          <w:sz w:val="20"/>
          <w:szCs w:val="20"/>
        </w:rPr>
        <w:t xml:space="preserve"> </w:t>
      </w:r>
      <w:r w:rsidR="00E232E6" w:rsidRPr="00C45228">
        <w:rPr>
          <w:rFonts w:ascii="Barlow" w:hAnsi="Barlow" w:cstheme="minorHAnsi"/>
          <w:sz w:val="20"/>
          <w:szCs w:val="20"/>
        </w:rPr>
        <w:t xml:space="preserve">Los ingresos percibidos por el fideicomiso al </w:t>
      </w:r>
      <w:r w:rsidR="00B84D59" w:rsidRPr="00C45228">
        <w:rPr>
          <w:rFonts w:ascii="Barlow" w:hAnsi="Barlow" w:cstheme="minorHAnsi"/>
          <w:sz w:val="20"/>
          <w:szCs w:val="20"/>
        </w:rPr>
        <w:t>31 de Marzo</w:t>
      </w:r>
      <w:r w:rsidR="00A878D3" w:rsidRPr="00C45228">
        <w:rPr>
          <w:rFonts w:ascii="Barlow" w:hAnsi="Barlow" w:cstheme="minorHAnsi"/>
          <w:sz w:val="20"/>
          <w:szCs w:val="20"/>
        </w:rPr>
        <w:t xml:space="preserve"> del </w:t>
      </w:r>
      <w:r w:rsidR="00F77AFE" w:rsidRPr="00C45228">
        <w:rPr>
          <w:rFonts w:ascii="Barlow" w:hAnsi="Barlow" w:cstheme="minorHAnsi"/>
          <w:sz w:val="20"/>
          <w:szCs w:val="20"/>
        </w:rPr>
        <w:t>2021</w:t>
      </w:r>
      <w:r w:rsidR="00E232E6" w:rsidRPr="00C45228">
        <w:rPr>
          <w:rFonts w:ascii="Barlow" w:hAnsi="Barlow" w:cstheme="minorHAnsi"/>
          <w:sz w:val="20"/>
          <w:szCs w:val="20"/>
        </w:rPr>
        <w:t xml:space="preserve"> son los siguientes</w:t>
      </w:r>
    </w:p>
    <w:tbl>
      <w:tblPr>
        <w:tblStyle w:val="Tablaconcuadrcula"/>
        <w:tblW w:w="0" w:type="auto"/>
        <w:jc w:val="center"/>
        <w:tblLook w:val="04A0" w:firstRow="1" w:lastRow="0" w:firstColumn="1" w:lastColumn="0" w:noHBand="0" w:noVBand="1"/>
      </w:tblPr>
      <w:tblGrid>
        <w:gridCol w:w="4425"/>
        <w:gridCol w:w="4403"/>
      </w:tblGrid>
      <w:tr w:rsidR="00E232E6" w:rsidRPr="00C45228" w:rsidTr="00C45228">
        <w:trPr>
          <w:jc w:val="center"/>
        </w:trPr>
        <w:tc>
          <w:tcPr>
            <w:tcW w:w="4425" w:type="dxa"/>
          </w:tcPr>
          <w:p w:rsidR="00E232E6" w:rsidRPr="00C45228" w:rsidRDefault="00E232E6" w:rsidP="0032179E">
            <w:pPr>
              <w:pStyle w:val="Texto"/>
              <w:spacing w:line="276" w:lineRule="auto"/>
              <w:ind w:firstLine="0"/>
              <w:jc w:val="center"/>
              <w:rPr>
                <w:rFonts w:ascii="Barlow" w:hAnsi="Barlow" w:cstheme="minorHAnsi"/>
                <w:b/>
                <w:sz w:val="20"/>
                <w:lang w:val="es-MX"/>
              </w:rPr>
            </w:pPr>
            <w:r w:rsidRPr="00C45228">
              <w:rPr>
                <w:rFonts w:ascii="Barlow" w:hAnsi="Barlow" w:cstheme="minorHAnsi"/>
                <w:b/>
                <w:sz w:val="20"/>
                <w:lang w:val="es-MX"/>
              </w:rPr>
              <w:t>Ingresos</w:t>
            </w:r>
          </w:p>
        </w:tc>
        <w:tc>
          <w:tcPr>
            <w:tcW w:w="4403" w:type="dxa"/>
          </w:tcPr>
          <w:p w:rsidR="00E232E6" w:rsidRPr="00C45228" w:rsidRDefault="00F77AFE" w:rsidP="0032179E">
            <w:pPr>
              <w:pStyle w:val="Texto"/>
              <w:spacing w:line="276" w:lineRule="auto"/>
              <w:ind w:firstLine="0"/>
              <w:jc w:val="center"/>
              <w:rPr>
                <w:rFonts w:ascii="Barlow" w:hAnsi="Barlow" w:cstheme="minorHAnsi"/>
                <w:b/>
                <w:sz w:val="20"/>
                <w:lang w:val="es-MX"/>
              </w:rPr>
            </w:pPr>
            <w:r w:rsidRPr="00C45228">
              <w:rPr>
                <w:rFonts w:ascii="Barlow" w:hAnsi="Barlow" w:cstheme="minorHAnsi"/>
                <w:b/>
                <w:sz w:val="20"/>
                <w:lang w:val="es-MX"/>
              </w:rPr>
              <w:t>2021</w:t>
            </w:r>
          </w:p>
        </w:tc>
      </w:tr>
      <w:tr w:rsidR="00E232E6" w:rsidRPr="00C45228" w:rsidTr="00C45228">
        <w:trPr>
          <w:jc w:val="center"/>
        </w:trPr>
        <w:tc>
          <w:tcPr>
            <w:tcW w:w="4425" w:type="dxa"/>
          </w:tcPr>
          <w:p w:rsidR="00795722" w:rsidRPr="00C45228" w:rsidRDefault="00041511" w:rsidP="00D670A6">
            <w:pPr>
              <w:pStyle w:val="Texto"/>
              <w:spacing w:line="276" w:lineRule="auto"/>
              <w:ind w:firstLine="0"/>
              <w:rPr>
                <w:rFonts w:ascii="Barlow" w:hAnsi="Barlow" w:cstheme="minorHAnsi"/>
                <w:b/>
                <w:sz w:val="20"/>
                <w:lang w:val="es-MX"/>
              </w:rPr>
            </w:pPr>
            <w:r w:rsidRPr="00C45228">
              <w:rPr>
                <w:rFonts w:ascii="Barlow" w:hAnsi="Barlow" w:cstheme="minorHAnsi"/>
                <w:b/>
                <w:sz w:val="20"/>
                <w:lang w:val="es-MX"/>
              </w:rPr>
              <w:t>Recaudación 5</w:t>
            </w:r>
            <w:r w:rsidR="00795722" w:rsidRPr="00C45228">
              <w:rPr>
                <w:rFonts w:ascii="Barlow" w:hAnsi="Barlow" w:cstheme="minorHAnsi"/>
                <w:b/>
                <w:sz w:val="20"/>
                <w:lang w:val="es-MX"/>
              </w:rPr>
              <w:t>% Sobre Hospedaje</w:t>
            </w:r>
          </w:p>
        </w:tc>
        <w:tc>
          <w:tcPr>
            <w:tcW w:w="4403" w:type="dxa"/>
          </w:tcPr>
          <w:p w:rsidR="00932728" w:rsidRPr="00C45228" w:rsidRDefault="00932728" w:rsidP="0012200A">
            <w:pPr>
              <w:pStyle w:val="Texto"/>
              <w:spacing w:line="276" w:lineRule="auto"/>
              <w:ind w:firstLine="0"/>
              <w:rPr>
                <w:rFonts w:ascii="Barlow" w:hAnsi="Barlow" w:cstheme="minorHAnsi"/>
                <w:sz w:val="20"/>
                <w:lang w:val="es-MX"/>
              </w:rPr>
            </w:pPr>
            <w:r w:rsidRPr="00C45228">
              <w:rPr>
                <w:rFonts w:ascii="Barlow" w:hAnsi="Barlow" w:cstheme="minorHAnsi"/>
                <w:sz w:val="20"/>
                <w:lang w:val="es-MX"/>
              </w:rPr>
              <w:t>0.00</w:t>
            </w:r>
          </w:p>
        </w:tc>
      </w:tr>
      <w:tr w:rsidR="00E232E6" w:rsidRPr="00C45228" w:rsidTr="00C45228">
        <w:trPr>
          <w:jc w:val="center"/>
        </w:trPr>
        <w:tc>
          <w:tcPr>
            <w:tcW w:w="4425" w:type="dxa"/>
          </w:tcPr>
          <w:p w:rsidR="00E232E6" w:rsidRPr="00C45228" w:rsidRDefault="00E232E6" w:rsidP="00D670A6">
            <w:pPr>
              <w:pStyle w:val="Texto"/>
              <w:spacing w:line="276" w:lineRule="auto"/>
              <w:ind w:firstLine="0"/>
              <w:rPr>
                <w:rFonts w:ascii="Barlow" w:hAnsi="Barlow" w:cstheme="minorHAnsi"/>
                <w:b/>
                <w:sz w:val="20"/>
                <w:lang w:val="es-MX"/>
              </w:rPr>
            </w:pPr>
            <w:r w:rsidRPr="00C45228">
              <w:rPr>
                <w:rFonts w:ascii="Barlow" w:hAnsi="Barlow" w:cstheme="minorHAnsi"/>
                <w:b/>
                <w:sz w:val="20"/>
                <w:lang w:val="es-MX"/>
              </w:rPr>
              <w:t>Total de Ingresos</w:t>
            </w:r>
          </w:p>
        </w:tc>
        <w:tc>
          <w:tcPr>
            <w:tcW w:w="4403" w:type="dxa"/>
          </w:tcPr>
          <w:p w:rsidR="00932728" w:rsidRPr="00C45228" w:rsidRDefault="00932728" w:rsidP="00D85757">
            <w:pPr>
              <w:pStyle w:val="Texto"/>
              <w:spacing w:line="276" w:lineRule="auto"/>
              <w:ind w:firstLine="0"/>
              <w:rPr>
                <w:rFonts w:ascii="Barlow" w:hAnsi="Barlow" w:cstheme="minorHAnsi"/>
                <w:b/>
                <w:sz w:val="20"/>
                <w:lang w:val="es-MX"/>
              </w:rPr>
            </w:pPr>
            <w:r w:rsidRPr="00C45228">
              <w:rPr>
                <w:rFonts w:ascii="Barlow" w:hAnsi="Barlow" w:cstheme="minorHAnsi"/>
                <w:b/>
                <w:sz w:val="20"/>
                <w:lang w:val="es-MX"/>
              </w:rPr>
              <w:t>0.00</w:t>
            </w:r>
          </w:p>
        </w:tc>
      </w:tr>
    </w:tbl>
    <w:p w:rsidR="00E232E6" w:rsidRPr="00C45228" w:rsidRDefault="00E232E6" w:rsidP="00E232E6">
      <w:pPr>
        <w:pStyle w:val="Texto"/>
        <w:spacing w:after="80" w:line="276" w:lineRule="auto"/>
        <w:ind w:firstLine="0"/>
        <w:jc w:val="left"/>
        <w:rPr>
          <w:rFonts w:ascii="Barlow" w:hAnsi="Barlow" w:cstheme="minorHAnsi"/>
          <w:sz w:val="20"/>
          <w:lang w:val="es-MX"/>
        </w:rPr>
      </w:pPr>
    </w:p>
    <w:p w:rsidR="005E4885" w:rsidRPr="00C45228" w:rsidRDefault="00383C60" w:rsidP="00D85757">
      <w:pPr>
        <w:spacing w:after="200" w:line="276" w:lineRule="auto"/>
        <w:rPr>
          <w:rFonts w:ascii="Barlow" w:eastAsia="Calibri" w:hAnsi="Barlow" w:cs="Calibri"/>
          <w:sz w:val="20"/>
          <w:szCs w:val="20"/>
        </w:rPr>
      </w:pPr>
      <w:r w:rsidRPr="00C45228">
        <w:rPr>
          <w:rFonts w:ascii="Barlow" w:eastAsia="Calibri" w:hAnsi="Barlow" w:cs="Calibri"/>
          <w:b/>
          <w:sz w:val="20"/>
          <w:szCs w:val="20"/>
        </w:rPr>
        <w:t xml:space="preserve">2.1.1.2 </w:t>
      </w:r>
      <w:r w:rsidR="00D85757" w:rsidRPr="00C45228">
        <w:rPr>
          <w:rFonts w:ascii="Barlow" w:eastAsia="Calibri" w:hAnsi="Barlow" w:cs="Calibri"/>
          <w:sz w:val="20"/>
          <w:szCs w:val="20"/>
        </w:rPr>
        <w:t>cuenta de transferencias:</w:t>
      </w:r>
    </w:p>
    <w:p w:rsidR="00D85757" w:rsidRPr="00C45228" w:rsidRDefault="00D85757" w:rsidP="00D85757">
      <w:pPr>
        <w:pStyle w:val="Texto"/>
        <w:spacing w:after="80" w:line="276" w:lineRule="auto"/>
        <w:ind w:left="720" w:firstLine="0"/>
        <w:jc w:val="left"/>
        <w:rPr>
          <w:rFonts w:ascii="Barlow" w:hAnsi="Barlow" w:cstheme="minorHAnsi"/>
          <w:sz w:val="20"/>
          <w:lang w:val="es-MX"/>
        </w:rPr>
      </w:pPr>
      <w:r w:rsidRPr="00C45228">
        <w:rPr>
          <w:rFonts w:ascii="Barlow" w:hAnsi="Barlow" w:cstheme="minorHAnsi"/>
          <w:sz w:val="20"/>
          <w:lang w:val="es-MX"/>
        </w:rPr>
        <w:t>-No Aplica-</w:t>
      </w:r>
    </w:p>
    <w:p w:rsidR="00383C60" w:rsidRPr="00C45228" w:rsidRDefault="00383C60" w:rsidP="00383C60">
      <w:pPr>
        <w:spacing w:after="200" w:line="276" w:lineRule="auto"/>
        <w:rPr>
          <w:rFonts w:ascii="Barlow" w:eastAsia="Calibri" w:hAnsi="Barlow" w:cs="Calibri"/>
          <w:sz w:val="20"/>
          <w:szCs w:val="20"/>
        </w:rPr>
      </w:pPr>
      <w:r w:rsidRPr="00C45228">
        <w:rPr>
          <w:rFonts w:ascii="Barlow" w:eastAsia="Calibri" w:hAnsi="Barlow" w:cs="Calibri"/>
          <w:b/>
          <w:sz w:val="20"/>
          <w:szCs w:val="20"/>
        </w:rPr>
        <w:t xml:space="preserve">2.1.1.3 </w:t>
      </w:r>
      <w:r w:rsidRPr="00C45228">
        <w:rPr>
          <w:rFonts w:ascii="Barlow" w:eastAsia="Calibri" w:hAnsi="Barlow" w:cs="Calibri"/>
          <w:sz w:val="20"/>
          <w:szCs w:val="20"/>
        </w:rPr>
        <w:t xml:space="preserve">En la cuenta de ingresos financieros se acumulan los rendimientos generados al </w:t>
      </w:r>
      <w:r w:rsidR="00B84D59" w:rsidRPr="00C45228">
        <w:rPr>
          <w:rFonts w:ascii="Barlow" w:hAnsi="Barlow" w:cstheme="minorHAnsi"/>
          <w:sz w:val="20"/>
          <w:szCs w:val="20"/>
        </w:rPr>
        <w:t>31 de Marzo</w:t>
      </w:r>
      <w:r w:rsidR="0012200A" w:rsidRPr="00C45228">
        <w:rPr>
          <w:rFonts w:ascii="Barlow" w:hAnsi="Barlow" w:cstheme="minorHAnsi"/>
          <w:sz w:val="20"/>
          <w:szCs w:val="20"/>
        </w:rPr>
        <w:t xml:space="preserve"> </w:t>
      </w:r>
      <w:r w:rsidR="00A878D3" w:rsidRPr="00C45228">
        <w:rPr>
          <w:rFonts w:ascii="Barlow" w:eastAsia="Calibri" w:hAnsi="Barlow" w:cs="Calibri"/>
          <w:sz w:val="20"/>
          <w:szCs w:val="20"/>
        </w:rPr>
        <w:t xml:space="preserve">del </w:t>
      </w:r>
      <w:r w:rsidR="00F77AFE" w:rsidRPr="00C45228">
        <w:rPr>
          <w:rFonts w:ascii="Barlow" w:eastAsia="Calibri" w:hAnsi="Barlow" w:cs="Calibri"/>
          <w:sz w:val="20"/>
          <w:szCs w:val="20"/>
        </w:rPr>
        <w:t>2021</w:t>
      </w:r>
      <w:r w:rsidRPr="00C45228">
        <w:rPr>
          <w:rFonts w:ascii="Barlow" w:eastAsia="Calibri" w:hAnsi="Barlow" w:cs="Calibri"/>
          <w:sz w:val="20"/>
          <w:szCs w:val="20"/>
        </w:rPr>
        <w:t>.</w:t>
      </w:r>
    </w:p>
    <w:tbl>
      <w:tblPr>
        <w:tblStyle w:val="Tablaconcuadrcula"/>
        <w:tblW w:w="0" w:type="auto"/>
        <w:jc w:val="center"/>
        <w:tblLook w:val="04A0" w:firstRow="1" w:lastRow="0" w:firstColumn="1" w:lastColumn="0" w:noHBand="0" w:noVBand="1"/>
      </w:tblPr>
      <w:tblGrid>
        <w:gridCol w:w="4425"/>
        <w:gridCol w:w="4403"/>
      </w:tblGrid>
      <w:tr w:rsidR="00383C60" w:rsidRPr="00C45228" w:rsidTr="00C45228">
        <w:trPr>
          <w:jc w:val="center"/>
        </w:trPr>
        <w:tc>
          <w:tcPr>
            <w:tcW w:w="4425" w:type="dxa"/>
          </w:tcPr>
          <w:p w:rsidR="00383C60" w:rsidRPr="00C45228" w:rsidRDefault="00D85757" w:rsidP="0060416F">
            <w:pPr>
              <w:pStyle w:val="Texto"/>
              <w:spacing w:line="276" w:lineRule="auto"/>
              <w:ind w:firstLine="0"/>
              <w:rPr>
                <w:rFonts w:ascii="Barlow" w:hAnsi="Barlow" w:cstheme="minorHAnsi"/>
                <w:b/>
                <w:sz w:val="20"/>
                <w:lang w:val="es-MX"/>
              </w:rPr>
            </w:pPr>
            <w:r w:rsidRPr="00C45228">
              <w:rPr>
                <w:rFonts w:ascii="Barlow" w:hAnsi="Barlow" w:cstheme="minorHAnsi"/>
                <w:b/>
                <w:sz w:val="20"/>
                <w:lang w:val="es-MX"/>
              </w:rPr>
              <w:t>Productos</w:t>
            </w:r>
          </w:p>
        </w:tc>
        <w:tc>
          <w:tcPr>
            <w:tcW w:w="4403" w:type="dxa"/>
          </w:tcPr>
          <w:p w:rsidR="00383C60" w:rsidRPr="00C45228" w:rsidRDefault="00383C60" w:rsidP="0012200A">
            <w:pPr>
              <w:pStyle w:val="Texto"/>
              <w:spacing w:line="276" w:lineRule="auto"/>
              <w:ind w:firstLine="0"/>
              <w:rPr>
                <w:rFonts w:ascii="Barlow" w:hAnsi="Barlow" w:cstheme="minorHAnsi"/>
                <w:sz w:val="20"/>
                <w:lang w:val="es-MX"/>
              </w:rPr>
            </w:pPr>
            <w:r w:rsidRPr="00C45228">
              <w:rPr>
                <w:rFonts w:ascii="Barlow" w:hAnsi="Barlow" w:cstheme="minorHAnsi"/>
                <w:sz w:val="20"/>
                <w:lang w:val="es-MX"/>
              </w:rPr>
              <w:t xml:space="preserve">$                               </w:t>
            </w:r>
            <w:r w:rsidR="00B11AED" w:rsidRPr="00C45228">
              <w:rPr>
                <w:rFonts w:ascii="Barlow" w:hAnsi="Barlow" w:cstheme="minorHAnsi"/>
                <w:sz w:val="20"/>
                <w:lang w:val="es-MX"/>
              </w:rPr>
              <w:t>42,948.87</w:t>
            </w:r>
          </w:p>
        </w:tc>
      </w:tr>
      <w:tr w:rsidR="00383C60" w:rsidRPr="00C45228" w:rsidTr="00C45228">
        <w:trPr>
          <w:jc w:val="center"/>
        </w:trPr>
        <w:tc>
          <w:tcPr>
            <w:tcW w:w="4425" w:type="dxa"/>
          </w:tcPr>
          <w:p w:rsidR="00383C60" w:rsidRPr="00C45228" w:rsidRDefault="00383C60" w:rsidP="00D85757">
            <w:pPr>
              <w:pStyle w:val="Texto"/>
              <w:spacing w:line="276" w:lineRule="auto"/>
              <w:ind w:firstLine="0"/>
              <w:rPr>
                <w:rFonts w:ascii="Barlow" w:hAnsi="Barlow" w:cstheme="minorHAnsi"/>
                <w:b/>
                <w:sz w:val="20"/>
                <w:lang w:val="es-MX"/>
              </w:rPr>
            </w:pPr>
            <w:r w:rsidRPr="00C45228">
              <w:rPr>
                <w:rFonts w:ascii="Barlow" w:hAnsi="Barlow" w:cstheme="minorHAnsi"/>
                <w:b/>
                <w:sz w:val="20"/>
                <w:lang w:val="es-MX"/>
              </w:rPr>
              <w:t xml:space="preserve">Total de </w:t>
            </w:r>
            <w:r w:rsidR="00D85757" w:rsidRPr="00C45228">
              <w:rPr>
                <w:rFonts w:ascii="Barlow" w:hAnsi="Barlow" w:cstheme="minorHAnsi"/>
                <w:b/>
                <w:sz w:val="20"/>
                <w:lang w:val="es-MX"/>
              </w:rPr>
              <w:t>Productos</w:t>
            </w:r>
          </w:p>
        </w:tc>
        <w:tc>
          <w:tcPr>
            <w:tcW w:w="4403" w:type="dxa"/>
          </w:tcPr>
          <w:p w:rsidR="00383C60" w:rsidRPr="00C45228" w:rsidRDefault="00383C60" w:rsidP="00B11AED">
            <w:pPr>
              <w:pStyle w:val="Texto"/>
              <w:spacing w:line="276" w:lineRule="auto"/>
              <w:ind w:firstLine="0"/>
              <w:rPr>
                <w:rFonts w:ascii="Barlow" w:hAnsi="Barlow" w:cstheme="minorHAnsi"/>
                <w:b/>
                <w:sz w:val="20"/>
                <w:lang w:val="es-MX"/>
              </w:rPr>
            </w:pPr>
            <w:r w:rsidRPr="00C45228">
              <w:rPr>
                <w:rFonts w:ascii="Barlow" w:hAnsi="Barlow" w:cstheme="minorHAnsi"/>
                <w:b/>
                <w:sz w:val="20"/>
                <w:lang w:val="es-MX"/>
              </w:rPr>
              <w:t xml:space="preserve">$                              </w:t>
            </w:r>
            <w:r w:rsidR="00A878D3" w:rsidRPr="00C45228">
              <w:rPr>
                <w:rFonts w:ascii="Barlow" w:hAnsi="Barlow" w:cstheme="minorHAnsi"/>
                <w:b/>
                <w:sz w:val="20"/>
                <w:lang w:val="es-MX"/>
              </w:rPr>
              <w:t xml:space="preserve"> </w:t>
            </w:r>
            <w:r w:rsidR="00B11AED" w:rsidRPr="00C45228">
              <w:rPr>
                <w:rFonts w:ascii="Barlow" w:hAnsi="Barlow" w:cstheme="minorHAnsi"/>
                <w:b/>
                <w:sz w:val="20"/>
                <w:lang w:val="es-MX"/>
              </w:rPr>
              <w:t>42,948.87</w:t>
            </w:r>
          </w:p>
        </w:tc>
      </w:tr>
    </w:tbl>
    <w:p w:rsidR="00383C60" w:rsidRPr="00C45228" w:rsidRDefault="00383C60" w:rsidP="00383C60">
      <w:pPr>
        <w:pStyle w:val="Texto"/>
        <w:spacing w:after="80" w:line="276" w:lineRule="auto"/>
        <w:ind w:firstLine="0"/>
        <w:jc w:val="left"/>
        <w:rPr>
          <w:rFonts w:ascii="Barlow" w:hAnsi="Barlow" w:cstheme="minorHAnsi"/>
          <w:sz w:val="20"/>
          <w:lang w:val="es-MX"/>
        </w:rPr>
      </w:pPr>
    </w:p>
    <w:p w:rsidR="005E4885" w:rsidRPr="00C45228" w:rsidRDefault="00383C60" w:rsidP="00383C60">
      <w:pPr>
        <w:spacing w:after="200" w:line="276" w:lineRule="auto"/>
        <w:jc w:val="both"/>
        <w:rPr>
          <w:rFonts w:ascii="Barlow" w:eastAsia="Calibri" w:hAnsi="Barlow" w:cs="Calibri"/>
          <w:b/>
          <w:sz w:val="20"/>
          <w:szCs w:val="20"/>
        </w:rPr>
      </w:pPr>
      <w:r w:rsidRPr="00C45228">
        <w:rPr>
          <w:rFonts w:ascii="Barlow" w:eastAsia="Calibri" w:hAnsi="Barlow" w:cs="Calibri"/>
          <w:b/>
          <w:sz w:val="20"/>
          <w:szCs w:val="20"/>
        </w:rPr>
        <w:t>2.1 Otros Ingresos y Beneficios</w:t>
      </w:r>
    </w:p>
    <w:p w:rsidR="00932728" w:rsidRPr="00C45228" w:rsidRDefault="00932728" w:rsidP="00932728">
      <w:pPr>
        <w:pStyle w:val="Texto"/>
        <w:spacing w:after="80" w:line="276" w:lineRule="auto"/>
        <w:ind w:left="720" w:firstLine="0"/>
        <w:jc w:val="left"/>
        <w:rPr>
          <w:rFonts w:ascii="Barlow" w:hAnsi="Barlow" w:cstheme="minorHAnsi"/>
          <w:sz w:val="20"/>
          <w:lang w:val="es-MX"/>
        </w:rPr>
      </w:pPr>
      <w:r w:rsidRPr="00C45228">
        <w:rPr>
          <w:rFonts w:ascii="Barlow" w:hAnsi="Barlow" w:cstheme="minorHAnsi"/>
          <w:sz w:val="20"/>
          <w:lang w:val="es-MX"/>
        </w:rPr>
        <w:lastRenderedPageBreak/>
        <w:t>-No Aplica-</w:t>
      </w:r>
    </w:p>
    <w:p w:rsidR="00795722" w:rsidRPr="00C45228" w:rsidRDefault="00795722" w:rsidP="00795722">
      <w:pPr>
        <w:pStyle w:val="Texto"/>
        <w:spacing w:line="276" w:lineRule="auto"/>
        <w:ind w:firstLine="0"/>
        <w:rPr>
          <w:rFonts w:ascii="Barlow" w:hAnsi="Barlow" w:cstheme="minorHAnsi"/>
          <w:b/>
          <w:sz w:val="20"/>
          <w:lang w:val="es-MX"/>
        </w:rPr>
      </w:pPr>
    </w:p>
    <w:p w:rsidR="00383C60" w:rsidRPr="00C45228" w:rsidRDefault="00383C60" w:rsidP="00383C60">
      <w:pPr>
        <w:spacing w:after="200" w:line="276" w:lineRule="auto"/>
        <w:jc w:val="both"/>
        <w:rPr>
          <w:rFonts w:ascii="Barlow" w:eastAsia="Calibri" w:hAnsi="Barlow" w:cs="Calibri"/>
          <w:b/>
          <w:sz w:val="20"/>
          <w:szCs w:val="20"/>
        </w:rPr>
      </w:pPr>
      <w:r w:rsidRPr="00C45228">
        <w:rPr>
          <w:rFonts w:ascii="Barlow" w:eastAsia="Calibri" w:hAnsi="Barlow" w:cs="Calibri"/>
          <w:b/>
          <w:sz w:val="20"/>
          <w:szCs w:val="20"/>
        </w:rPr>
        <w:t>2.2 Gastos y Otras Pérdidas</w:t>
      </w:r>
    </w:p>
    <w:p w:rsidR="002B3456" w:rsidRPr="00C45228" w:rsidRDefault="004F37DC" w:rsidP="00795722">
      <w:pPr>
        <w:jc w:val="both"/>
        <w:rPr>
          <w:rFonts w:ascii="Barlow" w:hAnsi="Barlow" w:cstheme="minorHAnsi"/>
          <w:sz w:val="20"/>
          <w:szCs w:val="20"/>
        </w:rPr>
      </w:pPr>
      <w:r w:rsidRPr="00C45228">
        <w:rPr>
          <w:rFonts w:ascii="Barlow" w:eastAsia="Calibri" w:hAnsi="Barlow" w:cs="Calibri"/>
          <w:sz w:val="20"/>
          <w:szCs w:val="20"/>
        </w:rPr>
        <w:t xml:space="preserve">El gasto realizado por el Fideicomiso derivado de sus actividades de promoción del turismo conforma de la siguiente forma, al </w:t>
      </w:r>
      <w:r w:rsidR="00B84D59" w:rsidRPr="00C45228">
        <w:rPr>
          <w:rFonts w:ascii="Barlow" w:eastAsia="Calibri" w:hAnsi="Barlow" w:cs="Calibri"/>
          <w:sz w:val="20"/>
          <w:szCs w:val="20"/>
        </w:rPr>
        <w:t>31 de Marzo</w:t>
      </w:r>
      <w:r w:rsidR="00032695" w:rsidRPr="00C45228">
        <w:rPr>
          <w:rFonts w:ascii="Barlow" w:eastAsia="Calibri" w:hAnsi="Barlow" w:cs="Calibri"/>
          <w:sz w:val="20"/>
          <w:szCs w:val="20"/>
        </w:rPr>
        <w:t xml:space="preserve"> </w:t>
      </w:r>
      <w:r w:rsidR="00A878D3" w:rsidRPr="00C45228">
        <w:rPr>
          <w:rFonts w:ascii="Barlow" w:eastAsia="Calibri" w:hAnsi="Barlow" w:cs="Calibri"/>
          <w:sz w:val="20"/>
          <w:szCs w:val="20"/>
        </w:rPr>
        <w:t xml:space="preserve">del </w:t>
      </w:r>
      <w:r w:rsidR="00F77AFE" w:rsidRPr="00C45228">
        <w:rPr>
          <w:rFonts w:ascii="Barlow" w:eastAsia="Calibri" w:hAnsi="Barlow" w:cs="Calibri"/>
          <w:sz w:val="20"/>
          <w:szCs w:val="20"/>
        </w:rPr>
        <w:t>2021</w:t>
      </w:r>
      <w:r w:rsidRPr="00C45228">
        <w:rPr>
          <w:rFonts w:ascii="Barlow" w:eastAsia="Calibri" w:hAnsi="Barlow" w:cs="Calibri"/>
          <w:sz w:val="20"/>
          <w:szCs w:val="20"/>
        </w:rPr>
        <w:t>:</w:t>
      </w:r>
    </w:p>
    <w:tbl>
      <w:tblPr>
        <w:tblStyle w:val="Tablaconcuadrcula"/>
        <w:tblW w:w="0" w:type="auto"/>
        <w:jc w:val="center"/>
        <w:tblLook w:val="04A0" w:firstRow="1" w:lastRow="0" w:firstColumn="1" w:lastColumn="0" w:noHBand="0" w:noVBand="1"/>
      </w:tblPr>
      <w:tblGrid>
        <w:gridCol w:w="4472"/>
        <w:gridCol w:w="4356"/>
      </w:tblGrid>
      <w:tr w:rsidR="002B3456" w:rsidRPr="00C45228" w:rsidTr="00C45228">
        <w:trPr>
          <w:jc w:val="center"/>
        </w:trPr>
        <w:tc>
          <w:tcPr>
            <w:tcW w:w="4472" w:type="dxa"/>
          </w:tcPr>
          <w:p w:rsidR="002B3456" w:rsidRPr="00C45228" w:rsidRDefault="002B3456" w:rsidP="0046234B">
            <w:pPr>
              <w:pStyle w:val="Texto"/>
              <w:spacing w:line="276" w:lineRule="auto"/>
              <w:ind w:firstLine="0"/>
              <w:jc w:val="center"/>
              <w:rPr>
                <w:rFonts w:ascii="Barlow" w:hAnsi="Barlow" w:cstheme="minorHAnsi"/>
                <w:b/>
                <w:sz w:val="20"/>
                <w:lang w:val="es-MX"/>
              </w:rPr>
            </w:pPr>
            <w:r w:rsidRPr="00C45228">
              <w:rPr>
                <w:rFonts w:ascii="Barlow" w:hAnsi="Barlow" w:cstheme="minorHAnsi"/>
                <w:b/>
                <w:sz w:val="20"/>
                <w:lang w:val="es-MX"/>
              </w:rPr>
              <w:t>Gastos</w:t>
            </w:r>
          </w:p>
        </w:tc>
        <w:tc>
          <w:tcPr>
            <w:tcW w:w="4356" w:type="dxa"/>
          </w:tcPr>
          <w:p w:rsidR="002B3456" w:rsidRPr="00C45228" w:rsidRDefault="00F77AFE" w:rsidP="0046234B">
            <w:pPr>
              <w:pStyle w:val="Texto"/>
              <w:spacing w:line="276" w:lineRule="auto"/>
              <w:ind w:firstLine="0"/>
              <w:jc w:val="center"/>
              <w:rPr>
                <w:rFonts w:ascii="Barlow" w:hAnsi="Barlow" w:cstheme="minorHAnsi"/>
                <w:b/>
                <w:sz w:val="20"/>
                <w:lang w:val="es-MX"/>
              </w:rPr>
            </w:pPr>
            <w:r w:rsidRPr="00C45228">
              <w:rPr>
                <w:rFonts w:ascii="Barlow" w:hAnsi="Barlow" w:cstheme="minorHAnsi"/>
                <w:b/>
                <w:sz w:val="20"/>
                <w:lang w:val="es-MX"/>
              </w:rPr>
              <w:t>2021</w:t>
            </w:r>
          </w:p>
        </w:tc>
      </w:tr>
      <w:tr w:rsidR="002B3456" w:rsidRPr="00C45228" w:rsidTr="00C45228">
        <w:trPr>
          <w:jc w:val="center"/>
        </w:trPr>
        <w:tc>
          <w:tcPr>
            <w:tcW w:w="4472" w:type="dxa"/>
          </w:tcPr>
          <w:p w:rsidR="002B3456" w:rsidRPr="00C45228" w:rsidRDefault="00FA68F3" w:rsidP="0046234B">
            <w:pPr>
              <w:pStyle w:val="Texto"/>
              <w:spacing w:line="276" w:lineRule="auto"/>
              <w:ind w:firstLine="0"/>
              <w:rPr>
                <w:rFonts w:ascii="Barlow" w:hAnsi="Barlow" w:cstheme="minorHAnsi"/>
                <w:b/>
                <w:sz w:val="20"/>
                <w:lang w:val="es-MX"/>
              </w:rPr>
            </w:pPr>
            <w:r w:rsidRPr="00C45228">
              <w:rPr>
                <w:rFonts w:ascii="Barlow" w:hAnsi="Barlow" w:cstheme="minorHAnsi"/>
                <w:b/>
                <w:sz w:val="20"/>
                <w:lang w:val="es-MX"/>
              </w:rPr>
              <w:t>Servicios Generales</w:t>
            </w:r>
          </w:p>
        </w:tc>
        <w:tc>
          <w:tcPr>
            <w:tcW w:w="4356" w:type="dxa"/>
          </w:tcPr>
          <w:p w:rsidR="002B3456" w:rsidRPr="00C45228" w:rsidRDefault="00932728" w:rsidP="00504835">
            <w:pPr>
              <w:pStyle w:val="Texto"/>
              <w:spacing w:line="276" w:lineRule="auto"/>
              <w:ind w:firstLine="0"/>
              <w:rPr>
                <w:rFonts w:ascii="Barlow" w:hAnsi="Barlow" w:cstheme="minorHAnsi"/>
                <w:sz w:val="20"/>
                <w:lang w:val="es-MX"/>
              </w:rPr>
            </w:pPr>
            <w:r w:rsidRPr="00C45228">
              <w:rPr>
                <w:rFonts w:ascii="Barlow" w:hAnsi="Barlow" w:cstheme="minorHAnsi"/>
                <w:sz w:val="20"/>
                <w:lang w:val="es-MX"/>
              </w:rPr>
              <w:t xml:space="preserve">$   </w:t>
            </w:r>
            <w:r w:rsidR="00532A3E" w:rsidRPr="00C45228">
              <w:rPr>
                <w:rFonts w:ascii="Barlow" w:hAnsi="Barlow" w:cstheme="minorHAnsi"/>
                <w:sz w:val="20"/>
                <w:lang w:val="es-MX"/>
              </w:rPr>
              <w:t xml:space="preserve">                                </w:t>
            </w:r>
            <w:r w:rsidRPr="00C45228">
              <w:rPr>
                <w:rFonts w:ascii="Barlow" w:hAnsi="Barlow" w:cstheme="minorHAnsi"/>
                <w:sz w:val="20"/>
                <w:lang w:val="es-MX"/>
              </w:rPr>
              <w:t>0.00</w:t>
            </w:r>
          </w:p>
        </w:tc>
      </w:tr>
      <w:tr w:rsidR="002B3456" w:rsidRPr="00C45228" w:rsidTr="00C45228">
        <w:trPr>
          <w:jc w:val="center"/>
        </w:trPr>
        <w:tc>
          <w:tcPr>
            <w:tcW w:w="4472" w:type="dxa"/>
          </w:tcPr>
          <w:p w:rsidR="002B3456" w:rsidRPr="00C45228" w:rsidRDefault="00EC574D" w:rsidP="0046234B">
            <w:pPr>
              <w:pStyle w:val="Texto"/>
              <w:spacing w:line="276" w:lineRule="auto"/>
              <w:ind w:firstLine="0"/>
              <w:rPr>
                <w:rFonts w:ascii="Barlow" w:hAnsi="Barlow" w:cstheme="minorHAnsi"/>
                <w:b/>
                <w:sz w:val="20"/>
                <w:lang w:val="es-MX"/>
              </w:rPr>
            </w:pPr>
            <w:r w:rsidRPr="00C45228">
              <w:rPr>
                <w:rFonts w:ascii="Barlow" w:hAnsi="Barlow" w:cstheme="minorHAnsi"/>
                <w:b/>
                <w:sz w:val="20"/>
                <w:lang w:val="es-MX"/>
              </w:rPr>
              <w:t>Otros Gastos</w:t>
            </w:r>
          </w:p>
        </w:tc>
        <w:tc>
          <w:tcPr>
            <w:tcW w:w="4356" w:type="dxa"/>
          </w:tcPr>
          <w:p w:rsidR="002B3456" w:rsidRPr="00C45228" w:rsidRDefault="00532A3E" w:rsidP="00B11AED">
            <w:pPr>
              <w:pStyle w:val="Texto"/>
              <w:spacing w:line="276" w:lineRule="auto"/>
              <w:ind w:firstLine="0"/>
              <w:rPr>
                <w:rFonts w:ascii="Barlow" w:hAnsi="Barlow" w:cstheme="minorHAnsi"/>
                <w:sz w:val="20"/>
                <w:lang w:val="es-MX"/>
              </w:rPr>
            </w:pPr>
            <w:r w:rsidRPr="00C45228">
              <w:rPr>
                <w:rFonts w:ascii="Barlow" w:hAnsi="Barlow" w:cstheme="minorHAnsi"/>
                <w:sz w:val="20"/>
                <w:lang w:val="es-MX"/>
              </w:rPr>
              <w:t xml:space="preserve">$                             </w:t>
            </w:r>
            <w:r w:rsidR="00B11AED" w:rsidRPr="00C45228">
              <w:rPr>
                <w:rFonts w:ascii="Barlow" w:hAnsi="Barlow" w:cstheme="minorHAnsi"/>
                <w:sz w:val="20"/>
                <w:lang w:val="es-MX"/>
              </w:rPr>
              <w:t>6,960.00</w:t>
            </w:r>
          </w:p>
        </w:tc>
      </w:tr>
      <w:tr w:rsidR="00795722" w:rsidRPr="00C45228" w:rsidTr="00C45228">
        <w:trPr>
          <w:jc w:val="center"/>
        </w:trPr>
        <w:tc>
          <w:tcPr>
            <w:tcW w:w="4472" w:type="dxa"/>
          </w:tcPr>
          <w:p w:rsidR="00795722" w:rsidRPr="00C45228" w:rsidRDefault="002B3456" w:rsidP="00D670A6">
            <w:pPr>
              <w:jc w:val="both"/>
              <w:rPr>
                <w:rFonts w:ascii="Barlow" w:hAnsi="Barlow" w:cstheme="minorHAnsi"/>
                <w:b/>
              </w:rPr>
            </w:pPr>
            <w:r w:rsidRPr="00C45228">
              <w:rPr>
                <w:rFonts w:ascii="Barlow" w:hAnsi="Barlow" w:cstheme="minorHAnsi"/>
                <w:b/>
              </w:rPr>
              <w:t>Total de Gastos</w:t>
            </w:r>
          </w:p>
        </w:tc>
        <w:tc>
          <w:tcPr>
            <w:tcW w:w="4356" w:type="dxa"/>
          </w:tcPr>
          <w:p w:rsidR="00932728" w:rsidRPr="00C45228" w:rsidRDefault="004F37DC" w:rsidP="00B11AED">
            <w:pPr>
              <w:jc w:val="both"/>
              <w:rPr>
                <w:rFonts w:ascii="Barlow" w:hAnsi="Barlow" w:cstheme="minorHAnsi"/>
                <w:b/>
              </w:rPr>
            </w:pPr>
            <w:r w:rsidRPr="00C45228">
              <w:rPr>
                <w:rFonts w:ascii="Barlow" w:hAnsi="Barlow" w:cstheme="minorHAnsi"/>
                <w:b/>
              </w:rPr>
              <w:t xml:space="preserve">$                        </w:t>
            </w:r>
            <w:r w:rsidR="00EC574D" w:rsidRPr="00C45228">
              <w:rPr>
                <w:rFonts w:ascii="Barlow" w:hAnsi="Barlow" w:cstheme="minorHAnsi"/>
                <w:b/>
              </w:rPr>
              <w:t xml:space="preserve">  </w:t>
            </w:r>
            <w:r w:rsidR="00B11AED" w:rsidRPr="00C45228">
              <w:rPr>
                <w:rFonts w:ascii="Barlow" w:hAnsi="Barlow" w:cstheme="minorHAnsi"/>
                <w:b/>
              </w:rPr>
              <w:t>6,960.00</w:t>
            </w:r>
          </w:p>
        </w:tc>
      </w:tr>
    </w:tbl>
    <w:p w:rsidR="006E1F0C" w:rsidRPr="00C45228" w:rsidRDefault="006E1F0C" w:rsidP="00E232E6">
      <w:pPr>
        <w:rPr>
          <w:rFonts w:ascii="Barlow" w:hAnsi="Barlow"/>
          <w:b/>
          <w:sz w:val="20"/>
          <w:szCs w:val="20"/>
        </w:rPr>
      </w:pPr>
    </w:p>
    <w:p w:rsidR="004F37DC" w:rsidRPr="00C45228" w:rsidRDefault="004F37DC" w:rsidP="004F37DC">
      <w:pPr>
        <w:spacing w:after="200" w:line="276" w:lineRule="auto"/>
        <w:jc w:val="both"/>
        <w:rPr>
          <w:rFonts w:ascii="Barlow" w:eastAsia="Calibri" w:hAnsi="Barlow" w:cs="Calibri"/>
          <w:b/>
          <w:sz w:val="20"/>
          <w:szCs w:val="20"/>
        </w:rPr>
      </w:pPr>
      <w:r w:rsidRPr="00C45228">
        <w:rPr>
          <w:rFonts w:ascii="Barlow" w:eastAsia="Calibri" w:hAnsi="Barlow" w:cs="Calibri"/>
          <w:b/>
          <w:sz w:val="20"/>
          <w:szCs w:val="20"/>
        </w:rPr>
        <w:t>3) NOTAS AL ESTADO DE VARIACIÓN EN LA HACIENDA PÚBLICA</w:t>
      </w:r>
    </w:p>
    <w:p w:rsidR="00795722" w:rsidRPr="00C45228" w:rsidRDefault="004F37DC" w:rsidP="004F37DC">
      <w:pPr>
        <w:spacing w:after="200" w:line="276" w:lineRule="auto"/>
        <w:jc w:val="both"/>
        <w:rPr>
          <w:rFonts w:ascii="Barlow" w:eastAsia="Calibri" w:hAnsi="Barlow" w:cs="Calibri"/>
          <w:b/>
          <w:sz w:val="20"/>
          <w:szCs w:val="20"/>
        </w:rPr>
      </w:pPr>
      <w:r w:rsidRPr="00C45228">
        <w:rPr>
          <w:rFonts w:ascii="Barlow" w:eastAsia="Calibri" w:hAnsi="Barlow" w:cs="Calibri"/>
          <w:b/>
          <w:sz w:val="20"/>
          <w:szCs w:val="20"/>
        </w:rPr>
        <w:t xml:space="preserve">3.1 </w:t>
      </w:r>
      <w:r w:rsidR="00795722" w:rsidRPr="00C45228">
        <w:rPr>
          <w:rFonts w:ascii="Barlow" w:eastAsia="Calibri" w:hAnsi="Barlow" w:cs="Calibri"/>
          <w:b/>
          <w:sz w:val="20"/>
          <w:szCs w:val="20"/>
        </w:rPr>
        <w:t>Patrimonio Generado del Ejercicio</w:t>
      </w:r>
    </w:p>
    <w:p w:rsidR="00795722" w:rsidRPr="00C45228" w:rsidRDefault="00F83D37" w:rsidP="00795722">
      <w:pPr>
        <w:jc w:val="both"/>
        <w:rPr>
          <w:rFonts w:ascii="Barlow" w:hAnsi="Barlow" w:cstheme="minorHAnsi"/>
          <w:sz w:val="20"/>
          <w:szCs w:val="20"/>
        </w:rPr>
      </w:pPr>
      <w:r w:rsidRPr="00C45228">
        <w:rPr>
          <w:rFonts w:ascii="Barlow" w:hAnsi="Barlow" w:cstheme="minorHAnsi"/>
          <w:sz w:val="20"/>
          <w:szCs w:val="20"/>
        </w:rPr>
        <w:t xml:space="preserve">Al </w:t>
      </w:r>
      <w:r w:rsidR="00B84D59" w:rsidRPr="00C45228">
        <w:rPr>
          <w:rFonts w:ascii="Barlow" w:eastAsia="Calibri" w:hAnsi="Barlow" w:cs="Calibri"/>
          <w:sz w:val="20"/>
          <w:szCs w:val="20"/>
        </w:rPr>
        <w:t>31 de Marzo</w:t>
      </w:r>
      <w:r w:rsidR="00A878D3" w:rsidRPr="00C45228">
        <w:rPr>
          <w:rFonts w:ascii="Barlow" w:hAnsi="Barlow" w:cstheme="minorHAnsi"/>
          <w:sz w:val="20"/>
          <w:szCs w:val="20"/>
        </w:rPr>
        <w:t xml:space="preserve"> del </w:t>
      </w:r>
      <w:r w:rsidR="00F77AFE" w:rsidRPr="00C45228">
        <w:rPr>
          <w:rFonts w:ascii="Barlow" w:hAnsi="Barlow" w:cstheme="minorHAnsi"/>
          <w:sz w:val="20"/>
          <w:szCs w:val="20"/>
        </w:rPr>
        <w:t>2021</w:t>
      </w:r>
      <w:r w:rsidR="00795722" w:rsidRPr="00C45228">
        <w:rPr>
          <w:rFonts w:ascii="Barlow" w:hAnsi="Barlow" w:cstheme="minorHAnsi"/>
          <w:sz w:val="20"/>
          <w:szCs w:val="20"/>
        </w:rPr>
        <w:t>, la procedencia de</w:t>
      </w:r>
      <w:r w:rsidR="0054439D" w:rsidRPr="00C45228">
        <w:rPr>
          <w:rFonts w:ascii="Barlow" w:hAnsi="Barlow" w:cstheme="minorHAnsi"/>
          <w:sz w:val="20"/>
          <w:szCs w:val="20"/>
        </w:rPr>
        <w:t xml:space="preserve"> la disminución en e</w:t>
      </w:r>
      <w:r w:rsidR="00795722" w:rsidRPr="00C45228">
        <w:rPr>
          <w:rFonts w:ascii="Barlow" w:hAnsi="Barlow" w:cstheme="minorHAnsi"/>
          <w:sz w:val="20"/>
          <w:szCs w:val="20"/>
        </w:rPr>
        <w:t>l Patrimonio Generado se debe</w:t>
      </w:r>
      <w:r w:rsidR="0054439D" w:rsidRPr="00C45228">
        <w:rPr>
          <w:rFonts w:ascii="Barlow" w:hAnsi="Barlow" w:cstheme="minorHAnsi"/>
          <w:sz w:val="20"/>
          <w:szCs w:val="20"/>
        </w:rPr>
        <w:t xml:space="preserve"> por el desahorro del ejercicio:</w:t>
      </w:r>
    </w:p>
    <w:p w:rsidR="00795722" w:rsidRPr="00C45228" w:rsidRDefault="00795722" w:rsidP="00795722">
      <w:pPr>
        <w:jc w:val="both"/>
        <w:rPr>
          <w:rFonts w:ascii="Barlow" w:hAnsi="Barlow" w:cstheme="minorHAnsi"/>
          <w:sz w:val="20"/>
          <w:szCs w:val="20"/>
        </w:rPr>
      </w:pPr>
      <w:r w:rsidRPr="00C45228">
        <w:rPr>
          <w:rFonts w:ascii="Barlow" w:hAnsi="Barlow" w:cstheme="minorHAnsi"/>
          <w:sz w:val="20"/>
          <w:szCs w:val="20"/>
        </w:rPr>
        <w:t xml:space="preserve"> </w:t>
      </w:r>
      <w:r w:rsidR="002B3456" w:rsidRPr="00C45228">
        <w:rPr>
          <w:rFonts w:ascii="Barlow" w:hAnsi="Barlow" w:cstheme="minorHAnsi"/>
          <w:b/>
          <w:sz w:val="20"/>
          <w:szCs w:val="20"/>
        </w:rPr>
        <w:t>Resultado del Ejercicio:</w:t>
      </w:r>
      <w:r w:rsidR="002B3456" w:rsidRPr="00C45228">
        <w:rPr>
          <w:rFonts w:ascii="Barlow" w:hAnsi="Barlow" w:cstheme="minorHAnsi"/>
          <w:sz w:val="20"/>
          <w:szCs w:val="20"/>
        </w:rPr>
        <w:t xml:space="preserve">  </w:t>
      </w:r>
      <w:r w:rsidR="0054439D" w:rsidRPr="00C45228">
        <w:rPr>
          <w:rFonts w:ascii="Barlow" w:hAnsi="Barlow" w:cstheme="minorHAnsi"/>
          <w:sz w:val="20"/>
          <w:szCs w:val="20"/>
        </w:rPr>
        <w:t xml:space="preserve">$ </w:t>
      </w:r>
      <w:r w:rsidR="00B11AED" w:rsidRPr="00C45228">
        <w:rPr>
          <w:rFonts w:ascii="Barlow" w:hAnsi="Barlow" w:cstheme="minorHAnsi"/>
          <w:sz w:val="20"/>
          <w:szCs w:val="20"/>
        </w:rPr>
        <w:t>102,901.93</w:t>
      </w:r>
    </w:p>
    <w:p w:rsidR="00932728" w:rsidRPr="00C45228" w:rsidRDefault="00932728" w:rsidP="00795722">
      <w:pPr>
        <w:jc w:val="both"/>
        <w:rPr>
          <w:rFonts w:ascii="Barlow" w:hAnsi="Barlow" w:cstheme="minorHAnsi"/>
          <w:sz w:val="20"/>
          <w:szCs w:val="20"/>
        </w:rPr>
      </w:pPr>
    </w:p>
    <w:p w:rsidR="00932728" w:rsidRPr="00C45228" w:rsidRDefault="00932728" w:rsidP="00795722">
      <w:pPr>
        <w:jc w:val="both"/>
        <w:rPr>
          <w:rFonts w:ascii="Barlow" w:hAnsi="Barlow" w:cstheme="minorHAnsi"/>
          <w:sz w:val="20"/>
          <w:szCs w:val="20"/>
        </w:rPr>
      </w:pPr>
    </w:p>
    <w:p w:rsidR="004F37DC" w:rsidRPr="00C45228" w:rsidRDefault="004F37DC" w:rsidP="004F37DC">
      <w:pPr>
        <w:spacing w:after="200" w:line="276" w:lineRule="auto"/>
        <w:jc w:val="both"/>
        <w:rPr>
          <w:rFonts w:ascii="Barlow" w:eastAsia="Calibri" w:hAnsi="Barlow" w:cs="Calibri"/>
          <w:b/>
          <w:sz w:val="20"/>
          <w:szCs w:val="20"/>
        </w:rPr>
      </w:pPr>
      <w:r w:rsidRPr="00C45228">
        <w:rPr>
          <w:rFonts w:ascii="Barlow" w:eastAsia="Calibri" w:hAnsi="Barlow" w:cs="Calibri"/>
          <w:b/>
          <w:sz w:val="20"/>
          <w:szCs w:val="20"/>
        </w:rPr>
        <w:t>4) NOTAS AL ESTADO DE FLUJOS DE EFECTIVO</w:t>
      </w:r>
    </w:p>
    <w:p w:rsidR="004F37DC" w:rsidRPr="00C45228" w:rsidRDefault="004F37DC" w:rsidP="004F37DC">
      <w:pPr>
        <w:spacing w:after="200" w:line="276" w:lineRule="auto"/>
        <w:jc w:val="both"/>
        <w:rPr>
          <w:rFonts w:ascii="Barlow" w:eastAsia="Calibri" w:hAnsi="Barlow" w:cs="Calibri"/>
          <w:b/>
          <w:sz w:val="20"/>
          <w:szCs w:val="20"/>
        </w:rPr>
      </w:pPr>
      <w:r w:rsidRPr="00C45228">
        <w:rPr>
          <w:rFonts w:ascii="Barlow" w:eastAsia="Calibri" w:hAnsi="Barlow" w:cs="Calibri"/>
          <w:b/>
          <w:sz w:val="20"/>
          <w:szCs w:val="20"/>
        </w:rPr>
        <w:t>4.1 Efectivo y equivalentes</w:t>
      </w:r>
    </w:p>
    <w:p w:rsidR="00795722" w:rsidRPr="00C45228" w:rsidRDefault="004F37DC" w:rsidP="00795722">
      <w:pPr>
        <w:pStyle w:val="ROMANOS"/>
        <w:tabs>
          <w:tab w:val="clear" w:pos="720"/>
          <w:tab w:val="left" w:pos="0"/>
        </w:tabs>
        <w:spacing w:line="276" w:lineRule="auto"/>
        <w:ind w:left="0" w:firstLine="0"/>
        <w:rPr>
          <w:rFonts w:ascii="Barlow" w:hAnsi="Barlow" w:cstheme="minorHAnsi"/>
          <w:sz w:val="20"/>
          <w:szCs w:val="20"/>
          <w:lang w:val="es-MX"/>
        </w:rPr>
      </w:pPr>
      <w:r w:rsidRPr="00C45228">
        <w:rPr>
          <w:rFonts w:ascii="Barlow" w:eastAsia="Calibri" w:hAnsi="Barlow" w:cs="Calibri"/>
          <w:sz w:val="20"/>
          <w:szCs w:val="20"/>
          <w:lang w:val="es-MX" w:eastAsia="en-US"/>
        </w:rPr>
        <w:t>El análisis de los saldos inicial y final que figuran en la última parte del Estado de Flujo de Efectivo en la cuenta de efectivo y equivalentes es como sigue</w:t>
      </w:r>
      <w:r w:rsidR="00795722" w:rsidRPr="00C45228">
        <w:rPr>
          <w:rFonts w:ascii="Barlow" w:hAnsi="Barlow" w:cstheme="minorHAnsi"/>
          <w:sz w:val="20"/>
          <w:szCs w:val="20"/>
          <w:lang w:val="es-MX"/>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322"/>
      </w:tblGrid>
      <w:tr w:rsidR="00B11AED" w:rsidRPr="00C45228" w:rsidTr="00C45228">
        <w:trPr>
          <w:jc w:val="center"/>
        </w:trPr>
        <w:tc>
          <w:tcPr>
            <w:tcW w:w="4322" w:type="dxa"/>
          </w:tcPr>
          <w:p w:rsidR="00B11AED" w:rsidRPr="00C45228" w:rsidRDefault="00B11AED" w:rsidP="00412342">
            <w:pPr>
              <w:jc w:val="center"/>
              <w:rPr>
                <w:rFonts w:ascii="Barlow" w:hAnsi="Barlow" w:cstheme="minorHAnsi"/>
                <w:b/>
                <w:sz w:val="20"/>
                <w:szCs w:val="20"/>
              </w:rPr>
            </w:pPr>
            <w:bookmarkStart w:id="0" w:name="_GoBack" w:colFirst="2" w:colLast="2"/>
            <w:r w:rsidRPr="00C45228">
              <w:rPr>
                <w:rFonts w:ascii="Barlow" w:hAnsi="Barlow" w:cstheme="minorHAnsi"/>
                <w:b/>
                <w:sz w:val="20"/>
                <w:szCs w:val="20"/>
              </w:rPr>
              <w:lastRenderedPageBreak/>
              <w:t>Cuenta</w:t>
            </w:r>
          </w:p>
        </w:tc>
        <w:tc>
          <w:tcPr>
            <w:tcW w:w="4322" w:type="dxa"/>
          </w:tcPr>
          <w:p w:rsidR="00B11AED" w:rsidRPr="00C45228" w:rsidRDefault="00B11AED" w:rsidP="00412342">
            <w:pPr>
              <w:jc w:val="center"/>
              <w:rPr>
                <w:rFonts w:ascii="Barlow" w:hAnsi="Barlow" w:cstheme="minorHAnsi"/>
                <w:b/>
                <w:sz w:val="20"/>
                <w:szCs w:val="20"/>
              </w:rPr>
            </w:pPr>
            <w:r w:rsidRPr="00C45228">
              <w:rPr>
                <w:rFonts w:ascii="Barlow" w:hAnsi="Barlow" w:cstheme="minorHAnsi"/>
                <w:b/>
                <w:sz w:val="20"/>
                <w:szCs w:val="20"/>
              </w:rPr>
              <w:t>Importe</w:t>
            </w:r>
          </w:p>
        </w:tc>
      </w:tr>
      <w:tr w:rsidR="00B11AED" w:rsidRPr="00C45228" w:rsidTr="00C45228">
        <w:trPr>
          <w:jc w:val="center"/>
        </w:trPr>
        <w:tc>
          <w:tcPr>
            <w:tcW w:w="4322" w:type="dxa"/>
          </w:tcPr>
          <w:p w:rsidR="00B11AED" w:rsidRPr="00C45228" w:rsidRDefault="00B11AED" w:rsidP="00412342">
            <w:pPr>
              <w:spacing w:after="0"/>
              <w:jc w:val="both"/>
              <w:rPr>
                <w:rFonts w:ascii="Barlow" w:hAnsi="Barlow" w:cstheme="minorHAnsi"/>
                <w:b/>
                <w:sz w:val="20"/>
                <w:szCs w:val="20"/>
              </w:rPr>
            </w:pPr>
            <w:r w:rsidRPr="00C45228">
              <w:rPr>
                <w:rFonts w:ascii="Barlow" w:hAnsi="Barlow" w:cstheme="minorHAnsi"/>
                <w:b/>
                <w:sz w:val="20"/>
                <w:szCs w:val="20"/>
              </w:rPr>
              <w:t>Bancos/ Tesorería</w:t>
            </w:r>
          </w:p>
        </w:tc>
        <w:tc>
          <w:tcPr>
            <w:tcW w:w="4322" w:type="dxa"/>
          </w:tcPr>
          <w:p w:rsidR="00B11AED" w:rsidRPr="00C45228" w:rsidRDefault="00B11AED" w:rsidP="00412342">
            <w:pPr>
              <w:jc w:val="both"/>
              <w:rPr>
                <w:rFonts w:ascii="Barlow" w:hAnsi="Barlow" w:cstheme="minorHAnsi"/>
                <w:sz w:val="20"/>
                <w:szCs w:val="20"/>
              </w:rPr>
            </w:pPr>
            <w:r w:rsidRPr="00C45228">
              <w:rPr>
                <w:rFonts w:ascii="Barlow" w:hAnsi="Barlow" w:cstheme="minorHAnsi"/>
                <w:sz w:val="20"/>
                <w:szCs w:val="20"/>
              </w:rPr>
              <w:t>$                          20,000.00</w:t>
            </w:r>
          </w:p>
        </w:tc>
      </w:tr>
      <w:tr w:rsidR="00B11AED" w:rsidRPr="00C45228" w:rsidTr="00C45228">
        <w:trPr>
          <w:jc w:val="center"/>
        </w:trPr>
        <w:tc>
          <w:tcPr>
            <w:tcW w:w="4322" w:type="dxa"/>
          </w:tcPr>
          <w:p w:rsidR="00B11AED" w:rsidRPr="00C45228" w:rsidRDefault="00B11AED" w:rsidP="00412342">
            <w:pPr>
              <w:spacing w:after="0"/>
              <w:jc w:val="both"/>
              <w:rPr>
                <w:rFonts w:ascii="Barlow" w:hAnsi="Barlow" w:cstheme="minorHAnsi"/>
                <w:b/>
                <w:sz w:val="20"/>
                <w:szCs w:val="20"/>
              </w:rPr>
            </w:pPr>
            <w:r w:rsidRPr="00C45228">
              <w:rPr>
                <w:rFonts w:ascii="Barlow" w:hAnsi="Barlow" w:cstheme="minorHAnsi"/>
                <w:b/>
                <w:sz w:val="20"/>
                <w:szCs w:val="20"/>
              </w:rPr>
              <w:t>Inversiones</w:t>
            </w:r>
          </w:p>
        </w:tc>
        <w:tc>
          <w:tcPr>
            <w:tcW w:w="4322" w:type="dxa"/>
          </w:tcPr>
          <w:p w:rsidR="00B11AED" w:rsidRPr="00C45228" w:rsidRDefault="00B11AED" w:rsidP="00412342">
            <w:pPr>
              <w:jc w:val="both"/>
              <w:rPr>
                <w:rFonts w:ascii="Barlow" w:hAnsi="Barlow" w:cstheme="minorHAnsi"/>
                <w:bCs/>
                <w:sz w:val="20"/>
                <w:szCs w:val="20"/>
              </w:rPr>
            </w:pPr>
            <w:r w:rsidRPr="00C45228">
              <w:rPr>
                <w:rFonts w:ascii="Barlow" w:hAnsi="Barlow" w:cstheme="minorHAnsi"/>
                <w:sz w:val="20"/>
                <w:szCs w:val="20"/>
              </w:rPr>
              <w:t>$                    13,598,277.3</w:t>
            </w:r>
          </w:p>
        </w:tc>
      </w:tr>
      <w:tr w:rsidR="00B11AED" w:rsidRPr="00C45228" w:rsidTr="00C45228">
        <w:trPr>
          <w:jc w:val="center"/>
        </w:trPr>
        <w:tc>
          <w:tcPr>
            <w:tcW w:w="4322" w:type="dxa"/>
          </w:tcPr>
          <w:p w:rsidR="00B11AED" w:rsidRPr="00C45228" w:rsidRDefault="00B11AED" w:rsidP="00412342">
            <w:pPr>
              <w:spacing w:after="0"/>
              <w:jc w:val="both"/>
              <w:rPr>
                <w:rFonts w:ascii="Barlow" w:hAnsi="Barlow" w:cstheme="minorHAnsi"/>
                <w:b/>
                <w:sz w:val="20"/>
                <w:szCs w:val="20"/>
              </w:rPr>
            </w:pPr>
            <w:r w:rsidRPr="00C45228">
              <w:rPr>
                <w:rFonts w:ascii="Barlow" w:hAnsi="Barlow" w:cstheme="minorHAnsi"/>
                <w:b/>
                <w:sz w:val="20"/>
                <w:szCs w:val="20"/>
              </w:rPr>
              <w:t>Total Efectivo y Equivalentes</w:t>
            </w:r>
          </w:p>
        </w:tc>
        <w:tc>
          <w:tcPr>
            <w:tcW w:w="4322" w:type="dxa"/>
          </w:tcPr>
          <w:p w:rsidR="00B11AED" w:rsidRPr="00C45228" w:rsidRDefault="00B11AED" w:rsidP="00412342">
            <w:pPr>
              <w:jc w:val="both"/>
              <w:rPr>
                <w:rFonts w:ascii="Barlow" w:hAnsi="Barlow" w:cstheme="minorHAnsi"/>
                <w:b/>
                <w:sz w:val="20"/>
                <w:szCs w:val="20"/>
                <w:highlight w:val="yellow"/>
              </w:rPr>
            </w:pPr>
            <w:r w:rsidRPr="00C45228">
              <w:rPr>
                <w:rFonts w:ascii="Barlow" w:hAnsi="Barlow" w:cstheme="minorHAnsi"/>
                <w:b/>
                <w:sz w:val="20"/>
                <w:szCs w:val="20"/>
              </w:rPr>
              <w:t>$                    13,618,277.30</w:t>
            </w:r>
          </w:p>
        </w:tc>
      </w:tr>
    </w:tbl>
    <w:bookmarkEnd w:id="0"/>
    <w:p w:rsidR="004F37DC" w:rsidRPr="00C45228" w:rsidRDefault="004F37DC" w:rsidP="004F37DC">
      <w:pPr>
        <w:spacing w:after="200" w:line="276" w:lineRule="auto"/>
        <w:rPr>
          <w:rFonts w:ascii="Barlow" w:eastAsia="Calibri" w:hAnsi="Barlow" w:cs="Calibri"/>
          <w:b/>
          <w:sz w:val="20"/>
          <w:szCs w:val="20"/>
        </w:rPr>
      </w:pPr>
      <w:r w:rsidRPr="00C45228">
        <w:rPr>
          <w:rFonts w:ascii="Barlow" w:eastAsia="Calibri" w:hAnsi="Barlow" w:cs="Calibri"/>
          <w:b/>
          <w:sz w:val="20"/>
          <w:szCs w:val="20"/>
        </w:rPr>
        <w:t>4.2 Adquisición de Bienes Muebles e Inmuebles</w:t>
      </w:r>
    </w:p>
    <w:p w:rsidR="006E1F0C" w:rsidRPr="00C45228" w:rsidRDefault="006E1F0C" w:rsidP="006E1F0C">
      <w:pPr>
        <w:pStyle w:val="Texto"/>
        <w:spacing w:after="80" w:line="276" w:lineRule="auto"/>
        <w:ind w:left="720" w:firstLine="0"/>
        <w:jc w:val="left"/>
        <w:rPr>
          <w:rFonts w:ascii="Barlow" w:hAnsi="Barlow" w:cstheme="minorHAnsi"/>
          <w:sz w:val="20"/>
          <w:lang w:val="es-MX"/>
        </w:rPr>
      </w:pPr>
      <w:r w:rsidRPr="00C45228">
        <w:rPr>
          <w:rFonts w:ascii="Barlow" w:hAnsi="Barlow" w:cstheme="minorHAnsi"/>
          <w:sz w:val="20"/>
          <w:lang w:val="es-MX"/>
        </w:rPr>
        <w:t>-No Aplica-</w:t>
      </w:r>
    </w:p>
    <w:p w:rsidR="004F37DC" w:rsidRPr="00C45228" w:rsidRDefault="004F37DC" w:rsidP="004F37DC">
      <w:pPr>
        <w:spacing w:after="200" w:line="276" w:lineRule="auto"/>
        <w:rPr>
          <w:rFonts w:ascii="Barlow" w:eastAsia="Calibri" w:hAnsi="Barlow" w:cs="Calibri"/>
          <w:b/>
          <w:sz w:val="20"/>
          <w:szCs w:val="20"/>
        </w:rPr>
      </w:pPr>
      <w:r w:rsidRPr="00C45228">
        <w:rPr>
          <w:rFonts w:ascii="Barlow" w:eastAsia="Calibri" w:hAnsi="Barlow" w:cs="Calibri"/>
          <w:b/>
          <w:sz w:val="20"/>
          <w:szCs w:val="20"/>
        </w:rPr>
        <w:t>4.3 Conciliación de los Flujos de Efectivo Netos de las Actividades de Operación y la cuenta de Ahorro/Desahorro antes de Rubros Extraordinarios</w:t>
      </w:r>
    </w:p>
    <w:tbl>
      <w:tblPr>
        <w:tblpPr w:leftFromText="141" w:rightFromText="141"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7"/>
        <w:gridCol w:w="1701"/>
        <w:gridCol w:w="1701"/>
      </w:tblGrid>
      <w:tr w:rsidR="006E1F0C" w:rsidRPr="00C45228" w:rsidTr="00C45228">
        <w:trPr>
          <w:trHeight w:val="132"/>
        </w:trPr>
        <w:tc>
          <w:tcPr>
            <w:tcW w:w="3397" w:type="dxa"/>
          </w:tcPr>
          <w:p w:rsidR="006E1F0C" w:rsidRPr="00C45228" w:rsidRDefault="006E1F0C" w:rsidP="006E1F0C">
            <w:pPr>
              <w:jc w:val="center"/>
              <w:rPr>
                <w:rFonts w:ascii="Barlow" w:hAnsi="Barlow" w:cstheme="minorHAnsi"/>
                <w:b/>
                <w:sz w:val="20"/>
                <w:szCs w:val="20"/>
              </w:rPr>
            </w:pPr>
            <w:r w:rsidRPr="00C45228">
              <w:rPr>
                <w:rFonts w:ascii="Barlow" w:hAnsi="Barlow" w:cstheme="minorHAnsi"/>
                <w:b/>
                <w:sz w:val="20"/>
                <w:szCs w:val="20"/>
              </w:rPr>
              <w:t>Cuenta</w:t>
            </w:r>
          </w:p>
        </w:tc>
        <w:tc>
          <w:tcPr>
            <w:tcW w:w="1701" w:type="dxa"/>
          </w:tcPr>
          <w:p w:rsidR="006E1F0C" w:rsidRPr="00C45228" w:rsidRDefault="00F77AFE" w:rsidP="006E1F0C">
            <w:pPr>
              <w:jc w:val="center"/>
              <w:rPr>
                <w:rFonts w:ascii="Barlow" w:hAnsi="Barlow" w:cstheme="minorHAnsi"/>
                <w:b/>
                <w:sz w:val="20"/>
                <w:szCs w:val="20"/>
              </w:rPr>
            </w:pPr>
            <w:r w:rsidRPr="00C45228">
              <w:rPr>
                <w:rFonts w:ascii="Barlow" w:hAnsi="Barlow" w:cstheme="minorHAnsi"/>
                <w:b/>
                <w:sz w:val="20"/>
                <w:szCs w:val="20"/>
              </w:rPr>
              <w:t>2021</w:t>
            </w:r>
          </w:p>
        </w:tc>
        <w:tc>
          <w:tcPr>
            <w:tcW w:w="1701" w:type="dxa"/>
          </w:tcPr>
          <w:p w:rsidR="006E1F0C" w:rsidRPr="00C45228" w:rsidRDefault="00932728" w:rsidP="006E1F0C">
            <w:pPr>
              <w:jc w:val="center"/>
              <w:rPr>
                <w:rFonts w:ascii="Barlow" w:hAnsi="Barlow" w:cstheme="minorHAnsi"/>
                <w:b/>
                <w:sz w:val="20"/>
                <w:szCs w:val="20"/>
              </w:rPr>
            </w:pPr>
            <w:r w:rsidRPr="00C45228">
              <w:rPr>
                <w:rFonts w:ascii="Barlow" w:hAnsi="Barlow" w:cstheme="minorHAnsi"/>
                <w:b/>
                <w:sz w:val="20"/>
                <w:szCs w:val="20"/>
              </w:rPr>
              <w:t>2021</w:t>
            </w:r>
          </w:p>
        </w:tc>
      </w:tr>
      <w:tr w:rsidR="006E1F0C" w:rsidRPr="00C45228" w:rsidTr="00C45228">
        <w:trPr>
          <w:trHeight w:val="416"/>
        </w:trPr>
        <w:tc>
          <w:tcPr>
            <w:tcW w:w="3397" w:type="dxa"/>
          </w:tcPr>
          <w:p w:rsidR="006E1F0C" w:rsidRPr="00C45228" w:rsidRDefault="006E1F0C" w:rsidP="006E1F0C">
            <w:pPr>
              <w:jc w:val="both"/>
              <w:rPr>
                <w:rFonts w:ascii="Barlow" w:hAnsi="Barlow" w:cstheme="minorHAnsi"/>
                <w:b/>
                <w:sz w:val="20"/>
                <w:szCs w:val="20"/>
              </w:rPr>
            </w:pPr>
            <w:r w:rsidRPr="00C45228">
              <w:rPr>
                <w:rFonts w:ascii="Barlow" w:hAnsi="Barlow" w:cstheme="minorHAnsi"/>
                <w:b/>
                <w:sz w:val="20"/>
                <w:szCs w:val="20"/>
              </w:rPr>
              <w:t xml:space="preserve">Ahorro/Desahorro antes de rubros Extraordinarios </w:t>
            </w:r>
          </w:p>
        </w:tc>
        <w:tc>
          <w:tcPr>
            <w:tcW w:w="1701" w:type="dxa"/>
          </w:tcPr>
          <w:p w:rsidR="00504835" w:rsidRPr="00C45228" w:rsidRDefault="006E1F0C" w:rsidP="00532A3E">
            <w:pPr>
              <w:jc w:val="both"/>
              <w:rPr>
                <w:rFonts w:ascii="Barlow" w:hAnsi="Barlow" w:cstheme="minorHAnsi"/>
                <w:sz w:val="20"/>
                <w:szCs w:val="20"/>
              </w:rPr>
            </w:pPr>
            <w:r w:rsidRPr="00C45228">
              <w:rPr>
                <w:rFonts w:ascii="Barlow" w:hAnsi="Barlow" w:cstheme="minorHAnsi"/>
                <w:sz w:val="20"/>
                <w:szCs w:val="20"/>
              </w:rPr>
              <w:t xml:space="preserve">$   </w:t>
            </w:r>
            <w:r w:rsidR="0054439D" w:rsidRPr="00C45228">
              <w:rPr>
                <w:rFonts w:ascii="Barlow" w:hAnsi="Barlow" w:cstheme="minorHAnsi"/>
                <w:sz w:val="20"/>
                <w:szCs w:val="20"/>
              </w:rPr>
              <w:t xml:space="preserve"> </w:t>
            </w:r>
            <w:r w:rsidRPr="00C45228">
              <w:rPr>
                <w:rFonts w:ascii="Barlow" w:hAnsi="Barlow" w:cstheme="minorHAnsi"/>
                <w:sz w:val="20"/>
                <w:szCs w:val="20"/>
              </w:rPr>
              <w:t xml:space="preserve"> </w:t>
            </w:r>
            <w:r w:rsidR="00B11AED" w:rsidRPr="00C45228">
              <w:rPr>
                <w:rFonts w:ascii="Barlow" w:hAnsi="Barlow" w:cstheme="minorHAnsi"/>
                <w:sz w:val="20"/>
                <w:szCs w:val="20"/>
              </w:rPr>
              <w:t>102,901.93</w:t>
            </w:r>
          </w:p>
        </w:tc>
        <w:tc>
          <w:tcPr>
            <w:tcW w:w="1701" w:type="dxa"/>
          </w:tcPr>
          <w:p w:rsidR="006E1F0C" w:rsidRPr="00C45228" w:rsidRDefault="006E1F0C" w:rsidP="00932728">
            <w:pPr>
              <w:jc w:val="both"/>
              <w:rPr>
                <w:rFonts w:ascii="Barlow" w:hAnsi="Barlow" w:cstheme="minorHAnsi"/>
                <w:sz w:val="20"/>
                <w:szCs w:val="20"/>
              </w:rPr>
            </w:pPr>
            <w:r w:rsidRPr="00C45228">
              <w:rPr>
                <w:rFonts w:ascii="Barlow" w:hAnsi="Barlow" w:cstheme="minorHAnsi"/>
                <w:sz w:val="20"/>
                <w:szCs w:val="20"/>
              </w:rPr>
              <w:t xml:space="preserve">$    </w:t>
            </w:r>
            <w:r w:rsidR="00932728" w:rsidRPr="00C45228">
              <w:rPr>
                <w:rFonts w:ascii="Barlow" w:hAnsi="Barlow" w:cstheme="minorHAnsi"/>
                <w:sz w:val="20"/>
                <w:szCs w:val="20"/>
              </w:rPr>
              <w:t>-4,707,061.21</w:t>
            </w:r>
          </w:p>
        </w:tc>
      </w:tr>
      <w:tr w:rsidR="00041511" w:rsidRPr="00C45228" w:rsidTr="00C45228">
        <w:trPr>
          <w:trHeight w:val="416"/>
        </w:trPr>
        <w:tc>
          <w:tcPr>
            <w:tcW w:w="3397" w:type="dxa"/>
          </w:tcPr>
          <w:p w:rsidR="00041511" w:rsidRPr="00C45228" w:rsidRDefault="00041511" w:rsidP="00041511">
            <w:pPr>
              <w:jc w:val="both"/>
              <w:rPr>
                <w:rFonts w:ascii="Barlow" w:hAnsi="Barlow" w:cstheme="minorHAnsi"/>
                <w:b/>
                <w:sz w:val="20"/>
                <w:szCs w:val="20"/>
              </w:rPr>
            </w:pPr>
            <w:r w:rsidRPr="00C45228">
              <w:rPr>
                <w:rFonts w:ascii="Barlow" w:hAnsi="Barlow" w:cstheme="minorHAnsi"/>
                <w:b/>
                <w:sz w:val="20"/>
                <w:szCs w:val="20"/>
              </w:rPr>
              <w:t>Movimientos de partidas (o Rubros) que no afectan el efectivo</w:t>
            </w:r>
          </w:p>
        </w:tc>
        <w:tc>
          <w:tcPr>
            <w:tcW w:w="1701" w:type="dxa"/>
          </w:tcPr>
          <w:p w:rsidR="00041511" w:rsidRPr="00C45228" w:rsidRDefault="00041511" w:rsidP="00041511">
            <w:pPr>
              <w:jc w:val="center"/>
              <w:rPr>
                <w:rFonts w:ascii="Barlow" w:hAnsi="Barlow" w:cstheme="minorHAnsi"/>
                <w:sz w:val="20"/>
                <w:szCs w:val="20"/>
              </w:rPr>
            </w:pPr>
            <w:r w:rsidRPr="00C45228">
              <w:rPr>
                <w:rFonts w:ascii="Barlow" w:hAnsi="Barlow" w:cstheme="minorHAnsi"/>
                <w:sz w:val="20"/>
                <w:szCs w:val="20"/>
              </w:rPr>
              <w:t>0.00</w:t>
            </w:r>
          </w:p>
        </w:tc>
        <w:tc>
          <w:tcPr>
            <w:tcW w:w="1701" w:type="dxa"/>
          </w:tcPr>
          <w:p w:rsidR="00041511" w:rsidRPr="00C45228" w:rsidRDefault="00041511" w:rsidP="00041511">
            <w:pPr>
              <w:jc w:val="center"/>
              <w:rPr>
                <w:rFonts w:ascii="Barlow" w:hAnsi="Barlow" w:cstheme="minorHAnsi"/>
                <w:sz w:val="20"/>
                <w:szCs w:val="20"/>
              </w:rPr>
            </w:pPr>
            <w:r w:rsidRPr="00C45228">
              <w:rPr>
                <w:rFonts w:ascii="Barlow" w:hAnsi="Barlow" w:cstheme="minorHAnsi"/>
                <w:sz w:val="20"/>
                <w:szCs w:val="20"/>
              </w:rPr>
              <w:t>0.00</w:t>
            </w:r>
          </w:p>
        </w:tc>
      </w:tr>
      <w:tr w:rsidR="00041511" w:rsidRPr="00C45228" w:rsidTr="00C45228">
        <w:trPr>
          <w:trHeight w:val="416"/>
        </w:trPr>
        <w:tc>
          <w:tcPr>
            <w:tcW w:w="3397" w:type="dxa"/>
          </w:tcPr>
          <w:p w:rsidR="00041511" w:rsidRPr="00C45228" w:rsidRDefault="00041511" w:rsidP="00041511">
            <w:pPr>
              <w:jc w:val="both"/>
              <w:rPr>
                <w:rFonts w:ascii="Barlow" w:hAnsi="Barlow" w:cstheme="minorHAnsi"/>
                <w:b/>
                <w:sz w:val="20"/>
                <w:szCs w:val="20"/>
              </w:rPr>
            </w:pPr>
            <w:r w:rsidRPr="00C45228">
              <w:rPr>
                <w:rFonts w:ascii="Barlow" w:hAnsi="Barlow" w:cstheme="minorHAnsi"/>
                <w:b/>
                <w:sz w:val="20"/>
                <w:szCs w:val="20"/>
              </w:rPr>
              <w:t>Depreciación</w:t>
            </w:r>
          </w:p>
        </w:tc>
        <w:tc>
          <w:tcPr>
            <w:tcW w:w="1701" w:type="dxa"/>
          </w:tcPr>
          <w:p w:rsidR="00041511" w:rsidRPr="00C45228" w:rsidRDefault="00041511" w:rsidP="00041511">
            <w:pPr>
              <w:jc w:val="center"/>
              <w:rPr>
                <w:rFonts w:ascii="Barlow" w:hAnsi="Barlow" w:cstheme="minorHAnsi"/>
                <w:sz w:val="20"/>
                <w:szCs w:val="20"/>
              </w:rPr>
            </w:pPr>
            <w:r w:rsidRPr="00C45228">
              <w:rPr>
                <w:rFonts w:ascii="Barlow" w:hAnsi="Barlow" w:cstheme="minorHAnsi"/>
                <w:sz w:val="20"/>
                <w:szCs w:val="20"/>
              </w:rPr>
              <w:t>0.00</w:t>
            </w:r>
          </w:p>
        </w:tc>
        <w:tc>
          <w:tcPr>
            <w:tcW w:w="1701" w:type="dxa"/>
          </w:tcPr>
          <w:p w:rsidR="00041511" w:rsidRPr="00C45228" w:rsidRDefault="00041511" w:rsidP="00041511">
            <w:pPr>
              <w:jc w:val="center"/>
              <w:rPr>
                <w:rFonts w:ascii="Barlow" w:hAnsi="Barlow" w:cstheme="minorHAnsi"/>
                <w:sz w:val="20"/>
                <w:szCs w:val="20"/>
              </w:rPr>
            </w:pPr>
            <w:r w:rsidRPr="00C45228">
              <w:rPr>
                <w:rFonts w:ascii="Barlow" w:hAnsi="Barlow" w:cstheme="minorHAnsi"/>
                <w:sz w:val="20"/>
                <w:szCs w:val="20"/>
              </w:rPr>
              <w:t>0.00</w:t>
            </w:r>
          </w:p>
        </w:tc>
      </w:tr>
      <w:tr w:rsidR="00041511" w:rsidRPr="00C45228" w:rsidTr="00C45228">
        <w:trPr>
          <w:trHeight w:val="416"/>
        </w:trPr>
        <w:tc>
          <w:tcPr>
            <w:tcW w:w="3397" w:type="dxa"/>
          </w:tcPr>
          <w:p w:rsidR="00041511" w:rsidRPr="00C45228" w:rsidRDefault="00041511" w:rsidP="00041511">
            <w:pPr>
              <w:jc w:val="both"/>
              <w:rPr>
                <w:rFonts w:ascii="Barlow" w:hAnsi="Barlow" w:cstheme="minorHAnsi"/>
                <w:b/>
                <w:sz w:val="20"/>
                <w:szCs w:val="20"/>
              </w:rPr>
            </w:pPr>
            <w:r w:rsidRPr="00C45228">
              <w:rPr>
                <w:rFonts w:ascii="Barlow" w:hAnsi="Barlow" w:cstheme="minorHAnsi"/>
                <w:b/>
                <w:sz w:val="20"/>
                <w:szCs w:val="20"/>
              </w:rPr>
              <w:t>Amortización</w:t>
            </w:r>
          </w:p>
        </w:tc>
        <w:tc>
          <w:tcPr>
            <w:tcW w:w="1701" w:type="dxa"/>
          </w:tcPr>
          <w:p w:rsidR="00041511" w:rsidRPr="00C45228" w:rsidRDefault="00041511" w:rsidP="00041511">
            <w:pPr>
              <w:jc w:val="center"/>
              <w:rPr>
                <w:rFonts w:ascii="Barlow" w:hAnsi="Barlow" w:cstheme="minorHAnsi"/>
                <w:sz w:val="20"/>
                <w:szCs w:val="20"/>
              </w:rPr>
            </w:pPr>
            <w:r w:rsidRPr="00C45228">
              <w:rPr>
                <w:rFonts w:ascii="Barlow" w:hAnsi="Barlow" w:cstheme="minorHAnsi"/>
                <w:sz w:val="20"/>
                <w:szCs w:val="20"/>
              </w:rPr>
              <w:t>0.00</w:t>
            </w:r>
          </w:p>
        </w:tc>
        <w:tc>
          <w:tcPr>
            <w:tcW w:w="1701" w:type="dxa"/>
          </w:tcPr>
          <w:p w:rsidR="00041511" w:rsidRPr="00C45228" w:rsidRDefault="00041511" w:rsidP="00041511">
            <w:pPr>
              <w:jc w:val="center"/>
              <w:rPr>
                <w:rFonts w:ascii="Barlow" w:hAnsi="Barlow" w:cstheme="minorHAnsi"/>
                <w:sz w:val="20"/>
                <w:szCs w:val="20"/>
              </w:rPr>
            </w:pPr>
            <w:r w:rsidRPr="00C45228">
              <w:rPr>
                <w:rFonts w:ascii="Barlow" w:hAnsi="Barlow" w:cstheme="minorHAnsi"/>
                <w:sz w:val="20"/>
                <w:szCs w:val="20"/>
              </w:rPr>
              <w:t>0.00</w:t>
            </w:r>
          </w:p>
        </w:tc>
      </w:tr>
      <w:tr w:rsidR="00041511" w:rsidRPr="00C45228" w:rsidTr="00C45228">
        <w:trPr>
          <w:trHeight w:val="416"/>
        </w:trPr>
        <w:tc>
          <w:tcPr>
            <w:tcW w:w="3397" w:type="dxa"/>
          </w:tcPr>
          <w:p w:rsidR="00041511" w:rsidRPr="00C45228" w:rsidRDefault="00041511" w:rsidP="00041511">
            <w:pPr>
              <w:jc w:val="both"/>
              <w:rPr>
                <w:rFonts w:ascii="Barlow" w:hAnsi="Barlow" w:cstheme="minorHAnsi"/>
                <w:b/>
                <w:sz w:val="20"/>
                <w:szCs w:val="20"/>
              </w:rPr>
            </w:pPr>
            <w:r w:rsidRPr="00C45228">
              <w:rPr>
                <w:rFonts w:ascii="Barlow" w:hAnsi="Barlow" w:cstheme="minorHAnsi"/>
                <w:b/>
                <w:sz w:val="20"/>
                <w:szCs w:val="20"/>
              </w:rPr>
              <w:t>Incrementos en las Provisiones</w:t>
            </w:r>
          </w:p>
        </w:tc>
        <w:tc>
          <w:tcPr>
            <w:tcW w:w="1701" w:type="dxa"/>
          </w:tcPr>
          <w:p w:rsidR="00041511" w:rsidRPr="00C45228" w:rsidRDefault="00041511" w:rsidP="00041511">
            <w:pPr>
              <w:jc w:val="center"/>
              <w:rPr>
                <w:rFonts w:ascii="Barlow" w:hAnsi="Barlow" w:cstheme="minorHAnsi"/>
                <w:sz w:val="20"/>
                <w:szCs w:val="20"/>
              </w:rPr>
            </w:pPr>
            <w:r w:rsidRPr="00C45228">
              <w:rPr>
                <w:rFonts w:ascii="Barlow" w:hAnsi="Barlow" w:cstheme="minorHAnsi"/>
                <w:sz w:val="20"/>
                <w:szCs w:val="20"/>
              </w:rPr>
              <w:t>0.00</w:t>
            </w:r>
          </w:p>
        </w:tc>
        <w:tc>
          <w:tcPr>
            <w:tcW w:w="1701" w:type="dxa"/>
          </w:tcPr>
          <w:p w:rsidR="00041511" w:rsidRPr="00C45228" w:rsidRDefault="00041511" w:rsidP="00041511">
            <w:pPr>
              <w:jc w:val="center"/>
              <w:rPr>
                <w:rFonts w:ascii="Barlow" w:hAnsi="Barlow" w:cstheme="minorHAnsi"/>
                <w:sz w:val="20"/>
                <w:szCs w:val="20"/>
              </w:rPr>
            </w:pPr>
            <w:r w:rsidRPr="00C45228">
              <w:rPr>
                <w:rFonts w:ascii="Barlow" w:hAnsi="Barlow" w:cstheme="minorHAnsi"/>
                <w:sz w:val="20"/>
                <w:szCs w:val="20"/>
              </w:rPr>
              <w:t>0.00</w:t>
            </w:r>
          </w:p>
        </w:tc>
      </w:tr>
      <w:tr w:rsidR="00041511" w:rsidRPr="00C45228" w:rsidTr="00C45228">
        <w:trPr>
          <w:trHeight w:val="416"/>
        </w:trPr>
        <w:tc>
          <w:tcPr>
            <w:tcW w:w="3397" w:type="dxa"/>
          </w:tcPr>
          <w:p w:rsidR="00041511" w:rsidRPr="00C45228" w:rsidRDefault="00041511" w:rsidP="00041511">
            <w:pPr>
              <w:jc w:val="both"/>
              <w:rPr>
                <w:rFonts w:ascii="Barlow" w:hAnsi="Barlow" w:cstheme="minorHAnsi"/>
                <w:b/>
                <w:sz w:val="20"/>
                <w:szCs w:val="20"/>
              </w:rPr>
            </w:pPr>
            <w:r w:rsidRPr="00C45228">
              <w:rPr>
                <w:rFonts w:ascii="Barlow" w:hAnsi="Barlow" w:cstheme="minorHAnsi"/>
                <w:b/>
                <w:sz w:val="20"/>
                <w:szCs w:val="20"/>
              </w:rPr>
              <w:t>Ganancia/Perdida en venta de propiedad, planta y equipo</w:t>
            </w:r>
          </w:p>
        </w:tc>
        <w:tc>
          <w:tcPr>
            <w:tcW w:w="1701" w:type="dxa"/>
          </w:tcPr>
          <w:p w:rsidR="00041511" w:rsidRPr="00C45228" w:rsidRDefault="00041511" w:rsidP="00041511">
            <w:pPr>
              <w:jc w:val="center"/>
              <w:rPr>
                <w:rFonts w:ascii="Barlow" w:hAnsi="Barlow" w:cstheme="minorHAnsi"/>
                <w:sz w:val="20"/>
                <w:szCs w:val="20"/>
              </w:rPr>
            </w:pPr>
            <w:r w:rsidRPr="00C45228">
              <w:rPr>
                <w:rFonts w:ascii="Barlow" w:hAnsi="Barlow" w:cstheme="minorHAnsi"/>
                <w:sz w:val="20"/>
                <w:szCs w:val="20"/>
              </w:rPr>
              <w:t>0.00</w:t>
            </w:r>
          </w:p>
        </w:tc>
        <w:tc>
          <w:tcPr>
            <w:tcW w:w="1701" w:type="dxa"/>
          </w:tcPr>
          <w:p w:rsidR="00041511" w:rsidRPr="00C45228" w:rsidRDefault="00041511" w:rsidP="00041511">
            <w:pPr>
              <w:jc w:val="center"/>
              <w:rPr>
                <w:rFonts w:ascii="Barlow" w:hAnsi="Barlow" w:cstheme="minorHAnsi"/>
                <w:sz w:val="20"/>
                <w:szCs w:val="20"/>
              </w:rPr>
            </w:pPr>
            <w:r w:rsidRPr="00C45228">
              <w:rPr>
                <w:rFonts w:ascii="Barlow" w:hAnsi="Barlow" w:cstheme="minorHAnsi"/>
                <w:sz w:val="20"/>
                <w:szCs w:val="20"/>
              </w:rPr>
              <w:t>0.00</w:t>
            </w:r>
          </w:p>
        </w:tc>
      </w:tr>
      <w:tr w:rsidR="00041511" w:rsidRPr="00C45228" w:rsidTr="00C45228">
        <w:trPr>
          <w:trHeight w:val="416"/>
        </w:trPr>
        <w:tc>
          <w:tcPr>
            <w:tcW w:w="3397" w:type="dxa"/>
          </w:tcPr>
          <w:p w:rsidR="00041511" w:rsidRPr="00C45228" w:rsidRDefault="00041511" w:rsidP="00041511">
            <w:pPr>
              <w:jc w:val="both"/>
              <w:rPr>
                <w:rFonts w:ascii="Barlow" w:hAnsi="Barlow" w:cstheme="minorHAnsi"/>
                <w:b/>
                <w:sz w:val="20"/>
                <w:szCs w:val="20"/>
              </w:rPr>
            </w:pPr>
            <w:r w:rsidRPr="00C45228">
              <w:rPr>
                <w:rFonts w:ascii="Barlow" w:hAnsi="Barlow" w:cstheme="minorHAnsi"/>
                <w:b/>
                <w:sz w:val="20"/>
                <w:szCs w:val="20"/>
              </w:rPr>
              <w:t>Incremento en cuentas por Cobrar</w:t>
            </w:r>
          </w:p>
        </w:tc>
        <w:tc>
          <w:tcPr>
            <w:tcW w:w="1701" w:type="dxa"/>
          </w:tcPr>
          <w:p w:rsidR="00041511" w:rsidRPr="00C45228" w:rsidRDefault="00041511" w:rsidP="00041511">
            <w:pPr>
              <w:jc w:val="center"/>
              <w:rPr>
                <w:rFonts w:ascii="Barlow" w:hAnsi="Barlow" w:cstheme="minorHAnsi"/>
                <w:sz w:val="20"/>
                <w:szCs w:val="20"/>
              </w:rPr>
            </w:pPr>
            <w:r w:rsidRPr="00C45228">
              <w:rPr>
                <w:rFonts w:ascii="Barlow" w:hAnsi="Barlow" w:cstheme="minorHAnsi"/>
                <w:sz w:val="20"/>
                <w:szCs w:val="20"/>
              </w:rPr>
              <w:t>0.00</w:t>
            </w:r>
          </w:p>
        </w:tc>
        <w:tc>
          <w:tcPr>
            <w:tcW w:w="1701" w:type="dxa"/>
          </w:tcPr>
          <w:p w:rsidR="00041511" w:rsidRPr="00C45228" w:rsidRDefault="00041511" w:rsidP="00041511">
            <w:pPr>
              <w:jc w:val="center"/>
              <w:rPr>
                <w:rFonts w:ascii="Barlow" w:hAnsi="Barlow" w:cstheme="minorHAnsi"/>
                <w:sz w:val="20"/>
                <w:szCs w:val="20"/>
              </w:rPr>
            </w:pPr>
            <w:r w:rsidRPr="00C45228">
              <w:rPr>
                <w:rFonts w:ascii="Barlow" w:hAnsi="Barlow" w:cstheme="minorHAnsi"/>
                <w:sz w:val="20"/>
                <w:szCs w:val="20"/>
              </w:rPr>
              <w:t>0.00</w:t>
            </w:r>
          </w:p>
        </w:tc>
      </w:tr>
      <w:tr w:rsidR="00041511" w:rsidRPr="00C45228" w:rsidTr="00C45228">
        <w:trPr>
          <w:trHeight w:val="416"/>
        </w:trPr>
        <w:tc>
          <w:tcPr>
            <w:tcW w:w="3397" w:type="dxa"/>
          </w:tcPr>
          <w:p w:rsidR="00041511" w:rsidRPr="00C45228" w:rsidRDefault="00041511" w:rsidP="00041511">
            <w:pPr>
              <w:jc w:val="both"/>
              <w:rPr>
                <w:rFonts w:ascii="Barlow" w:hAnsi="Barlow" w:cstheme="minorHAnsi"/>
                <w:b/>
                <w:sz w:val="20"/>
                <w:szCs w:val="20"/>
              </w:rPr>
            </w:pPr>
            <w:r w:rsidRPr="00C45228">
              <w:rPr>
                <w:rFonts w:ascii="Barlow" w:hAnsi="Barlow" w:cstheme="minorHAnsi"/>
                <w:b/>
                <w:sz w:val="20"/>
                <w:szCs w:val="20"/>
              </w:rPr>
              <w:t>Partidas Extraordinarias</w:t>
            </w:r>
          </w:p>
        </w:tc>
        <w:tc>
          <w:tcPr>
            <w:tcW w:w="1701" w:type="dxa"/>
          </w:tcPr>
          <w:p w:rsidR="00041511" w:rsidRPr="00C45228" w:rsidRDefault="00041511" w:rsidP="00041511">
            <w:pPr>
              <w:jc w:val="center"/>
              <w:rPr>
                <w:rFonts w:ascii="Barlow" w:hAnsi="Barlow" w:cstheme="minorHAnsi"/>
                <w:sz w:val="20"/>
                <w:szCs w:val="20"/>
              </w:rPr>
            </w:pPr>
            <w:r w:rsidRPr="00C45228">
              <w:rPr>
                <w:rFonts w:ascii="Barlow" w:hAnsi="Barlow" w:cstheme="minorHAnsi"/>
                <w:sz w:val="20"/>
                <w:szCs w:val="20"/>
              </w:rPr>
              <w:t>0.00</w:t>
            </w:r>
          </w:p>
        </w:tc>
        <w:tc>
          <w:tcPr>
            <w:tcW w:w="1701" w:type="dxa"/>
          </w:tcPr>
          <w:p w:rsidR="00041511" w:rsidRPr="00C45228" w:rsidRDefault="00041511" w:rsidP="00041511">
            <w:pPr>
              <w:jc w:val="center"/>
              <w:rPr>
                <w:rFonts w:ascii="Barlow" w:hAnsi="Barlow" w:cstheme="minorHAnsi"/>
                <w:sz w:val="20"/>
                <w:szCs w:val="20"/>
              </w:rPr>
            </w:pPr>
            <w:r w:rsidRPr="00C45228">
              <w:rPr>
                <w:rFonts w:ascii="Barlow" w:hAnsi="Barlow" w:cstheme="minorHAnsi"/>
                <w:sz w:val="20"/>
                <w:szCs w:val="20"/>
              </w:rPr>
              <w:t>0.00</w:t>
            </w:r>
          </w:p>
        </w:tc>
      </w:tr>
    </w:tbl>
    <w:p w:rsidR="006E1F0C" w:rsidRPr="00C45228" w:rsidRDefault="006E1F0C" w:rsidP="006E1F0C">
      <w:pPr>
        <w:pStyle w:val="Texto"/>
        <w:spacing w:after="80" w:line="276" w:lineRule="auto"/>
        <w:ind w:left="720" w:firstLine="0"/>
        <w:jc w:val="left"/>
        <w:rPr>
          <w:rFonts w:ascii="Barlow" w:hAnsi="Barlow" w:cstheme="minorHAnsi"/>
          <w:sz w:val="20"/>
          <w:lang w:val="es-MX"/>
        </w:rPr>
      </w:pPr>
    </w:p>
    <w:p w:rsidR="005736D3" w:rsidRPr="00C45228" w:rsidRDefault="005736D3" w:rsidP="006E1F0C">
      <w:pPr>
        <w:pStyle w:val="Texto"/>
        <w:spacing w:after="80" w:line="276" w:lineRule="auto"/>
        <w:ind w:left="720" w:firstLine="0"/>
        <w:jc w:val="left"/>
        <w:rPr>
          <w:rFonts w:ascii="Barlow" w:hAnsi="Barlow" w:cstheme="minorHAnsi"/>
          <w:sz w:val="20"/>
          <w:lang w:val="es-MX"/>
        </w:rPr>
      </w:pPr>
    </w:p>
    <w:p w:rsidR="005736D3" w:rsidRPr="00C45228" w:rsidRDefault="005736D3" w:rsidP="006E1F0C">
      <w:pPr>
        <w:pStyle w:val="Texto"/>
        <w:spacing w:after="80" w:line="276" w:lineRule="auto"/>
        <w:ind w:left="720" w:firstLine="0"/>
        <w:jc w:val="left"/>
        <w:rPr>
          <w:rFonts w:ascii="Barlow" w:hAnsi="Barlow" w:cstheme="minorHAnsi"/>
          <w:sz w:val="20"/>
          <w:lang w:val="es-MX"/>
        </w:rPr>
      </w:pPr>
    </w:p>
    <w:p w:rsidR="005736D3" w:rsidRPr="00C45228" w:rsidRDefault="005736D3" w:rsidP="006E1F0C">
      <w:pPr>
        <w:pStyle w:val="Texto"/>
        <w:spacing w:after="80" w:line="276" w:lineRule="auto"/>
        <w:ind w:left="720" w:firstLine="0"/>
        <w:jc w:val="left"/>
        <w:rPr>
          <w:rFonts w:ascii="Barlow" w:hAnsi="Barlow" w:cstheme="minorHAnsi"/>
          <w:sz w:val="20"/>
          <w:lang w:val="es-MX"/>
        </w:rPr>
      </w:pPr>
    </w:p>
    <w:p w:rsidR="005736D3" w:rsidRPr="00C45228" w:rsidRDefault="005736D3" w:rsidP="006E1F0C">
      <w:pPr>
        <w:pStyle w:val="Texto"/>
        <w:spacing w:after="80" w:line="276" w:lineRule="auto"/>
        <w:ind w:left="720" w:firstLine="0"/>
        <w:jc w:val="left"/>
        <w:rPr>
          <w:rFonts w:ascii="Barlow" w:hAnsi="Barlow" w:cstheme="minorHAnsi"/>
          <w:sz w:val="20"/>
          <w:lang w:val="es-MX"/>
        </w:rPr>
      </w:pPr>
    </w:p>
    <w:p w:rsidR="005736D3" w:rsidRPr="00C45228" w:rsidRDefault="005736D3" w:rsidP="006E1F0C">
      <w:pPr>
        <w:pStyle w:val="Texto"/>
        <w:spacing w:after="80" w:line="276" w:lineRule="auto"/>
        <w:ind w:left="720" w:firstLine="0"/>
        <w:jc w:val="left"/>
        <w:rPr>
          <w:rFonts w:ascii="Barlow" w:hAnsi="Barlow" w:cstheme="minorHAnsi"/>
          <w:sz w:val="20"/>
          <w:lang w:val="es-MX"/>
        </w:rPr>
      </w:pPr>
    </w:p>
    <w:p w:rsidR="005736D3" w:rsidRPr="00C45228" w:rsidRDefault="005736D3" w:rsidP="006E1F0C">
      <w:pPr>
        <w:pStyle w:val="Texto"/>
        <w:spacing w:after="80" w:line="276" w:lineRule="auto"/>
        <w:ind w:left="720" w:firstLine="0"/>
        <w:jc w:val="left"/>
        <w:rPr>
          <w:rFonts w:ascii="Barlow" w:hAnsi="Barlow" w:cstheme="minorHAnsi"/>
          <w:sz w:val="20"/>
          <w:lang w:val="es-MX"/>
        </w:rPr>
      </w:pPr>
    </w:p>
    <w:p w:rsidR="005736D3" w:rsidRPr="00C45228" w:rsidRDefault="005736D3" w:rsidP="006E1F0C">
      <w:pPr>
        <w:pStyle w:val="Texto"/>
        <w:spacing w:after="80" w:line="276" w:lineRule="auto"/>
        <w:ind w:left="720" w:firstLine="0"/>
        <w:jc w:val="left"/>
        <w:rPr>
          <w:rFonts w:ascii="Barlow" w:hAnsi="Barlow" w:cstheme="minorHAnsi"/>
          <w:sz w:val="20"/>
          <w:lang w:val="es-MX"/>
        </w:rPr>
      </w:pPr>
    </w:p>
    <w:p w:rsidR="005736D3" w:rsidRPr="00C45228" w:rsidRDefault="005736D3" w:rsidP="006E1F0C">
      <w:pPr>
        <w:pStyle w:val="Texto"/>
        <w:spacing w:after="80" w:line="276" w:lineRule="auto"/>
        <w:ind w:left="720" w:firstLine="0"/>
        <w:jc w:val="left"/>
        <w:rPr>
          <w:rFonts w:ascii="Barlow" w:hAnsi="Barlow" w:cstheme="minorHAnsi"/>
          <w:sz w:val="20"/>
          <w:lang w:val="es-MX"/>
        </w:rPr>
      </w:pPr>
    </w:p>
    <w:p w:rsidR="005736D3" w:rsidRPr="00C45228" w:rsidRDefault="005736D3" w:rsidP="006E1F0C">
      <w:pPr>
        <w:pStyle w:val="Texto"/>
        <w:spacing w:after="80" w:line="276" w:lineRule="auto"/>
        <w:ind w:left="720" w:firstLine="0"/>
        <w:jc w:val="left"/>
        <w:rPr>
          <w:rFonts w:ascii="Barlow" w:hAnsi="Barlow" w:cstheme="minorHAnsi"/>
          <w:sz w:val="20"/>
          <w:lang w:val="es-MX"/>
        </w:rPr>
      </w:pPr>
    </w:p>
    <w:p w:rsidR="005736D3" w:rsidRPr="00C45228" w:rsidRDefault="005736D3" w:rsidP="006E1F0C">
      <w:pPr>
        <w:pStyle w:val="Texto"/>
        <w:spacing w:after="80" w:line="276" w:lineRule="auto"/>
        <w:ind w:left="720" w:firstLine="0"/>
        <w:jc w:val="left"/>
        <w:rPr>
          <w:rFonts w:ascii="Barlow" w:hAnsi="Barlow" w:cstheme="minorHAnsi"/>
          <w:sz w:val="20"/>
          <w:lang w:val="es-MX"/>
        </w:rPr>
      </w:pPr>
    </w:p>
    <w:p w:rsidR="005736D3" w:rsidRPr="00C45228" w:rsidRDefault="005736D3" w:rsidP="006E1F0C">
      <w:pPr>
        <w:pStyle w:val="Texto"/>
        <w:spacing w:after="80" w:line="276" w:lineRule="auto"/>
        <w:ind w:left="720" w:firstLine="0"/>
        <w:jc w:val="left"/>
        <w:rPr>
          <w:rFonts w:ascii="Barlow" w:hAnsi="Barlow" w:cstheme="minorHAnsi"/>
          <w:sz w:val="20"/>
          <w:lang w:val="es-MX"/>
        </w:rPr>
      </w:pPr>
    </w:p>
    <w:p w:rsidR="00803CD3" w:rsidRPr="00C45228" w:rsidRDefault="002B13C8" w:rsidP="004F37DC">
      <w:pPr>
        <w:spacing w:after="200" w:line="276" w:lineRule="auto"/>
        <w:jc w:val="both"/>
        <w:rPr>
          <w:rFonts w:ascii="Barlow" w:eastAsia="Calibri" w:hAnsi="Barlow" w:cs="Calibri"/>
          <w:b/>
          <w:sz w:val="20"/>
          <w:szCs w:val="20"/>
        </w:rPr>
      </w:pPr>
      <w:r w:rsidRPr="00C45228">
        <w:rPr>
          <w:rFonts w:ascii="Barlow" w:eastAsia="Calibri" w:hAnsi="Barlow" w:cs="Calibri"/>
          <w:b/>
          <w:sz w:val="20"/>
          <w:szCs w:val="20"/>
        </w:rPr>
        <w:lastRenderedPageBreak/>
        <w:t>5</w:t>
      </w:r>
      <w:r w:rsidR="004F37DC" w:rsidRPr="00C45228">
        <w:rPr>
          <w:rFonts w:ascii="Barlow" w:eastAsia="Calibri" w:hAnsi="Barlow" w:cs="Calibri"/>
          <w:b/>
          <w:sz w:val="20"/>
          <w:szCs w:val="20"/>
        </w:rPr>
        <w:t>) Conciliación entre los ingresos presupuestarios y contables, así como entre los egresos presupuestarios y los gastos contables.</w:t>
      </w:r>
    </w:p>
    <w:p w:rsidR="005B42AF" w:rsidRPr="00C45228" w:rsidRDefault="005B42AF" w:rsidP="004F37DC">
      <w:pPr>
        <w:spacing w:after="200" w:line="276" w:lineRule="auto"/>
        <w:jc w:val="both"/>
        <w:rPr>
          <w:rFonts w:ascii="Barlow" w:eastAsia="Calibri" w:hAnsi="Barlow" w:cs="Calibri"/>
          <w:b/>
          <w:sz w:val="20"/>
          <w:szCs w:val="20"/>
        </w:rPr>
      </w:pPr>
    </w:p>
    <w:p w:rsidR="005B42AF" w:rsidRPr="00C45228" w:rsidRDefault="005B42AF" w:rsidP="004F37DC">
      <w:pPr>
        <w:spacing w:after="200" w:line="276" w:lineRule="auto"/>
        <w:jc w:val="both"/>
        <w:rPr>
          <w:rFonts w:ascii="Barlow" w:eastAsia="Calibri" w:hAnsi="Barlow" w:cs="Calibri"/>
          <w:b/>
          <w:sz w:val="20"/>
          <w:szCs w:val="20"/>
        </w:rPr>
      </w:pPr>
    </w:p>
    <w:p w:rsidR="005B42AF" w:rsidRPr="00C45228" w:rsidRDefault="00C45228" w:rsidP="004F37DC">
      <w:pPr>
        <w:spacing w:after="200" w:line="276" w:lineRule="auto"/>
        <w:jc w:val="both"/>
        <w:rPr>
          <w:rFonts w:ascii="Barlow" w:eastAsia="Calibri" w:hAnsi="Barlow" w:cs="Calibri"/>
          <w:b/>
          <w:sz w:val="20"/>
          <w:szCs w:val="20"/>
        </w:rPr>
      </w:pPr>
      <w:r w:rsidRPr="00C45228">
        <w:rPr>
          <w:rFonts w:ascii="Barlow" w:hAnsi="Barlow"/>
          <w:noProof/>
          <w:sz w:val="20"/>
          <w:szCs w:val="20"/>
          <w:lang w:eastAsia="es-MX"/>
        </w:rPr>
        <w:drawing>
          <wp:anchor distT="0" distB="0" distL="114300" distR="114300" simplePos="0" relativeHeight="251658240" behindDoc="0" locked="0" layoutInCell="1" allowOverlap="1" wp14:anchorId="2D564033" wp14:editId="60E9AD22">
            <wp:simplePos x="0" y="0"/>
            <wp:positionH relativeFrom="margin">
              <wp:posOffset>1985010</wp:posOffset>
            </wp:positionH>
            <wp:positionV relativeFrom="paragraph">
              <wp:posOffset>213554</wp:posOffset>
            </wp:positionV>
            <wp:extent cx="4933039" cy="3200206"/>
            <wp:effectExtent l="0" t="0" r="127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a:extLst>
                        <a:ext uri="{28A0092B-C50C-407E-A947-70E740481C1C}">
                          <a14:useLocalDpi xmlns:a14="http://schemas.microsoft.com/office/drawing/2010/main" val="0"/>
                        </a:ext>
                      </a:extLst>
                    </a:blip>
                    <a:srcRect b="66196"/>
                    <a:stretch/>
                  </pic:blipFill>
                  <pic:spPr bwMode="auto">
                    <a:xfrm>
                      <a:off x="0" y="0"/>
                      <a:ext cx="4939896" cy="32046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B42AF" w:rsidRPr="00C45228" w:rsidRDefault="005B42AF" w:rsidP="004F37DC">
      <w:pPr>
        <w:spacing w:after="200" w:line="276" w:lineRule="auto"/>
        <w:jc w:val="both"/>
        <w:rPr>
          <w:rFonts w:ascii="Barlow" w:eastAsia="Calibri" w:hAnsi="Barlow" w:cs="Calibri"/>
          <w:b/>
          <w:sz w:val="20"/>
          <w:szCs w:val="20"/>
        </w:rPr>
      </w:pPr>
    </w:p>
    <w:p w:rsidR="005B42AF" w:rsidRPr="00C45228" w:rsidRDefault="005B42AF" w:rsidP="004F37DC">
      <w:pPr>
        <w:spacing w:after="200" w:line="276" w:lineRule="auto"/>
        <w:jc w:val="both"/>
        <w:rPr>
          <w:rFonts w:ascii="Barlow" w:eastAsia="Calibri" w:hAnsi="Barlow" w:cs="Calibri"/>
          <w:b/>
          <w:sz w:val="20"/>
          <w:szCs w:val="20"/>
        </w:rPr>
      </w:pPr>
    </w:p>
    <w:p w:rsidR="005B42AF" w:rsidRPr="00C45228" w:rsidRDefault="005B42AF" w:rsidP="004F37DC">
      <w:pPr>
        <w:spacing w:after="200" w:line="276" w:lineRule="auto"/>
        <w:jc w:val="both"/>
        <w:rPr>
          <w:rFonts w:ascii="Barlow" w:eastAsia="Calibri" w:hAnsi="Barlow" w:cs="Calibri"/>
          <w:b/>
          <w:sz w:val="20"/>
          <w:szCs w:val="20"/>
        </w:rPr>
      </w:pPr>
    </w:p>
    <w:p w:rsidR="005B42AF" w:rsidRPr="00C45228" w:rsidRDefault="005B42AF" w:rsidP="004F37DC">
      <w:pPr>
        <w:spacing w:after="200" w:line="276" w:lineRule="auto"/>
        <w:jc w:val="both"/>
        <w:rPr>
          <w:rFonts w:ascii="Barlow" w:eastAsia="Calibri" w:hAnsi="Barlow" w:cs="Calibri"/>
          <w:b/>
          <w:sz w:val="20"/>
          <w:szCs w:val="20"/>
        </w:rPr>
      </w:pPr>
    </w:p>
    <w:p w:rsidR="005B42AF" w:rsidRPr="00C45228" w:rsidRDefault="005B42AF" w:rsidP="004F37DC">
      <w:pPr>
        <w:spacing w:after="200" w:line="276" w:lineRule="auto"/>
        <w:jc w:val="both"/>
        <w:rPr>
          <w:rFonts w:ascii="Barlow" w:eastAsia="Calibri" w:hAnsi="Barlow" w:cs="Calibri"/>
          <w:b/>
          <w:sz w:val="20"/>
          <w:szCs w:val="20"/>
        </w:rPr>
      </w:pPr>
    </w:p>
    <w:p w:rsidR="005B42AF" w:rsidRPr="00C45228" w:rsidRDefault="005B42AF" w:rsidP="004F37DC">
      <w:pPr>
        <w:spacing w:after="200" w:line="276" w:lineRule="auto"/>
        <w:jc w:val="both"/>
        <w:rPr>
          <w:rFonts w:ascii="Barlow" w:eastAsia="Calibri" w:hAnsi="Barlow" w:cs="Calibri"/>
          <w:b/>
          <w:sz w:val="20"/>
          <w:szCs w:val="20"/>
        </w:rPr>
      </w:pPr>
    </w:p>
    <w:p w:rsidR="005B42AF" w:rsidRPr="00C45228" w:rsidRDefault="005B42AF" w:rsidP="004F37DC">
      <w:pPr>
        <w:spacing w:after="200" w:line="276" w:lineRule="auto"/>
        <w:jc w:val="both"/>
        <w:rPr>
          <w:rFonts w:ascii="Barlow" w:eastAsia="Calibri" w:hAnsi="Barlow" w:cs="Calibri"/>
          <w:b/>
          <w:sz w:val="20"/>
          <w:szCs w:val="20"/>
        </w:rPr>
      </w:pPr>
    </w:p>
    <w:p w:rsidR="005B42AF" w:rsidRPr="00C45228" w:rsidRDefault="005B42AF" w:rsidP="004F37DC">
      <w:pPr>
        <w:spacing w:after="200" w:line="276" w:lineRule="auto"/>
        <w:jc w:val="both"/>
        <w:rPr>
          <w:rFonts w:ascii="Barlow" w:eastAsia="Calibri" w:hAnsi="Barlow" w:cs="Calibri"/>
          <w:b/>
          <w:sz w:val="20"/>
          <w:szCs w:val="20"/>
        </w:rPr>
      </w:pPr>
    </w:p>
    <w:p w:rsidR="005B42AF" w:rsidRPr="00C45228" w:rsidRDefault="005B42AF" w:rsidP="004F37DC">
      <w:pPr>
        <w:spacing w:after="200" w:line="276" w:lineRule="auto"/>
        <w:jc w:val="both"/>
        <w:rPr>
          <w:rFonts w:ascii="Barlow" w:eastAsia="Calibri" w:hAnsi="Barlow" w:cs="Calibri"/>
          <w:b/>
          <w:sz w:val="20"/>
          <w:szCs w:val="20"/>
        </w:rPr>
      </w:pPr>
    </w:p>
    <w:p w:rsidR="005B42AF" w:rsidRPr="00C45228" w:rsidRDefault="005B42AF" w:rsidP="004F37DC">
      <w:pPr>
        <w:spacing w:after="200" w:line="276" w:lineRule="auto"/>
        <w:jc w:val="both"/>
        <w:rPr>
          <w:rFonts w:ascii="Barlow" w:eastAsia="Calibri" w:hAnsi="Barlow" w:cs="Calibri"/>
          <w:b/>
          <w:sz w:val="20"/>
          <w:szCs w:val="20"/>
        </w:rPr>
      </w:pPr>
    </w:p>
    <w:p w:rsidR="005B42AF" w:rsidRPr="00C45228" w:rsidRDefault="005B42AF" w:rsidP="004F37DC">
      <w:pPr>
        <w:spacing w:after="200" w:line="276" w:lineRule="auto"/>
        <w:jc w:val="both"/>
        <w:rPr>
          <w:rFonts w:ascii="Barlow" w:eastAsia="Calibri" w:hAnsi="Barlow" w:cs="Calibri"/>
          <w:b/>
          <w:sz w:val="20"/>
          <w:szCs w:val="20"/>
        </w:rPr>
      </w:pPr>
    </w:p>
    <w:p w:rsidR="005B42AF" w:rsidRPr="00C45228" w:rsidRDefault="005B42AF" w:rsidP="004F37DC">
      <w:pPr>
        <w:spacing w:after="200" w:line="276" w:lineRule="auto"/>
        <w:jc w:val="both"/>
        <w:rPr>
          <w:rFonts w:ascii="Barlow" w:eastAsia="Calibri" w:hAnsi="Barlow" w:cs="Calibri"/>
          <w:b/>
          <w:sz w:val="20"/>
          <w:szCs w:val="20"/>
        </w:rPr>
      </w:pPr>
    </w:p>
    <w:p w:rsidR="005F2D2D" w:rsidRPr="00C45228" w:rsidRDefault="00C45228" w:rsidP="004F37DC">
      <w:pPr>
        <w:spacing w:after="200" w:line="276" w:lineRule="auto"/>
        <w:jc w:val="both"/>
        <w:rPr>
          <w:rFonts w:ascii="Barlow" w:eastAsia="Calibri" w:hAnsi="Barlow" w:cs="Calibri"/>
          <w:b/>
          <w:sz w:val="20"/>
          <w:szCs w:val="20"/>
        </w:rPr>
      </w:pPr>
      <w:r w:rsidRPr="00C45228">
        <w:rPr>
          <w:rFonts w:ascii="Barlow" w:hAnsi="Barlow"/>
          <w:noProof/>
          <w:sz w:val="20"/>
          <w:szCs w:val="20"/>
          <w:lang w:eastAsia="es-MX"/>
        </w:rPr>
        <w:lastRenderedPageBreak/>
        <w:drawing>
          <wp:anchor distT="0" distB="0" distL="114300" distR="114300" simplePos="0" relativeHeight="251660288" behindDoc="0" locked="0" layoutInCell="1" allowOverlap="1" wp14:anchorId="4C9509A6" wp14:editId="0CA0000C">
            <wp:simplePos x="0" y="0"/>
            <wp:positionH relativeFrom="margin">
              <wp:posOffset>2423160</wp:posOffset>
            </wp:positionH>
            <wp:positionV relativeFrom="paragraph">
              <wp:posOffset>74930</wp:posOffset>
            </wp:positionV>
            <wp:extent cx="4200525" cy="5326768"/>
            <wp:effectExtent l="0" t="0" r="0"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a:extLst>
                        <a:ext uri="{28A0092B-C50C-407E-A947-70E740481C1C}">
                          <a14:useLocalDpi xmlns:a14="http://schemas.microsoft.com/office/drawing/2010/main" val="0"/>
                        </a:ext>
                      </a:extLst>
                    </a:blip>
                    <a:srcRect t="33932"/>
                    <a:stretch/>
                  </pic:blipFill>
                  <pic:spPr bwMode="auto">
                    <a:xfrm>
                      <a:off x="0" y="0"/>
                      <a:ext cx="4200525" cy="532676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F2D2D" w:rsidRPr="00C45228" w:rsidRDefault="005F2D2D" w:rsidP="004F37DC">
      <w:pPr>
        <w:spacing w:after="200" w:line="276" w:lineRule="auto"/>
        <w:jc w:val="both"/>
        <w:rPr>
          <w:rFonts w:ascii="Barlow" w:eastAsia="Calibri" w:hAnsi="Barlow" w:cs="Calibri"/>
          <w:b/>
          <w:sz w:val="20"/>
          <w:szCs w:val="20"/>
        </w:rPr>
      </w:pPr>
    </w:p>
    <w:p w:rsidR="005B42AF" w:rsidRPr="00C45228" w:rsidRDefault="005B42AF" w:rsidP="004F37DC">
      <w:pPr>
        <w:spacing w:after="200" w:line="276" w:lineRule="auto"/>
        <w:jc w:val="both"/>
        <w:rPr>
          <w:rFonts w:ascii="Barlow" w:eastAsia="Calibri" w:hAnsi="Barlow" w:cs="Calibri"/>
          <w:b/>
          <w:sz w:val="20"/>
          <w:szCs w:val="20"/>
        </w:rPr>
      </w:pPr>
    </w:p>
    <w:p w:rsidR="005B42AF" w:rsidRDefault="005B42AF" w:rsidP="004F37DC">
      <w:pPr>
        <w:spacing w:after="200" w:line="276" w:lineRule="auto"/>
        <w:jc w:val="both"/>
        <w:rPr>
          <w:rFonts w:ascii="Barlow" w:eastAsia="Calibri" w:hAnsi="Barlow" w:cs="Calibri"/>
          <w:b/>
          <w:sz w:val="20"/>
          <w:szCs w:val="20"/>
        </w:rPr>
      </w:pPr>
    </w:p>
    <w:p w:rsidR="00C45228" w:rsidRDefault="00C45228" w:rsidP="004F37DC">
      <w:pPr>
        <w:spacing w:after="200" w:line="276" w:lineRule="auto"/>
        <w:jc w:val="both"/>
        <w:rPr>
          <w:rFonts w:ascii="Barlow" w:eastAsia="Calibri" w:hAnsi="Barlow" w:cs="Calibri"/>
          <w:b/>
          <w:sz w:val="20"/>
          <w:szCs w:val="20"/>
        </w:rPr>
      </w:pPr>
    </w:p>
    <w:p w:rsidR="00C45228" w:rsidRDefault="00C45228" w:rsidP="004F37DC">
      <w:pPr>
        <w:spacing w:after="200" w:line="276" w:lineRule="auto"/>
        <w:jc w:val="both"/>
        <w:rPr>
          <w:rFonts w:ascii="Barlow" w:eastAsia="Calibri" w:hAnsi="Barlow" w:cs="Calibri"/>
          <w:b/>
          <w:sz w:val="20"/>
          <w:szCs w:val="20"/>
        </w:rPr>
      </w:pPr>
    </w:p>
    <w:p w:rsidR="00C45228" w:rsidRDefault="00C45228" w:rsidP="004F37DC">
      <w:pPr>
        <w:spacing w:after="200" w:line="276" w:lineRule="auto"/>
        <w:jc w:val="both"/>
        <w:rPr>
          <w:rFonts w:ascii="Barlow" w:eastAsia="Calibri" w:hAnsi="Barlow" w:cs="Calibri"/>
          <w:b/>
          <w:sz w:val="20"/>
          <w:szCs w:val="20"/>
        </w:rPr>
      </w:pPr>
    </w:p>
    <w:p w:rsidR="00C45228" w:rsidRDefault="00C45228" w:rsidP="004F37DC">
      <w:pPr>
        <w:spacing w:after="200" w:line="276" w:lineRule="auto"/>
        <w:jc w:val="both"/>
        <w:rPr>
          <w:rFonts w:ascii="Barlow" w:eastAsia="Calibri" w:hAnsi="Barlow" w:cs="Calibri"/>
          <w:b/>
          <w:sz w:val="20"/>
          <w:szCs w:val="20"/>
        </w:rPr>
      </w:pPr>
    </w:p>
    <w:p w:rsidR="00C45228" w:rsidRDefault="00C45228" w:rsidP="004F37DC">
      <w:pPr>
        <w:spacing w:after="200" w:line="276" w:lineRule="auto"/>
        <w:jc w:val="both"/>
        <w:rPr>
          <w:rFonts w:ascii="Barlow" w:eastAsia="Calibri" w:hAnsi="Barlow" w:cs="Calibri"/>
          <w:b/>
          <w:sz w:val="20"/>
          <w:szCs w:val="20"/>
        </w:rPr>
      </w:pPr>
    </w:p>
    <w:p w:rsidR="00C45228" w:rsidRDefault="00C45228" w:rsidP="004F37DC">
      <w:pPr>
        <w:spacing w:after="200" w:line="276" w:lineRule="auto"/>
        <w:jc w:val="both"/>
        <w:rPr>
          <w:rFonts w:ascii="Barlow" w:eastAsia="Calibri" w:hAnsi="Barlow" w:cs="Calibri"/>
          <w:b/>
          <w:sz w:val="20"/>
          <w:szCs w:val="20"/>
        </w:rPr>
      </w:pPr>
    </w:p>
    <w:p w:rsidR="00C45228" w:rsidRDefault="00C45228" w:rsidP="004F37DC">
      <w:pPr>
        <w:spacing w:after="200" w:line="276" w:lineRule="auto"/>
        <w:jc w:val="both"/>
        <w:rPr>
          <w:rFonts w:ascii="Barlow" w:eastAsia="Calibri" w:hAnsi="Barlow" w:cs="Calibri"/>
          <w:b/>
          <w:sz w:val="20"/>
          <w:szCs w:val="20"/>
        </w:rPr>
      </w:pPr>
    </w:p>
    <w:p w:rsidR="00C45228" w:rsidRPr="00C45228" w:rsidRDefault="00C45228" w:rsidP="004F37DC">
      <w:pPr>
        <w:spacing w:after="200" w:line="276" w:lineRule="auto"/>
        <w:jc w:val="both"/>
        <w:rPr>
          <w:rFonts w:ascii="Barlow" w:eastAsia="Calibri" w:hAnsi="Barlow" w:cs="Calibri"/>
          <w:b/>
          <w:sz w:val="20"/>
          <w:szCs w:val="20"/>
        </w:rPr>
      </w:pPr>
    </w:p>
    <w:p w:rsidR="00932728" w:rsidRPr="00C45228" w:rsidRDefault="00932728" w:rsidP="004F37DC">
      <w:pPr>
        <w:spacing w:after="200" w:line="276" w:lineRule="auto"/>
        <w:jc w:val="both"/>
        <w:rPr>
          <w:rFonts w:ascii="Barlow" w:eastAsia="Calibri" w:hAnsi="Barlow" w:cs="Calibri"/>
          <w:b/>
          <w:sz w:val="20"/>
          <w:szCs w:val="20"/>
        </w:rPr>
      </w:pPr>
    </w:p>
    <w:p w:rsidR="00932728" w:rsidRPr="00C45228" w:rsidRDefault="00932728" w:rsidP="004F37DC">
      <w:pPr>
        <w:spacing w:after="200" w:line="276" w:lineRule="auto"/>
        <w:jc w:val="both"/>
        <w:rPr>
          <w:rFonts w:ascii="Barlow" w:eastAsia="Calibri" w:hAnsi="Barlow" w:cs="Calibri"/>
          <w:b/>
          <w:sz w:val="20"/>
          <w:szCs w:val="20"/>
        </w:rPr>
      </w:pPr>
    </w:p>
    <w:p w:rsidR="00932728" w:rsidRPr="00C45228" w:rsidRDefault="00932728" w:rsidP="004F37DC">
      <w:pPr>
        <w:spacing w:after="200" w:line="276" w:lineRule="auto"/>
        <w:jc w:val="both"/>
        <w:rPr>
          <w:rFonts w:ascii="Barlow" w:eastAsia="Calibri" w:hAnsi="Barlow" w:cs="Calibri"/>
          <w:b/>
          <w:sz w:val="20"/>
          <w:szCs w:val="20"/>
        </w:rPr>
      </w:pPr>
    </w:p>
    <w:p w:rsidR="00932728" w:rsidRPr="00C45228" w:rsidRDefault="00932728" w:rsidP="004F37DC">
      <w:pPr>
        <w:spacing w:after="200" w:line="276" w:lineRule="auto"/>
        <w:jc w:val="both"/>
        <w:rPr>
          <w:rFonts w:ascii="Barlow" w:eastAsia="Calibri" w:hAnsi="Barlow" w:cs="Calibri"/>
          <w:b/>
          <w:sz w:val="20"/>
          <w:szCs w:val="20"/>
        </w:rPr>
      </w:pPr>
    </w:p>
    <w:p w:rsidR="00932728" w:rsidRPr="00C45228" w:rsidRDefault="00932728" w:rsidP="004F37DC">
      <w:pPr>
        <w:spacing w:after="200" w:line="276" w:lineRule="auto"/>
        <w:jc w:val="both"/>
        <w:rPr>
          <w:rFonts w:ascii="Barlow" w:eastAsia="Calibri" w:hAnsi="Barlow" w:cs="Calibri"/>
          <w:b/>
          <w:sz w:val="20"/>
          <w:szCs w:val="20"/>
        </w:rPr>
      </w:pPr>
    </w:p>
    <w:p w:rsidR="005B42AF" w:rsidRPr="00C45228" w:rsidRDefault="005B42AF" w:rsidP="008F28A3">
      <w:pPr>
        <w:spacing w:after="200" w:line="276" w:lineRule="auto"/>
        <w:jc w:val="center"/>
        <w:rPr>
          <w:rFonts w:ascii="Barlow" w:eastAsia="Calibri" w:hAnsi="Barlow" w:cs="Calibri"/>
          <w:b/>
          <w:sz w:val="20"/>
          <w:szCs w:val="20"/>
        </w:rPr>
      </w:pPr>
    </w:p>
    <w:p w:rsidR="008F28A3" w:rsidRPr="00C45228" w:rsidRDefault="008F28A3" w:rsidP="008F28A3">
      <w:pPr>
        <w:spacing w:after="200" w:line="276" w:lineRule="auto"/>
        <w:jc w:val="center"/>
        <w:rPr>
          <w:rFonts w:ascii="Barlow" w:eastAsia="Calibri" w:hAnsi="Barlow" w:cs="Calibri"/>
          <w:b/>
          <w:sz w:val="20"/>
          <w:szCs w:val="20"/>
        </w:rPr>
      </w:pPr>
      <w:r w:rsidRPr="00C45228">
        <w:rPr>
          <w:rFonts w:ascii="Barlow" w:eastAsia="Calibri" w:hAnsi="Barlow" w:cs="Calibri"/>
          <w:b/>
          <w:sz w:val="20"/>
          <w:szCs w:val="20"/>
        </w:rPr>
        <w:t>B) NOTAS DE MEMORIA (CUENTAS DE ORDEN)</w:t>
      </w:r>
    </w:p>
    <w:p w:rsidR="008F28A3" w:rsidRPr="00C45228" w:rsidRDefault="008F28A3" w:rsidP="008F28A3">
      <w:pPr>
        <w:spacing w:after="200" w:line="276" w:lineRule="auto"/>
        <w:rPr>
          <w:rFonts w:ascii="Barlow" w:eastAsia="Calibri" w:hAnsi="Barlow" w:cs="Calibri"/>
          <w:sz w:val="20"/>
          <w:szCs w:val="20"/>
        </w:rPr>
      </w:pPr>
      <w:r w:rsidRPr="00C45228">
        <w:rPr>
          <w:rFonts w:ascii="Barlow" w:eastAsia="Calibri" w:hAnsi="Barlow" w:cs="Calibri"/>
          <w:b/>
          <w:sz w:val="20"/>
          <w:szCs w:val="20"/>
        </w:rPr>
        <w:t xml:space="preserve">1. </w:t>
      </w:r>
      <w:r w:rsidRPr="00C45228">
        <w:rPr>
          <w:rFonts w:ascii="Barlow" w:eastAsia="Calibri" w:hAnsi="Barlow" w:cs="Calibri"/>
          <w:sz w:val="20"/>
          <w:szCs w:val="20"/>
        </w:rPr>
        <w:t xml:space="preserve">A continuación se plasman las cuentas de orden al </w:t>
      </w:r>
      <w:r w:rsidR="00B84D59" w:rsidRPr="00C45228">
        <w:rPr>
          <w:rFonts w:ascii="Barlow" w:eastAsia="Calibri" w:hAnsi="Barlow" w:cs="Calibri"/>
          <w:sz w:val="20"/>
          <w:szCs w:val="20"/>
        </w:rPr>
        <w:t>31 de Marzo</w:t>
      </w:r>
      <w:r w:rsidR="00BE4B60" w:rsidRPr="00C45228">
        <w:rPr>
          <w:rFonts w:ascii="Barlow" w:eastAsia="Calibri" w:hAnsi="Barlow" w:cs="Calibri"/>
          <w:sz w:val="20"/>
          <w:szCs w:val="20"/>
        </w:rPr>
        <w:t xml:space="preserve"> del </w:t>
      </w:r>
      <w:r w:rsidR="00F77AFE" w:rsidRPr="00C45228">
        <w:rPr>
          <w:rFonts w:ascii="Barlow" w:eastAsia="Calibri" w:hAnsi="Barlow" w:cs="Calibri"/>
          <w:sz w:val="20"/>
          <w:szCs w:val="20"/>
        </w:rPr>
        <w:t>2021</w:t>
      </w:r>
      <w:r w:rsidRPr="00C45228">
        <w:rPr>
          <w:rFonts w:ascii="Barlow" w:eastAsia="Calibri" w:hAnsi="Barlow" w:cs="Calibri"/>
          <w:sz w:val="20"/>
          <w:szCs w:val="20"/>
        </w:rPr>
        <w:t>.</w:t>
      </w:r>
      <w:r w:rsidR="00BE4B60" w:rsidRPr="00C45228">
        <w:rPr>
          <w:rFonts w:ascii="Barlow" w:eastAsia="Calibri" w:hAnsi="Barlow" w:cs="Calibri"/>
          <w:sz w:val="20"/>
          <w:szCs w:val="20"/>
        </w:rPr>
        <w:t xml:space="preserve"> </w:t>
      </w:r>
    </w:p>
    <w:p w:rsidR="00B11AED" w:rsidRPr="00C45228" w:rsidRDefault="00B11AED" w:rsidP="008F28A3">
      <w:pPr>
        <w:spacing w:after="200" w:line="276" w:lineRule="auto"/>
        <w:rPr>
          <w:rFonts w:ascii="Barlow" w:eastAsia="Calibri" w:hAnsi="Barlow" w:cs="Calibri"/>
          <w:sz w:val="20"/>
          <w:szCs w:val="20"/>
        </w:rPr>
      </w:pPr>
      <w:r w:rsidRPr="00C45228">
        <w:rPr>
          <w:rFonts w:ascii="Barlow" w:hAnsi="Barlow"/>
          <w:noProof/>
          <w:sz w:val="20"/>
          <w:szCs w:val="20"/>
          <w:lang w:eastAsia="es-MX"/>
        </w:rPr>
        <w:drawing>
          <wp:inline distT="0" distB="0" distL="0" distR="0">
            <wp:extent cx="4808855" cy="812800"/>
            <wp:effectExtent l="0" t="0" r="0" b="63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08855" cy="812800"/>
                    </a:xfrm>
                    <a:prstGeom prst="rect">
                      <a:avLst/>
                    </a:prstGeom>
                    <a:noFill/>
                    <a:ln>
                      <a:noFill/>
                    </a:ln>
                  </pic:spPr>
                </pic:pic>
              </a:graphicData>
            </a:graphic>
          </wp:inline>
        </w:drawing>
      </w:r>
    </w:p>
    <w:p w:rsidR="00504835" w:rsidRPr="00C45228" w:rsidRDefault="00504835" w:rsidP="005C7BC9">
      <w:pPr>
        <w:spacing w:after="200" w:line="276" w:lineRule="auto"/>
        <w:jc w:val="center"/>
        <w:rPr>
          <w:rFonts w:ascii="Barlow" w:eastAsia="Calibri" w:hAnsi="Barlow" w:cs="Calibri"/>
          <w:b/>
          <w:sz w:val="20"/>
          <w:szCs w:val="20"/>
        </w:rPr>
      </w:pPr>
    </w:p>
    <w:p w:rsidR="005C7BC9" w:rsidRPr="00C45228" w:rsidRDefault="005C7BC9" w:rsidP="005C7BC9">
      <w:pPr>
        <w:spacing w:after="200" w:line="276" w:lineRule="auto"/>
        <w:jc w:val="center"/>
        <w:rPr>
          <w:rFonts w:ascii="Barlow" w:eastAsia="Calibri" w:hAnsi="Barlow" w:cs="Calibri"/>
          <w:b/>
          <w:sz w:val="20"/>
          <w:szCs w:val="20"/>
        </w:rPr>
      </w:pPr>
      <w:r w:rsidRPr="00C45228">
        <w:rPr>
          <w:rFonts w:ascii="Barlow" w:eastAsia="Calibri" w:hAnsi="Barlow" w:cs="Calibri"/>
          <w:b/>
          <w:sz w:val="20"/>
          <w:szCs w:val="20"/>
        </w:rPr>
        <w:t>C) NOTAS DE GESTIÓN ADMINISTRATIVA</w:t>
      </w:r>
    </w:p>
    <w:p w:rsidR="005C7BC9" w:rsidRPr="00C45228" w:rsidRDefault="005C7BC9" w:rsidP="005C7BC9">
      <w:pPr>
        <w:spacing w:after="200" w:line="276" w:lineRule="auto"/>
        <w:jc w:val="both"/>
        <w:rPr>
          <w:rFonts w:ascii="Barlow" w:eastAsia="Calibri" w:hAnsi="Barlow" w:cs="Calibri"/>
          <w:b/>
          <w:sz w:val="20"/>
          <w:szCs w:val="20"/>
        </w:rPr>
      </w:pPr>
      <w:r w:rsidRPr="00C45228">
        <w:rPr>
          <w:rFonts w:ascii="Barlow" w:eastAsia="Calibri" w:hAnsi="Barlow" w:cs="Calibri"/>
          <w:b/>
          <w:sz w:val="20"/>
          <w:szCs w:val="20"/>
        </w:rPr>
        <w:t>1. Introducción</w:t>
      </w:r>
    </w:p>
    <w:p w:rsidR="00A62A91" w:rsidRPr="00C45228" w:rsidRDefault="00A62A91" w:rsidP="00A62A91">
      <w:pPr>
        <w:spacing w:line="240" w:lineRule="auto"/>
        <w:rPr>
          <w:rFonts w:ascii="Barlow" w:hAnsi="Barlow" w:cstheme="minorHAnsi"/>
          <w:bCs/>
          <w:sz w:val="20"/>
          <w:szCs w:val="20"/>
        </w:rPr>
      </w:pPr>
      <w:r w:rsidRPr="00C45228">
        <w:rPr>
          <w:rFonts w:ascii="Barlow" w:hAnsi="Barlow" w:cstheme="minorHAnsi"/>
          <w:bCs/>
          <w:sz w:val="20"/>
          <w:szCs w:val="20"/>
        </w:rPr>
        <w:t>Los estados financieros, también denominados estados contables son informes que utiliza</w:t>
      </w:r>
      <w:r w:rsidR="009408C7" w:rsidRPr="00C45228">
        <w:rPr>
          <w:rFonts w:ascii="Barlow" w:hAnsi="Barlow" w:cstheme="minorHAnsi"/>
          <w:bCs/>
          <w:sz w:val="20"/>
          <w:szCs w:val="20"/>
        </w:rPr>
        <w:t xml:space="preserve"> el Fideicomiso </w:t>
      </w:r>
      <w:r w:rsidRPr="00C45228">
        <w:rPr>
          <w:rFonts w:ascii="Barlow" w:hAnsi="Barlow" w:cstheme="minorHAnsi"/>
          <w:bCs/>
          <w:sz w:val="20"/>
          <w:szCs w:val="20"/>
        </w:rPr>
        <w:t>para reportar la situación económica y financiera y los cambios que experimenta la misma.</w:t>
      </w:r>
    </w:p>
    <w:p w:rsidR="00A62A91" w:rsidRPr="00C45228" w:rsidRDefault="00A62A91" w:rsidP="00A62A91">
      <w:pPr>
        <w:spacing w:line="240" w:lineRule="auto"/>
        <w:rPr>
          <w:rFonts w:ascii="Barlow" w:hAnsi="Barlow" w:cstheme="minorHAnsi"/>
          <w:bCs/>
          <w:sz w:val="20"/>
          <w:szCs w:val="20"/>
        </w:rPr>
      </w:pPr>
      <w:r w:rsidRPr="00C45228">
        <w:rPr>
          <w:rFonts w:ascii="Barlow" w:hAnsi="Barlow" w:cstheme="minorHAnsi"/>
          <w:bCs/>
          <w:sz w:val="20"/>
          <w:szCs w:val="20"/>
        </w:rPr>
        <w:t xml:space="preserve">La mayoría de estos informes constituyen el producto final de la contabilidad y son elaborados de acuerdo a principios de contabilidad, normas contables y normas emitidas por la CONAC. La contabilidad es llevada adelante por contadores </w:t>
      </w:r>
      <w:r w:rsidR="008A5FEC" w:rsidRPr="00C45228">
        <w:rPr>
          <w:rFonts w:ascii="Barlow" w:hAnsi="Barlow" w:cstheme="minorHAnsi"/>
          <w:bCs/>
          <w:sz w:val="20"/>
          <w:szCs w:val="20"/>
        </w:rPr>
        <w:t>de la Secretaria de Fomento Turístico del Estado de Yucatán</w:t>
      </w:r>
      <w:r w:rsidRPr="00C45228">
        <w:rPr>
          <w:rFonts w:ascii="Barlow" w:hAnsi="Barlow" w:cstheme="minorHAnsi"/>
          <w:bCs/>
          <w:sz w:val="20"/>
          <w:szCs w:val="20"/>
        </w:rPr>
        <w:t>.</w:t>
      </w:r>
    </w:p>
    <w:p w:rsidR="005C7BC9" w:rsidRPr="00C45228" w:rsidRDefault="005C7BC9" w:rsidP="005C7BC9">
      <w:pPr>
        <w:spacing w:after="200" w:line="276" w:lineRule="auto"/>
        <w:jc w:val="both"/>
        <w:rPr>
          <w:rFonts w:ascii="Barlow" w:eastAsia="Calibri" w:hAnsi="Barlow" w:cs="Calibri"/>
          <w:b/>
          <w:sz w:val="20"/>
          <w:szCs w:val="20"/>
        </w:rPr>
      </w:pPr>
      <w:r w:rsidRPr="00C45228">
        <w:rPr>
          <w:rFonts w:ascii="Barlow" w:eastAsia="Calibri" w:hAnsi="Barlow" w:cs="Calibri"/>
          <w:b/>
          <w:sz w:val="20"/>
          <w:szCs w:val="20"/>
        </w:rPr>
        <w:t>2. Panorama Económico y Financiero</w:t>
      </w:r>
    </w:p>
    <w:p w:rsidR="005C7BC9" w:rsidRPr="00C45228" w:rsidRDefault="005C7BC9" w:rsidP="008A5FEC">
      <w:pPr>
        <w:rPr>
          <w:rFonts w:ascii="Barlow" w:hAnsi="Barlow" w:cstheme="minorHAnsi"/>
          <w:bCs/>
          <w:sz w:val="20"/>
          <w:szCs w:val="20"/>
        </w:rPr>
      </w:pPr>
      <w:r w:rsidRPr="00C45228">
        <w:rPr>
          <w:rFonts w:ascii="Barlow" w:hAnsi="Barlow" w:cstheme="minorHAnsi"/>
          <w:bCs/>
          <w:sz w:val="20"/>
          <w:szCs w:val="20"/>
        </w:rPr>
        <w:t>La Ley para el Fomento y Desarrollo del Turismo en Yucatán determina, en su artículo 53, fracción V, las acciones primordiales para lograr el desarrollo del turismo social en el estado.</w:t>
      </w:r>
    </w:p>
    <w:p w:rsidR="005C7BC9" w:rsidRPr="00C45228" w:rsidRDefault="005C7BC9" w:rsidP="005C7BC9">
      <w:pPr>
        <w:spacing w:after="200" w:line="276" w:lineRule="auto"/>
        <w:jc w:val="both"/>
        <w:rPr>
          <w:rFonts w:ascii="Barlow" w:eastAsia="Calibri" w:hAnsi="Barlow" w:cs="Calibri"/>
          <w:b/>
          <w:sz w:val="20"/>
          <w:szCs w:val="20"/>
        </w:rPr>
      </w:pPr>
      <w:r w:rsidRPr="00C45228">
        <w:rPr>
          <w:rFonts w:ascii="Barlow" w:eastAsia="Calibri" w:hAnsi="Barlow" w:cs="Calibri"/>
          <w:b/>
          <w:sz w:val="20"/>
          <w:szCs w:val="20"/>
        </w:rPr>
        <w:t>3. Autorización e Historia</w:t>
      </w:r>
    </w:p>
    <w:p w:rsidR="008A5FEC" w:rsidRPr="00C45228" w:rsidRDefault="008A5FEC" w:rsidP="008A5FEC">
      <w:pPr>
        <w:rPr>
          <w:rFonts w:ascii="Barlow" w:hAnsi="Barlow"/>
          <w:b/>
          <w:sz w:val="20"/>
          <w:szCs w:val="20"/>
        </w:rPr>
      </w:pPr>
      <w:r w:rsidRPr="00C45228">
        <w:rPr>
          <w:rFonts w:ascii="Barlow" w:hAnsi="Barlow" w:cstheme="minorHAnsi"/>
          <w:bCs/>
          <w:sz w:val="20"/>
          <w:szCs w:val="20"/>
        </w:rPr>
        <w:lastRenderedPageBreak/>
        <w:t xml:space="preserve">El Fiprotuy es un fideicomiso sin estructura, creado por el Ejecutivo del Estado a través del Convenio respectivo publicado en el Diario Oficial el 05 de octubre de 2004 bajo la denominación de </w:t>
      </w:r>
      <w:r w:rsidRPr="00C45228">
        <w:rPr>
          <w:rFonts w:ascii="Barlow" w:hAnsi="Barlow" w:cstheme="minorHAnsi"/>
          <w:bCs/>
          <w:i/>
          <w:sz w:val="20"/>
          <w:szCs w:val="20"/>
        </w:rPr>
        <w:t>Fideicomiso de Administración e Inversión para la Promoción Turística de Yucatán</w:t>
      </w:r>
    </w:p>
    <w:p w:rsidR="005C7BC9" w:rsidRPr="00C45228" w:rsidRDefault="005C7BC9" w:rsidP="005C7BC9">
      <w:pPr>
        <w:spacing w:after="200" w:line="276" w:lineRule="auto"/>
        <w:jc w:val="both"/>
        <w:rPr>
          <w:rFonts w:ascii="Barlow" w:eastAsia="Calibri" w:hAnsi="Barlow" w:cs="Calibri"/>
          <w:b/>
          <w:sz w:val="20"/>
          <w:szCs w:val="20"/>
        </w:rPr>
      </w:pPr>
      <w:r w:rsidRPr="00C45228">
        <w:rPr>
          <w:rFonts w:ascii="Barlow" w:eastAsia="Calibri" w:hAnsi="Barlow" w:cs="Calibri"/>
          <w:b/>
          <w:sz w:val="20"/>
          <w:szCs w:val="20"/>
        </w:rPr>
        <w:t>4. Organización y Objeto Social</w:t>
      </w:r>
    </w:p>
    <w:p w:rsidR="00E91B55" w:rsidRPr="00C45228" w:rsidRDefault="008A5FEC" w:rsidP="00E91B55">
      <w:pPr>
        <w:rPr>
          <w:rFonts w:ascii="Barlow" w:hAnsi="Barlow" w:cstheme="minorHAnsi"/>
          <w:bCs/>
          <w:sz w:val="20"/>
          <w:szCs w:val="20"/>
        </w:rPr>
      </w:pPr>
      <w:r w:rsidRPr="00C45228">
        <w:rPr>
          <w:rFonts w:ascii="Barlow" w:hAnsi="Barlow" w:cstheme="minorHAnsi"/>
          <w:bCs/>
          <w:sz w:val="20"/>
          <w:szCs w:val="20"/>
        </w:rPr>
        <w:t>E</w:t>
      </w:r>
      <w:r w:rsidR="00E91B55" w:rsidRPr="00C45228">
        <w:rPr>
          <w:rFonts w:ascii="Barlow" w:hAnsi="Barlow" w:cstheme="minorHAnsi"/>
          <w:bCs/>
          <w:sz w:val="20"/>
          <w:szCs w:val="20"/>
        </w:rPr>
        <w:t xml:space="preserve">l propósito </w:t>
      </w:r>
      <w:r w:rsidRPr="00C45228">
        <w:rPr>
          <w:rFonts w:ascii="Barlow" w:hAnsi="Barlow" w:cstheme="minorHAnsi"/>
          <w:bCs/>
          <w:sz w:val="20"/>
          <w:szCs w:val="20"/>
        </w:rPr>
        <w:t xml:space="preserve">del </w:t>
      </w:r>
      <w:r w:rsidRPr="00C45228">
        <w:rPr>
          <w:rFonts w:ascii="Barlow" w:hAnsi="Barlow" w:cstheme="minorHAnsi"/>
          <w:bCs/>
          <w:i/>
          <w:sz w:val="20"/>
          <w:szCs w:val="20"/>
        </w:rPr>
        <w:t>Fideicomiso de Administración e Inversión para la Promoción Turística de Yucatán</w:t>
      </w:r>
      <w:r w:rsidRPr="00C45228">
        <w:rPr>
          <w:rFonts w:ascii="Barlow" w:hAnsi="Barlow"/>
          <w:b/>
          <w:sz w:val="20"/>
          <w:szCs w:val="20"/>
        </w:rPr>
        <w:t xml:space="preserve"> </w:t>
      </w:r>
      <w:r w:rsidRPr="00C45228">
        <w:rPr>
          <w:rFonts w:ascii="Barlow" w:hAnsi="Barlow"/>
          <w:sz w:val="20"/>
          <w:szCs w:val="20"/>
        </w:rPr>
        <w:t>es el</w:t>
      </w:r>
      <w:r w:rsidRPr="00C45228">
        <w:rPr>
          <w:rFonts w:ascii="Barlow" w:hAnsi="Barlow"/>
          <w:b/>
          <w:sz w:val="20"/>
          <w:szCs w:val="20"/>
        </w:rPr>
        <w:t xml:space="preserve"> </w:t>
      </w:r>
      <w:r w:rsidR="00E91B55" w:rsidRPr="00C45228">
        <w:rPr>
          <w:rFonts w:ascii="Barlow" w:hAnsi="Barlow" w:cstheme="minorHAnsi"/>
          <w:bCs/>
          <w:sz w:val="20"/>
          <w:szCs w:val="20"/>
        </w:rPr>
        <w:t xml:space="preserve">de administrar e invertir, para fines de promoción turística de la </w:t>
      </w:r>
      <w:r w:rsidRPr="00C45228">
        <w:rPr>
          <w:rFonts w:ascii="Barlow" w:hAnsi="Barlow" w:cstheme="minorHAnsi"/>
          <w:bCs/>
          <w:sz w:val="20"/>
          <w:szCs w:val="20"/>
        </w:rPr>
        <w:t>entidad,</w:t>
      </w:r>
      <w:r w:rsidR="00E91B55" w:rsidRPr="00C45228">
        <w:rPr>
          <w:rFonts w:ascii="Barlow" w:hAnsi="Barlow" w:cstheme="minorHAnsi"/>
          <w:bCs/>
          <w:sz w:val="20"/>
          <w:szCs w:val="20"/>
        </w:rPr>
        <w:t xml:space="preserve"> Se encuentra legalmente constituido mediante contrato bancario suscrito el 06 de agosto de 2004 y tiene como órgano máximo de decisión al Comité Técnico, integrado por miembros del sector público y privado, relacionados con el sector turístico del Estado de Yucatán.</w:t>
      </w:r>
    </w:p>
    <w:p w:rsidR="008A5FEC" w:rsidRPr="00C45228" w:rsidRDefault="00E91B55" w:rsidP="008A5FEC">
      <w:pPr>
        <w:rPr>
          <w:rFonts w:ascii="Barlow" w:hAnsi="Barlow" w:cstheme="minorHAnsi"/>
          <w:bCs/>
          <w:sz w:val="20"/>
          <w:szCs w:val="20"/>
        </w:rPr>
      </w:pPr>
      <w:r w:rsidRPr="00C45228">
        <w:rPr>
          <w:rFonts w:ascii="Barlow" w:hAnsi="Barlow" w:cstheme="minorHAnsi"/>
          <w:bCs/>
          <w:sz w:val="20"/>
          <w:szCs w:val="20"/>
        </w:rPr>
        <w:t xml:space="preserve">El 8 de julio de 2014, en sesión extraordinaria, el Comité Técnico aprobó por unanimidad la modificación a la estructura y ampliación de fines del organismo, con lo cual quedó en adelante denominado como </w:t>
      </w:r>
      <w:r w:rsidRPr="00C45228">
        <w:rPr>
          <w:rFonts w:ascii="Barlow" w:hAnsi="Barlow" w:cstheme="minorHAnsi"/>
          <w:bCs/>
          <w:i/>
          <w:sz w:val="20"/>
          <w:szCs w:val="20"/>
        </w:rPr>
        <w:t>Fideicomiso de Administración e Inversión para la Promoción y Fomento al Desarrollo Turístico y Económico del Estado de Yucatán</w:t>
      </w:r>
      <w:r w:rsidRPr="00C45228">
        <w:rPr>
          <w:rFonts w:ascii="Barlow" w:hAnsi="Barlow" w:cstheme="minorHAnsi"/>
          <w:bCs/>
          <w:sz w:val="20"/>
          <w:szCs w:val="20"/>
        </w:rPr>
        <w:t>, ampliando sus objetivos para invertir, adicional al objetivo de promoción turística del</w:t>
      </w:r>
      <w:r w:rsidR="008A5FEC" w:rsidRPr="00C45228">
        <w:rPr>
          <w:rFonts w:ascii="Barlow" w:hAnsi="Barlow" w:cstheme="minorHAnsi"/>
          <w:bCs/>
          <w:sz w:val="20"/>
          <w:szCs w:val="20"/>
        </w:rPr>
        <w:t xml:space="preserve"> </w:t>
      </w:r>
      <w:r w:rsidRPr="00C45228">
        <w:rPr>
          <w:rFonts w:ascii="Barlow" w:hAnsi="Barlow" w:cstheme="minorHAnsi"/>
          <w:bCs/>
          <w:sz w:val="20"/>
          <w:szCs w:val="20"/>
        </w:rPr>
        <w:t>estado, en acciones destinadas a la comunicación social, la construcción y mantenimiento de infraestructura, así como promover programas y proyectos que contribuyan al desarrollo económico o turístico del Estado.</w:t>
      </w:r>
    </w:p>
    <w:p w:rsidR="005C7BC9" w:rsidRPr="00C45228" w:rsidRDefault="005C7BC9" w:rsidP="005C7BC9">
      <w:pPr>
        <w:spacing w:after="200" w:line="276" w:lineRule="auto"/>
        <w:jc w:val="both"/>
        <w:rPr>
          <w:rFonts w:ascii="Barlow" w:eastAsia="Calibri" w:hAnsi="Barlow" w:cs="Calibri"/>
          <w:b/>
          <w:sz w:val="20"/>
          <w:szCs w:val="20"/>
        </w:rPr>
      </w:pPr>
    </w:p>
    <w:p w:rsidR="005C7BC9" w:rsidRPr="00C45228" w:rsidRDefault="005C7BC9" w:rsidP="005C7BC9">
      <w:pPr>
        <w:spacing w:after="200" w:line="276" w:lineRule="auto"/>
        <w:jc w:val="both"/>
        <w:rPr>
          <w:rFonts w:ascii="Barlow" w:eastAsia="Calibri" w:hAnsi="Barlow" w:cs="Calibri"/>
          <w:b/>
          <w:sz w:val="20"/>
          <w:szCs w:val="20"/>
        </w:rPr>
      </w:pPr>
      <w:r w:rsidRPr="00C45228">
        <w:rPr>
          <w:rFonts w:ascii="Barlow" w:eastAsia="Calibri" w:hAnsi="Barlow" w:cs="Calibri"/>
          <w:b/>
          <w:sz w:val="20"/>
          <w:szCs w:val="20"/>
        </w:rPr>
        <w:t>5. Bases de Preparación de los Estados Financieros</w:t>
      </w:r>
    </w:p>
    <w:p w:rsidR="005C7BC9" w:rsidRPr="00C45228" w:rsidRDefault="005C7BC9" w:rsidP="005C7BC9">
      <w:pPr>
        <w:tabs>
          <w:tab w:val="left" w:pos="284"/>
        </w:tabs>
        <w:spacing w:after="200" w:line="276" w:lineRule="auto"/>
        <w:jc w:val="both"/>
        <w:rPr>
          <w:rFonts w:ascii="Barlow" w:eastAsia="Calibri" w:hAnsi="Barlow"/>
          <w:sz w:val="20"/>
          <w:szCs w:val="20"/>
        </w:rPr>
      </w:pPr>
      <w:r w:rsidRPr="00C45228">
        <w:rPr>
          <w:rFonts w:ascii="Barlow" w:eastAsia="Calibri" w:hAnsi="Barlow"/>
          <w:sz w:val="20"/>
          <w:szCs w:val="20"/>
        </w:rPr>
        <w:t>Los Estados Financieros a partir del ejercicio, son elaborados con base en la Ley General de Contabilidad Gubernamental, las Normas de Información Financiera y tomando los lineamientos del Consejo Nacional de</w:t>
      </w:r>
      <w:r w:rsidR="00A878D3" w:rsidRPr="00C45228">
        <w:rPr>
          <w:rFonts w:ascii="Barlow" w:eastAsia="Calibri" w:hAnsi="Barlow"/>
          <w:sz w:val="20"/>
          <w:szCs w:val="20"/>
        </w:rPr>
        <w:t xml:space="preserve"> Armonización Contable (CONAC).</w:t>
      </w:r>
    </w:p>
    <w:p w:rsidR="005C7BC9" w:rsidRPr="00C45228" w:rsidRDefault="005C7BC9" w:rsidP="005C7BC9">
      <w:pPr>
        <w:tabs>
          <w:tab w:val="left" w:pos="284"/>
        </w:tabs>
        <w:spacing w:after="200" w:line="276" w:lineRule="auto"/>
        <w:jc w:val="both"/>
        <w:rPr>
          <w:rFonts w:ascii="Barlow" w:eastAsia="Calibri" w:hAnsi="Barlow"/>
          <w:sz w:val="20"/>
          <w:szCs w:val="20"/>
        </w:rPr>
      </w:pPr>
      <w:r w:rsidRPr="00C45228">
        <w:rPr>
          <w:rFonts w:ascii="Barlow" w:eastAsia="Calibri" w:hAnsi="Barlow"/>
          <w:sz w:val="20"/>
          <w:szCs w:val="20"/>
        </w:rPr>
        <w:t>De conformidad con el artículo 22 de la Ley General de Contabilidad Gubernamental “… los postulados tienen como objetivo sustentar técnicamente la contabilidad gubernamental, así como organizar la efectiva sistematización que permita la obtención de información veraz, clara y concisa”.</w:t>
      </w:r>
    </w:p>
    <w:p w:rsidR="005C7BC9" w:rsidRPr="00C45228" w:rsidRDefault="005C7BC9" w:rsidP="005C7BC9">
      <w:pPr>
        <w:spacing w:after="200" w:line="276" w:lineRule="auto"/>
        <w:jc w:val="both"/>
        <w:rPr>
          <w:rFonts w:ascii="Barlow" w:eastAsia="Calibri" w:hAnsi="Barlow" w:cs="Calibri"/>
          <w:b/>
          <w:sz w:val="20"/>
          <w:szCs w:val="20"/>
        </w:rPr>
      </w:pPr>
      <w:r w:rsidRPr="00C45228">
        <w:rPr>
          <w:rFonts w:ascii="Barlow" w:eastAsia="Calibri" w:hAnsi="Barlow" w:cs="Calibri"/>
          <w:b/>
          <w:sz w:val="20"/>
          <w:szCs w:val="20"/>
        </w:rPr>
        <w:t>6. Políticas de Contabilidad Significativas</w:t>
      </w:r>
    </w:p>
    <w:p w:rsidR="005C7BC9" w:rsidRPr="00C45228" w:rsidRDefault="005C7BC9" w:rsidP="005C7BC9">
      <w:pPr>
        <w:tabs>
          <w:tab w:val="left" w:pos="284"/>
        </w:tabs>
        <w:spacing w:after="200" w:line="276" w:lineRule="auto"/>
        <w:jc w:val="both"/>
        <w:rPr>
          <w:rFonts w:ascii="Barlow" w:eastAsia="Calibri" w:hAnsi="Barlow"/>
          <w:sz w:val="20"/>
          <w:szCs w:val="20"/>
        </w:rPr>
      </w:pPr>
      <w:r w:rsidRPr="00C45228">
        <w:rPr>
          <w:rFonts w:ascii="Barlow" w:eastAsia="Calibri" w:hAnsi="Barlow"/>
          <w:sz w:val="20"/>
          <w:szCs w:val="20"/>
        </w:rPr>
        <w:t>La información es preparada con base a la Ley General de Contabilidad Gubernamental, que a través del Consejo Nacional de Armonización Contable (CONAC), emite las normas contables y lineamientos para la generación de la información financiera que aplica a los entes públicos.</w:t>
      </w:r>
    </w:p>
    <w:p w:rsidR="00E91B55" w:rsidRPr="00C45228" w:rsidRDefault="008A5FEC" w:rsidP="008A5FEC">
      <w:pPr>
        <w:pStyle w:val="Prrafodelista"/>
        <w:numPr>
          <w:ilvl w:val="0"/>
          <w:numId w:val="8"/>
        </w:numPr>
        <w:spacing w:after="0" w:line="240" w:lineRule="auto"/>
        <w:jc w:val="both"/>
        <w:rPr>
          <w:rFonts w:ascii="Barlow" w:hAnsi="Barlow" w:cstheme="minorHAnsi"/>
          <w:sz w:val="20"/>
          <w:szCs w:val="20"/>
        </w:rPr>
      </w:pPr>
      <w:r w:rsidRPr="00C45228">
        <w:rPr>
          <w:rFonts w:ascii="Barlow" w:hAnsi="Barlow" w:cstheme="minorHAnsi"/>
          <w:b/>
          <w:sz w:val="20"/>
          <w:szCs w:val="20"/>
        </w:rPr>
        <w:t>Registro de Ingresos</w:t>
      </w:r>
    </w:p>
    <w:p w:rsidR="00E91B55" w:rsidRPr="00C45228" w:rsidRDefault="00E91B55" w:rsidP="00E91B55">
      <w:pPr>
        <w:jc w:val="both"/>
        <w:rPr>
          <w:rFonts w:ascii="Barlow" w:hAnsi="Barlow" w:cstheme="minorHAnsi"/>
          <w:sz w:val="20"/>
          <w:szCs w:val="20"/>
        </w:rPr>
      </w:pPr>
      <w:r w:rsidRPr="00C45228">
        <w:rPr>
          <w:rFonts w:ascii="Barlow" w:hAnsi="Barlow" w:cstheme="minorHAnsi"/>
          <w:sz w:val="20"/>
          <w:szCs w:val="20"/>
        </w:rPr>
        <w:lastRenderedPageBreak/>
        <w:t xml:space="preserve">El patrimonio que constituye este fideicomiso, es aportado por la recaudación por concepto del impuesto al hospedaje durante el ejercicio fiscal de cada año. </w:t>
      </w:r>
    </w:p>
    <w:p w:rsidR="00E91B55" w:rsidRPr="00C45228" w:rsidRDefault="008A5FEC" w:rsidP="008A5FEC">
      <w:pPr>
        <w:pStyle w:val="Prrafodelista"/>
        <w:numPr>
          <w:ilvl w:val="0"/>
          <w:numId w:val="8"/>
        </w:numPr>
        <w:jc w:val="both"/>
        <w:rPr>
          <w:rFonts w:ascii="Barlow" w:hAnsi="Barlow" w:cstheme="minorHAnsi"/>
          <w:b/>
          <w:bCs/>
          <w:sz w:val="20"/>
          <w:szCs w:val="20"/>
        </w:rPr>
      </w:pPr>
      <w:r w:rsidRPr="00C45228">
        <w:rPr>
          <w:rFonts w:ascii="Barlow" w:hAnsi="Barlow" w:cstheme="minorHAnsi"/>
          <w:b/>
          <w:bCs/>
          <w:sz w:val="20"/>
          <w:szCs w:val="20"/>
        </w:rPr>
        <w:t>Registro de Egresos</w:t>
      </w:r>
    </w:p>
    <w:p w:rsidR="00E91B55" w:rsidRPr="00C45228" w:rsidRDefault="00E91B55" w:rsidP="00E91B55">
      <w:pPr>
        <w:jc w:val="both"/>
        <w:rPr>
          <w:rFonts w:ascii="Barlow" w:hAnsi="Barlow" w:cstheme="minorHAnsi"/>
          <w:sz w:val="20"/>
          <w:szCs w:val="20"/>
        </w:rPr>
      </w:pPr>
      <w:r w:rsidRPr="00C45228">
        <w:rPr>
          <w:rFonts w:ascii="Barlow" w:hAnsi="Barlow" w:cstheme="minorHAnsi"/>
          <w:sz w:val="20"/>
          <w:szCs w:val="20"/>
        </w:rPr>
        <w:t>Estos se van a registrando a cuentas de resultados y en los rubros autorizados, conforme se vayan ejerciendo.</w:t>
      </w:r>
    </w:p>
    <w:p w:rsidR="005C7BC9" w:rsidRPr="00C45228" w:rsidRDefault="005C7BC9" w:rsidP="005C7BC9">
      <w:pPr>
        <w:spacing w:after="200" w:line="276" w:lineRule="auto"/>
        <w:jc w:val="both"/>
        <w:rPr>
          <w:rFonts w:ascii="Barlow" w:eastAsia="Calibri" w:hAnsi="Barlow" w:cs="Calibri"/>
          <w:b/>
          <w:sz w:val="20"/>
          <w:szCs w:val="20"/>
        </w:rPr>
      </w:pPr>
      <w:r w:rsidRPr="00C45228">
        <w:rPr>
          <w:rFonts w:ascii="Barlow" w:eastAsia="Calibri" w:hAnsi="Barlow" w:cs="Calibri"/>
          <w:b/>
          <w:sz w:val="20"/>
          <w:szCs w:val="20"/>
        </w:rPr>
        <w:t>7. Posición en Moneda Extranjera y Protección por Riesgo Cambiario</w:t>
      </w:r>
    </w:p>
    <w:p w:rsidR="008A5FEC" w:rsidRPr="00C45228" w:rsidRDefault="008A5FEC" w:rsidP="008A5FEC">
      <w:pPr>
        <w:pStyle w:val="Texto"/>
        <w:spacing w:after="80" w:line="276" w:lineRule="auto"/>
        <w:ind w:left="720" w:firstLine="0"/>
        <w:jc w:val="left"/>
        <w:rPr>
          <w:rFonts w:ascii="Barlow" w:hAnsi="Barlow" w:cstheme="minorHAnsi"/>
          <w:sz w:val="20"/>
          <w:lang w:val="es-MX"/>
        </w:rPr>
      </w:pPr>
      <w:r w:rsidRPr="00C45228">
        <w:rPr>
          <w:rFonts w:ascii="Barlow" w:hAnsi="Barlow" w:cstheme="minorHAnsi"/>
          <w:sz w:val="20"/>
          <w:lang w:val="es-MX"/>
        </w:rPr>
        <w:t>-No Aplica-</w:t>
      </w:r>
    </w:p>
    <w:p w:rsidR="005C7BC9" w:rsidRPr="00C45228" w:rsidRDefault="005C7BC9" w:rsidP="005C7BC9">
      <w:pPr>
        <w:spacing w:after="200" w:line="276" w:lineRule="auto"/>
        <w:jc w:val="both"/>
        <w:rPr>
          <w:rFonts w:ascii="Barlow" w:eastAsia="Calibri" w:hAnsi="Barlow" w:cs="Calibri"/>
          <w:b/>
          <w:sz w:val="20"/>
          <w:szCs w:val="20"/>
        </w:rPr>
      </w:pPr>
      <w:r w:rsidRPr="00C45228">
        <w:rPr>
          <w:rFonts w:ascii="Barlow" w:eastAsia="Calibri" w:hAnsi="Barlow" w:cs="Calibri"/>
          <w:b/>
          <w:sz w:val="20"/>
          <w:szCs w:val="20"/>
        </w:rPr>
        <w:t>8. Reporte Analítico del Activo</w:t>
      </w:r>
    </w:p>
    <w:p w:rsidR="008A5FEC" w:rsidRPr="00C45228" w:rsidRDefault="008A5FEC" w:rsidP="008A5FEC">
      <w:pPr>
        <w:pStyle w:val="Texto"/>
        <w:spacing w:after="80" w:line="276" w:lineRule="auto"/>
        <w:ind w:left="720" w:firstLine="0"/>
        <w:jc w:val="left"/>
        <w:rPr>
          <w:rFonts w:ascii="Barlow" w:hAnsi="Barlow" w:cstheme="minorHAnsi"/>
          <w:sz w:val="20"/>
          <w:lang w:val="es-MX"/>
        </w:rPr>
      </w:pPr>
      <w:r w:rsidRPr="00C45228">
        <w:rPr>
          <w:rFonts w:ascii="Barlow" w:hAnsi="Barlow" w:cstheme="minorHAnsi"/>
          <w:sz w:val="20"/>
          <w:lang w:val="es-MX"/>
        </w:rPr>
        <w:t>-No Aplica-</w:t>
      </w:r>
    </w:p>
    <w:p w:rsidR="005C7BC9" w:rsidRPr="00C45228" w:rsidRDefault="005C7BC9" w:rsidP="005C7BC9">
      <w:pPr>
        <w:spacing w:after="200" w:line="276" w:lineRule="auto"/>
        <w:jc w:val="both"/>
        <w:rPr>
          <w:rFonts w:ascii="Barlow" w:eastAsia="Calibri" w:hAnsi="Barlow" w:cs="Calibri"/>
          <w:b/>
          <w:sz w:val="20"/>
          <w:szCs w:val="20"/>
        </w:rPr>
      </w:pPr>
      <w:r w:rsidRPr="00C45228">
        <w:rPr>
          <w:rFonts w:ascii="Barlow" w:eastAsia="Calibri" w:hAnsi="Barlow" w:cs="Calibri"/>
          <w:b/>
          <w:sz w:val="20"/>
          <w:szCs w:val="20"/>
        </w:rPr>
        <w:t>9. Fideicomisos, Mandatos y Análogos</w:t>
      </w:r>
    </w:p>
    <w:p w:rsidR="008A5FEC" w:rsidRPr="00C45228" w:rsidRDefault="008A5FEC" w:rsidP="008A5FEC">
      <w:pPr>
        <w:pStyle w:val="Texto"/>
        <w:spacing w:after="80" w:line="276" w:lineRule="auto"/>
        <w:ind w:left="720" w:firstLine="0"/>
        <w:jc w:val="left"/>
        <w:rPr>
          <w:rFonts w:ascii="Barlow" w:hAnsi="Barlow" w:cstheme="minorHAnsi"/>
          <w:sz w:val="20"/>
          <w:lang w:val="es-MX"/>
        </w:rPr>
      </w:pPr>
      <w:r w:rsidRPr="00C45228">
        <w:rPr>
          <w:rFonts w:ascii="Barlow" w:hAnsi="Barlow" w:cstheme="minorHAnsi"/>
          <w:sz w:val="20"/>
          <w:lang w:val="es-MX"/>
        </w:rPr>
        <w:t>-No Aplica-</w:t>
      </w:r>
    </w:p>
    <w:p w:rsidR="005C7BC9" w:rsidRPr="00C45228" w:rsidRDefault="005C7BC9" w:rsidP="005C7BC9">
      <w:pPr>
        <w:spacing w:after="200" w:line="276" w:lineRule="auto"/>
        <w:jc w:val="both"/>
        <w:rPr>
          <w:rFonts w:ascii="Barlow" w:eastAsia="Calibri" w:hAnsi="Barlow" w:cs="Calibri"/>
          <w:b/>
          <w:sz w:val="20"/>
          <w:szCs w:val="20"/>
        </w:rPr>
      </w:pPr>
      <w:r w:rsidRPr="00C45228">
        <w:rPr>
          <w:rFonts w:ascii="Barlow" w:eastAsia="Calibri" w:hAnsi="Barlow" w:cs="Calibri"/>
          <w:b/>
          <w:sz w:val="20"/>
          <w:szCs w:val="20"/>
        </w:rPr>
        <w:t>10. Reporte de la Recaudación</w:t>
      </w:r>
    </w:p>
    <w:p w:rsidR="00D85B1A" w:rsidRPr="00C45228" w:rsidRDefault="00D85B1A" w:rsidP="008A5FEC">
      <w:pPr>
        <w:jc w:val="both"/>
        <w:rPr>
          <w:rFonts w:ascii="Barlow" w:hAnsi="Barlow" w:cstheme="minorHAnsi"/>
          <w:bCs/>
          <w:sz w:val="20"/>
          <w:szCs w:val="20"/>
        </w:rPr>
      </w:pPr>
      <w:r w:rsidRPr="00C45228">
        <w:rPr>
          <w:rFonts w:ascii="Barlow" w:hAnsi="Barlow" w:cstheme="minorHAnsi"/>
          <w:bCs/>
          <w:sz w:val="20"/>
          <w:szCs w:val="20"/>
        </w:rPr>
        <w:t>Los recursos que se recaudan son por concepto del Impuesto Estatal al Hospedaje</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47"/>
        <w:gridCol w:w="2403"/>
        <w:gridCol w:w="2029"/>
      </w:tblGrid>
      <w:tr w:rsidR="00D85B1A" w:rsidRPr="00C45228" w:rsidTr="00D85B1A">
        <w:trPr>
          <w:trHeight w:val="416"/>
        </w:trPr>
        <w:tc>
          <w:tcPr>
            <w:tcW w:w="3147" w:type="dxa"/>
          </w:tcPr>
          <w:p w:rsidR="00D85B1A" w:rsidRPr="00C45228" w:rsidRDefault="00D85B1A" w:rsidP="0046234B">
            <w:pPr>
              <w:jc w:val="center"/>
              <w:rPr>
                <w:rFonts w:ascii="Barlow" w:hAnsi="Barlow" w:cstheme="minorHAnsi"/>
                <w:b/>
                <w:sz w:val="20"/>
                <w:szCs w:val="20"/>
              </w:rPr>
            </w:pPr>
            <w:r w:rsidRPr="00C45228">
              <w:rPr>
                <w:rFonts w:ascii="Barlow" w:hAnsi="Barlow" w:cstheme="minorHAnsi"/>
                <w:b/>
                <w:sz w:val="20"/>
                <w:szCs w:val="20"/>
              </w:rPr>
              <w:t>Cuenta</w:t>
            </w:r>
          </w:p>
        </w:tc>
        <w:tc>
          <w:tcPr>
            <w:tcW w:w="2403" w:type="dxa"/>
          </w:tcPr>
          <w:p w:rsidR="00D85B1A" w:rsidRPr="00C45228" w:rsidRDefault="00B84D59" w:rsidP="0046234B">
            <w:pPr>
              <w:jc w:val="center"/>
              <w:rPr>
                <w:rFonts w:ascii="Barlow" w:hAnsi="Barlow" w:cstheme="minorHAnsi"/>
                <w:b/>
                <w:sz w:val="20"/>
                <w:szCs w:val="20"/>
              </w:rPr>
            </w:pPr>
            <w:r w:rsidRPr="00C45228">
              <w:rPr>
                <w:rFonts w:ascii="Barlow" w:hAnsi="Barlow" w:cstheme="minorHAnsi"/>
                <w:b/>
                <w:sz w:val="20"/>
                <w:szCs w:val="20"/>
              </w:rPr>
              <w:t>Marzo</w:t>
            </w:r>
          </w:p>
        </w:tc>
        <w:tc>
          <w:tcPr>
            <w:tcW w:w="2029" w:type="dxa"/>
          </w:tcPr>
          <w:p w:rsidR="00D85B1A" w:rsidRPr="00C45228" w:rsidRDefault="00D85B1A" w:rsidP="0046234B">
            <w:pPr>
              <w:jc w:val="center"/>
              <w:rPr>
                <w:rFonts w:ascii="Barlow" w:hAnsi="Barlow" w:cstheme="minorHAnsi"/>
                <w:b/>
                <w:sz w:val="20"/>
                <w:szCs w:val="20"/>
              </w:rPr>
            </w:pPr>
            <w:r w:rsidRPr="00C45228">
              <w:rPr>
                <w:rFonts w:ascii="Barlow" w:hAnsi="Barlow" w:cstheme="minorHAnsi"/>
                <w:b/>
                <w:sz w:val="20"/>
                <w:szCs w:val="20"/>
              </w:rPr>
              <w:t>Acumulado</w:t>
            </w:r>
          </w:p>
        </w:tc>
      </w:tr>
      <w:tr w:rsidR="00D85B1A" w:rsidRPr="00C45228" w:rsidTr="00D85B1A">
        <w:trPr>
          <w:trHeight w:val="416"/>
        </w:trPr>
        <w:tc>
          <w:tcPr>
            <w:tcW w:w="3147" w:type="dxa"/>
          </w:tcPr>
          <w:p w:rsidR="00D85B1A" w:rsidRPr="00C45228" w:rsidRDefault="005736D3" w:rsidP="0046234B">
            <w:pPr>
              <w:jc w:val="both"/>
              <w:rPr>
                <w:rFonts w:ascii="Barlow" w:hAnsi="Barlow" w:cstheme="minorHAnsi"/>
                <w:b/>
                <w:sz w:val="20"/>
                <w:szCs w:val="20"/>
              </w:rPr>
            </w:pPr>
            <w:r w:rsidRPr="00C45228">
              <w:rPr>
                <w:rFonts w:ascii="Barlow" w:hAnsi="Barlow" w:cstheme="minorHAnsi"/>
                <w:b/>
                <w:sz w:val="20"/>
                <w:szCs w:val="20"/>
              </w:rPr>
              <w:t>Recaudación 5</w:t>
            </w:r>
            <w:r w:rsidR="00D85B1A" w:rsidRPr="00C45228">
              <w:rPr>
                <w:rFonts w:ascii="Barlow" w:hAnsi="Barlow" w:cstheme="minorHAnsi"/>
                <w:b/>
                <w:sz w:val="20"/>
                <w:szCs w:val="20"/>
              </w:rPr>
              <w:t xml:space="preserve">% sobre Hospedaje </w:t>
            </w:r>
          </w:p>
        </w:tc>
        <w:tc>
          <w:tcPr>
            <w:tcW w:w="2403" w:type="dxa"/>
          </w:tcPr>
          <w:p w:rsidR="00D85B1A" w:rsidRPr="00C45228" w:rsidRDefault="00854AB2" w:rsidP="00932728">
            <w:pPr>
              <w:jc w:val="both"/>
              <w:rPr>
                <w:rFonts w:ascii="Barlow" w:hAnsi="Barlow" w:cstheme="minorHAnsi"/>
                <w:sz w:val="20"/>
                <w:szCs w:val="20"/>
              </w:rPr>
            </w:pPr>
            <w:r w:rsidRPr="00C45228">
              <w:rPr>
                <w:rFonts w:ascii="Barlow" w:hAnsi="Barlow" w:cstheme="minorHAnsi"/>
                <w:sz w:val="20"/>
                <w:szCs w:val="20"/>
              </w:rPr>
              <w:t xml:space="preserve">$           </w:t>
            </w:r>
            <w:r w:rsidR="00932728" w:rsidRPr="00C45228">
              <w:rPr>
                <w:rFonts w:ascii="Barlow" w:hAnsi="Barlow" w:cstheme="minorHAnsi"/>
                <w:sz w:val="20"/>
                <w:szCs w:val="20"/>
              </w:rPr>
              <w:t>0.00</w:t>
            </w:r>
          </w:p>
        </w:tc>
        <w:tc>
          <w:tcPr>
            <w:tcW w:w="2029" w:type="dxa"/>
          </w:tcPr>
          <w:p w:rsidR="00D85B1A" w:rsidRPr="00C45228" w:rsidRDefault="00D85B1A" w:rsidP="00854AB2">
            <w:pPr>
              <w:jc w:val="both"/>
              <w:rPr>
                <w:rFonts w:ascii="Barlow" w:hAnsi="Barlow" w:cstheme="minorHAnsi"/>
                <w:sz w:val="20"/>
                <w:szCs w:val="20"/>
              </w:rPr>
            </w:pPr>
            <w:r w:rsidRPr="00C45228">
              <w:rPr>
                <w:rFonts w:ascii="Barlow" w:hAnsi="Barlow" w:cstheme="minorHAnsi"/>
                <w:sz w:val="20"/>
                <w:szCs w:val="20"/>
              </w:rPr>
              <w:t xml:space="preserve">$    </w:t>
            </w:r>
            <w:r w:rsidR="00932728" w:rsidRPr="00C45228">
              <w:rPr>
                <w:rFonts w:ascii="Barlow" w:hAnsi="Barlow" w:cstheme="minorHAnsi"/>
                <w:sz w:val="20"/>
                <w:szCs w:val="20"/>
              </w:rPr>
              <w:t>0.00</w:t>
            </w:r>
          </w:p>
        </w:tc>
      </w:tr>
    </w:tbl>
    <w:p w:rsidR="00D85B1A" w:rsidRPr="00C45228" w:rsidRDefault="00D85B1A" w:rsidP="008A5FEC">
      <w:pPr>
        <w:jc w:val="both"/>
        <w:rPr>
          <w:rFonts w:ascii="Barlow" w:hAnsi="Barlow" w:cs="Arial"/>
          <w:b/>
          <w:sz w:val="20"/>
          <w:szCs w:val="20"/>
        </w:rPr>
      </w:pPr>
    </w:p>
    <w:p w:rsidR="00E91B55" w:rsidRPr="00C45228" w:rsidRDefault="00E91B55" w:rsidP="00E91B55">
      <w:pPr>
        <w:spacing w:line="240" w:lineRule="auto"/>
        <w:rPr>
          <w:rFonts w:ascii="Barlow" w:hAnsi="Barlow" w:cs="Arial"/>
          <w:b/>
          <w:sz w:val="20"/>
          <w:szCs w:val="20"/>
        </w:rPr>
      </w:pPr>
    </w:p>
    <w:p w:rsidR="00D85B1A" w:rsidRPr="00C45228" w:rsidRDefault="00D85B1A" w:rsidP="00E91B55">
      <w:pPr>
        <w:spacing w:line="240" w:lineRule="auto"/>
        <w:rPr>
          <w:rFonts w:ascii="Barlow" w:hAnsi="Barlow" w:cs="Arial"/>
          <w:b/>
          <w:sz w:val="20"/>
          <w:szCs w:val="20"/>
        </w:rPr>
      </w:pPr>
    </w:p>
    <w:p w:rsidR="005C7BC9" w:rsidRPr="00C45228" w:rsidRDefault="005C7BC9" w:rsidP="005C7BC9">
      <w:pPr>
        <w:spacing w:after="200" w:line="276" w:lineRule="auto"/>
        <w:rPr>
          <w:rFonts w:ascii="Barlow" w:eastAsia="Calibri" w:hAnsi="Barlow" w:cs="Calibri"/>
          <w:b/>
          <w:sz w:val="20"/>
          <w:szCs w:val="20"/>
        </w:rPr>
      </w:pPr>
      <w:r w:rsidRPr="00C45228">
        <w:rPr>
          <w:rFonts w:ascii="Barlow" w:eastAsia="Calibri" w:hAnsi="Barlow" w:cs="Calibri"/>
          <w:b/>
          <w:sz w:val="20"/>
          <w:szCs w:val="20"/>
        </w:rPr>
        <w:t>11. Información sobre la Deuda y el Reporte Analítico de la Deuda</w:t>
      </w:r>
    </w:p>
    <w:p w:rsidR="005C7BC9" w:rsidRPr="00C45228" w:rsidRDefault="005C7BC9" w:rsidP="005C7BC9">
      <w:pPr>
        <w:pStyle w:val="Texto"/>
        <w:spacing w:after="80" w:line="276" w:lineRule="auto"/>
        <w:ind w:left="720" w:firstLine="0"/>
        <w:jc w:val="left"/>
        <w:rPr>
          <w:rFonts w:ascii="Barlow" w:hAnsi="Barlow" w:cstheme="minorHAnsi"/>
          <w:sz w:val="20"/>
          <w:lang w:val="es-MX"/>
        </w:rPr>
      </w:pPr>
      <w:r w:rsidRPr="00C45228">
        <w:rPr>
          <w:rFonts w:ascii="Barlow" w:hAnsi="Barlow" w:cstheme="minorHAnsi"/>
          <w:sz w:val="20"/>
          <w:lang w:val="es-MX"/>
        </w:rPr>
        <w:t>-No Aplica-</w:t>
      </w:r>
    </w:p>
    <w:p w:rsidR="005C7BC9" w:rsidRPr="00C45228" w:rsidRDefault="005C7BC9" w:rsidP="005C7BC9">
      <w:pPr>
        <w:spacing w:after="200" w:line="276" w:lineRule="auto"/>
        <w:jc w:val="both"/>
        <w:rPr>
          <w:rFonts w:ascii="Barlow" w:eastAsia="Calibri" w:hAnsi="Barlow" w:cs="Calibri"/>
          <w:b/>
          <w:sz w:val="20"/>
          <w:szCs w:val="20"/>
        </w:rPr>
      </w:pPr>
      <w:r w:rsidRPr="00C45228">
        <w:rPr>
          <w:rFonts w:ascii="Barlow" w:eastAsia="Calibri" w:hAnsi="Barlow" w:cs="Calibri"/>
          <w:b/>
          <w:sz w:val="20"/>
          <w:szCs w:val="20"/>
        </w:rPr>
        <w:t>12. Calificaciones Otorgadas</w:t>
      </w:r>
    </w:p>
    <w:p w:rsidR="009408C7" w:rsidRPr="00C45228" w:rsidRDefault="009408C7" w:rsidP="009408C7">
      <w:pPr>
        <w:pStyle w:val="Texto"/>
        <w:spacing w:after="80" w:line="276" w:lineRule="auto"/>
        <w:ind w:left="720" w:firstLine="0"/>
        <w:jc w:val="left"/>
        <w:rPr>
          <w:rFonts w:ascii="Barlow" w:hAnsi="Barlow" w:cstheme="minorHAnsi"/>
          <w:sz w:val="20"/>
          <w:lang w:val="es-MX"/>
        </w:rPr>
      </w:pPr>
      <w:r w:rsidRPr="00C45228">
        <w:rPr>
          <w:rFonts w:ascii="Barlow" w:hAnsi="Barlow" w:cstheme="minorHAnsi"/>
          <w:sz w:val="20"/>
          <w:lang w:val="es-MX"/>
        </w:rPr>
        <w:t>-No Aplica-</w:t>
      </w:r>
    </w:p>
    <w:p w:rsidR="005C7BC9" w:rsidRPr="00C45228" w:rsidRDefault="005C7BC9" w:rsidP="005C7BC9">
      <w:pPr>
        <w:spacing w:after="200" w:line="276" w:lineRule="auto"/>
        <w:jc w:val="both"/>
        <w:rPr>
          <w:rFonts w:ascii="Barlow" w:eastAsia="Calibri" w:hAnsi="Barlow"/>
          <w:b/>
          <w:sz w:val="20"/>
          <w:szCs w:val="20"/>
        </w:rPr>
      </w:pPr>
    </w:p>
    <w:p w:rsidR="005C7BC9" w:rsidRPr="00C45228" w:rsidRDefault="005C7BC9" w:rsidP="005C7BC9">
      <w:pPr>
        <w:spacing w:after="200" w:line="276" w:lineRule="auto"/>
        <w:jc w:val="both"/>
        <w:rPr>
          <w:rFonts w:ascii="Barlow" w:eastAsia="Calibri" w:hAnsi="Barlow"/>
          <w:b/>
          <w:sz w:val="20"/>
          <w:szCs w:val="20"/>
        </w:rPr>
      </w:pPr>
      <w:r w:rsidRPr="00C45228">
        <w:rPr>
          <w:rFonts w:ascii="Barlow" w:eastAsia="Calibri" w:hAnsi="Barlow"/>
          <w:b/>
          <w:sz w:val="20"/>
          <w:szCs w:val="20"/>
        </w:rPr>
        <w:t>13. Proceso de Mejora</w:t>
      </w:r>
    </w:p>
    <w:p w:rsidR="009408C7" w:rsidRPr="00C45228" w:rsidRDefault="009408C7" w:rsidP="009408C7">
      <w:pPr>
        <w:pStyle w:val="Texto"/>
        <w:spacing w:after="80" w:line="276" w:lineRule="auto"/>
        <w:ind w:left="720" w:firstLine="0"/>
        <w:jc w:val="left"/>
        <w:rPr>
          <w:rFonts w:ascii="Barlow" w:hAnsi="Barlow" w:cstheme="minorHAnsi"/>
          <w:sz w:val="20"/>
          <w:lang w:val="es-MX"/>
        </w:rPr>
      </w:pPr>
      <w:r w:rsidRPr="00C45228">
        <w:rPr>
          <w:rFonts w:ascii="Barlow" w:hAnsi="Barlow" w:cstheme="minorHAnsi"/>
          <w:sz w:val="20"/>
          <w:lang w:val="es-MX"/>
        </w:rPr>
        <w:t>-No Aplica-</w:t>
      </w:r>
    </w:p>
    <w:p w:rsidR="005C7BC9" w:rsidRPr="00C45228" w:rsidRDefault="005C7BC9" w:rsidP="005C7BC9">
      <w:pPr>
        <w:tabs>
          <w:tab w:val="left" w:pos="426"/>
        </w:tabs>
        <w:rPr>
          <w:rFonts w:ascii="Barlow" w:eastAsia="Calibri" w:hAnsi="Barlow"/>
          <w:b/>
          <w:sz w:val="20"/>
          <w:szCs w:val="20"/>
        </w:rPr>
      </w:pPr>
      <w:r w:rsidRPr="00C45228">
        <w:rPr>
          <w:rFonts w:ascii="Barlow" w:eastAsia="Calibri" w:hAnsi="Barlow"/>
          <w:b/>
          <w:sz w:val="20"/>
          <w:szCs w:val="20"/>
        </w:rPr>
        <w:t>14. Información por Segmentos.</w:t>
      </w:r>
    </w:p>
    <w:p w:rsidR="009408C7" w:rsidRPr="00C45228" w:rsidRDefault="009408C7" w:rsidP="009408C7">
      <w:pPr>
        <w:pStyle w:val="Texto"/>
        <w:spacing w:after="80" w:line="276" w:lineRule="auto"/>
        <w:ind w:left="720" w:firstLine="0"/>
        <w:jc w:val="left"/>
        <w:rPr>
          <w:rFonts w:ascii="Barlow" w:hAnsi="Barlow" w:cstheme="minorHAnsi"/>
          <w:sz w:val="20"/>
          <w:lang w:val="es-MX"/>
        </w:rPr>
      </w:pPr>
      <w:r w:rsidRPr="00C45228">
        <w:rPr>
          <w:rFonts w:ascii="Barlow" w:hAnsi="Barlow" w:cstheme="minorHAnsi"/>
          <w:sz w:val="20"/>
          <w:lang w:val="es-MX"/>
        </w:rPr>
        <w:t>-No Aplica-</w:t>
      </w:r>
    </w:p>
    <w:p w:rsidR="005C7BC9" w:rsidRPr="00C45228" w:rsidRDefault="005C7BC9" w:rsidP="005C7BC9">
      <w:pPr>
        <w:spacing w:after="200" w:line="276" w:lineRule="auto"/>
        <w:jc w:val="both"/>
        <w:rPr>
          <w:rFonts w:ascii="Barlow" w:eastAsia="Calibri" w:hAnsi="Barlow"/>
          <w:sz w:val="20"/>
          <w:szCs w:val="20"/>
        </w:rPr>
      </w:pPr>
      <w:r w:rsidRPr="00C45228">
        <w:rPr>
          <w:rFonts w:ascii="Barlow" w:eastAsia="Calibri" w:hAnsi="Barlow"/>
          <w:b/>
          <w:sz w:val="20"/>
          <w:szCs w:val="20"/>
        </w:rPr>
        <w:t>15. Eventos Posteriores al Cierre.</w:t>
      </w:r>
    </w:p>
    <w:p w:rsidR="009408C7" w:rsidRPr="00C45228" w:rsidRDefault="009408C7" w:rsidP="009408C7">
      <w:pPr>
        <w:pStyle w:val="Texto"/>
        <w:spacing w:after="80" w:line="276" w:lineRule="auto"/>
        <w:ind w:left="720" w:firstLine="0"/>
        <w:jc w:val="left"/>
        <w:rPr>
          <w:rFonts w:ascii="Barlow" w:hAnsi="Barlow" w:cstheme="minorHAnsi"/>
          <w:sz w:val="20"/>
          <w:lang w:val="es-MX"/>
        </w:rPr>
      </w:pPr>
      <w:r w:rsidRPr="00C45228">
        <w:rPr>
          <w:rFonts w:ascii="Barlow" w:hAnsi="Barlow" w:cstheme="minorHAnsi"/>
          <w:sz w:val="20"/>
          <w:lang w:val="es-MX"/>
        </w:rPr>
        <w:t>-No Aplica-</w:t>
      </w:r>
    </w:p>
    <w:p w:rsidR="005C7BC9" w:rsidRPr="00C45228" w:rsidRDefault="005C7BC9" w:rsidP="005C7BC9">
      <w:pPr>
        <w:tabs>
          <w:tab w:val="left" w:pos="426"/>
        </w:tabs>
        <w:jc w:val="both"/>
        <w:rPr>
          <w:rFonts w:ascii="Barlow" w:eastAsia="Calibri" w:hAnsi="Barlow"/>
          <w:b/>
          <w:sz w:val="20"/>
          <w:szCs w:val="20"/>
        </w:rPr>
      </w:pPr>
      <w:r w:rsidRPr="00C45228">
        <w:rPr>
          <w:rFonts w:ascii="Barlow" w:eastAsia="Calibri" w:hAnsi="Barlow"/>
          <w:b/>
          <w:sz w:val="20"/>
          <w:szCs w:val="20"/>
        </w:rPr>
        <w:t>16. Partes relacionadas.</w:t>
      </w:r>
    </w:p>
    <w:p w:rsidR="005C6888" w:rsidRPr="00C45228" w:rsidRDefault="005C6888" w:rsidP="005C6888">
      <w:pPr>
        <w:spacing w:after="200" w:line="276" w:lineRule="auto"/>
        <w:jc w:val="both"/>
        <w:rPr>
          <w:rFonts w:ascii="Barlow" w:eastAsia="Calibri" w:hAnsi="Barlow"/>
          <w:sz w:val="20"/>
          <w:szCs w:val="20"/>
        </w:rPr>
      </w:pPr>
      <w:r w:rsidRPr="00C45228">
        <w:rPr>
          <w:rFonts w:ascii="Barlow" w:eastAsia="Calibri" w:hAnsi="Barlow"/>
          <w:sz w:val="20"/>
          <w:szCs w:val="20"/>
        </w:rPr>
        <w:t>Se manifiesta que no existen partes relacionadas que pudieran ejercer influencia significativa sobre la toma de decisiones y financieras y operativas.</w:t>
      </w:r>
    </w:p>
    <w:p w:rsidR="005C6888" w:rsidRPr="00C45228" w:rsidRDefault="005C6888" w:rsidP="005C6888">
      <w:pPr>
        <w:spacing w:after="200" w:line="276" w:lineRule="auto"/>
        <w:jc w:val="both"/>
        <w:rPr>
          <w:rFonts w:ascii="Barlow" w:eastAsia="Calibri" w:hAnsi="Barlow"/>
          <w:sz w:val="20"/>
          <w:szCs w:val="20"/>
        </w:rPr>
      </w:pPr>
      <w:r w:rsidRPr="00C45228">
        <w:rPr>
          <w:rFonts w:ascii="Barlow" w:eastAsia="Calibri" w:hAnsi="Barlow"/>
          <w:sz w:val="20"/>
          <w:szCs w:val="20"/>
        </w:rPr>
        <w:t xml:space="preserve">Estas notas son parte integrante de los estados financieros al </w:t>
      </w:r>
      <w:r w:rsidR="00B84D59" w:rsidRPr="00C45228">
        <w:rPr>
          <w:rFonts w:ascii="Barlow" w:hAnsi="Barlow" w:cstheme="minorHAnsi"/>
          <w:sz w:val="20"/>
          <w:szCs w:val="20"/>
        </w:rPr>
        <w:t>31 de Marzo</w:t>
      </w:r>
      <w:r w:rsidR="00A878D3" w:rsidRPr="00C45228">
        <w:rPr>
          <w:rFonts w:ascii="Barlow" w:hAnsi="Barlow" w:cstheme="minorHAnsi"/>
          <w:sz w:val="20"/>
          <w:szCs w:val="20"/>
        </w:rPr>
        <w:t xml:space="preserve"> del </w:t>
      </w:r>
      <w:r w:rsidR="00F77AFE" w:rsidRPr="00C45228">
        <w:rPr>
          <w:rFonts w:ascii="Barlow" w:hAnsi="Barlow" w:cstheme="minorHAnsi"/>
          <w:sz w:val="20"/>
          <w:szCs w:val="20"/>
        </w:rPr>
        <w:t>2021</w:t>
      </w:r>
      <w:r w:rsidRPr="00C45228">
        <w:rPr>
          <w:rFonts w:ascii="Barlow" w:eastAsia="Calibri" w:hAnsi="Barlow"/>
          <w:sz w:val="20"/>
          <w:szCs w:val="20"/>
        </w:rPr>
        <w:t>.</w:t>
      </w:r>
    </w:p>
    <w:p w:rsidR="00C45228" w:rsidRPr="00C45228" w:rsidRDefault="00C45228" w:rsidP="005C6888">
      <w:pPr>
        <w:spacing w:after="200" w:line="276" w:lineRule="auto"/>
        <w:jc w:val="both"/>
        <w:rPr>
          <w:rFonts w:ascii="Barlow" w:eastAsia="Calibri" w:hAnsi="Barlow"/>
          <w:sz w:val="20"/>
          <w:szCs w:val="20"/>
        </w:rPr>
      </w:pPr>
    </w:p>
    <w:p w:rsidR="00C45228" w:rsidRPr="00AC6E69" w:rsidRDefault="00C45228" w:rsidP="00C45228">
      <w:pPr>
        <w:spacing w:line="240" w:lineRule="auto"/>
        <w:rPr>
          <w:rFonts w:ascii="Barlow" w:hAnsi="Barlow" w:cs="Arial"/>
          <w:sz w:val="20"/>
          <w:szCs w:val="20"/>
        </w:rPr>
      </w:pPr>
      <w:r w:rsidRPr="00C45228">
        <w:rPr>
          <w:rFonts w:ascii="Barlow" w:hAnsi="Barlow" w:cs="Arial"/>
          <w:sz w:val="20"/>
          <w:szCs w:val="20"/>
        </w:rPr>
        <w:t>Bajo protesta de decir verdad declaramos que los Estados Financieros y sus Notas son razonablemente correctos y responsabilidad del emisor</w:t>
      </w:r>
      <w:r w:rsidRPr="00AC6E69">
        <w:rPr>
          <w:rFonts w:ascii="Barlow" w:hAnsi="Barlow" w:cs="Arial"/>
          <w:sz w:val="20"/>
          <w:szCs w:val="20"/>
        </w:rPr>
        <w:t>.</w:t>
      </w:r>
    </w:p>
    <w:p w:rsidR="00C45228" w:rsidRPr="00565516" w:rsidRDefault="00C45228" w:rsidP="005C6888">
      <w:pPr>
        <w:spacing w:after="200" w:line="276" w:lineRule="auto"/>
        <w:jc w:val="both"/>
        <w:rPr>
          <w:rFonts w:ascii="Calibri" w:eastAsia="Calibri" w:hAnsi="Calibri"/>
          <w:sz w:val="20"/>
          <w:szCs w:val="20"/>
        </w:rPr>
      </w:pPr>
    </w:p>
    <w:p w:rsidR="005C6888" w:rsidRDefault="005C6888" w:rsidP="009408C7">
      <w:pPr>
        <w:spacing w:line="240" w:lineRule="auto"/>
        <w:rPr>
          <w:rFonts w:cs="Arial"/>
          <w:b/>
          <w:sz w:val="20"/>
          <w:szCs w:val="20"/>
        </w:rPr>
      </w:pPr>
    </w:p>
    <w:p w:rsidR="009408C7" w:rsidRPr="009408C7" w:rsidRDefault="009408C7" w:rsidP="009408C7">
      <w:pPr>
        <w:spacing w:line="240" w:lineRule="auto"/>
        <w:rPr>
          <w:rFonts w:cs="Arial"/>
          <w:b/>
          <w:sz w:val="20"/>
          <w:szCs w:val="20"/>
        </w:rPr>
      </w:pPr>
    </w:p>
    <w:p w:rsidR="00E91B55" w:rsidRPr="00555678" w:rsidRDefault="00E91B55" w:rsidP="00E91B55">
      <w:pPr>
        <w:rPr>
          <w:rFonts w:cstheme="minorHAnsi"/>
          <w:sz w:val="20"/>
          <w:szCs w:val="20"/>
        </w:rPr>
      </w:pPr>
    </w:p>
    <w:p w:rsidR="00E37948" w:rsidRPr="00E232E6" w:rsidRDefault="00E37948" w:rsidP="00E91B55">
      <w:pPr>
        <w:rPr>
          <w:b/>
          <w:sz w:val="20"/>
        </w:rPr>
      </w:pPr>
    </w:p>
    <w:sectPr w:rsidR="00E37948" w:rsidRPr="00E232E6" w:rsidSect="00C45228">
      <w:pgSz w:w="15840" w:h="12240" w:orient="landscape"/>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02EA" w:rsidRDefault="000302EA" w:rsidP="00E91B55">
      <w:pPr>
        <w:spacing w:after="0" w:line="240" w:lineRule="auto"/>
      </w:pPr>
      <w:r>
        <w:separator/>
      </w:r>
    </w:p>
  </w:endnote>
  <w:endnote w:type="continuationSeparator" w:id="0">
    <w:p w:rsidR="000302EA" w:rsidRDefault="000302EA" w:rsidP="00E91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rlow">
    <w:panose1 w:val="000005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02EA" w:rsidRDefault="000302EA" w:rsidP="00E91B55">
      <w:pPr>
        <w:spacing w:after="0" w:line="240" w:lineRule="auto"/>
      </w:pPr>
      <w:r>
        <w:separator/>
      </w:r>
    </w:p>
  </w:footnote>
  <w:footnote w:type="continuationSeparator" w:id="0">
    <w:p w:rsidR="000302EA" w:rsidRDefault="000302EA" w:rsidP="00E91B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D7ADC"/>
    <w:multiLevelType w:val="hybridMultilevel"/>
    <w:tmpl w:val="E3724FFC"/>
    <w:lvl w:ilvl="0" w:tplc="4CAA7FD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5D6EBC"/>
    <w:multiLevelType w:val="hybridMultilevel"/>
    <w:tmpl w:val="AA169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63C2E13"/>
    <w:multiLevelType w:val="hybridMultilevel"/>
    <w:tmpl w:val="E3724FFC"/>
    <w:lvl w:ilvl="0" w:tplc="4CAA7FD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870FED"/>
    <w:multiLevelType w:val="hybridMultilevel"/>
    <w:tmpl w:val="AD10AD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BEA1B51"/>
    <w:multiLevelType w:val="hybridMultilevel"/>
    <w:tmpl w:val="2A44E2EC"/>
    <w:lvl w:ilvl="0" w:tplc="BDEE00D4">
      <w:numFmt w:val="bullet"/>
      <w:lvlText w:val="-"/>
      <w:lvlJc w:val="left"/>
      <w:pPr>
        <w:ind w:left="648" w:hanging="360"/>
      </w:pPr>
      <w:rPr>
        <w:rFonts w:ascii="Calibri" w:eastAsia="Times New Roman" w:hAnsi="Calibri" w:cs="Calibri"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5" w15:restartNumberingAfterBreak="0">
    <w:nsid w:val="2A7349E6"/>
    <w:multiLevelType w:val="hybridMultilevel"/>
    <w:tmpl w:val="932A1A0E"/>
    <w:lvl w:ilvl="0" w:tplc="F588034A">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04579B1"/>
    <w:multiLevelType w:val="hybridMultilevel"/>
    <w:tmpl w:val="080898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503391E"/>
    <w:multiLevelType w:val="hybridMultilevel"/>
    <w:tmpl w:val="CE787CC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FA24BE0"/>
    <w:multiLevelType w:val="hybridMultilevel"/>
    <w:tmpl w:val="7D8A7DD2"/>
    <w:lvl w:ilvl="0" w:tplc="CE38F638">
      <w:start w:val="1"/>
      <w:numFmt w:val="upp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6F777C49"/>
    <w:multiLevelType w:val="hybridMultilevel"/>
    <w:tmpl w:val="E3724FFC"/>
    <w:lvl w:ilvl="0" w:tplc="4CAA7FD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9"/>
  </w:num>
  <w:num w:numId="5">
    <w:abstractNumId w:val="0"/>
  </w:num>
  <w:num w:numId="6">
    <w:abstractNumId w:val="5"/>
  </w:num>
  <w:num w:numId="7">
    <w:abstractNumId w:val="8"/>
  </w:num>
  <w:num w:numId="8">
    <w:abstractNumId w:val="1"/>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2E6"/>
    <w:rsid w:val="000302EA"/>
    <w:rsid w:val="00032695"/>
    <w:rsid w:val="00041511"/>
    <w:rsid w:val="000A6CE4"/>
    <w:rsid w:val="00100D47"/>
    <w:rsid w:val="00111D81"/>
    <w:rsid w:val="00112A38"/>
    <w:rsid w:val="0012200A"/>
    <w:rsid w:val="001325C9"/>
    <w:rsid w:val="0014288B"/>
    <w:rsid w:val="00143075"/>
    <w:rsid w:val="0015046C"/>
    <w:rsid w:val="00196534"/>
    <w:rsid w:val="001F1931"/>
    <w:rsid w:val="001F53A0"/>
    <w:rsid w:val="00214427"/>
    <w:rsid w:val="00237874"/>
    <w:rsid w:val="002668B2"/>
    <w:rsid w:val="0027007C"/>
    <w:rsid w:val="00280FF8"/>
    <w:rsid w:val="00281966"/>
    <w:rsid w:val="002B13C8"/>
    <w:rsid w:val="002B3456"/>
    <w:rsid w:val="002C09E1"/>
    <w:rsid w:val="002D6D96"/>
    <w:rsid w:val="003033DF"/>
    <w:rsid w:val="00316135"/>
    <w:rsid w:val="0032179E"/>
    <w:rsid w:val="0034796A"/>
    <w:rsid w:val="0036246F"/>
    <w:rsid w:val="00362890"/>
    <w:rsid w:val="00364396"/>
    <w:rsid w:val="00374E25"/>
    <w:rsid w:val="00383C60"/>
    <w:rsid w:val="003D7437"/>
    <w:rsid w:val="00426438"/>
    <w:rsid w:val="00475AB3"/>
    <w:rsid w:val="004D3058"/>
    <w:rsid w:val="004E00DD"/>
    <w:rsid w:val="004F37DC"/>
    <w:rsid w:val="00504835"/>
    <w:rsid w:val="00526966"/>
    <w:rsid w:val="00532A3E"/>
    <w:rsid w:val="0054439D"/>
    <w:rsid w:val="005736D3"/>
    <w:rsid w:val="00584F7E"/>
    <w:rsid w:val="005B42AF"/>
    <w:rsid w:val="005C1EC4"/>
    <w:rsid w:val="005C6888"/>
    <w:rsid w:val="005C7BC9"/>
    <w:rsid w:val="005E4885"/>
    <w:rsid w:val="005F0C46"/>
    <w:rsid w:val="005F2D2D"/>
    <w:rsid w:val="0061554D"/>
    <w:rsid w:val="00632BD1"/>
    <w:rsid w:val="00645856"/>
    <w:rsid w:val="006529C0"/>
    <w:rsid w:val="00671C6C"/>
    <w:rsid w:val="00695613"/>
    <w:rsid w:val="00695A29"/>
    <w:rsid w:val="006E1F0C"/>
    <w:rsid w:val="006E55BE"/>
    <w:rsid w:val="00703AF5"/>
    <w:rsid w:val="00792FAE"/>
    <w:rsid w:val="00795722"/>
    <w:rsid w:val="007B776F"/>
    <w:rsid w:val="007E7CA3"/>
    <w:rsid w:val="00803CD3"/>
    <w:rsid w:val="00850D15"/>
    <w:rsid w:val="00854AB2"/>
    <w:rsid w:val="00870CB8"/>
    <w:rsid w:val="00871CD5"/>
    <w:rsid w:val="008A5FEC"/>
    <w:rsid w:val="008E1D53"/>
    <w:rsid w:val="008E4D1F"/>
    <w:rsid w:val="008F28A3"/>
    <w:rsid w:val="008F29F4"/>
    <w:rsid w:val="00911817"/>
    <w:rsid w:val="00921FDE"/>
    <w:rsid w:val="00927645"/>
    <w:rsid w:val="00932728"/>
    <w:rsid w:val="009408C7"/>
    <w:rsid w:val="009D3F2C"/>
    <w:rsid w:val="009F31FD"/>
    <w:rsid w:val="00A364E0"/>
    <w:rsid w:val="00A37823"/>
    <w:rsid w:val="00A62A91"/>
    <w:rsid w:val="00A878D3"/>
    <w:rsid w:val="00AE2844"/>
    <w:rsid w:val="00AE7ADE"/>
    <w:rsid w:val="00B02576"/>
    <w:rsid w:val="00B05756"/>
    <w:rsid w:val="00B06539"/>
    <w:rsid w:val="00B11AED"/>
    <w:rsid w:val="00B232BF"/>
    <w:rsid w:val="00B24490"/>
    <w:rsid w:val="00B40D48"/>
    <w:rsid w:val="00B63CD2"/>
    <w:rsid w:val="00B84D59"/>
    <w:rsid w:val="00BB5444"/>
    <w:rsid w:val="00BE4B60"/>
    <w:rsid w:val="00C35925"/>
    <w:rsid w:val="00C4349C"/>
    <w:rsid w:val="00C442C6"/>
    <w:rsid w:val="00C45228"/>
    <w:rsid w:val="00C659FE"/>
    <w:rsid w:val="00C73E88"/>
    <w:rsid w:val="00C7605A"/>
    <w:rsid w:val="00CA00CF"/>
    <w:rsid w:val="00CC1CB7"/>
    <w:rsid w:val="00CF30B3"/>
    <w:rsid w:val="00D169CE"/>
    <w:rsid w:val="00D817B0"/>
    <w:rsid w:val="00D85757"/>
    <w:rsid w:val="00D85B1A"/>
    <w:rsid w:val="00E00551"/>
    <w:rsid w:val="00E232E6"/>
    <w:rsid w:val="00E37948"/>
    <w:rsid w:val="00E63C7C"/>
    <w:rsid w:val="00E86F29"/>
    <w:rsid w:val="00E91B55"/>
    <w:rsid w:val="00EC574D"/>
    <w:rsid w:val="00F12223"/>
    <w:rsid w:val="00F42707"/>
    <w:rsid w:val="00F77AFE"/>
    <w:rsid w:val="00F83D37"/>
    <w:rsid w:val="00FA0157"/>
    <w:rsid w:val="00FA68F3"/>
    <w:rsid w:val="00FC12B5"/>
    <w:rsid w:val="00FD7B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AD7FC5-765C-408B-A3C3-46D3B79D9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qFormat/>
    <w:rsid w:val="00E232E6"/>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E232E6"/>
    <w:rPr>
      <w:rFonts w:ascii="Arial" w:eastAsia="Times New Roman" w:hAnsi="Arial" w:cs="Arial"/>
      <w:sz w:val="18"/>
      <w:szCs w:val="20"/>
      <w:lang w:val="es-ES" w:eastAsia="es-ES"/>
    </w:rPr>
  </w:style>
  <w:style w:type="table" w:styleId="Tablaconcuadrcula">
    <w:name w:val="Table Grid"/>
    <w:basedOn w:val="Tablanormal"/>
    <w:rsid w:val="00E232E6"/>
    <w:pPr>
      <w:spacing w:after="0" w:line="240" w:lineRule="auto"/>
    </w:pPr>
    <w:rPr>
      <w:rFonts w:ascii="Times New Roman" w:eastAsia="Times New Roman" w:hAnsi="Times New Roman" w:cs="Times New Roman"/>
      <w:sz w:val="20"/>
      <w:szCs w:val="20"/>
      <w:lang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OMANOS">
    <w:name w:val="ROMANOS"/>
    <w:basedOn w:val="Normal"/>
    <w:link w:val="ROMANOSCar"/>
    <w:rsid w:val="00795722"/>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795722"/>
    <w:rPr>
      <w:rFonts w:ascii="Arial" w:eastAsia="Times New Roman" w:hAnsi="Arial" w:cs="Arial"/>
      <w:sz w:val="18"/>
      <w:szCs w:val="18"/>
      <w:lang w:val="es-ES" w:eastAsia="es-ES"/>
    </w:rPr>
  </w:style>
  <w:style w:type="paragraph" w:styleId="Prrafodelista">
    <w:name w:val="List Paragraph"/>
    <w:basedOn w:val="Normal"/>
    <w:uiPriority w:val="34"/>
    <w:qFormat/>
    <w:rsid w:val="00E91B55"/>
    <w:pPr>
      <w:spacing w:after="200" w:line="276" w:lineRule="auto"/>
      <w:ind w:left="720"/>
      <w:contextualSpacing/>
    </w:pPr>
  </w:style>
  <w:style w:type="paragraph" w:styleId="Encabezado">
    <w:name w:val="header"/>
    <w:basedOn w:val="Normal"/>
    <w:link w:val="EncabezadoCar"/>
    <w:uiPriority w:val="99"/>
    <w:unhideWhenUsed/>
    <w:rsid w:val="00E91B5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91B55"/>
  </w:style>
  <w:style w:type="paragraph" w:styleId="Piedepgina">
    <w:name w:val="footer"/>
    <w:basedOn w:val="Normal"/>
    <w:link w:val="PiedepginaCar"/>
    <w:uiPriority w:val="99"/>
    <w:unhideWhenUsed/>
    <w:rsid w:val="00E91B5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B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62233">
      <w:bodyDiv w:val="1"/>
      <w:marLeft w:val="0"/>
      <w:marRight w:val="0"/>
      <w:marTop w:val="0"/>
      <w:marBottom w:val="0"/>
      <w:divBdr>
        <w:top w:val="none" w:sz="0" w:space="0" w:color="auto"/>
        <w:left w:val="none" w:sz="0" w:space="0" w:color="auto"/>
        <w:bottom w:val="none" w:sz="0" w:space="0" w:color="auto"/>
        <w:right w:val="none" w:sz="0" w:space="0" w:color="auto"/>
      </w:divBdr>
    </w:div>
    <w:div w:id="337394314">
      <w:bodyDiv w:val="1"/>
      <w:marLeft w:val="0"/>
      <w:marRight w:val="0"/>
      <w:marTop w:val="0"/>
      <w:marBottom w:val="0"/>
      <w:divBdr>
        <w:top w:val="none" w:sz="0" w:space="0" w:color="auto"/>
        <w:left w:val="none" w:sz="0" w:space="0" w:color="auto"/>
        <w:bottom w:val="none" w:sz="0" w:space="0" w:color="auto"/>
        <w:right w:val="none" w:sz="0" w:space="0" w:color="auto"/>
      </w:divBdr>
    </w:div>
    <w:div w:id="339507311">
      <w:bodyDiv w:val="1"/>
      <w:marLeft w:val="0"/>
      <w:marRight w:val="0"/>
      <w:marTop w:val="0"/>
      <w:marBottom w:val="0"/>
      <w:divBdr>
        <w:top w:val="none" w:sz="0" w:space="0" w:color="auto"/>
        <w:left w:val="none" w:sz="0" w:space="0" w:color="auto"/>
        <w:bottom w:val="none" w:sz="0" w:space="0" w:color="auto"/>
        <w:right w:val="none" w:sz="0" w:space="0" w:color="auto"/>
      </w:divBdr>
    </w:div>
    <w:div w:id="412967355">
      <w:bodyDiv w:val="1"/>
      <w:marLeft w:val="0"/>
      <w:marRight w:val="0"/>
      <w:marTop w:val="0"/>
      <w:marBottom w:val="0"/>
      <w:divBdr>
        <w:top w:val="none" w:sz="0" w:space="0" w:color="auto"/>
        <w:left w:val="none" w:sz="0" w:space="0" w:color="auto"/>
        <w:bottom w:val="none" w:sz="0" w:space="0" w:color="auto"/>
        <w:right w:val="none" w:sz="0" w:space="0" w:color="auto"/>
      </w:divBdr>
    </w:div>
    <w:div w:id="640117196">
      <w:bodyDiv w:val="1"/>
      <w:marLeft w:val="0"/>
      <w:marRight w:val="0"/>
      <w:marTop w:val="0"/>
      <w:marBottom w:val="0"/>
      <w:divBdr>
        <w:top w:val="none" w:sz="0" w:space="0" w:color="auto"/>
        <w:left w:val="none" w:sz="0" w:space="0" w:color="auto"/>
        <w:bottom w:val="none" w:sz="0" w:space="0" w:color="auto"/>
        <w:right w:val="none" w:sz="0" w:space="0" w:color="auto"/>
      </w:divBdr>
    </w:div>
    <w:div w:id="805314542">
      <w:bodyDiv w:val="1"/>
      <w:marLeft w:val="0"/>
      <w:marRight w:val="0"/>
      <w:marTop w:val="0"/>
      <w:marBottom w:val="0"/>
      <w:divBdr>
        <w:top w:val="none" w:sz="0" w:space="0" w:color="auto"/>
        <w:left w:val="none" w:sz="0" w:space="0" w:color="auto"/>
        <w:bottom w:val="none" w:sz="0" w:space="0" w:color="auto"/>
        <w:right w:val="none" w:sz="0" w:space="0" w:color="auto"/>
      </w:divBdr>
    </w:div>
    <w:div w:id="1018585480">
      <w:bodyDiv w:val="1"/>
      <w:marLeft w:val="0"/>
      <w:marRight w:val="0"/>
      <w:marTop w:val="0"/>
      <w:marBottom w:val="0"/>
      <w:divBdr>
        <w:top w:val="none" w:sz="0" w:space="0" w:color="auto"/>
        <w:left w:val="none" w:sz="0" w:space="0" w:color="auto"/>
        <w:bottom w:val="none" w:sz="0" w:space="0" w:color="auto"/>
        <w:right w:val="none" w:sz="0" w:space="0" w:color="auto"/>
      </w:divBdr>
    </w:div>
    <w:div w:id="1266696903">
      <w:bodyDiv w:val="1"/>
      <w:marLeft w:val="0"/>
      <w:marRight w:val="0"/>
      <w:marTop w:val="0"/>
      <w:marBottom w:val="0"/>
      <w:divBdr>
        <w:top w:val="none" w:sz="0" w:space="0" w:color="auto"/>
        <w:left w:val="none" w:sz="0" w:space="0" w:color="auto"/>
        <w:bottom w:val="none" w:sz="0" w:space="0" w:color="auto"/>
        <w:right w:val="none" w:sz="0" w:space="0" w:color="auto"/>
      </w:divBdr>
    </w:div>
    <w:div w:id="1305311812">
      <w:bodyDiv w:val="1"/>
      <w:marLeft w:val="0"/>
      <w:marRight w:val="0"/>
      <w:marTop w:val="0"/>
      <w:marBottom w:val="0"/>
      <w:divBdr>
        <w:top w:val="none" w:sz="0" w:space="0" w:color="auto"/>
        <w:left w:val="none" w:sz="0" w:space="0" w:color="auto"/>
        <w:bottom w:val="none" w:sz="0" w:space="0" w:color="auto"/>
        <w:right w:val="none" w:sz="0" w:space="0" w:color="auto"/>
      </w:divBdr>
    </w:div>
    <w:div w:id="1536504650">
      <w:bodyDiv w:val="1"/>
      <w:marLeft w:val="0"/>
      <w:marRight w:val="0"/>
      <w:marTop w:val="0"/>
      <w:marBottom w:val="0"/>
      <w:divBdr>
        <w:top w:val="none" w:sz="0" w:space="0" w:color="auto"/>
        <w:left w:val="none" w:sz="0" w:space="0" w:color="auto"/>
        <w:bottom w:val="none" w:sz="0" w:space="0" w:color="auto"/>
        <w:right w:val="none" w:sz="0" w:space="0" w:color="auto"/>
      </w:divBdr>
    </w:div>
    <w:div w:id="1540586962">
      <w:bodyDiv w:val="1"/>
      <w:marLeft w:val="0"/>
      <w:marRight w:val="0"/>
      <w:marTop w:val="0"/>
      <w:marBottom w:val="0"/>
      <w:divBdr>
        <w:top w:val="none" w:sz="0" w:space="0" w:color="auto"/>
        <w:left w:val="none" w:sz="0" w:space="0" w:color="auto"/>
        <w:bottom w:val="none" w:sz="0" w:space="0" w:color="auto"/>
        <w:right w:val="none" w:sz="0" w:space="0" w:color="auto"/>
      </w:divBdr>
    </w:div>
    <w:div w:id="1574971618">
      <w:bodyDiv w:val="1"/>
      <w:marLeft w:val="0"/>
      <w:marRight w:val="0"/>
      <w:marTop w:val="0"/>
      <w:marBottom w:val="0"/>
      <w:divBdr>
        <w:top w:val="none" w:sz="0" w:space="0" w:color="auto"/>
        <w:left w:val="none" w:sz="0" w:space="0" w:color="auto"/>
        <w:bottom w:val="none" w:sz="0" w:space="0" w:color="auto"/>
        <w:right w:val="none" w:sz="0" w:space="0" w:color="auto"/>
      </w:divBdr>
    </w:div>
    <w:div w:id="167741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1436</Words>
  <Characters>7904</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A. Echeverría Rodríguez</dc:creator>
  <cp:keywords/>
  <dc:description/>
  <cp:lastModifiedBy>Jennifer Estefany Millan Flores</cp:lastModifiedBy>
  <cp:revision>2</cp:revision>
  <dcterms:created xsi:type="dcterms:W3CDTF">2021-05-06T20:43:00Z</dcterms:created>
  <dcterms:modified xsi:type="dcterms:W3CDTF">2021-05-06T20:43:00Z</dcterms:modified>
</cp:coreProperties>
</file>