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D7D03" w14:textId="77777777" w:rsidR="0019420F" w:rsidRDefault="0019420F" w:rsidP="0019420F">
      <w:pPr>
        <w:autoSpaceDE w:val="0"/>
        <w:autoSpaceDN w:val="0"/>
        <w:adjustRightInd w:val="0"/>
        <w:spacing w:line="360" w:lineRule="auto"/>
        <w:jc w:val="center"/>
        <w:rPr>
          <w:rFonts w:ascii="Barlow" w:hAnsi="Barlow"/>
          <w:b/>
          <w:sz w:val="20"/>
          <w:szCs w:val="20"/>
        </w:rPr>
      </w:pPr>
      <w:r>
        <w:rPr>
          <w:rFonts w:ascii="Barlow" w:hAnsi="Barlow"/>
          <w:b/>
          <w:sz w:val="20"/>
          <w:szCs w:val="20"/>
        </w:rPr>
        <w:t>Notas a los Estados Financieros</w:t>
      </w:r>
    </w:p>
    <w:p w14:paraId="03C1A320" w14:textId="0673EF7D" w:rsidR="0019420F" w:rsidRDefault="0019420F" w:rsidP="0019420F">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2021</w:t>
      </w:r>
    </w:p>
    <w:p w14:paraId="369BBD98" w14:textId="77777777" w:rsidR="0019420F" w:rsidRDefault="0019420F" w:rsidP="0019420F">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0FC54830" w14:textId="77777777" w:rsidR="0019420F" w:rsidRDefault="0019420F" w:rsidP="0019420F">
      <w:pPr>
        <w:autoSpaceDE w:val="0"/>
        <w:autoSpaceDN w:val="0"/>
        <w:adjustRightInd w:val="0"/>
        <w:spacing w:line="360" w:lineRule="auto"/>
        <w:jc w:val="center"/>
        <w:rPr>
          <w:rFonts w:ascii="Barlow" w:hAnsi="Barlow"/>
          <w:b/>
          <w:sz w:val="20"/>
          <w:szCs w:val="20"/>
        </w:rPr>
      </w:pPr>
    </w:p>
    <w:p w14:paraId="1E6F165B" w14:textId="77777777" w:rsidR="0019420F" w:rsidRDefault="0019420F" w:rsidP="0019420F">
      <w:pPr>
        <w:autoSpaceDE w:val="0"/>
        <w:autoSpaceDN w:val="0"/>
        <w:adjustRightInd w:val="0"/>
        <w:spacing w:line="360" w:lineRule="auto"/>
        <w:rPr>
          <w:rFonts w:ascii="Barlow" w:hAnsi="Barlow"/>
          <w:sz w:val="20"/>
          <w:szCs w:val="20"/>
        </w:rPr>
      </w:pPr>
      <w:r>
        <w:rPr>
          <w:rFonts w:ascii="Barlow" w:hAnsi="Barlow"/>
          <w:b/>
          <w:sz w:val="20"/>
          <w:szCs w:val="20"/>
        </w:rPr>
        <w:t>Ente Público:  FIDEICOMISO FONDO DE APORTACIONES PARA LA SEGURIDAD PÚBLICA</w:t>
      </w:r>
    </w:p>
    <w:p w14:paraId="3CE4B10F" w14:textId="77777777" w:rsidR="00C4137E" w:rsidRPr="00906A55" w:rsidRDefault="00C4137E" w:rsidP="00D3760C">
      <w:pPr>
        <w:autoSpaceDE w:val="0"/>
        <w:autoSpaceDN w:val="0"/>
        <w:adjustRightInd w:val="0"/>
        <w:spacing w:line="360" w:lineRule="auto"/>
        <w:rPr>
          <w:rFonts w:ascii="Barlow" w:hAnsi="Barlow"/>
          <w:sz w:val="14"/>
        </w:rPr>
      </w:pPr>
    </w:p>
    <w:p w14:paraId="2C696431" w14:textId="38105099" w:rsidR="008273DF" w:rsidRPr="00410493" w:rsidRDefault="00C4137E" w:rsidP="00906A55">
      <w:pPr>
        <w:autoSpaceDE w:val="0"/>
        <w:autoSpaceDN w:val="0"/>
        <w:adjustRightInd w:val="0"/>
        <w:jc w:val="both"/>
        <w:rPr>
          <w:rFonts w:ascii="Barlow" w:hAnsi="Barlow" w:cs="Arial"/>
          <w:sz w:val="20"/>
          <w:szCs w:val="20"/>
        </w:rPr>
      </w:pPr>
      <w:r w:rsidRPr="00410493">
        <w:rPr>
          <w:rFonts w:ascii="Barlow" w:hAnsi="Barlow" w:cs="Arial"/>
          <w:sz w:val="20"/>
          <w:szCs w:val="20"/>
        </w:rPr>
        <w:t xml:space="preserve">Con el </w:t>
      </w:r>
      <w:r w:rsidR="00291770" w:rsidRPr="00410493">
        <w:rPr>
          <w:rFonts w:ascii="Barlow" w:hAnsi="Barlow" w:cs="Arial"/>
          <w:sz w:val="20"/>
          <w:szCs w:val="20"/>
        </w:rPr>
        <w:t>propósito</w:t>
      </w:r>
      <w:r w:rsidRPr="00410493">
        <w:rPr>
          <w:rFonts w:ascii="Barlow" w:hAnsi="Barlow" w:cs="Arial"/>
          <w:sz w:val="20"/>
          <w:szCs w:val="20"/>
        </w:rPr>
        <w:t xml:space="preserve"> de dar cumplimiento a los </w:t>
      </w:r>
      <w:r w:rsidR="00291770" w:rsidRPr="00410493">
        <w:rPr>
          <w:rFonts w:ascii="Barlow" w:hAnsi="Barlow" w:cs="Arial"/>
          <w:sz w:val="20"/>
          <w:szCs w:val="20"/>
        </w:rPr>
        <w:t>artículos</w:t>
      </w:r>
      <w:r w:rsidR="005A2D1D" w:rsidRPr="00410493">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410493">
        <w:rPr>
          <w:rFonts w:ascii="Barlow" w:hAnsi="Barlow" w:cs="Arial"/>
          <w:sz w:val="20"/>
          <w:szCs w:val="20"/>
        </w:rPr>
        <w:t xml:space="preserve">, el </w:t>
      </w:r>
      <w:r w:rsidR="000320C2">
        <w:rPr>
          <w:rFonts w:ascii="Barlow" w:hAnsi="Barlow" w:cs="Arial"/>
          <w:sz w:val="20"/>
          <w:szCs w:val="20"/>
        </w:rPr>
        <w:t xml:space="preserve">Fondo de Aportaciones para la Seguridad Pública </w:t>
      </w:r>
      <w:r w:rsidRPr="00410493">
        <w:rPr>
          <w:rFonts w:ascii="Barlow" w:hAnsi="Barlow" w:cs="Arial"/>
          <w:sz w:val="20"/>
          <w:szCs w:val="20"/>
        </w:rPr>
        <w:t>del Estado de Yucatán, ha preparado los Estados Financieros incluyendo</w:t>
      </w:r>
      <w:r w:rsidR="00672BB0">
        <w:rPr>
          <w:rFonts w:ascii="Barlow" w:hAnsi="Barlow" w:cs="Arial"/>
          <w:sz w:val="20"/>
          <w:szCs w:val="20"/>
        </w:rPr>
        <w:t xml:space="preserve"> </w:t>
      </w:r>
      <w:r w:rsidR="00CE3092">
        <w:rPr>
          <w:rFonts w:ascii="Barlow" w:hAnsi="Barlow" w:cs="Arial"/>
          <w:sz w:val="20"/>
          <w:szCs w:val="20"/>
        </w:rPr>
        <w:t xml:space="preserve">las operaciones efectuadas al </w:t>
      </w:r>
      <w:r w:rsidR="00AD26E5">
        <w:rPr>
          <w:rFonts w:ascii="Barlow" w:hAnsi="Barlow" w:cs="Arial"/>
          <w:sz w:val="20"/>
          <w:szCs w:val="20"/>
        </w:rPr>
        <w:t>31</w:t>
      </w:r>
      <w:r w:rsidR="00852D69"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Pr="00410493">
        <w:rPr>
          <w:rFonts w:ascii="Barlow" w:hAnsi="Barlow" w:cs="Arial"/>
          <w:sz w:val="20"/>
          <w:szCs w:val="20"/>
        </w:rPr>
        <w:t>.</w:t>
      </w:r>
    </w:p>
    <w:p w14:paraId="62357A2D" w14:textId="77777777" w:rsidR="00C4137E" w:rsidRPr="00672BB0" w:rsidRDefault="00C4137E" w:rsidP="00C4137E">
      <w:pPr>
        <w:autoSpaceDE w:val="0"/>
        <w:autoSpaceDN w:val="0"/>
        <w:adjustRightInd w:val="0"/>
        <w:spacing w:line="360" w:lineRule="auto"/>
        <w:jc w:val="both"/>
        <w:rPr>
          <w:rFonts w:ascii="Barlow" w:hAnsi="Barlow" w:cs="Arial"/>
          <w:b/>
          <w:sz w:val="16"/>
          <w:szCs w:val="20"/>
        </w:rPr>
      </w:pPr>
    </w:p>
    <w:p w14:paraId="389CEA0A" w14:textId="77777777" w:rsidR="008273DF" w:rsidRPr="00410493" w:rsidRDefault="008273DF" w:rsidP="00C4137E">
      <w:pPr>
        <w:pStyle w:val="Prrafodelista"/>
        <w:numPr>
          <w:ilvl w:val="0"/>
          <w:numId w:val="42"/>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NOTAS DE DESGLOCE</w:t>
      </w:r>
    </w:p>
    <w:p w14:paraId="6F3108C7" w14:textId="77777777" w:rsidR="008273DF" w:rsidRPr="00410493" w:rsidRDefault="0045528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w:t>
      </w:r>
      <w:r w:rsidR="008273DF" w:rsidRPr="00410493">
        <w:rPr>
          <w:rFonts w:ascii="Barlow" w:hAnsi="Barlow" w:cs="Arial"/>
          <w:b/>
          <w:sz w:val="20"/>
          <w:szCs w:val="20"/>
        </w:rPr>
        <w:t>) NOTAS AL ESTADO DE SITUACIÓN FINANCIERA.</w:t>
      </w:r>
    </w:p>
    <w:p w14:paraId="4B6A0118" w14:textId="77777777"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Activo</w:t>
      </w:r>
    </w:p>
    <w:p w14:paraId="3CB8C764" w14:textId="77777777"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Efectivo y Equivalentes</w:t>
      </w:r>
    </w:p>
    <w:p w14:paraId="17C620B8" w14:textId="2F184388" w:rsidR="008273DF" w:rsidRDefault="008273DF" w:rsidP="00906A55">
      <w:pPr>
        <w:autoSpaceDE w:val="0"/>
        <w:autoSpaceDN w:val="0"/>
        <w:adjustRightInd w:val="0"/>
        <w:jc w:val="both"/>
        <w:rPr>
          <w:rFonts w:ascii="Barlow" w:hAnsi="Barlow" w:cs="Arial"/>
          <w:sz w:val="20"/>
          <w:szCs w:val="20"/>
        </w:rPr>
      </w:pPr>
      <w:r w:rsidRPr="00410493">
        <w:rPr>
          <w:rFonts w:ascii="Barlow" w:hAnsi="Barlow" w:cs="Arial"/>
          <w:sz w:val="20"/>
          <w:szCs w:val="20"/>
        </w:rPr>
        <w:t xml:space="preserve">1.- La cuenta de bancos y la de inversiones temporales que integra el </w:t>
      </w:r>
      <w:r w:rsidR="0014716A">
        <w:rPr>
          <w:rFonts w:ascii="Barlow" w:hAnsi="Barlow" w:cs="Arial"/>
          <w:sz w:val="20"/>
          <w:szCs w:val="20"/>
        </w:rPr>
        <w:t>100</w:t>
      </w:r>
      <w:r w:rsidR="0014716A" w:rsidRPr="00410493">
        <w:rPr>
          <w:rFonts w:ascii="Barlow" w:hAnsi="Barlow" w:cs="Arial"/>
          <w:sz w:val="20"/>
          <w:szCs w:val="20"/>
        </w:rPr>
        <w:t>% de</w:t>
      </w:r>
      <w:r w:rsidRPr="00410493">
        <w:rPr>
          <w:rFonts w:ascii="Barlow" w:hAnsi="Barlow" w:cs="Arial"/>
          <w:sz w:val="20"/>
          <w:szCs w:val="20"/>
        </w:rPr>
        <w:t xml:space="preserve"> la cuenta de efectivo y equivalentes se encuentra integrada por tipo de cuenta bancaria de la siguiente manera:</w:t>
      </w:r>
    </w:p>
    <w:p w14:paraId="26E20112" w14:textId="50E389B4" w:rsidR="0014716A" w:rsidRDefault="004D266B" w:rsidP="00C4137E">
      <w:pPr>
        <w:autoSpaceDE w:val="0"/>
        <w:autoSpaceDN w:val="0"/>
        <w:adjustRightInd w:val="0"/>
        <w:spacing w:line="360" w:lineRule="auto"/>
        <w:jc w:val="both"/>
        <w:rPr>
          <w:rFonts w:ascii="Barlow" w:hAnsi="Barlow" w:cs="Arial"/>
          <w:sz w:val="20"/>
          <w:szCs w:val="20"/>
        </w:rPr>
      </w:pPr>
      <w:r>
        <w:rPr>
          <w:noProof/>
        </w:rPr>
        <w:object w:dxaOrig="1440" w:dyaOrig="1440" w14:anchorId="5A53A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0.15pt;margin-top:5.65pt;width:307.05pt;height:48.1pt;z-index:251656192">
            <v:imagedata r:id="rId8" o:title=""/>
          </v:shape>
          <o:OLEObject Type="Embed" ProgID="Excel.Sheet.12" ShapeID="_x0000_s1027" DrawAspect="Content" ObjectID="_1681638622" r:id="rId9"/>
        </w:object>
      </w:r>
    </w:p>
    <w:p w14:paraId="474FDB4B" w14:textId="77777777" w:rsidR="00DF308F" w:rsidRDefault="009571C1" w:rsidP="00906A55">
      <w:pPr>
        <w:tabs>
          <w:tab w:val="left" w:pos="3468"/>
        </w:tabs>
        <w:autoSpaceDE w:val="0"/>
        <w:autoSpaceDN w:val="0"/>
        <w:adjustRightInd w:val="0"/>
        <w:spacing w:line="360" w:lineRule="auto"/>
        <w:jc w:val="both"/>
        <w:rPr>
          <w:rFonts w:ascii="Barlow" w:hAnsi="Barlow" w:cs="Arial"/>
          <w:sz w:val="20"/>
          <w:szCs w:val="20"/>
        </w:rPr>
      </w:pPr>
      <w:r>
        <w:rPr>
          <w:rFonts w:ascii="Barlow" w:hAnsi="Barlow" w:cs="Arial"/>
          <w:sz w:val="20"/>
          <w:szCs w:val="20"/>
        </w:rPr>
        <w:tab/>
      </w:r>
    </w:p>
    <w:p w14:paraId="5D9C9839" w14:textId="77777777" w:rsidR="00DF308F" w:rsidRDefault="00DF308F" w:rsidP="009571C1">
      <w:pPr>
        <w:tabs>
          <w:tab w:val="left" w:pos="5568"/>
        </w:tabs>
        <w:autoSpaceDE w:val="0"/>
        <w:autoSpaceDN w:val="0"/>
        <w:adjustRightInd w:val="0"/>
        <w:spacing w:line="360" w:lineRule="auto"/>
        <w:jc w:val="both"/>
        <w:rPr>
          <w:rFonts w:ascii="Barlow" w:hAnsi="Barlow" w:cs="Arial"/>
          <w:sz w:val="20"/>
          <w:szCs w:val="20"/>
        </w:rPr>
      </w:pPr>
    </w:p>
    <w:p w14:paraId="038B630B" w14:textId="77777777" w:rsidR="00DF308F" w:rsidRPr="00906A55" w:rsidRDefault="00DF308F" w:rsidP="00C4137E">
      <w:pPr>
        <w:autoSpaceDE w:val="0"/>
        <w:autoSpaceDN w:val="0"/>
        <w:adjustRightInd w:val="0"/>
        <w:spacing w:line="360" w:lineRule="auto"/>
        <w:jc w:val="both"/>
        <w:rPr>
          <w:rFonts w:ascii="Barlow" w:hAnsi="Barlow" w:cs="Arial"/>
          <w:sz w:val="8"/>
          <w:szCs w:val="20"/>
        </w:rPr>
      </w:pPr>
      <w:bookmarkStart w:id="0" w:name="m1"/>
      <w:bookmarkEnd w:id="0"/>
    </w:p>
    <w:p w14:paraId="181A0224" w14:textId="77777777" w:rsidR="0019420F" w:rsidRDefault="0019420F" w:rsidP="00906A55">
      <w:pPr>
        <w:autoSpaceDE w:val="0"/>
        <w:autoSpaceDN w:val="0"/>
        <w:adjustRightInd w:val="0"/>
        <w:jc w:val="both"/>
        <w:rPr>
          <w:rFonts w:ascii="Barlow" w:hAnsi="Barlow" w:cs="Arial"/>
          <w:sz w:val="20"/>
          <w:szCs w:val="20"/>
        </w:rPr>
      </w:pPr>
    </w:p>
    <w:p w14:paraId="1D388D76" w14:textId="28B73932" w:rsidR="00490849" w:rsidRDefault="00490849" w:rsidP="00906A55">
      <w:pPr>
        <w:autoSpaceDE w:val="0"/>
        <w:autoSpaceDN w:val="0"/>
        <w:adjustRightInd w:val="0"/>
        <w:jc w:val="both"/>
        <w:rPr>
          <w:rFonts w:ascii="Barlow" w:hAnsi="Barlow" w:cs="Arial"/>
          <w:sz w:val="20"/>
          <w:szCs w:val="20"/>
        </w:rPr>
      </w:pPr>
      <w:r w:rsidRPr="00410493">
        <w:rPr>
          <w:rFonts w:ascii="Barlow" w:hAnsi="Barlow" w:cs="Arial"/>
          <w:sz w:val="20"/>
          <w:szCs w:val="20"/>
        </w:rPr>
        <w:t>Esta información resulta de las operaciones sobre los recursos disponibles en cuentas bancarias</w:t>
      </w:r>
      <w:r w:rsidR="00DF308F">
        <w:rPr>
          <w:rFonts w:ascii="Barlow" w:hAnsi="Barlow" w:cs="Arial"/>
          <w:sz w:val="20"/>
          <w:szCs w:val="20"/>
        </w:rPr>
        <w:t xml:space="preserve"> del Fondo de Aportaciones para la Seguridad Pública del Estado de Yucatán</w:t>
      </w:r>
    </w:p>
    <w:p w14:paraId="37A9C071" w14:textId="38D0E3CA" w:rsidR="00192C39" w:rsidRDefault="00192C39" w:rsidP="00906A55">
      <w:pPr>
        <w:autoSpaceDE w:val="0"/>
        <w:autoSpaceDN w:val="0"/>
        <w:adjustRightInd w:val="0"/>
        <w:jc w:val="both"/>
        <w:rPr>
          <w:rFonts w:ascii="Barlow" w:hAnsi="Barlow" w:cs="Arial"/>
          <w:b/>
          <w:sz w:val="16"/>
          <w:szCs w:val="16"/>
        </w:rPr>
      </w:pPr>
    </w:p>
    <w:p w14:paraId="40BF8583" w14:textId="77777777" w:rsidR="0019420F" w:rsidRPr="0035079D" w:rsidRDefault="0019420F" w:rsidP="00906A55">
      <w:pPr>
        <w:autoSpaceDE w:val="0"/>
        <w:autoSpaceDN w:val="0"/>
        <w:adjustRightInd w:val="0"/>
        <w:jc w:val="both"/>
        <w:rPr>
          <w:rFonts w:ascii="Barlow" w:hAnsi="Barlow" w:cs="Arial"/>
          <w:b/>
          <w:sz w:val="16"/>
          <w:szCs w:val="16"/>
        </w:rPr>
      </w:pPr>
    </w:p>
    <w:p w14:paraId="249C2853" w14:textId="441F0438" w:rsidR="0076163D" w:rsidRPr="00410493" w:rsidRDefault="008273DF"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lastRenderedPageBreak/>
        <w:t>Derechos a Recibir Efectivo y Equivalentes y Bienes y Servicios a Recibir</w:t>
      </w:r>
    </w:p>
    <w:p w14:paraId="15C3C82E" w14:textId="77777777" w:rsidR="00675509" w:rsidRPr="007D06BB" w:rsidRDefault="00675509" w:rsidP="0076163D">
      <w:pPr>
        <w:autoSpaceDE w:val="0"/>
        <w:autoSpaceDN w:val="0"/>
        <w:adjustRightInd w:val="0"/>
        <w:jc w:val="both"/>
        <w:rPr>
          <w:rFonts w:ascii="Barlow" w:hAnsi="Barlow" w:cs="Arial"/>
          <w:sz w:val="8"/>
          <w:szCs w:val="2"/>
        </w:rPr>
      </w:pPr>
    </w:p>
    <w:p w14:paraId="12E33FE4" w14:textId="74F1BD6B" w:rsidR="0076163D" w:rsidRDefault="0076163D" w:rsidP="00906A55">
      <w:pPr>
        <w:autoSpaceDE w:val="0"/>
        <w:autoSpaceDN w:val="0"/>
        <w:adjustRightInd w:val="0"/>
        <w:jc w:val="both"/>
        <w:rPr>
          <w:rFonts w:ascii="Barlow" w:hAnsi="Barlow" w:cs="Arial"/>
          <w:sz w:val="20"/>
          <w:szCs w:val="20"/>
        </w:rPr>
      </w:pPr>
      <w:r>
        <w:rPr>
          <w:rFonts w:ascii="Barlow" w:hAnsi="Barlow" w:cs="Arial"/>
          <w:sz w:val="20"/>
          <w:szCs w:val="20"/>
        </w:rPr>
        <w:t xml:space="preserve">2.- </w:t>
      </w:r>
      <w:r w:rsidR="009571C1">
        <w:rPr>
          <w:rFonts w:ascii="Barlow" w:hAnsi="Barlow" w:cs="Arial"/>
          <w:sz w:val="20"/>
          <w:szCs w:val="20"/>
        </w:rPr>
        <w:t>A</w:t>
      </w:r>
      <w:r w:rsidR="009571C1" w:rsidRPr="003F3664">
        <w:rPr>
          <w:rFonts w:ascii="Barlow" w:hAnsi="Barlow" w:cs="Arial"/>
          <w:sz w:val="20"/>
          <w:szCs w:val="20"/>
        </w:rPr>
        <w:t>l cierre del periodo que se informa</w:t>
      </w:r>
      <w:r w:rsidR="009571C1">
        <w:rPr>
          <w:rFonts w:ascii="Barlow" w:hAnsi="Barlow" w:cs="Arial"/>
          <w:sz w:val="20"/>
          <w:szCs w:val="20"/>
        </w:rPr>
        <w:t xml:space="preserve">, la cuenta de derechos a recibir efectivo o equivalentes </w:t>
      </w:r>
      <w:r w:rsidR="009571C1" w:rsidRPr="003F3664">
        <w:rPr>
          <w:rFonts w:ascii="Barlow" w:hAnsi="Barlow" w:cs="Arial"/>
          <w:sz w:val="20"/>
          <w:szCs w:val="20"/>
        </w:rPr>
        <w:t>de este Fondo de Aportaciones para la Seguridad Pública</w:t>
      </w:r>
      <w:r w:rsidR="00823027">
        <w:rPr>
          <w:rFonts w:ascii="Barlow" w:hAnsi="Barlow" w:cs="Arial"/>
          <w:sz w:val="20"/>
          <w:szCs w:val="20"/>
        </w:rPr>
        <w:t xml:space="preserve"> del Estado de Yucatán</w:t>
      </w:r>
      <w:r w:rsidR="00192C39">
        <w:rPr>
          <w:rFonts w:ascii="Barlow" w:hAnsi="Barlow" w:cs="Arial"/>
          <w:sz w:val="20"/>
          <w:szCs w:val="20"/>
        </w:rPr>
        <w:t xml:space="preserve"> se integra de la siguiente manera:</w:t>
      </w:r>
    </w:p>
    <w:p w14:paraId="6D4BCD76" w14:textId="77777777" w:rsidR="0057368F" w:rsidRPr="0057368F" w:rsidRDefault="0057368F" w:rsidP="00906A55">
      <w:pPr>
        <w:autoSpaceDE w:val="0"/>
        <w:autoSpaceDN w:val="0"/>
        <w:adjustRightInd w:val="0"/>
        <w:jc w:val="both"/>
        <w:rPr>
          <w:rFonts w:ascii="Barlow" w:hAnsi="Barlow" w:cs="Arial"/>
          <w:sz w:val="8"/>
          <w:szCs w:val="20"/>
        </w:rPr>
      </w:pPr>
    </w:p>
    <w:p w14:paraId="3316C3A1" w14:textId="051C0C87" w:rsidR="008273DF" w:rsidRDefault="004D266B" w:rsidP="00C4137E">
      <w:pPr>
        <w:autoSpaceDE w:val="0"/>
        <w:autoSpaceDN w:val="0"/>
        <w:adjustRightInd w:val="0"/>
        <w:spacing w:line="360" w:lineRule="auto"/>
        <w:jc w:val="both"/>
        <w:rPr>
          <w:rFonts w:ascii="Barlow" w:hAnsi="Barlow" w:cs="Arial"/>
          <w:sz w:val="20"/>
          <w:szCs w:val="20"/>
        </w:rPr>
      </w:pPr>
      <w:r>
        <w:rPr>
          <w:rFonts w:ascii="Barlow" w:hAnsi="Barlow" w:cs="Arial"/>
          <w:noProof/>
          <w:sz w:val="20"/>
          <w:szCs w:val="20"/>
        </w:rPr>
        <w:object w:dxaOrig="1440" w:dyaOrig="1440" w14:anchorId="5612A3DC">
          <v:shape id="_x0000_s1028" type="#_x0000_t75" style="position:absolute;left:0;text-align:left;margin-left:74.9pt;margin-top:3.7pt;width:376.3pt;height:54.75pt;z-index:251657216">
            <v:imagedata r:id="rId10" o:title=""/>
          </v:shape>
          <o:OLEObject Type="Embed" ProgID="Excel.Sheet.12" ShapeID="_x0000_s1028" DrawAspect="Content" ObjectID="_1681638623" r:id="rId11"/>
        </w:object>
      </w:r>
    </w:p>
    <w:p w14:paraId="0B5BBB01" w14:textId="77777777" w:rsidR="0076163D" w:rsidRDefault="0076163D" w:rsidP="00C4137E">
      <w:pPr>
        <w:autoSpaceDE w:val="0"/>
        <w:autoSpaceDN w:val="0"/>
        <w:adjustRightInd w:val="0"/>
        <w:spacing w:line="360" w:lineRule="auto"/>
        <w:jc w:val="both"/>
        <w:rPr>
          <w:rFonts w:ascii="Barlow" w:hAnsi="Barlow" w:cs="Arial"/>
          <w:sz w:val="20"/>
          <w:szCs w:val="20"/>
        </w:rPr>
      </w:pPr>
    </w:p>
    <w:p w14:paraId="5921BBBA" w14:textId="77777777" w:rsidR="0076163D" w:rsidRDefault="0076163D" w:rsidP="00C4137E">
      <w:pPr>
        <w:autoSpaceDE w:val="0"/>
        <w:autoSpaceDN w:val="0"/>
        <w:adjustRightInd w:val="0"/>
        <w:spacing w:line="360" w:lineRule="auto"/>
        <w:jc w:val="both"/>
        <w:rPr>
          <w:rFonts w:ascii="Barlow" w:hAnsi="Barlow" w:cs="Arial"/>
          <w:sz w:val="20"/>
          <w:szCs w:val="20"/>
        </w:rPr>
      </w:pPr>
    </w:p>
    <w:p w14:paraId="6BE895D0" w14:textId="77777777" w:rsidR="005E29D9" w:rsidRPr="00906A55" w:rsidRDefault="005E29D9" w:rsidP="00C4137E">
      <w:pPr>
        <w:autoSpaceDE w:val="0"/>
        <w:autoSpaceDN w:val="0"/>
        <w:adjustRightInd w:val="0"/>
        <w:spacing w:line="360" w:lineRule="auto"/>
        <w:jc w:val="both"/>
        <w:rPr>
          <w:rFonts w:ascii="Barlow" w:hAnsi="Barlow" w:cs="Arial"/>
          <w:sz w:val="8"/>
          <w:szCs w:val="20"/>
        </w:rPr>
      </w:pPr>
    </w:p>
    <w:p w14:paraId="475C9D75" w14:textId="77777777" w:rsidR="0057368F" w:rsidRDefault="0057368F" w:rsidP="00906A55">
      <w:pPr>
        <w:autoSpaceDE w:val="0"/>
        <w:autoSpaceDN w:val="0"/>
        <w:adjustRightInd w:val="0"/>
        <w:jc w:val="both"/>
        <w:rPr>
          <w:rFonts w:ascii="Barlow" w:hAnsi="Barlow" w:cs="Arial"/>
          <w:b/>
          <w:sz w:val="8"/>
          <w:szCs w:val="20"/>
        </w:rPr>
      </w:pPr>
      <w:bookmarkStart w:id="1" w:name="m2"/>
      <w:bookmarkEnd w:id="1"/>
    </w:p>
    <w:p w14:paraId="2934E542" w14:textId="77777777" w:rsidR="0057368F" w:rsidRPr="0057368F" w:rsidRDefault="0057368F" w:rsidP="00906A55">
      <w:pPr>
        <w:autoSpaceDE w:val="0"/>
        <w:autoSpaceDN w:val="0"/>
        <w:adjustRightInd w:val="0"/>
        <w:jc w:val="both"/>
        <w:rPr>
          <w:rFonts w:ascii="Barlow" w:hAnsi="Barlow" w:cs="Arial"/>
          <w:b/>
          <w:sz w:val="8"/>
          <w:szCs w:val="20"/>
        </w:rPr>
      </w:pPr>
    </w:p>
    <w:p w14:paraId="35FF13A8" w14:textId="77777777" w:rsidR="008A0458" w:rsidRPr="00410493" w:rsidRDefault="008A0458"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Bienes Disponibles para su Transformación o Consumo (Inventarios)</w:t>
      </w:r>
    </w:p>
    <w:p w14:paraId="15A1D586" w14:textId="77777777" w:rsidR="00795A81" w:rsidRPr="007D06BB" w:rsidRDefault="00795A81" w:rsidP="00795A81">
      <w:pPr>
        <w:autoSpaceDE w:val="0"/>
        <w:autoSpaceDN w:val="0"/>
        <w:adjustRightInd w:val="0"/>
        <w:jc w:val="both"/>
        <w:rPr>
          <w:rFonts w:ascii="Barlow" w:hAnsi="Barlow" w:cs="Arial"/>
          <w:sz w:val="8"/>
          <w:szCs w:val="2"/>
        </w:rPr>
      </w:pPr>
    </w:p>
    <w:p w14:paraId="7C891FB6" w14:textId="3513561E" w:rsidR="008A0458" w:rsidRPr="00410493" w:rsidRDefault="00192C39" w:rsidP="00906A55">
      <w:pPr>
        <w:autoSpaceDE w:val="0"/>
        <w:autoSpaceDN w:val="0"/>
        <w:adjustRightInd w:val="0"/>
        <w:jc w:val="both"/>
        <w:rPr>
          <w:rFonts w:ascii="Barlow" w:hAnsi="Barlow" w:cs="Arial"/>
          <w:sz w:val="20"/>
          <w:szCs w:val="20"/>
        </w:rPr>
      </w:pPr>
      <w:r>
        <w:rPr>
          <w:rFonts w:ascii="Barlow" w:hAnsi="Barlow" w:cs="Arial"/>
          <w:sz w:val="20"/>
          <w:szCs w:val="20"/>
        </w:rPr>
        <w:t>3</w:t>
      </w:r>
      <w:r w:rsidR="008A0458" w:rsidRPr="00410493">
        <w:rPr>
          <w:rFonts w:ascii="Barlow" w:hAnsi="Barlow" w:cs="Arial"/>
          <w:sz w:val="20"/>
          <w:szCs w:val="20"/>
        </w:rPr>
        <w:t xml:space="preserve">.- El </w:t>
      </w:r>
      <w:r>
        <w:rPr>
          <w:rFonts w:ascii="Barlow" w:hAnsi="Barlow" w:cs="Arial"/>
          <w:sz w:val="20"/>
          <w:szCs w:val="20"/>
        </w:rPr>
        <w:t>Fondo de Aportaciones para la Seguridad Pública</w:t>
      </w:r>
      <w:r w:rsidR="00823027">
        <w:rPr>
          <w:rFonts w:ascii="Barlow" w:hAnsi="Barlow" w:cs="Arial"/>
          <w:sz w:val="20"/>
          <w:szCs w:val="20"/>
        </w:rPr>
        <w:t xml:space="preserve"> del Estado de Yucatán</w:t>
      </w:r>
      <w:r>
        <w:rPr>
          <w:rFonts w:ascii="Barlow" w:hAnsi="Barlow" w:cs="Arial"/>
          <w:sz w:val="20"/>
          <w:szCs w:val="20"/>
        </w:rPr>
        <w:t xml:space="preserve"> </w:t>
      </w:r>
      <w:r w:rsidR="008A0458" w:rsidRPr="00410493">
        <w:rPr>
          <w:rFonts w:ascii="Barlow" w:hAnsi="Barlow" w:cs="Arial"/>
          <w:sz w:val="20"/>
          <w:szCs w:val="20"/>
        </w:rPr>
        <w:t>no realiza ningún proceso de transformación y/o elaboración de bienes.</w:t>
      </w:r>
    </w:p>
    <w:p w14:paraId="33928580" w14:textId="77777777" w:rsidR="008A0458" w:rsidRPr="007D06BB" w:rsidRDefault="008A0458" w:rsidP="00906A55">
      <w:pPr>
        <w:autoSpaceDE w:val="0"/>
        <w:autoSpaceDN w:val="0"/>
        <w:adjustRightInd w:val="0"/>
        <w:jc w:val="both"/>
        <w:rPr>
          <w:rFonts w:ascii="Barlow" w:hAnsi="Barlow" w:cs="Arial"/>
          <w:sz w:val="8"/>
          <w:szCs w:val="8"/>
        </w:rPr>
      </w:pPr>
    </w:p>
    <w:p w14:paraId="1718470F" w14:textId="1ED6D1FC" w:rsidR="008A0458" w:rsidRPr="00410493" w:rsidRDefault="001B4122" w:rsidP="00906A55">
      <w:pPr>
        <w:autoSpaceDE w:val="0"/>
        <w:autoSpaceDN w:val="0"/>
        <w:adjustRightInd w:val="0"/>
        <w:jc w:val="both"/>
        <w:rPr>
          <w:rFonts w:ascii="Barlow" w:hAnsi="Barlow" w:cs="Arial"/>
          <w:sz w:val="20"/>
          <w:szCs w:val="20"/>
        </w:rPr>
      </w:pPr>
      <w:r>
        <w:rPr>
          <w:rFonts w:ascii="Barlow" w:hAnsi="Barlow" w:cs="Arial"/>
          <w:sz w:val="20"/>
          <w:szCs w:val="20"/>
        </w:rPr>
        <w:t>4</w:t>
      </w:r>
      <w:r w:rsidR="008A0458" w:rsidRPr="00410493">
        <w:rPr>
          <w:rFonts w:ascii="Barlow" w:hAnsi="Barlow" w:cs="Arial"/>
          <w:sz w:val="20"/>
          <w:szCs w:val="20"/>
        </w:rPr>
        <w:t xml:space="preserve">.- El </w:t>
      </w:r>
      <w:r>
        <w:rPr>
          <w:rFonts w:ascii="Barlow" w:hAnsi="Barlow" w:cs="Arial"/>
          <w:sz w:val="20"/>
          <w:szCs w:val="20"/>
        </w:rPr>
        <w:t>Fondo de Aportaciones para la Seguridad Pública</w:t>
      </w:r>
      <w:r w:rsidR="00823027">
        <w:rPr>
          <w:rFonts w:ascii="Barlow" w:hAnsi="Barlow" w:cs="Arial"/>
          <w:sz w:val="20"/>
          <w:szCs w:val="20"/>
        </w:rPr>
        <w:t xml:space="preserve"> del Estado de Yucatán</w:t>
      </w:r>
      <w:r w:rsidR="00795A81">
        <w:rPr>
          <w:rFonts w:ascii="Barlow" w:hAnsi="Barlow" w:cs="Arial"/>
          <w:sz w:val="20"/>
          <w:szCs w:val="20"/>
        </w:rPr>
        <w:t xml:space="preserve"> </w:t>
      </w:r>
      <w:r w:rsidR="008A0458" w:rsidRPr="00410493">
        <w:rPr>
          <w:rFonts w:ascii="Barlow" w:hAnsi="Barlow" w:cs="Arial"/>
          <w:sz w:val="20"/>
          <w:szCs w:val="20"/>
        </w:rPr>
        <w:t>no realiza registro en la cuenta de almacén en virtud por la naturaleza de sus operaciones no tiene bienes en inventarios.</w:t>
      </w:r>
    </w:p>
    <w:p w14:paraId="196ACFD6" w14:textId="77777777" w:rsidR="008A0458" w:rsidRPr="0057368F" w:rsidRDefault="008A0458" w:rsidP="00795A81">
      <w:pPr>
        <w:autoSpaceDE w:val="0"/>
        <w:autoSpaceDN w:val="0"/>
        <w:adjustRightInd w:val="0"/>
        <w:jc w:val="both"/>
        <w:rPr>
          <w:rFonts w:ascii="Barlow" w:hAnsi="Barlow" w:cs="Arial"/>
          <w:sz w:val="14"/>
          <w:szCs w:val="20"/>
        </w:rPr>
      </w:pPr>
    </w:p>
    <w:p w14:paraId="31B3FFDD" w14:textId="0E71D739" w:rsidR="001B4122" w:rsidRDefault="001B4122" w:rsidP="00906A55">
      <w:pPr>
        <w:autoSpaceDE w:val="0"/>
        <w:autoSpaceDN w:val="0"/>
        <w:adjustRightInd w:val="0"/>
        <w:jc w:val="both"/>
        <w:rPr>
          <w:rFonts w:ascii="Barlow" w:hAnsi="Barlow" w:cs="Arial"/>
          <w:b/>
          <w:sz w:val="20"/>
          <w:szCs w:val="20"/>
        </w:rPr>
      </w:pPr>
      <w:r>
        <w:rPr>
          <w:rFonts w:ascii="Barlow" w:hAnsi="Barlow" w:cs="Arial"/>
          <w:b/>
          <w:sz w:val="20"/>
          <w:szCs w:val="20"/>
        </w:rPr>
        <w:t>Inversiones Financieras</w:t>
      </w:r>
    </w:p>
    <w:p w14:paraId="405A5703" w14:textId="77777777" w:rsidR="0019420F" w:rsidRPr="00410493" w:rsidRDefault="0019420F" w:rsidP="00906A55">
      <w:pPr>
        <w:autoSpaceDE w:val="0"/>
        <w:autoSpaceDN w:val="0"/>
        <w:adjustRightInd w:val="0"/>
        <w:jc w:val="both"/>
        <w:rPr>
          <w:rFonts w:ascii="Barlow" w:hAnsi="Barlow" w:cs="Arial"/>
          <w:b/>
          <w:sz w:val="20"/>
          <w:szCs w:val="20"/>
        </w:rPr>
      </w:pPr>
    </w:p>
    <w:p w14:paraId="6F2CC960" w14:textId="1F8AF226" w:rsidR="002F14F7" w:rsidRPr="00410493" w:rsidRDefault="001B4122" w:rsidP="00906A55">
      <w:pPr>
        <w:autoSpaceDE w:val="0"/>
        <w:autoSpaceDN w:val="0"/>
        <w:adjustRightInd w:val="0"/>
        <w:jc w:val="both"/>
        <w:rPr>
          <w:rFonts w:ascii="Barlow" w:hAnsi="Barlow" w:cs="Arial"/>
          <w:sz w:val="20"/>
          <w:szCs w:val="20"/>
        </w:rPr>
      </w:pPr>
      <w:r>
        <w:rPr>
          <w:rFonts w:ascii="Barlow" w:hAnsi="Barlow" w:cs="Arial"/>
          <w:sz w:val="20"/>
          <w:szCs w:val="20"/>
        </w:rPr>
        <w:t>5</w:t>
      </w:r>
      <w:r w:rsidR="008A0458" w:rsidRPr="00410493">
        <w:rPr>
          <w:rFonts w:ascii="Barlow" w:hAnsi="Barlow" w:cs="Arial"/>
          <w:sz w:val="20"/>
          <w:szCs w:val="20"/>
        </w:rPr>
        <w:t>.-</w:t>
      </w:r>
      <w:r w:rsidR="002F14F7" w:rsidRPr="00410493">
        <w:rPr>
          <w:rFonts w:ascii="Barlow" w:hAnsi="Barlow" w:cs="Arial"/>
          <w:sz w:val="20"/>
          <w:szCs w:val="20"/>
        </w:rPr>
        <w:t xml:space="preserve"> El</w:t>
      </w:r>
      <w:r>
        <w:rPr>
          <w:rFonts w:ascii="Barlow" w:hAnsi="Barlow" w:cs="Arial"/>
          <w:sz w:val="20"/>
          <w:szCs w:val="20"/>
        </w:rPr>
        <w:t xml:space="preserve"> Fondo de Aportaciones para la Seguridad Pública</w:t>
      </w:r>
      <w:r w:rsidR="00823027">
        <w:rPr>
          <w:rFonts w:ascii="Barlow" w:hAnsi="Barlow" w:cs="Arial"/>
          <w:sz w:val="20"/>
          <w:szCs w:val="20"/>
        </w:rPr>
        <w:t xml:space="preserve"> del Estado de Yucatán</w:t>
      </w:r>
      <w:r>
        <w:rPr>
          <w:rFonts w:ascii="Barlow" w:hAnsi="Barlow" w:cs="Arial"/>
          <w:sz w:val="20"/>
          <w:szCs w:val="20"/>
        </w:rPr>
        <w:t xml:space="preserve"> </w:t>
      </w:r>
      <w:r w:rsidR="00A72851">
        <w:rPr>
          <w:rFonts w:ascii="Barlow" w:hAnsi="Barlow" w:cs="Arial"/>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C85063" w:rsidRPr="00852D69">
        <w:rPr>
          <w:rFonts w:ascii="Barlow" w:hAnsi="Barlow" w:cs="Arial"/>
          <w:sz w:val="20"/>
          <w:szCs w:val="20"/>
        </w:rPr>
        <w:t xml:space="preserve"> de 202</w:t>
      </w:r>
      <w:r w:rsidR="003C1D54">
        <w:rPr>
          <w:rFonts w:ascii="Barlow" w:hAnsi="Barlow" w:cs="Arial"/>
          <w:sz w:val="20"/>
          <w:szCs w:val="20"/>
        </w:rPr>
        <w:t>1</w:t>
      </w:r>
      <w:r w:rsidR="00675509">
        <w:rPr>
          <w:rFonts w:ascii="Barlow" w:hAnsi="Barlow" w:cs="Arial"/>
          <w:sz w:val="20"/>
          <w:szCs w:val="20"/>
        </w:rPr>
        <w:t xml:space="preserve"> </w:t>
      </w:r>
      <w:r w:rsidRPr="00410493">
        <w:rPr>
          <w:rFonts w:ascii="Barlow" w:hAnsi="Barlow" w:cs="Arial"/>
          <w:sz w:val="20"/>
          <w:szCs w:val="20"/>
        </w:rPr>
        <w:t xml:space="preserve">no </w:t>
      </w:r>
      <w:r w:rsidR="00795A81">
        <w:rPr>
          <w:rFonts w:ascii="Barlow" w:hAnsi="Barlow" w:cs="Arial"/>
          <w:sz w:val="20"/>
          <w:szCs w:val="20"/>
        </w:rPr>
        <w:t>cuenta con ningún tipo de inversión financiera.</w:t>
      </w:r>
    </w:p>
    <w:p w14:paraId="16B2373D" w14:textId="77777777" w:rsidR="00795A81" w:rsidRPr="0057368F" w:rsidRDefault="00795A81" w:rsidP="00906A55">
      <w:pPr>
        <w:autoSpaceDE w:val="0"/>
        <w:autoSpaceDN w:val="0"/>
        <w:adjustRightInd w:val="0"/>
        <w:jc w:val="both"/>
        <w:rPr>
          <w:rFonts w:ascii="Barlow" w:hAnsi="Barlow" w:cs="Arial"/>
          <w:b/>
          <w:sz w:val="14"/>
          <w:szCs w:val="20"/>
        </w:rPr>
      </w:pPr>
    </w:p>
    <w:p w14:paraId="4DFDD4BC" w14:textId="77777777" w:rsidR="00795A81" w:rsidRPr="00410493" w:rsidRDefault="00795A81"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 xml:space="preserve">Bienes </w:t>
      </w:r>
      <w:r>
        <w:rPr>
          <w:rFonts w:ascii="Barlow" w:hAnsi="Barlow" w:cs="Arial"/>
          <w:b/>
          <w:sz w:val="20"/>
          <w:szCs w:val="20"/>
        </w:rPr>
        <w:t>Muebles, Inmuebles e Intangibles</w:t>
      </w:r>
    </w:p>
    <w:p w14:paraId="5C9A9ACA" w14:textId="77777777" w:rsidR="00C81604" w:rsidRDefault="00C81604" w:rsidP="00906A55">
      <w:pPr>
        <w:autoSpaceDE w:val="0"/>
        <w:autoSpaceDN w:val="0"/>
        <w:adjustRightInd w:val="0"/>
        <w:jc w:val="both"/>
        <w:rPr>
          <w:rFonts w:ascii="Barlow" w:hAnsi="Barlow" w:cs="Arial"/>
          <w:sz w:val="20"/>
          <w:szCs w:val="20"/>
        </w:rPr>
      </w:pPr>
    </w:p>
    <w:p w14:paraId="56CF3DFE" w14:textId="64C8D57F" w:rsidR="00410493" w:rsidRDefault="00795A81" w:rsidP="00906A55">
      <w:pPr>
        <w:autoSpaceDE w:val="0"/>
        <w:autoSpaceDN w:val="0"/>
        <w:adjustRightInd w:val="0"/>
        <w:jc w:val="both"/>
        <w:rPr>
          <w:rFonts w:ascii="Barlow" w:hAnsi="Barlow" w:cs="Arial"/>
          <w:sz w:val="20"/>
          <w:szCs w:val="20"/>
        </w:rPr>
      </w:pPr>
      <w:r>
        <w:rPr>
          <w:rFonts w:ascii="Barlow" w:hAnsi="Barlow" w:cs="Arial"/>
          <w:sz w:val="20"/>
          <w:szCs w:val="20"/>
        </w:rPr>
        <w:t>6</w:t>
      </w:r>
      <w:r w:rsidR="002F14F7" w:rsidRPr="00410493">
        <w:rPr>
          <w:rFonts w:ascii="Barlow" w:hAnsi="Barlow" w:cs="Arial"/>
          <w:sz w:val="20"/>
          <w:szCs w:val="20"/>
        </w:rPr>
        <w:t>.-</w:t>
      </w:r>
      <w:r w:rsidR="00FA104C" w:rsidRPr="00410493">
        <w:rPr>
          <w:rFonts w:ascii="Barlow" w:hAnsi="Barlow" w:cs="Arial"/>
          <w:sz w:val="20"/>
          <w:szCs w:val="20"/>
        </w:rPr>
        <w:t xml:space="preserve"> </w:t>
      </w:r>
      <w:r w:rsidRPr="00906A55">
        <w:rPr>
          <w:rFonts w:ascii="Barlow" w:hAnsi="Barlow" w:cs="Arial"/>
          <w:sz w:val="20"/>
          <w:szCs w:val="20"/>
        </w:rPr>
        <w:t xml:space="preserve">Las erogaciones para la adquisición de Activos No </w:t>
      </w:r>
      <w:r>
        <w:rPr>
          <w:rFonts w:ascii="Barlow" w:hAnsi="Barlow" w:cs="Arial"/>
          <w:sz w:val="20"/>
          <w:szCs w:val="20"/>
        </w:rPr>
        <w:t>C</w:t>
      </w:r>
      <w:r w:rsidRPr="00906A55">
        <w:rPr>
          <w:rFonts w:ascii="Barlow" w:hAnsi="Barlow" w:cs="Arial"/>
          <w:sz w:val="20"/>
          <w:szCs w:val="20"/>
        </w:rPr>
        <w:t>irculantes que el Fondo de Aportaciones Para la Seguridad Pública del Estado de Yucatán realizó de conformidad a lo establecido en el Convenio de Coordinación en Materia de Seguridad Pública celebrado por el Gobierno Federal y el Poder Ejecutivo del Gobierno del Estado de Yucatán para el Ejercicio 20</w:t>
      </w:r>
      <w:r w:rsidR="00EF6745">
        <w:rPr>
          <w:rFonts w:ascii="Barlow" w:hAnsi="Barlow" w:cs="Arial"/>
          <w:sz w:val="20"/>
          <w:szCs w:val="20"/>
        </w:rPr>
        <w:t>2</w:t>
      </w:r>
      <w:r w:rsidR="003C1D54">
        <w:rPr>
          <w:rFonts w:ascii="Barlow" w:hAnsi="Barlow" w:cs="Arial"/>
          <w:sz w:val="20"/>
          <w:szCs w:val="20"/>
        </w:rPr>
        <w:t>1</w:t>
      </w:r>
      <w:r w:rsidRPr="00906A55">
        <w:rPr>
          <w:rFonts w:ascii="Barlow" w:hAnsi="Barlow" w:cs="Arial"/>
          <w:sz w:val="20"/>
          <w:szCs w:val="20"/>
        </w:rPr>
        <w:t xml:space="preserve"> se registran a su costo de adquisición, por tal motivo el saldo que se presenta en el rubro de bienes inmuebles reflejan el costo histórico de dichos activos; el saldo 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Pr="00906A55">
        <w:rPr>
          <w:rFonts w:ascii="Barlow" w:hAnsi="Barlow" w:cs="Arial"/>
          <w:sz w:val="20"/>
          <w:szCs w:val="20"/>
        </w:rPr>
        <w:t xml:space="preserve"> se encuentra integrado de la siguiente manera</w:t>
      </w:r>
      <w:r w:rsidR="00FA104C" w:rsidRPr="00410493">
        <w:rPr>
          <w:rFonts w:ascii="Barlow" w:hAnsi="Barlow" w:cs="Arial"/>
          <w:sz w:val="20"/>
          <w:szCs w:val="20"/>
        </w:rPr>
        <w:t>:</w:t>
      </w:r>
    </w:p>
    <w:p w14:paraId="07B346F3" w14:textId="03B59BA4" w:rsidR="0019420F" w:rsidRDefault="0019420F" w:rsidP="00906A55">
      <w:pPr>
        <w:autoSpaceDE w:val="0"/>
        <w:autoSpaceDN w:val="0"/>
        <w:adjustRightInd w:val="0"/>
        <w:jc w:val="both"/>
        <w:rPr>
          <w:rFonts w:ascii="Barlow" w:hAnsi="Barlow" w:cs="Arial"/>
          <w:sz w:val="20"/>
          <w:szCs w:val="20"/>
        </w:rPr>
      </w:pPr>
    </w:p>
    <w:p w14:paraId="6920A15E" w14:textId="23DB753B" w:rsidR="0019420F" w:rsidRDefault="0019420F" w:rsidP="00906A55">
      <w:pPr>
        <w:autoSpaceDE w:val="0"/>
        <w:autoSpaceDN w:val="0"/>
        <w:adjustRightInd w:val="0"/>
        <w:jc w:val="both"/>
        <w:rPr>
          <w:rFonts w:ascii="Barlow" w:hAnsi="Barlow" w:cs="Arial"/>
          <w:sz w:val="20"/>
          <w:szCs w:val="20"/>
        </w:rPr>
      </w:pPr>
    </w:p>
    <w:p w14:paraId="352D295B" w14:textId="2098687E" w:rsidR="0019420F" w:rsidRDefault="0019420F" w:rsidP="00906A55">
      <w:pPr>
        <w:autoSpaceDE w:val="0"/>
        <w:autoSpaceDN w:val="0"/>
        <w:adjustRightInd w:val="0"/>
        <w:jc w:val="both"/>
        <w:rPr>
          <w:rFonts w:ascii="Barlow" w:hAnsi="Barlow" w:cs="Arial"/>
          <w:sz w:val="20"/>
          <w:szCs w:val="20"/>
        </w:rPr>
      </w:pPr>
    </w:p>
    <w:p w14:paraId="11ED7AD9" w14:textId="5E8E9ED6" w:rsidR="0019420F" w:rsidRDefault="0019420F" w:rsidP="00906A55">
      <w:pPr>
        <w:autoSpaceDE w:val="0"/>
        <w:autoSpaceDN w:val="0"/>
        <w:adjustRightInd w:val="0"/>
        <w:jc w:val="both"/>
        <w:rPr>
          <w:rFonts w:ascii="Barlow" w:hAnsi="Barlow" w:cs="Arial"/>
          <w:sz w:val="20"/>
          <w:szCs w:val="20"/>
        </w:rPr>
      </w:pPr>
    </w:p>
    <w:p w14:paraId="207066F0" w14:textId="1329CDF2" w:rsidR="0019420F" w:rsidRDefault="0019420F" w:rsidP="00906A55">
      <w:pPr>
        <w:autoSpaceDE w:val="0"/>
        <w:autoSpaceDN w:val="0"/>
        <w:adjustRightInd w:val="0"/>
        <w:jc w:val="both"/>
        <w:rPr>
          <w:rFonts w:ascii="Barlow" w:hAnsi="Barlow" w:cs="Arial"/>
          <w:sz w:val="20"/>
          <w:szCs w:val="20"/>
        </w:rPr>
      </w:pPr>
    </w:p>
    <w:p w14:paraId="45CE7EB3" w14:textId="1DDF854D" w:rsidR="0019420F" w:rsidRDefault="0019420F" w:rsidP="00906A55">
      <w:pPr>
        <w:autoSpaceDE w:val="0"/>
        <w:autoSpaceDN w:val="0"/>
        <w:adjustRightInd w:val="0"/>
        <w:jc w:val="both"/>
        <w:rPr>
          <w:rFonts w:ascii="Barlow" w:hAnsi="Barlow" w:cs="Arial"/>
          <w:sz w:val="20"/>
          <w:szCs w:val="20"/>
        </w:rPr>
      </w:pPr>
    </w:p>
    <w:p w14:paraId="2309A082" w14:textId="77777777" w:rsidR="0019420F" w:rsidRPr="00410493" w:rsidRDefault="0019420F" w:rsidP="00906A55">
      <w:pPr>
        <w:autoSpaceDE w:val="0"/>
        <w:autoSpaceDN w:val="0"/>
        <w:adjustRightInd w:val="0"/>
        <w:jc w:val="both"/>
        <w:rPr>
          <w:rFonts w:ascii="Barlow" w:hAnsi="Barlow" w:cs="Arial"/>
          <w:sz w:val="20"/>
          <w:szCs w:val="20"/>
        </w:rPr>
      </w:pPr>
    </w:p>
    <w:p w14:paraId="678A2565" w14:textId="7C2602E1" w:rsidR="00FA104C" w:rsidRDefault="004D266B" w:rsidP="00C4137E">
      <w:pPr>
        <w:autoSpaceDE w:val="0"/>
        <w:autoSpaceDN w:val="0"/>
        <w:adjustRightInd w:val="0"/>
        <w:spacing w:line="360" w:lineRule="auto"/>
        <w:jc w:val="both"/>
        <w:rPr>
          <w:rFonts w:ascii="Barlow" w:hAnsi="Barlow" w:cs="Arial"/>
          <w:sz w:val="20"/>
          <w:szCs w:val="20"/>
        </w:rPr>
      </w:pPr>
      <w:r>
        <w:rPr>
          <w:rFonts w:ascii="Barlow" w:hAnsi="Barlow" w:cs="Arial"/>
          <w:noProof/>
          <w:sz w:val="20"/>
          <w:szCs w:val="20"/>
        </w:rPr>
        <w:lastRenderedPageBreak/>
        <w:object w:dxaOrig="1440" w:dyaOrig="1440" w14:anchorId="2425126E">
          <v:shape id="_x0000_s1029" type="#_x0000_t75" style="position:absolute;left:0;text-align:left;margin-left:109.05pt;margin-top:9.55pt;width:309.35pt;height:137.15pt;z-index:251658240">
            <v:imagedata r:id="rId12" o:title=""/>
          </v:shape>
          <o:OLEObject Type="Embed" ProgID="Excel.Sheet.12" ShapeID="_x0000_s1029" DrawAspect="Content" ObjectID="_1681638624" r:id="rId13"/>
        </w:object>
      </w:r>
    </w:p>
    <w:p w14:paraId="39C971A7" w14:textId="77777777" w:rsidR="00795A81" w:rsidRDefault="00795A81" w:rsidP="00C4137E">
      <w:pPr>
        <w:autoSpaceDE w:val="0"/>
        <w:autoSpaceDN w:val="0"/>
        <w:adjustRightInd w:val="0"/>
        <w:spacing w:line="360" w:lineRule="auto"/>
        <w:jc w:val="both"/>
        <w:rPr>
          <w:rFonts w:ascii="Barlow" w:hAnsi="Barlow" w:cs="Arial"/>
          <w:sz w:val="20"/>
          <w:szCs w:val="20"/>
        </w:rPr>
      </w:pPr>
    </w:p>
    <w:p w14:paraId="0019E4F8" w14:textId="77777777" w:rsidR="00795A81" w:rsidRDefault="00795A81" w:rsidP="00C4137E">
      <w:pPr>
        <w:autoSpaceDE w:val="0"/>
        <w:autoSpaceDN w:val="0"/>
        <w:adjustRightInd w:val="0"/>
        <w:spacing w:line="360" w:lineRule="auto"/>
        <w:jc w:val="both"/>
        <w:rPr>
          <w:rFonts w:ascii="Barlow" w:hAnsi="Barlow" w:cs="Arial"/>
          <w:sz w:val="20"/>
          <w:szCs w:val="20"/>
        </w:rPr>
      </w:pPr>
    </w:p>
    <w:p w14:paraId="7C71B4A3" w14:textId="77777777" w:rsidR="00795A81" w:rsidRDefault="00795A81" w:rsidP="00C4137E">
      <w:pPr>
        <w:autoSpaceDE w:val="0"/>
        <w:autoSpaceDN w:val="0"/>
        <w:adjustRightInd w:val="0"/>
        <w:spacing w:line="360" w:lineRule="auto"/>
        <w:jc w:val="both"/>
        <w:rPr>
          <w:rFonts w:ascii="Barlow" w:hAnsi="Barlow" w:cs="Arial"/>
          <w:sz w:val="20"/>
          <w:szCs w:val="20"/>
        </w:rPr>
      </w:pPr>
    </w:p>
    <w:p w14:paraId="312BDA69" w14:textId="77777777" w:rsidR="00795A81" w:rsidRDefault="00795A81" w:rsidP="00C4137E">
      <w:pPr>
        <w:autoSpaceDE w:val="0"/>
        <w:autoSpaceDN w:val="0"/>
        <w:adjustRightInd w:val="0"/>
        <w:spacing w:line="360" w:lineRule="auto"/>
        <w:jc w:val="both"/>
        <w:rPr>
          <w:rFonts w:ascii="Barlow" w:hAnsi="Barlow" w:cs="Arial"/>
          <w:sz w:val="20"/>
          <w:szCs w:val="20"/>
        </w:rPr>
      </w:pPr>
    </w:p>
    <w:p w14:paraId="7A66C5BC" w14:textId="77777777" w:rsidR="00795A81" w:rsidRDefault="00795A81" w:rsidP="00C4137E">
      <w:pPr>
        <w:autoSpaceDE w:val="0"/>
        <w:autoSpaceDN w:val="0"/>
        <w:adjustRightInd w:val="0"/>
        <w:spacing w:line="360" w:lineRule="auto"/>
        <w:jc w:val="both"/>
        <w:rPr>
          <w:rFonts w:ascii="Barlow" w:hAnsi="Barlow" w:cs="Arial"/>
          <w:sz w:val="20"/>
          <w:szCs w:val="20"/>
        </w:rPr>
      </w:pPr>
    </w:p>
    <w:p w14:paraId="53BCA419" w14:textId="77777777" w:rsidR="00795A81" w:rsidRDefault="00795A81" w:rsidP="00C4137E">
      <w:pPr>
        <w:autoSpaceDE w:val="0"/>
        <w:autoSpaceDN w:val="0"/>
        <w:adjustRightInd w:val="0"/>
        <w:spacing w:line="360" w:lineRule="auto"/>
        <w:jc w:val="both"/>
        <w:rPr>
          <w:rFonts w:ascii="Barlow" w:hAnsi="Barlow" w:cs="Arial"/>
          <w:sz w:val="20"/>
          <w:szCs w:val="20"/>
        </w:rPr>
      </w:pPr>
    </w:p>
    <w:p w14:paraId="06F03504" w14:textId="77777777" w:rsidR="00795A81" w:rsidRPr="005B17D0" w:rsidRDefault="00795A81" w:rsidP="00C4137E">
      <w:pPr>
        <w:autoSpaceDE w:val="0"/>
        <w:autoSpaceDN w:val="0"/>
        <w:adjustRightInd w:val="0"/>
        <w:spacing w:line="360" w:lineRule="auto"/>
        <w:jc w:val="both"/>
        <w:rPr>
          <w:rFonts w:ascii="Barlow" w:hAnsi="Barlow" w:cs="Arial"/>
          <w:sz w:val="10"/>
          <w:szCs w:val="20"/>
        </w:rPr>
      </w:pPr>
    </w:p>
    <w:p w14:paraId="27F4C37B" w14:textId="77777777" w:rsidR="0057368F" w:rsidRPr="0057368F" w:rsidRDefault="0057368F" w:rsidP="0057368F">
      <w:pPr>
        <w:autoSpaceDE w:val="0"/>
        <w:autoSpaceDN w:val="0"/>
        <w:adjustRightInd w:val="0"/>
        <w:jc w:val="both"/>
        <w:rPr>
          <w:rFonts w:ascii="Barlow" w:hAnsi="Barlow" w:cs="Arial"/>
          <w:b/>
          <w:sz w:val="8"/>
          <w:szCs w:val="20"/>
        </w:rPr>
      </w:pPr>
      <w:bookmarkStart w:id="2" w:name="m3"/>
      <w:bookmarkEnd w:id="2"/>
    </w:p>
    <w:p w14:paraId="52C2B5DC" w14:textId="77777777" w:rsidR="0057368F" w:rsidRDefault="0057368F" w:rsidP="0057368F">
      <w:pPr>
        <w:autoSpaceDE w:val="0"/>
        <w:autoSpaceDN w:val="0"/>
        <w:adjustRightInd w:val="0"/>
        <w:jc w:val="both"/>
        <w:rPr>
          <w:rFonts w:ascii="Barlow" w:hAnsi="Barlow" w:cs="Arial"/>
          <w:b/>
          <w:sz w:val="20"/>
          <w:szCs w:val="20"/>
        </w:rPr>
      </w:pPr>
    </w:p>
    <w:p w14:paraId="3231199D" w14:textId="77777777" w:rsidR="00C81604" w:rsidRPr="00C81604" w:rsidRDefault="00C81604" w:rsidP="0057368F">
      <w:pPr>
        <w:autoSpaceDE w:val="0"/>
        <w:autoSpaceDN w:val="0"/>
        <w:adjustRightInd w:val="0"/>
        <w:jc w:val="both"/>
        <w:rPr>
          <w:rFonts w:ascii="Barlow" w:hAnsi="Barlow" w:cs="Arial"/>
          <w:b/>
          <w:sz w:val="8"/>
          <w:szCs w:val="20"/>
        </w:rPr>
      </w:pPr>
    </w:p>
    <w:p w14:paraId="2B7572E2" w14:textId="77777777" w:rsidR="005E29D9" w:rsidRPr="00410493" w:rsidRDefault="005E29D9" w:rsidP="0057368F">
      <w:pPr>
        <w:autoSpaceDE w:val="0"/>
        <w:autoSpaceDN w:val="0"/>
        <w:adjustRightInd w:val="0"/>
        <w:jc w:val="both"/>
        <w:rPr>
          <w:rFonts w:ascii="Barlow" w:hAnsi="Barlow" w:cs="Arial"/>
          <w:b/>
          <w:sz w:val="20"/>
          <w:szCs w:val="20"/>
        </w:rPr>
      </w:pPr>
      <w:r>
        <w:rPr>
          <w:rFonts w:ascii="Barlow" w:hAnsi="Barlow" w:cs="Arial"/>
          <w:b/>
          <w:sz w:val="20"/>
          <w:szCs w:val="20"/>
        </w:rPr>
        <w:t>Inventario de Bienes Muebles e Inmuebles</w:t>
      </w:r>
    </w:p>
    <w:p w14:paraId="20B07AE6" w14:textId="77777777" w:rsidR="00C81604" w:rsidRPr="00C81604" w:rsidRDefault="00C81604" w:rsidP="00906A55">
      <w:pPr>
        <w:autoSpaceDE w:val="0"/>
        <w:autoSpaceDN w:val="0"/>
        <w:adjustRightInd w:val="0"/>
        <w:jc w:val="both"/>
        <w:rPr>
          <w:rFonts w:ascii="Barlow" w:hAnsi="Barlow" w:cs="Arial"/>
          <w:sz w:val="8"/>
          <w:szCs w:val="20"/>
        </w:rPr>
      </w:pPr>
    </w:p>
    <w:p w14:paraId="4C18B335" w14:textId="7FA5465D" w:rsidR="005E29D9" w:rsidRPr="00906A55" w:rsidRDefault="00D433EA" w:rsidP="00906A55">
      <w:pPr>
        <w:autoSpaceDE w:val="0"/>
        <w:autoSpaceDN w:val="0"/>
        <w:adjustRightInd w:val="0"/>
        <w:jc w:val="both"/>
        <w:rPr>
          <w:rFonts w:ascii="Barlow" w:hAnsi="Barlow" w:cs="Arial"/>
          <w:sz w:val="20"/>
          <w:szCs w:val="20"/>
        </w:rPr>
      </w:pPr>
      <w:r>
        <w:rPr>
          <w:rFonts w:ascii="Barlow" w:hAnsi="Barlow" w:cs="Arial"/>
          <w:sz w:val="20"/>
          <w:szCs w:val="20"/>
        </w:rPr>
        <w:t xml:space="preserve">7.- </w:t>
      </w:r>
      <w:r w:rsidR="005E29D9" w:rsidRPr="00906A55">
        <w:rPr>
          <w:rFonts w:ascii="Barlow" w:hAnsi="Barlow" w:cs="Arial"/>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6A9FCA00" w14:textId="77777777" w:rsidR="005E29D9" w:rsidRPr="00906A55" w:rsidRDefault="005E29D9" w:rsidP="00906A55">
      <w:pPr>
        <w:autoSpaceDE w:val="0"/>
        <w:autoSpaceDN w:val="0"/>
        <w:adjustRightInd w:val="0"/>
        <w:jc w:val="both"/>
        <w:rPr>
          <w:rFonts w:ascii="Barlow" w:hAnsi="Barlow" w:cs="Arial"/>
          <w:sz w:val="20"/>
          <w:szCs w:val="20"/>
        </w:rPr>
      </w:pPr>
      <w:r w:rsidRPr="00906A55">
        <w:rPr>
          <w:rFonts w:ascii="Barlow" w:hAnsi="Barlow" w:cs="Arial"/>
          <w:sz w:val="20"/>
          <w:szCs w:val="20"/>
        </w:rPr>
        <w:t>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 es de competencia de los Beneficiarios del Fondo de Aportaciones Para la Seguridad Pública del Estado de Yucatán (instancias ejecutoras).</w:t>
      </w:r>
    </w:p>
    <w:p w14:paraId="0F15425C" w14:textId="77777777" w:rsidR="005E29D9" w:rsidRPr="00D8106F" w:rsidRDefault="005E29D9" w:rsidP="00C4137E">
      <w:pPr>
        <w:autoSpaceDE w:val="0"/>
        <w:autoSpaceDN w:val="0"/>
        <w:adjustRightInd w:val="0"/>
        <w:spacing w:line="360" w:lineRule="auto"/>
        <w:jc w:val="both"/>
        <w:rPr>
          <w:rFonts w:ascii="Barlow" w:hAnsi="Barlow" w:cs="Arial"/>
          <w:b/>
          <w:sz w:val="8"/>
          <w:szCs w:val="20"/>
        </w:rPr>
      </w:pPr>
    </w:p>
    <w:p w14:paraId="3D9F8D87" w14:textId="77777777" w:rsidR="00705583" w:rsidRPr="00410493" w:rsidRDefault="00705583"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Estimaciones y Deterioros</w:t>
      </w:r>
    </w:p>
    <w:p w14:paraId="2D05402C" w14:textId="6BA55EB2" w:rsidR="00705583" w:rsidRPr="00410493" w:rsidRDefault="00D433EA" w:rsidP="00906A55">
      <w:pPr>
        <w:autoSpaceDE w:val="0"/>
        <w:autoSpaceDN w:val="0"/>
        <w:adjustRightInd w:val="0"/>
        <w:jc w:val="both"/>
        <w:rPr>
          <w:rFonts w:ascii="Barlow" w:hAnsi="Barlow" w:cs="Arial"/>
          <w:sz w:val="20"/>
          <w:szCs w:val="20"/>
        </w:rPr>
      </w:pPr>
      <w:r>
        <w:rPr>
          <w:rFonts w:ascii="Barlow" w:hAnsi="Barlow" w:cs="Arial"/>
          <w:sz w:val="20"/>
          <w:szCs w:val="20"/>
        </w:rPr>
        <w:t>8</w:t>
      </w:r>
      <w:r w:rsidR="00705583" w:rsidRPr="00410493">
        <w:rPr>
          <w:rFonts w:ascii="Barlow" w:hAnsi="Barlow" w:cs="Arial"/>
          <w:sz w:val="20"/>
          <w:szCs w:val="20"/>
        </w:rPr>
        <w:t xml:space="preserve">.- El </w:t>
      </w:r>
      <w:r>
        <w:rPr>
          <w:rFonts w:ascii="Barlow" w:hAnsi="Barlow" w:cs="Arial"/>
          <w:sz w:val="20"/>
          <w:szCs w:val="20"/>
        </w:rPr>
        <w:t>Fondo de Aportaciones para la Seguridad Pública</w:t>
      </w:r>
      <w:r w:rsidR="00823027">
        <w:rPr>
          <w:rFonts w:ascii="Barlow" w:hAnsi="Barlow" w:cs="Arial"/>
          <w:sz w:val="20"/>
          <w:szCs w:val="20"/>
        </w:rPr>
        <w:t xml:space="preserve"> del Estado de Yucatán</w:t>
      </w:r>
      <w:r w:rsidR="00705583" w:rsidRPr="00410493">
        <w:rPr>
          <w:rFonts w:ascii="Barlow" w:hAnsi="Barlow" w:cs="Arial"/>
          <w:sz w:val="20"/>
          <w:szCs w:val="20"/>
        </w:rPr>
        <w:t xml:space="preserve"> </w:t>
      </w:r>
      <w:r>
        <w:rPr>
          <w:rFonts w:ascii="Barlow" w:hAnsi="Barlow" w:cs="Arial"/>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852D69">
        <w:rPr>
          <w:rFonts w:ascii="Barlow" w:hAnsi="Barlow" w:cs="Arial"/>
          <w:sz w:val="20"/>
          <w:szCs w:val="20"/>
        </w:rPr>
        <w:t xml:space="preserve"> </w:t>
      </w:r>
      <w:r w:rsidR="00705583" w:rsidRPr="00410493">
        <w:rPr>
          <w:rFonts w:ascii="Barlow" w:hAnsi="Barlow" w:cs="Arial"/>
          <w:sz w:val="20"/>
          <w:szCs w:val="20"/>
        </w:rPr>
        <w:t>no</w:t>
      </w:r>
      <w:r>
        <w:rPr>
          <w:rFonts w:ascii="Barlow" w:hAnsi="Barlow" w:cs="Arial"/>
          <w:sz w:val="20"/>
          <w:szCs w:val="20"/>
        </w:rPr>
        <w:t xml:space="preserve"> ha </w:t>
      </w:r>
      <w:r w:rsidR="00705583" w:rsidRPr="00410493">
        <w:rPr>
          <w:rFonts w:ascii="Barlow" w:hAnsi="Barlow" w:cs="Arial"/>
          <w:sz w:val="20"/>
          <w:szCs w:val="20"/>
        </w:rPr>
        <w:t>realiz</w:t>
      </w:r>
      <w:r>
        <w:rPr>
          <w:rFonts w:ascii="Barlow" w:hAnsi="Barlow" w:cs="Arial"/>
          <w:sz w:val="20"/>
          <w:szCs w:val="20"/>
        </w:rPr>
        <w:t>ado</w:t>
      </w:r>
      <w:r w:rsidR="00B71F24" w:rsidRPr="00410493">
        <w:rPr>
          <w:rFonts w:ascii="Barlow" w:hAnsi="Barlow" w:cs="Arial"/>
          <w:sz w:val="20"/>
          <w:szCs w:val="20"/>
        </w:rPr>
        <w:t xml:space="preserve"> </w:t>
      </w:r>
      <w:r w:rsidR="00705583" w:rsidRPr="00410493">
        <w:rPr>
          <w:rFonts w:ascii="Barlow" w:hAnsi="Barlow" w:cs="Arial"/>
          <w:sz w:val="20"/>
          <w:szCs w:val="20"/>
        </w:rPr>
        <w:t xml:space="preserve">determinación de estimaciones de cuentas incobrables, inversiones deterioro de activos </w:t>
      </w:r>
      <w:r w:rsidR="006E1089" w:rsidRPr="00410493">
        <w:rPr>
          <w:rFonts w:ascii="Barlow" w:hAnsi="Barlow" w:cs="Arial"/>
          <w:sz w:val="20"/>
          <w:szCs w:val="20"/>
        </w:rPr>
        <w:t>biológicos</w:t>
      </w:r>
      <w:r w:rsidR="00705583" w:rsidRPr="00410493">
        <w:rPr>
          <w:rFonts w:ascii="Barlow" w:hAnsi="Barlow" w:cs="Arial"/>
          <w:sz w:val="20"/>
          <w:szCs w:val="20"/>
        </w:rPr>
        <w:t>, etc.</w:t>
      </w:r>
    </w:p>
    <w:p w14:paraId="3D7BA071" w14:textId="77777777" w:rsidR="00705583" w:rsidRPr="00D8106F" w:rsidRDefault="00705583" w:rsidP="00C4137E">
      <w:pPr>
        <w:autoSpaceDE w:val="0"/>
        <w:autoSpaceDN w:val="0"/>
        <w:adjustRightInd w:val="0"/>
        <w:spacing w:line="360" w:lineRule="auto"/>
        <w:jc w:val="both"/>
        <w:rPr>
          <w:rFonts w:ascii="Barlow" w:hAnsi="Barlow" w:cs="Arial"/>
          <w:b/>
          <w:sz w:val="8"/>
          <w:szCs w:val="20"/>
        </w:rPr>
      </w:pPr>
    </w:p>
    <w:p w14:paraId="4AC6DB54" w14:textId="77777777" w:rsidR="00705583" w:rsidRPr="00410493" w:rsidRDefault="00705583"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Otros Activos</w:t>
      </w:r>
    </w:p>
    <w:p w14:paraId="49D8FBE8" w14:textId="77777777" w:rsidR="00675509" w:rsidRPr="00D8106F" w:rsidRDefault="00675509" w:rsidP="00675509">
      <w:pPr>
        <w:autoSpaceDE w:val="0"/>
        <w:autoSpaceDN w:val="0"/>
        <w:adjustRightInd w:val="0"/>
        <w:jc w:val="both"/>
        <w:rPr>
          <w:rFonts w:ascii="Barlow" w:hAnsi="Barlow" w:cs="Arial"/>
          <w:sz w:val="8"/>
          <w:szCs w:val="20"/>
        </w:rPr>
      </w:pPr>
    </w:p>
    <w:p w14:paraId="2444DDAE" w14:textId="1717BA86" w:rsidR="00705583" w:rsidRDefault="00D433EA" w:rsidP="00906A55">
      <w:pPr>
        <w:autoSpaceDE w:val="0"/>
        <w:autoSpaceDN w:val="0"/>
        <w:adjustRightInd w:val="0"/>
        <w:jc w:val="both"/>
        <w:rPr>
          <w:rFonts w:ascii="Barlow" w:hAnsi="Barlow" w:cs="Arial"/>
          <w:sz w:val="20"/>
          <w:szCs w:val="20"/>
        </w:rPr>
      </w:pPr>
      <w:r>
        <w:rPr>
          <w:rFonts w:ascii="Barlow" w:hAnsi="Barlow" w:cs="Arial"/>
          <w:sz w:val="20"/>
          <w:szCs w:val="20"/>
        </w:rPr>
        <w:t>9</w:t>
      </w:r>
      <w:r w:rsidR="00705583" w:rsidRPr="00410493">
        <w:rPr>
          <w:rFonts w:ascii="Barlow" w:hAnsi="Barlow" w:cs="Arial"/>
          <w:sz w:val="20"/>
          <w:szCs w:val="20"/>
        </w:rPr>
        <w:t xml:space="preserve">.- El </w:t>
      </w:r>
      <w:r>
        <w:rPr>
          <w:rFonts w:ascii="Barlow" w:hAnsi="Barlow" w:cs="Arial"/>
          <w:sz w:val="20"/>
          <w:szCs w:val="20"/>
        </w:rPr>
        <w:t>Fondo de Aportaciones para la Seguridad</w:t>
      </w:r>
      <w:r w:rsidR="00823027">
        <w:rPr>
          <w:rFonts w:ascii="Barlow" w:hAnsi="Barlow" w:cs="Arial"/>
          <w:sz w:val="20"/>
          <w:szCs w:val="20"/>
        </w:rPr>
        <w:t xml:space="preserve"> </w:t>
      </w:r>
      <w:r>
        <w:rPr>
          <w:rFonts w:ascii="Barlow" w:hAnsi="Barlow" w:cs="Arial"/>
          <w:sz w:val="20"/>
          <w:szCs w:val="20"/>
        </w:rPr>
        <w:t>Pública</w:t>
      </w:r>
      <w:r w:rsidR="00823027">
        <w:rPr>
          <w:rFonts w:ascii="Barlow" w:hAnsi="Barlow" w:cs="Arial"/>
          <w:sz w:val="20"/>
          <w:szCs w:val="20"/>
        </w:rPr>
        <w:t xml:space="preserve"> del Estado de Yucatán</w:t>
      </w:r>
      <w:r w:rsidRPr="00410493">
        <w:rPr>
          <w:rFonts w:ascii="Barlow" w:hAnsi="Barlow" w:cs="Arial"/>
          <w:sz w:val="20"/>
          <w:szCs w:val="20"/>
        </w:rPr>
        <w:t xml:space="preserve"> </w:t>
      </w:r>
      <w:r>
        <w:rPr>
          <w:rFonts w:ascii="Barlow" w:hAnsi="Barlow" w:cs="Arial"/>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Pr>
          <w:rFonts w:ascii="Barlow" w:hAnsi="Barlow" w:cs="Arial"/>
          <w:sz w:val="20"/>
          <w:szCs w:val="20"/>
        </w:rPr>
        <w:t xml:space="preserve"> </w:t>
      </w:r>
      <w:r w:rsidRPr="00410493">
        <w:rPr>
          <w:rFonts w:ascii="Barlow" w:hAnsi="Barlow" w:cs="Arial"/>
          <w:sz w:val="20"/>
          <w:szCs w:val="20"/>
        </w:rPr>
        <w:t>no</w:t>
      </w:r>
      <w:r w:rsidR="00A6204D">
        <w:rPr>
          <w:rFonts w:ascii="Barlow" w:hAnsi="Barlow" w:cs="Arial"/>
          <w:sz w:val="20"/>
          <w:szCs w:val="20"/>
        </w:rPr>
        <w:t xml:space="preserve"> cuenta con ningún otro tipo de activo.</w:t>
      </w:r>
    </w:p>
    <w:p w14:paraId="00F9335B" w14:textId="77777777" w:rsidR="00EF6745" w:rsidRPr="007D06BB" w:rsidRDefault="00EF6745" w:rsidP="00EF6745">
      <w:pPr>
        <w:autoSpaceDE w:val="0"/>
        <w:autoSpaceDN w:val="0"/>
        <w:adjustRightInd w:val="0"/>
        <w:jc w:val="both"/>
        <w:rPr>
          <w:rFonts w:ascii="Barlow" w:hAnsi="Barlow" w:cs="Arial"/>
          <w:sz w:val="16"/>
          <w:szCs w:val="16"/>
        </w:rPr>
      </w:pPr>
    </w:p>
    <w:p w14:paraId="3D96FBD1" w14:textId="77777777" w:rsidR="0019420F" w:rsidRDefault="0019420F" w:rsidP="00906A55">
      <w:pPr>
        <w:autoSpaceDE w:val="0"/>
        <w:autoSpaceDN w:val="0"/>
        <w:adjustRightInd w:val="0"/>
        <w:jc w:val="both"/>
        <w:rPr>
          <w:rFonts w:ascii="Barlow" w:hAnsi="Barlow" w:cs="Arial"/>
          <w:b/>
          <w:sz w:val="20"/>
          <w:szCs w:val="20"/>
        </w:rPr>
      </w:pPr>
    </w:p>
    <w:p w14:paraId="7333E70C" w14:textId="435F6448" w:rsidR="00EF6745" w:rsidRPr="00410493" w:rsidRDefault="00EF6745"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lastRenderedPageBreak/>
        <w:t>Pasivos</w:t>
      </w:r>
    </w:p>
    <w:p w14:paraId="2933B205" w14:textId="3EDDEADE" w:rsidR="00EF6745" w:rsidRDefault="004D266B" w:rsidP="00906A55">
      <w:pPr>
        <w:autoSpaceDE w:val="0"/>
        <w:autoSpaceDN w:val="0"/>
        <w:adjustRightInd w:val="0"/>
        <w:jc w:val="both"/>
        <w:rPr>
          <w:rFonts w:ascii="Barlow" w:hAnsi="Barlow" w:cs="Arial"/>
          <w:sz w:val="20"/>
          <w:szCs w:val="20"/>
        </w:rPr>
      </w:pPr>
      <w:r>
        <w:rPr>
          <w:rFonts w:ascii="Barlow" w:hAnsi="Barlow" w:cs="Arial"/>
          <w:noProof/>
          <w:sz w:val="20"/>
          <w:szCs w:val="20"/>
        </w:rPr>
        <w:object w:dxaOrig="1440" w:dyaOrig="1440" w14:anchorId="3D40C1D4">
          <v:shape id="_x0000_s1040" type="#_x0000_t75" style="position:absolute;left:0;text-align:left;margin-left:160.8pt;margin-top:22.75pt;width:204.55pt;height:48.45pt;z-index:251666432;mso-position-horizontal-relative:text;mso-position-vertical-relative:text">
            <v:imagedata r:id="rId14" o:title=""/>
          </v:shape>
          <o:OLEObject Type="Embed" ProgID="Excel.Sheet.12" ShapeID="_x0000_s1040" DrawAspect="Content" ObjectID="_1681638625" r:id="rId15"/>
        </w:object>
      </w:r>
      <w:r w:rsidR="00EF6745" w:rsidRPr="00410493">
        <w:rPr>
          <w:rFonts w:ascii="Barlow" w:hAnsi="Barlow" w:cs="Arial"/>
          <w:sz w:val="20"/>
          <w:szCs w:val="20"/>
        </w:rPr>
        <w:t xml:space="preserve">1.- </w:t>
      </w:r>
      <w:r w:rsidR="00EF6745" w:rsidRPr="00906A55">
        <w:rPr>
          <w:rFonts w:ascii="Barlow" w:hAnsi="Barlow" w:cs="Arial"/>
          <w:sz w:val="20"/>
          <w:szCs w:val="20"/>
        </w:rPr>
        <w:t xml:space="preserve">Las obligaciones a cargo del Fondo de Aportaciones Para la Seguridad Pública del Estado de Yucatán </w:t>
      </w:r>
      <w:r w:rsidR="00FD4A95">
        <w:rPr>
          <w:rFonts w:ascii="Barlow" w:hAnsi="Barlow" w:cs="Arial"/>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EF6745" w:rsidRPr="00906A55">
        <w:rPr>
          <w:rFonts w:ascii="Barlow" w:hAnsi="Barlow" w:cs="Arial"/>
          <w:sz w:val="20"/>
          <w:szCs w:val="20"/>
        </w:rPr>
        <w:t>, se integra como sigue:</w:t>
      </w:r>
    </w:p>
    <w:p w14:paraId="76F1C549" w14:textId="77777777" w:rsidR="003823D6" w:rsidRPr="00906A55" w:rsidRDefault="003823D6" w:rsidP="00906A55">
      <w:pPr>
        <w:autoSpaceDE w:val="0"/>
        <w:autoSpaceDN w:val="0"/>
        <w:adjustRightInd w:val="0"/>
        <w:jc w:val="both"/>
        <w:rPr>
          <w:rFonts w:ascii="Barlow" w:hAnsi="Barlow" w:cs="Arial"/>
          <w:sz w:val="20"/>
          <w:szCs w:val="20"/>
        </w:rPr>
      </w:pPr>
    </w:p>
    <w:p w14:paraId="3F41362B" w14:textId="77777777" w:rsidR="00EF6745" w:rsidRDefault="00EF6745" w:rsidP="00EF6745">
      <w:pPr>
        <w:autoSpaceDE w:val="0"/>
        <w:autoSpaceDN w:val="0"/>
        <w:adjustRightInd w:val="0"/>
        <w:jc w:val="both"/>
        <w:rPr>
          <w:rFonts w:ascii="Barlow" w:hAnsi="Barlow" w:cs="Arial"/>
          <w:sz w:val="20"/>
          <w:szCs w:val="20"/>
        </w:rPr>
      </w:pPr>
    </w:p>
    <w:p w14:paraId="43C7ECFB" w14:textId="77777777" w:rsidR="00EF6745" w:rsidRDefault="00EF6745" w:rsidP="00EF6745">
      <w:pPr>
        <w:autoSpaceDE w:val="0"/>
        <w:autoSpaceDN w:val="0"/>
        <w:adjustRightInd w:val="0"/>
        <w:jc w:val="both"/>
        <w:rPr>
          <w:rFonts w:ascii="Barlow" w:hAnsi="Barlow" w:cs="Arial"/>
          <w:sz w:val="20"/>
          <w:szCs w:val="20"/>
        </w:rPr>
      </w:pPr>
    </w:p>
    <w:p w14:paraId="67DB3F75" w14:textId="77777777" w:rsidR="00EF6745" w:rsidRDefault="00EF6745" w:rsidP="00EF6745">
      <w:pPr>
        <w:autoSpaceDE w:val="0"/>
        <w:autoSpaceDN w:val="0"/>
        <w:adjustRightInd w:val="0"/>
        <w:jc w:val="both"/>
        <w:rPr>
          <w:rFonts w:ascii="Barlow" w:hAnsi="Barlow" w:cs="Arial"/>
          <w:sz w:val="20"/>
          <w:szCs w:val="20"/>
        </w:rPr>
      </w:pPr>
    </w:p>
    <w:p w14:paraId="611E6962" w14:textId="77777777" w:rsidR="00EF6745" w:rsidRPr="005B17D0" w:rsidRDefault="00EF6745" w:rsidP="00EF6745">
      <w:pPr>
        <w:autoSpaceDE w:val="0"/>
        <w:autoSpaceDN w:val="0"/>
        <w:adjustRightInd w:val="0"/>
        <w:jc w:val="both"/>
        <w:rPr>
          <w:rFonts w:ascii="Barlow" w:hAnsi="Barlow" w:cs="Arial"/>
          <w:sz w:val="12"/>
          <w:szCs w:val="20"/>
        </w:rPr>
      </w:pPr>
    </w:p>
    <w:p w14:paraId="66BDB46F" w14:textId="77777777" w:rsidR="00EF6745" w:rsidRPr="00EF6745" w:rsidRDefault="00EF6745" w:rsidP="00EF6745">
      <w:pPr>
        <w:autoSpaceDE w:val="0"/>
        <w:autoSpaceDN w:val="0"/>
        <w:adjustRightInd w:val="0"/>
        <w:jc w:val="both"/>
        <w:rPr>
          <w:rFonts w:ascii="Barlow" w:hAnsi="Barlow" w:cs="Arial"/>
          <w:sz w:val="8"/>
          <w:szCs w:val="20"/>
        </w:rPr>
      </w:pPr>
    </w:p>
    <w:p w14:paraId="497D7D6D" w14:textId="1C6440CC" w:rsidR="00EF15F0" w:rsidRPr="00410493" w:rsidRDefault="00EF15F0" w:rsidP="00906A55">
      <w:pPr>
        <w:autoSpaceDE w:val="0"/>
        <w:autoSpaceDN w:val="0"/>
        <w:adjustRightInd w:val="0"/>
        <w:jc w:val="both"/>
        <w:rPr>
          <w:rFonts w:ascii="Barlow" w:hAnsi="Barlow" w:cs="Arial"/>
          <w:sz w:val="20"/>
          <w:szCs w:val="20"/>
        </w:rPr>
      </w:pPr>
      <w:bookmarkStart w:id="3" w:name="m6"/>
      <w:bookmarkStart w:id="4" w:name="m7"/>
      <w:bookmarkStart w:id="5" w:name="m9"/>
      <w:bookmarkEnd w:id="3"/>
      <w:bookmarkEnd w:id="4"/>
      <w:bookmarkEnd w:id="5"/>
      <w:r w:rsidRPr="00410493">
        <w:rPr>
          <w:rFonts w:ascii="Barlow" w:hAnsi="Barlow" w:cs="Arial"/>
          <w:sz w:val="20"/>
          <w:szCs w:val="20"/>
        </w:rPr>
        <w:t>El Pasivo Circulante, representa aquellas obligaciones en las que la exigibilidad de pago es menor a un año y</w:t>
      </w:r>
      <w:r w:rsidR="00675509">
        <w:rPr>
          <w:rFonts w:ascii="Barlow" w:hAnsi="Barlow" w:cs="Arial"/>
          <w:sz w:val="20"/>
          <w:szCs w:val="20"/>
        </w:rPr>
        <w:t xml:space="preserve"> </w:t>
      </w:r>
      <w:r w:rsidRPr="00410493">
        <w:rPr>
          <w:rFonts w:ascii="Barlow" w:hAnsi="Barlow" w:cs="Arial"/>
          <w:sz w:val="20"/>
          <w:szCs w:val="20"/>
        </w:rPr>
        <w:t xml:space="preserve">se incluyen principalmente las cuentas por pagar de operaciones contabilizadas </w:t>
      </w:r>
      <w:r w:rsidR="00A72851">
        <w:rPr>
          <w:rFonts w:ascii="Barlow" w:hAnsi="Barlow" w:cs="Arial"/>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A6204D">
        <w:rPr>
          <w:rFonts w:ascii="Barlow" w:hAnsi="Barlow" w:cs="Arial"/>
          <w:sz w:val="20"/>
          <w:szCs w:val="20"/>
        </w:rPr>
        <w:t>.</w:t>
      </w:r>
    </w:p>
    <w:p w14:paraId="6E419955" w14:textId="77777777" w:rsidR="00EF15F0" w:rsidRPr="00410493" w:rsidRDefault="00EF15F0" w:rsidP="00906A55">
      <w:pPr>
        <w:autoSpaceDE w:val="0"/>
        <w:autoSpaceDN w:val="0"/>
        <w:adjustRightInd w:val="0"/>
        <w:jc w:val="both"/>
        <w:rPr>
          <w:rFonts w:ascii="Barlow" w:hAnsi="Barlow" w:cs="Arial"/>
          <w:sz w:val="20"/>
          <w:szCs w:val="20"/>
        </w:rPr>
      </w:pPr>
      <w:r w:rsidRPr="00410493">
        <w:rPr>
          <w:rFonts w:ascii="Barlow" w:hAnsi="Barlow" w:cs="Arial"/>
          <w:sz w:val="20"/>
          <w:szCs w:val="20"/>
        </w:rPr>
        <w:t xml:space="preserve"> </w:t>
      </w:r>
    </w:p>
    <w:p w14:paraId="03B16FC2" w14:textId="7890494D" w:rsidR="008273DF" w:rsidRPr="00410493" w:rsidRDefault="00823027" w:rsidP="00906A55">
      <w:pPr>
        <w:autoSpaceDE w:val="0"/>
        <w:autoSpaceDN w:val="0"/>
        <w:adjustRightInd w:val="0"/>
        <w:jc w:val="both"/>
        <w:rPr>
          <w:rFonts w:ascii="Barlow" w:hAnsi="Barlow" w:cs="Arial"/>
          <w:sz w:val="20"/>
          <w:szCs w:val="20"/>
        </w:rPr>
      </w:pPr>
      <w:bookmarkStart w:id="6" w:name="m8"/>
      <w:bookmarkEnd w:id="6"/>
      <w:r>
        <w:rPr>
          <w:rFonts w:ascii="Barlow" w:hAnsi="Barlow" w:cs="Arial"/>
          <w:sz w:val="20"/>
          <w:szCs w:val="20"/>
        </w:rPr>
        <w:t>2</w:t>
      </w:r>
      <w:r w:rsidR="00455288" w:rsidRPr="00410493">
        <w:rPr>
          <w:rFonts w:ascii="Barlow" w:hAnsi="Barlow" w:cs="Arial"/>
          <w:sz w:val="20"/>
          <w:szCs w:val="20"/>
        </w:rPr>
        <w:t xml:space="preserve">.- El </w:t>
      </w:r>
      <w:r w:rsidR="00A6204D">
        <w:rPr>
          <w:rFonts w:ascii="Barlow" w:hAnsi="Barlow" w:cs="Arial"/>
          <w:sz w:val="20"/>
          <w:szCs w:val="20"/>
        </w:rPr>
        <w:t>Fondo de Aportaciones para la Seguridad Pública</w:t>
      </w:r>
      <w:r>
        <w:rPr>
          <w:rFonts w:ascii="Barlow" w:hAnsi="Barlow" w:cs="Arial"/>
          <w:sz w:val="20"/>
          <w:szCs w:val="20"/>
        </w:rPr>
        <w:t xml:space="preserve"> del Estado de Yucatán</w:t>
      </w:r>
      <w:r w:rsidR="00A6204D" w:rsidRPr="00410493">
        <w:rPr>
          <w:rFonts w:ascii="Barlow" w:hAnsi="Barlow" w:cs="Arial"/>
          <w:sz w:val="20"/>
          <w:szCs w:val="20"/>
        </w:rPr>
        <w:t xml:space="preserve"> </w:t>
      </w:r>
      <w:r w:rsidR="00CE62D1">
        <w:rPr>
          <w:rFonts w:ascii="Barlow" w:hAnsi="Barlow" w:cs="Arial"/>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A6204D">
        <w:rPr>
          <w:rFonts w:ascii="Barlow" w:hAnsi="Barlow" w:cs="Arial"/>
          <w:sz w:val="20"/>
          <w:szCs w:val="20"/>
        </w:rPr>
        <w:t xml:space="preserve"> </w:t>
      </w:r>
      <w:r w:rsidR="00455288" w:rsidRPr="00410493">
        <w:rPr>
          <w:rFonts w:ascii="Barlow" w:hAnsi="Barlow" w:cs="Arial"/>
          <w:sz w:val="20"/>
          <w:szCs w:val="20"/>
        </w:rPr>
        <w:t>no tiene registro de pasivos diferidos de corto o largo plazo.</w:t>
      </w:r>
    </w:p>
    <w:p w14:paraId="645D691C" w14:textId="77777777" w:rsidR="00DA1E17" w:rsidRDefault="00DA1E17" w:rsidP="00DA1E17">
      <w:pPr>
        <w:autoSpaceDE w:val="0"/>
        <w:autoSpaceDN w:val="0"/>
        <w:adjustRightInd w:val="0"/>
        <w:jc w:val="both"/>
        <w:rPr>
          <w:rFonts w:ascii="Barlow" w:hAnsi="Barlow" w:cs="Arial"/>
          <w:b/>
          <w:sz w:val="20"/>
          <w:szCs w:val="20"/>
        </w:rPr>
      </w:pPr>
    </w:p>
    <w:p w14:paraId="6E964BE8" w14:textId="77777777" w:rsidR="00455288" w:rsidRPr="00410493" w:rsidRDefault="00455288"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II) NOTAS AL ESTADO DE ACTIVIDADES</w:t>
      </w:r>
    </w:p>
    <w:p w14:paraId="16EB0356" w14:textId="77777777" w:rsidR="0036136E" w:rsidRDefault="0036136E" w:rsidP="00675509">
      <w:pPr>
        <w:autoSpaceDE w:val="0"/>
        <w:autoSpaceDN w:val="0"/>
        <w:adjustRightInd w:val="0"/>
        <w:jc w:val="both"/>
        <w:rPr>
          <w:rFonts w:ascii="Barlow" w:hAnsi="Barlow" w:cs="Arial"/>
          <w:b/>
          <w:sz w:val="20"/>
          <w:szCs w:val="20"/>
        </w:rPr>
      </w:pPr>
    </w:p>
    <w:p w14:paraId="50EBBE0D" w14:textId="77777777" w:rsidR="00E045F8" w:rsidRPr="00410493" w:rsidRDefault="00E045F8" w:rsidP="00E045F8">
      <w:pPr>
        <w:autoSpaceDE w:val="0"/>
        <w:autoSpaceDN w:val="0"/>
        <w:adjustRightInd w:val="0"/>
        <w:jc w:val="both"/>
        <w:rPr>
          <w:rFonts w:ascii="Barlow" w:hAnsi="Barlow" w:cs="Arial"/>
          <w:b/>
          <w:sz w:val="20"/>
          <w:szCs w:val="20"/>
        </w:rPr>
      </w:pPr>
      <w:r w:rsidRPr="00410493">
        <w:rPr>
          <w:rFonts w:ascii="Barlow" w:hAnsi="Barlow" w:cs="Arial"/>
          <w:b/>
          <w:sz w:val="20"/>
          <w:szCs w:val="20"/>
        </w:rPr>
        <w:t>Ingresos</w:t>
      </w:r>
      <w:r>
        <w:rPr>
          <w:rFonts w:ascii="Barlow" w:hAnsi="Barlow" w:cs="Arial"/>
          <w:b/>
          <w:sz w:val="20"/>
          <w:szCs w:val="20"/>
        </w:rPr>
        <w:t xml:space="preserve"> y Otros Beneficios</w:t>
      </w:r>
    </w:p>
    <w:p w14:paraId="7EE6E152" w14:textId="77777777" w:rsidR="00E045F8" w:rsidRPr="00D8106F" w:rsidRDefault="00E045F8" w:rsidP="00675509">
      <w:pPr>
        <w:autoSpaceDE w:val="0"/>
        <w:autoSpaceDN w:val="0"/>
        <w:adjustRightInd w:val="0"/>
        <w:jc w:val="both"/>
        <w:rPr>
          <w:rFonts w:ascii="Barlow" w:hAnsi="Barlow" w:cs="Arial"/>
          <w:b/>
          <w:sz w:val="8"/>
          <w:szCs w:val="20"/>
        </w:rPr>
      </w:pPr>
    </w:p>
    <w:p w14:paraId="7A5EF681" w14:textId="77777777" w:rsidR="00E045F8" w:rsidRDefault="00E045F8" w:rsidP="00E045F8">
      <w:pPr>
        <w:autoSpaceDE w:val="0"/>
        <w:autoSpaceDN w:val="0"/>
        <w:adjustRightInd w:val="0"/>
        <w:jc w:val="both"/>
        <w:rPr>
          <w:rFonts w:ascii="Barlow" w:hAnsi="Barlow" w:cs="Arial"/>
          <w:sz w:val="20"/>
          <w:szCs w:val="20"/>
        </w:rPr>
      </w:pPr>
      <w:r w:rsidRPr="00906A55">
        <w:rPr>
          <w:rFonts w:ascii="Barlow" w:hAnsi="Barlow" w:cs="Arial"/>
          <w:sz w:val="20"/>
          <w:szCs w:val="20"/>
        </w:rPr>
        <w:t>Los ingresos de efectivo que recibe el Fondo de Aportaciones Para la Seguridad Pública del Estado de Yucatán, y que destina para fortalecer los Ejes, Estrategias y Acciones en el Marco del Sistema Nacional de Seguridad Pública, provienen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Estos ingresos se reciben a través de ministraciones que efectúa la Secretaría de Administración y Finanzas (SAF) a la cuenta bancaria del Fondo de Aportaciones Para la Seguridad Pública del Estado de Yucatán destinada para tal efecto, de acuerdo con las fechas establecidas en el calendario de ministraciones correspondiente.</w:t>
      </w:r>
    </w:p>
    <w:p w14:paraId="2823AC79" w14:textId="77777777" w:rsidR="00820F2E" w:rsidRDefault="00820F2E" w:rsidP="00E045F8">
      <w:pPr>
        <w:autoSpaceDE w:val="0"/>
        <w:autoSpaceDN w:val="0"/>
        <w:adjustRightInd w:val="0"/>
        <w:jc w:val="both"/>
        <w:rPr>
          <w:rFonts w:ascii="Barlow" w:hAnsi="Barlow" w:cs="Arial"/>
          <w:sz w:val="20"/>
          <w:szCs w:val="20"/>
        </w:rPr>
      </w:pPr>
      <w:r>
        <w:rPr>
          <w:rFonts w:ascii="Barlow" w:hAnsi="Barlow" w:cs="Arial"/>
          <w:sz w:val="20"/>
          <w:szCs w:val="20"/>
        </w:rPr>
        <w:t>También se perciben otros ingresos provenientes de depósitos por apertura de cuentas bancarias y rendimientos de las cuentas de inversiones y bancarias donde se depositan las ministraciones</w:t>
      </w:r>
    </w:p>
    <w:p w14:paraId="7B9C704D" w14:textId="77777777" w:rsidR="00E045F8" w:rsidRPr="00DA1E17" w:rsidRDefault="00E045F8" w:rsidP="00906A55">
      <w:pPr>
        <w:autoSpaceDE w:val="0"/>
        <w:autoSpaceDN w:val="0"/>
        <w:adjustRightInd w:val="0"/>
        <w:jc w:val="both"/>
        <w:rPr>
          <w:rFonts w:ascii="Barlow" w:hAnsi="Barlow" w:cs="Arial"/>
          <w:b/>
          <w:sz w:val="8"/>
          <w:szCs w:val="8"/>
        </w:rPr>
      </w:pPr>
    </w:p>
    <w:p w14:paraId="3B8D2BB7" w14:textId="77777777" w:rsidR="00F67ABD" w:rsidRPr="00410493" w:rsidRDefault="00F67ABD"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Ingresos de Gestión</w:t>
      </w:r>
    </w:p>
    <w:p w14:paraId="31D2DB21" w14:textId="77777777" w:rsidR="0048331C" w:rsidRPr="00D8106F" w:rsidRDefault="0048331C" w:rsidP="00906A55">
      <w:pPr>
        <w:autoSpaceDE w:val="0"/>
        <w:autoSpaceDN w:val="0"/>
        <w:adjustRightInd w:val="0"/>
        <w:jc w:val="both"/>
        <w:rPr>
          <w:rFonts w:ascii="Barlow" w:hAnsi="Barlow" w:cs="Arial"/>
          <w:b/>
          <w:sz w:val="8"/>
          <w:szCs w:val="20"/>
        </w:rPr>
      </w:pPr>
    </w:p>
    <w:p w14:paraId="012D5E0E" w14:textId="3D26A8FD" w:rsidR="0048331C" w:rsidRPr="00410493" w:rsidRDefault="0048331C" w:rsidP="00906A55">
      <w:pPr>
        <w:autoSpaceDE w:val="0"/>
        <w:autoSpaceDN w:val="0"/>
        <w:adjustRightInd w:val="0"/>
        <w:jc w:val="both"/>
        <w:rPr>
          <w:rFonts w:ascii="Barlow" w:hAnsi="Barlow" w:cs="Arial"/>
          <w:sz w:val="20"/>
          <w:szCs w:val="20"/>
        </w:rPr>
      </w:pPr>
      <w:r w:rsidRPr="00410493">
        <w:rPr>
          <w:rFonts w:ascii="Barlow" w:hAnsi="Barlow" w:cs="Arial"/>
          <w:sz w:val="20"/>
          <w:szCs w:val="20"/>
        </w:rPr>
        <w:t xml:space="preserve">Representa el monto de los ingresos </w:t>
      </w:r>
      <w:r w:rsidR="00675509">
        <w:rPr>
          <w:rFonts w:ascii="Barlow" w:hAnsi="Barlow" w:cs="Arial"/>
          <w:sz w:val="20"/>
          <w:szCs w:val="20"/>
        </w:rPr>
        <w:t>obtenidos</w:t>
      </w:r>
      <w:r w:rsidR="00CE62D1">
        <w:rPr>
          <w:rFonts w:ascii="Barlow" w:hAnsi="Barlow" w:cs="Arial"/>
          <w:sz w:val="20"/>
          <w:szCs w:val="20"/>
        </w:rPr>
        <w:t xml:space="preserve"> al</w:t>
      </w:r>
      <w:r w:rsidR="00675509">
        <w:rPr>
          <w:rFonts w:ascii="Barlow" w:hAnsi="Barlow" w:cs="Arial"/>
          <w:sz w:val="20"/>
          <w:szCs w:val="20"/>
        </w:rPr>
        <w:t xml:space="preserve">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675509">
        <w:rPr>
          <w:rFonts w:ascii="Barlow" w:hAnsi="Barlow" w:cs="Arial"/>
          <w:sz w:val="20"/>
          <w:szCs w:val="20"/>
        </w:rPr>
        <w:t xml:space="preserve"> por concepto de intereses que generan las cuentas bancarias, como se </w:t>
      </w:r>
      <w:r w:rsidRPr="00410493">
        <w:rPr>
          <w:rFonts w:ascii="Barlow" w:hAnsi="Barlow" w:cs="Arial"/>
          <w:sz w:val="20"/>
          <w:szCs w:val="20"/>
        </w:rPr>
        <w:t>muestra a continuación:</w:t>
      </w:r>
    </w:p>
    <w:p w14:paraId="447DE320" w14:textId="77777777" w:rsidR="0048331C" w:rsidRPr="00D8106F" w:rsidRDefault="0048331C" w:rsidP="00906A55">
      <w:pPr>
        <w:autoSpaceDE w:val="0"/>
        <w:autoSpaceDN w:val="0"/>
        <w:adjustRightInd w:val="0"/>
        <w:jc w:val="both"/>
        <w:rPr>
          <w:rFonts w:ascii="Barlow" w:hAnsi="Barlow" w:cs="Arial"/>
          <w:b/>
          <w:sz w:val="8"/>
          <w:szCs w:val="20"/>
        </w:rPr>
      </w:pPr>
    </w:p>
    <w:p w14:paraId="2C7F2AA1" w14:textId="77777777" w:rsidR="00455288" w:rsidRDefault="00455288" w:rsidP="00E045F8">
      <w:pPr>
        <w:autoSpaceDE w:val="0"/>
        <w:autoSpaceDN w:val="0"/>
        <w:adjustRightInd w:val="0"/>
        <w:jc w:val="both"/>
        <w:rPr>
          <w:rFonts w:ascii="Barlow" w:hAnsi="Barlow" w:cs="Arial"/>
          <w:bCs/>
          <w:sz w:val="20"/>
          <w:szCs w:val="20"/>
        </w:rPr>
      </w:pPr>
      <w:r w:rsidRPr="00410493">
        <w:rPr>
          <w:rFonts w:ascii="Barlow" w:hAnsi="Barlow" w:cs="Arial"/>
          <w:bCs/>
          <w:sz w:val="20"/>
          <w:szCs w:val="20"/>
        </w:rPr>
        <w:t>1.- Las cuentas que integran los ingresos de la gestión, presentan los siguientes saldos:</w:t>
      </w:r>
    </w:p>
    <w:p w14:paraId="259325ED" w14:textId="1E2C0D15" w:rsidR="00820F2E" w:rsidRDefault="004D266B" w:rsidP="00E045F8">
      <w:pPr>
        <w:autoSpaceDE w:val="0"/>
        <w:autoSpaceDN w:val="0"/>
        <w:adjustRightInd w:val="0"/>
        <w:jc w:val="both"/>
        <w:rPr>
          <w:rFonts w:ascii="Barlow" w:hAnsi="Barlow" w:cs="Arial"/>
          <w:bCs/>
          <w:sz w:val="20"/>
          <w:szCs w:val="20"/>
        </w:rPr>
      </w:pPr>
      <w:r>
        <w:rPr>
          <w:rFonts w:ascii="Barlow" w:hAnsi="Barlow" w:cs="Arial"/>
          <w:bCs/>
          <w:noProof/>
          <w:sz w:val="20"/>
          <w:szCs w:val="20"/>
        </w:rPr>
        <w:object w:dxaOrig="1440" w:dyaOrig="1440" w14:anchorId="7858C0DF">
          <v:shape id="_x0000_s1033" type="#_x0000_t75" style="position:absolute;left:0;text-align:left;margin-left:191.05pt;margin-top:6.15pt;width:145.25pt;height:36.35pt;z-index:251660288">
            <v:imagedata r:id="rId16" o:title=""/>
          </v:shape>
          <o:OLEObject Type="Embed" ProgID="Excel.Sheet.12" ShapeID="_x0000_s1033" DrawAspect="Content" ObjectID="_1681638626" r:id="rId17"/>
        </w:object>
      </w:r>
    </w:p>
    <w:p w14:paraId="1922BADC" w14:textId="44056622" w:rsidR="00820F2E" w:rsidRDefault="00820F2E" w:rsidP="00E045F8">
      <w:pPr>
        <w:autoSpaceDE w:val="0"/>
        <w:autoSpaceDN w:val="0"/>
        <w:adjustRightInd w:val="0"/>
        <w:jc w:val="both"/>
        <w:rPr>
          <w:rFonts w:ascii="Barlow" w:hAnsi="Barlow" w:cs="Arial"/>
          <w:bCs/>
          <w:sz w:val="20"/>
          <w:szCs w:val="20"/>
        </w:rPr>
      </w:pPr>
    </w:p>
    <w:p w14:paraId="64674184" w14:textId="77777777" w:rsidR="00820F2E" w:rsidRDefault="00820F2E" w:rsidP="00E045F8">
      <w:pPr>
        <w:autoSpaceDE w:val="0"/>
        <w:autoSpaceDN w:val="0"/>
        <w:adjustRightInd w:val="0"/>
        <w:jc w:val="both"/>
        <w:rPr>
          <w:rFonts w:ascii="Barlow" w:hAnsi="Barlow" w:cs="Arial"/>
          <w:bCs/>
          <w:sz w:val="20"/>
          <w:szCs w:val="20"/>
        </w:rPr>
      </w:pPr>
    </w:p>
    <w:p w14:paraId="68495C9D" w14:textId="77777777" w:rsidR="00820F2E" w:rsidRDefault="00820F2E" w:rsidP="00E045F8">
      <w:pPr>
        <w:autoSpaceDE w:val="0"/>
        <w:autoSpaceDN w:val="0"/>
        <w:adjustRightInd w:val="0"/>
        <w:jc w:val="both"/>
        <w:rPr>
          <w:rFonts w:ascii="Barlow" w:hAnsi="Barlow" w:cs="Arial"/>
          <w:bCs/>
          <w:sz w:val="10"/>
          <w:szCs w:val="20"/>
        </w:rPr>
      </w:pPr>
    </w:p>
    <w:p w14:paraId="6E9547CD" w14:textId="77777777" w:rsidR="0057368F" w:rsidRPr="005B17D0" w:rsidRDefault="0057368F" w:rsidP="00E045F8">
      <w:pPr>
        <w:autoSpaceDE w:val="0"/>
        <w:autoSpaceDN w:val="0"/>
        <w:adjustRightInd w:val="0"/>
        <w:jc w:val="both"/>
        <w:rPr>
          <w:rFonts w:ascii="Barlow" w:hAnsi="Barlow" w:cs="Arial"/>
          <w:bCs/>
          <w:sz w:val="10"/>
          <w:szCs w:val="20"/>
        </w:rPr>
      </w:pPr>
    </w:p>
    <w:p w14:paraId="365D5EB9" w14:textId="77777777" w:rsidR="00E045F8" w:rsidRDefault="00E045F8">
      <w:pPr>
        <w:autoSpaceDE w:val="0"/>
        <w:autoSpaceDN w:val="0"/>
        <w:adjustRightInd w:val="0"/>
        <w:jc w:val="both"/>
        <w:rPr>
          <w:rFonts w:ascii="Barlow" w:hAnsi="Barlow" w:cs="Arial"/>
          <w:b/>
          <w:sz w:val="20"/>
          <w:szCs w:val="20"/>
        </w:rPr>
      </w:pPr>
      <w:bookmarkStart w:id="7" w:name="m12"/>
      <w:bookmarkEnd w:id="7"/>
      <w:r>
        <w:rPr>
          <w:rFonts w:ascii="Barlow" w:hAnsi="Barlow" w:cs="Arial"/>
          <w:b/>
          <w:sz w:val="20"/>
          <w:szCs w:val="20"/>
        </w:rPr>
        <w:t>Participaciones, Aportaciones, Transferencias, Asignaciones, Subsidios y Otras Ayudas.</w:t>
      </w:r>
    </w:p>
    <w:p w14:paraId="3707AA5C" w14:textId="77777777" w:rsidR="001A31D3" w:rsidRPr="00D8106F" w:rsidRDefault="001A31D3">
      <w:pPr>
        <w:autoSpaceDE w:val="0"/>
        <w:autoSpaceDN w:val="0"/>
        <w:adjustRightInd w:val="0"/>
        <w:jc w:val="both"/>
        <w:rPr>
          <w:rFonts w:ascii="Barlow" w:hAnsi="Barlow" w:cs="Arial"/>
          <w:b/>
          <w:sz w:val="8"/>
          <w:szCs w:val="20"/>
        </w:rPr>
      </w:pPr>
    </w:p>
    <w:p w14:paraId="1C8DA0BA" w14:textId="6BFF6A22" w:rsidR="00820F2E" w:rsidRDefault="00F67ABD">
      <w:pPr>
        <w:autoSpaceDE w:val="0"/>
        <w:autoSpaceDN w:val="0"/>
        <w:adjustRightInd w:val="0"/>
        <w:jc w:val="both"/>
        <w:rPr>
          <w:rFonts w:ascii="Barlow" w:hAnsi="Barlow" w:cs="Arial"/>
          <w:bCs/>
          <w:sz w:val="20"/>
          <w:szCs w:val="20"/>
        </w:rPr>
      </w:pPr>
      <w:r w:rsidRPr="00410493">
        <w:rPr>
          <w:rFonts w:ascii="Barlow" w:hAnsi="Barlow" w:cs="Arial"/>
          <w:bCs/>
          <w:sz w:val="20"/>
          <w:szCs w:val="20"/>
        </w:rPr>
        <w:t>2</w:t>
      </w:r>
      <w:r w:rsidR="00E045F8">
        <w:rPr>
          <w:rFonts w:ascii="Barlow" w:hAnsi="Barlow" w:cs="Arial"/>
          <w:bCs/>
          <w:sz w:val="20"/>
          <w:szCs w:val="20"/>
        </w:rPr>
        <w:t>.-</w:t>
      </w:r>
      <w:r w:rsidRPr="00410493">
        <w:rPr>
          <w:rFonts w:ascii="Barlow" w:hAnsi="Barlow" w:cs="Arial"/>
          <w:bCs/>
          <w:sz w:val="20"/>
          <w:szCs w:val="20"/>
        </w:rPr>
        <w:t xml:space="preserve"> </w:t>
      </w:r>
      <w:r w:rsidR="002D2B5B">
        <w:rPr>
          <w:rFonts w:ascii="Barlow" w:hAnsi="Barlow" w:cs="Arial"/>
          <w:bCs/>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2D2B5B">
        <w:rPr>
          <w:rFonts w:ascii="Barlow" w:hAnsi="Barlow" w:cs="Arial"/>
          <w:bCs/>
          <w:sz w:val="20"/>
          <w:szCs w:val="20"/>
        </w:rPr>
        <w:t xml:space="preserve"> </w:t>
      </w:r>
      <w:r w:rsidR="005B0A62">
        <w:rPr>
          <w:rFonts w:ascii="Barlow" w:hAnsi="Barlow" w:cs="Arial"/>
          <w:bCs/>
          <w:sz w:val="20"/>
          <w:szCs w:val="20"/>
        </w:rPr>
        <w:t xml:space="preserve">el saldo de </w:t>
      </w:r>
      <w:r w:rsidR="002D2B5B">
        <w:rPr>
          <w:rFonts w:ascii="Barlow" w:hAnsi="Barlow" w:cs="Arial"/>
          <w:bCs/>
          <w:sz w:val="20"/>
          <w:szCs w:val="20"/>
        </w:rPr>
        <w:t>l</w:t>
      </w:r>
      <w:r w:rsidRPr="00410493">
        <w:rPr>
          <w:rFonts w:ascii="Barlow" w:hAnsi="Barlow" w:cs="Arial"/>
          <w:bCs/>
          <w:sz w:val="20"/>
          <w:szCs w:val="20"/>
        </w:rPr>
        <w:t>as cuentas que integran los ingresos por participaciones, aportaciones, transferencias, asignaciones, subsidios y otras ayudas</w:t>
      </w:r>
      <w:r w:rsidR="002D2B5B">
        <w:rPr>
          <w:rFonts w:ascii="Barlow" w:hAnsi="Barlow" w:cs="Arial"/>
          <w:bCs/>
          <w:sz w:val="20"/>
          <w:szCs w:val="20"/>
        </w:rPr>
        <w:t xml:space="preserve"> </w:t>
      </w:r>
      <w:r w:rsidR="00BC78D6">
        <w:rPr>
          <w:rFonts w:ascii="Barlow" w:hAnsi="Barlow" w:cs="Arial"/>
          <w:bCs/>
          <w:sz w:val="20"/>
          <w:szCs w:val="20"/>
        </w:rPr>
        <w:t xml:space="preserve">es de $ </w:t>
      </w:r>
      <w:r w:rsidR="007277F4">
        <w:rPr>
          <w:rFonts w:ascii="Barlow" w:hAnsi="Barlow" w:cs="Arial"/>
          <w:bCs/>
          <w:sz w:val="20"/>
          <w:szCs w:val="20"/>
        </w:rPr>
        <w:t>0</w:t>
      </w:r>
      <w:r w:rsidR="00BC78D6">
        <w:rPr>
          <w:rFonts w:ascii="Barlow" w:hAnsi="Barlow" w:cs="Arial"/>
          <w:bCs/>
          <w:sz w:val="20"/>
          <w:szCs w:val="20"/>
        </w:rPr>
        <w:t>.00</w:t>
      </w:r>
      <w:r w:rsidR="002D2B5B" w:rsidRPr="00410493" w:rsidDel="002D2B5B">
        <w:rPr>
          <w:rFonts w:ascii="Barlow" w:hAnsi="Barlow" w:cs="Arial"/>
          <w:bCs/>
          <w:sz w:val="20"/>
          <w:szCs w:val="20"/>
        </w:rPr>
        <w:t xml:space="preserve"> </w:t>
      </w:r>
    </w:p>
    <w:p w14:paraId="22E9D1A5" w14:textId="77777777" w:rsidR="00112D72" w:rsidRPr="005B17D0" w:rsidRDefault="00112D72" w:rsidP="00906A55">
      <w:pPr>
        <w:autoSpaceDE w:val="0"/>
        <w:autoSpaceDN w:val="0"/>
        <w:adjustRightInd w:val="0"/>
        <w:jc w:val="both"/>
        <w:rPr>
          <w:rFonts w:ascii="Barlow" w:hAnsi="Barlow" w:cs="Arial"/>
          <w:b/>
          <w:sz w:val="14"/>
          <w:szCs w:val="20"/>
        </w:rPr>
      </w:pPr>
    </w:p>
    <w:p w14:paraId="7F1C6E1F" w14:textId="77777777" w:rsidR="00F67ABD" w:rsidRDefault="00F67ABD" w:rsidP="00D8106F">
      <w:pPr>
        <w:autoSpaceDE w:val="0"/>
        <w:autoSpaceDN w:val="0"/>
        <w:adjustRightInd w:val="0"/>
        <w:spacing w:line="0" w:lineRule="atLeast"/>
        <w:jc w:val="both"/>
        <w:rPr>
          <w:rFonts w:ascii="Barlow" w:hAnsi="Barlow" w:cs="Arial"/>
          <w:b/>
          <w:sz w:val="20"/>
          <w:szCs w:val="20"/>
        </w:rPr>
      </w:pPr>
      <w:r w:rsidRPr="00410493">
        <w:rPr>
          <w:rFonts w:ascii="Barlow" w:hAnsi="Barlow" w:cs="Arial"/>
          <w:b/>
          <w:sz w:val="20"/>
          <w:szCs w:val="20"/>
        </w:rPr>
        <w:t>Otros Ingresos y Beneficios Varios</w:t>
      </w:r>
    </w:p>
    <w:p w14:paraId="00B98A89" w14:textId="77777777" w:rsidR="00D8106F" w:rsidRPr="00D8106F" w:rsidRDefault="00D8106F" w:rsidP="00D8106F">
      <w:pPr>
        <w:autoSpaceDE w:val="0"/>
        <w:autoSpaceDN w:val="0"/>
        <w:adjustRightInd w:val="0"/>
        <w:spacing w:line="0" w:lineRule="atLeast"/>
        <w:jc w:val="both"/>
        <w:rPr>
          <w:rFonts w:ascii="Barlow" w:hAnsi="Barlow" w:cs="Arial"/>
          <w:b/>
          <w:sz w:val="8"/>
          <w:szCs w:val="20"/>
        </w:rPr>
      </w:pPr>
    </w:p>
    <w:p w14:paraId="65F8DCE3" w14:textId="11D1F99E" w:rsidR="00E045F8" w:rsidRPr="00410493" w:rsidRDefault="00F67ABD" w:rsidP="00D8106F">
      <w:pPr>
        <w:autoSpaceDE w:val="0"/>
        <w:autoSpaceDN w:val="0"/>
        <w:adjustRightInd w:val="0"/>
        <w:spacing w:line="0" w:lineRule="atLeast"/>
        <w:jc w:val="both"/>
        <w:rPr>
          <w:rFonts w:ascii="Barlow" w:hAnsi="Barlow" w:cs="Arial"/>
          <w:sz w:val="20"/>
          <w:szCs w:val="20"/>
        </w:rPr>
      </w:pPr>
      <w:r w:rsidRPr="00410493">
        <w:rPr>
          <w:rFonts w:ascii="Barlow" w:hAnsi="Barlow" w:cs="Arial"/>
          <w:bCs/>
          <w:sz w:val="20"/>
          <w:szCs w:val="20"/>
        </w:rPr>
        <w:t xml:space="preserve">3.- </w:t>
      </w:r>
      <w:r w:rsidR="00E045F8" w:rsidRPr="00410493">
        <w:rPr>
          <w:rFonts w:ascii="Barlow" w:hAnsi="Barlow" w:cs="Arial"/>
          <w:sz w:val="20"/>
          <w:szCs w:val="20"/>
        </w:rPr>
        <w:t xml:space="preserve">El </w:t>
      </w:r>
      <w:r w:rsidR="00E045F8">
        <w:rPr>
          <w:rFonts w:ascii="Barlow" w:hAnsi="Barlow" w:cs="Arial"/>
          <w:sz w:val="20"/>
          <w:szCs w:val="20"/>
        </w:rPr>
        <w:t>Fondo de Aportaciones para la Seguridad Pública</w:t>
      </w:r>
      <w:r w:rsidR="00E045F8" w:rsidRPr="00410493">
        <w:rPr>
          <w:rFonts w:ascii="Barlow" w:hAnsi="Barlow" w:cs="Arial"/>
          <w:sz w:val="20"/>
          <w:szCs w:val="20"/>
        </w:rPr>
        <w:t xml:space="preserve"> </w:t>
      </w:r>
      <w:r w:rsidR="00823027">
        <w:rPr>
          <w:rFonts w:ascii="Barlow" w:hAnsi="Barlow" w:cs="Arial"/>
          <w:sz w:val="20"/>
          <w:szCs w:val="20"/>
        </w:rPr>
        <w:t xml:space="preserve">del Estado de Yucatán </w:t>
      </w:r>
      <w:r w:rsidR="00E045F8">
        <w:rPr>
          <w:rFonts w:ascii="Barlow" w:hAnsi="Barlow" w:cs="Arial"/>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E045F8">
        <w:rPr>
          <w:rFonts w:ascii="Barlow" w:hAnsi="Barlow" w:cs="Arial"/>
          <w:sz w:val="20"/>
          <w:szCs w:val="20"/>
        </w:rPr>
        <w:t xml:space="preserve"> </w:t>
      </w:r>
      <w:r w:rsidR="00E045F8" w:rsidRPr="00410493">
        <w:rPr>
          <w:rFonts w:ascii="Barlow" w:hAnsi="Barlow" w:cs="Arial"/>
          <w:sz w:val="20"/>
          <w:szCs w:val="20"/>
        </w:rPr>
        <w:t>no tiene registro</w:t>
      </w:r>
      <w:r w:rsidR="00E045F8">
        <w:rPr>
          <w:rFonts w:ascii="Barlow" w:hAnsi="Barlow" w:cs="Arial"/>
          <w:sz w:val="20"/>
          <w:szCs w:val="20"/>
        </w:rPr>
        <w:t xml:space="preserve"> de otros Ingresos o Beneficios Varios</w:t>
      </w:r>
    </w:p>
    <w:p w14:paraId="65712166" w14:textId="77777777" w:rsidR="00F13098" w:rsidRPr="00DA1E17" w:rsidRDefault="00F13098" w:rsidP="00DA1E17">
      <w:pPr>
        <w:autoSpaceDE w:val="0"/>
        <w:autoSpaceDN w:val="0"/>
        <w:adjustRightInd w:val="0"/>
        <w:jc w:val="both"/>
        <w:rPr>
          <w:rFonts w:ascii="Barlow" w:hAnsi="Barlow" w:cs="Arial"/>
          <w:sz w:val="8"/>
          <w:szCs w:val="2"/>
        </w:rPr>
      </w:pPr>
    </w:p>
    <w:p w14:paraId="401B3433" w14:textId="77777777" w:rsidR="00DA1E17" w:rsidRPr="005B17D0" w:rsidRDefault="00DA1E17" w:rsidP="00672BB0">
      <w:pPr>
        <w:autoSpaceDE w:val="0"/>
        <w:autoSpaceDN w:val="0"/>
        <w:adjustRightInd w:val="0"/>
        <w:jc w:val="both"/>
        <w:rPr>
          <w:rFonts w:ascii="Barlow" w:hAnsi="Barlow" w:cs="Arial"/>
          <w:sz w:val="8"/>
          <w:szCs w:val="20"/>
        </w:rPr>
      </w:pPr>
    </w:p>
    <w:p w14:paraId="3311C10C" w14:textId="77777777" w:rsidR="0034445C" w:rsidRPr="00410493" w:rsidRDefault="0034445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Gastos y Otras Pérdidas</w:t>
      </w:r>
    </w:p>
    <w:p w14:paraId="4B27AA06" w14:textId="77777777" w:rsidR="00F2495B" w:rsidRPr="00D8106F" w:rsidRDefault="00F2495B" w:rsidP="00906A55">
      <w:pPr>
        <w:autoSpaceDE w:val="0"/>
        <w:autoSpaceDN w:val="0"/>
        <w:adjustRightInd w:val="0"/>
        <w:jc w:val="both"/>
        <w:rPr>
          <w:rFonts w:ascii="Barlow" w:hAnsi="Barlow" w:cs="Arial"/>
          <w:bCs/>
          <w:sz w:val="8"/>
          <w:szCs w:val="20"/>
        </w:rPr>
      </w:pPr>
    </w:p>
    <w:p w14:paraId="4BB278A7" w14:textId="26D569DE" w:rsidR="00672BB0" w:rsidRDefault="0034445C" w:rsidP="00906A55">
      <w:pPr>
        <w:autoSpaceDE w:val="0"/>
        <w:autoSpaceDN w:val="0"/>
        <w:adjustRightInd w:val="0"/>
        <w:jc w:val="both"/>
        <w:rPr>
          <w:rFonts w:ascii="Barlow" w:hAnsi="Barlow" w:cs="Arial"/>
          <w:bCs/>
          <w:sz w:val="20"/>
          <w:szCs w:val="20"/>
        </w:rPr>
      </w:pPr>
      <w:r w:rsidRPr="00410493">
        <w:rPr>
          <w:rFonts w:ascii="Barlow" w:hAnsi="Barlow" w:cs="Arial"/>
          <w:bCs/>
          <w:sz w:val="20"/>
          <w:szCs w:val="20"/>
        </w:rPr>
        <w:t xml:space="preserve">1.- </w:t>
      </w:r>
      <w:r w:rsidR="001A31D3" w:rsidRPr="00906A55">
        <w:rPr>
          <w:rFonts w:ascii="Barlow" w:hAnsi="Barlow" w:cs="Arial"/>
          <w:bCs/>
          <w:sz w:val="20"/>
          <w:szCs w:val="20"/>
        </w:rPr>
        <w:t>El Fondo de Aportaciones Para la Seguridad Pública del Estado de Yucatán</w:t>
      </w:r>
      <w:r w:rsidR="00BA2A87">
        <w:rPr>
          <w:rFonts w:ascii="Barlow" w:hAnsi="Barlow" w:cs="Arial"/>
          <w:bCs/>
          <w:sz w:val="20"/>
          <w:szCs w:val="20"/>
        </w:rPr>
        <w:t xml:space="preserve"> 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1A31D3" w:rsidRPr="00906A55">
        <w:rPr>
          <w:rFonts w:ascii="Barlow" w:hAnsi="Barlow" w:cs="Arial"/>
          <w:bCs/>
          <w:sz w:val="20"/>
          <w:szCs w:val="20"/>
        </w:rPr>
        <w:t xml:space="preserve"> no ha realizado transferencias, subsidios y otras ayudas, participaciones y aportaciones, que en lo individual representen el 10% o más del total de los gastos.</w:t>
      </w:r>
      <w:r w:rsidR="008D1226">
        <w:rPr>
          <w:rFonts w:ascii="Barlow" w:hAnsi="Barlow" w:cs="Arial"/>
          <w:bCs/>
          <w:sz w:val="20"/>
          <w:szCs w:val="20"/>
        </w:rPr>
        <w:t xml:space="preserve"> </w:t>
      </w:r>
    </w:p>
    <w:p w14:paraId="1E85A976" w14:textId="77777777" w:rsidR="0057368F" w:rsidRDefault="0057368F" w:rsidP="00672BB0">
      <w:pPr>
        <w:autoSpaceDE w:val="0"/>
        <w:autoSpaceDN w:val="0"/>
        <w:adjustRightInd w:val="0"/>
        <w:jc w:val="both"/>
        <w:rPr>
          <w:rFonts w:ascii="Barlow" w:hAnsi="Barlow" w:cs="Arial"/>
          <w:bCs/>
          <w:sz w:val="20"/>
          <w:szCs w:val="20"/>
        </w:rPr>
      </w:pPr>
    </w:p>
    <w:p w14:paraId="18CB7BA8" w14:textId="7ABCD547" w:rsidR="008D1226" w:rsidRDefault="008D1226" w:rsidP="00672BB0">
      <w:pPr>
        <w:autoSpaceDE w:val="0"/>
        <w:autoSpaceDN w:val="0"/>
        <w:adjustRightInd w:val="0"/>
        <w:jc w:val="both"/>
        <w:rPr>
          <w:rFonts w:ascii="Barlow" w:hAnsi="Barlow" w:cs="Arial"/>
          <w:bCs/>
          <w:sz w:val="20"/>
          <w:szCs w:val="20"/>
        </w:rPr>
      </w:pPr>
      <w:r>
        <w:rPr>
          <w:rFonts w:ascii="Barlow" w:hAnsi="Barlow" w:cs="Arial"/>
          <w:bCs/>
          <w:sz w:val="20"/>
          <w:szCs w:val="20"/>
        </w:rPr>
        <w:t xml:space="preserve">El importe de </w:t>
      </w:r>
      <w:r w:rsidRPr="00906A55">
        <w:rPr>
          <w:rFonts w:ascii="Barlow" w:hAnsi="Barlow" w:cs="Arial"/>
          <w:bCs/>
          <w:sz w:val="20"/>
          <w:szCs w:val="20"/>
        </w:rPr>
        <w:t>otros gastos y pérdidas extraordinarias</w:t>
      </w:r>
      <w:r w:rsidR="00BA2A87">
        <w:rPr>
          <w:rFonts w:ascii="Barlow" w:hAnsi="Barlow" w:cs="Arial"/>
          <w:bCs/>
          <w:sz w:val="20"/>
          <w:szCs w:val="20"/>
        </w:rPr>
        <w:t xml:space="preserve"> 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852D69" w:rsidRPr="00852D69">
        <w:rPr>
          <w:rFonts w:ascii="Barlow" w:hAnsi="Barlow" w:cs="Arial"/>
          <w:sz w:val="20"/>
          <w:szCs w:val="20"/>
        </w:rPr>
        <w:t xml:space="preserve"> de 202</w:t>
      </w:r>
      <w:r w:rsidR="003C1D54">
        <w:rPr>
          <w:rFonts w:ascii="Barlow" w:hAnsi="Barlow" w:cs="Arial"/>
          <w:sz w:val="20"/>
          <w:szCs w:val="20"/>
        </w:rPr>
        <w:t>1</w:t>
      </w:r>
      <w:r w:rsidR="006373FF">
        <w:rPr>
          <w:rFonts w:ascii="Barlow" w:hAnsi="Barlow" w:cs="Arial"/>
          <w:bCs/>
          <w:sz w:val="20"/>
          <w:szCs w:val="20"/>
        </w:rPr>
        <w:t xml:space="preserve"> es de $ </w:t>
      </w:r>
      <w:r w:rsidR="007277F4">
        <w:rPr>
          <w:rFonts w:ascii="Barlow" w:hAnsi="Barlow" w:cs="Arial"/>
          <w:bCs/>
          <w:sz w:val="20"/>
          <w:szCs w:val="20"/>
        </w:rPr>
        <w:t>1</w:t>
      </w:r>
      <w:r w:rsidR="0057368F">
        <w:rPr>
          <w:rFonts w:ascii="Barlow" w:hAnsi="Barlow" w:cs="Arial"/>
          <w:bCs/>
          <w:sz w:val="20"/>
          <w:szCs w:val="20"/>
        </w:rPr>
        <w:t>,9</w:t>
      </w:r>
      <w:r w:rsidR="003823D6">
        <w:rPr>
          <w:rFonts w:ascii="Barlow" w:hAnsi="Barlow" w:cs="Arial"/>
          <w:bCs/>
          <w:sz w:val="20"/>
          <w:szCs w:val="20"/>
        </w:rPr>
        <w:t>68</w:t>
      </w:r>
      <w:r w:rsidR="006373FF">
        <w:rPr>
          <w:rFonts w:ascii="Barlow" w:hAnsi="Barlow" w:cs="Arial"/>
          <w:bCs/>
          <w:sz w:val="20"/>
          <w:szCs w:val="20"/>
        </w:rPr>
        <w:t>.</w:t>
      </w:r>
      <w:r w:rsidR="003823D6">
        <w:rPr>
          <w:rFonts w:ascii="Barlow" w:hAnsi="Barlow" w:cs="Arial"/>
          <w:bCs/>
          <w:sz w:val="20"/>
          <w:szCs w:val="20"/>
        </w:rPr>
        <w:t>52</w:t>
      </w:r>
    </w:p>
    <w:p w14:paraId="04111600" w14:textId="77777777" w:rsidR="0057368F" w:rsidRDefault="0057368F" w:rsidP="008D1226">
      <w:pPr>
        <w:autoSpaceDE w:val="0"/>
        <w:autoSpaceDN w:val="0"/>
        <w:adjustRightInd w:val="0"/>
        <w:jc w:val="both"/>
        <w:rPr>
          <w:rFonts w:ascii="Barlow" w:hAnsi="Barlow" w:cs="Arial"/>
          <w:bCs/>
          <w:sz w:val="20"/>
          <w:szCs w:val="20"/>
        </w:rPr>
      </w:pPr>
    </w:p>
    <w:p w14:paraId="51539F77" w14:textId="6845B296" w:rsidR="001A31D3" w:rsidRDefault="00471335" w:rsidP="008D1226">
      <w:pPr>
        <w:autoSpaceDE w:val="0"/>
        <w:autoSpaceDN w:val="0"/>
        <w:adjustRightInd w:val="0"/>
        <w:jc w:val="both"/>
        <w:rPr>
          <w:rFonts w:ascii="Barlow" w:hAnsi="Barlow" w:cs="Arial"/>
          <w:bCs/>
          <w:sz w:val="20"/>
          <w:szCs w:val="20"/>
        </w:rPr>
      </w:pPr>
      <w:r>
        <w:rPr>
          <w:rFonts w:ascii="Barlow" w:hAnsi="Barlow" w:cs="Arial"/>
          <w:bCs/>
          <w:sz w:val="20"/>
          <w:szCs w:val="20"/>
        </w:rPr>
        <w:t xml:space="preserve">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57368F">
        <w:rPr>
          <w:rFonts w:ascii="Barlow" w:hAnsi="Barlow" w:cs="Arial"/>
          <w:sz w:val="20"/>
          <w:szCs w:val="20"/>
        </w:rPr>
        <w:t xml:space="preserve"> de 2021</w:t>
      </w:r>
      <w:r>
        <w:rPr>
          <w:rFonts w:ascii="Barlow" w:hAnsi="Barlow" w:cs="Arial"/>
          <w:bCs/>
          <w:sz w:val="20"/>
          <w:szCs w:val="20"/>
        </w:rPr>
        <w:t xml:space="preserve"> no se habían realizado </w:t>
      </w:r>
      <w:r w:rsidR="001A31D3" w:rsidRPr="00906A55">
        <w:rPr>
          <w:rFonts w:ascii="Barlow" w:hAnsi="Barlow" w:cs="Arial"/>
          <w:bCs/>
          <w:sz w:val="20"/>
          <w:szCs w:val="20"/>
        </w:rPr>
        <w:t>gastos</w:t>
      </w:r>
      <w:r>
        <w:rPr>
          <w:rFonts w:ascii="Barlow" w:hAnsi="Barlow" w:cs="Arial"/>
          <w:bCs/>
          <w:sz w:val="20"/>
          <w:szCs w:val="20"/>
        </w:rPr>
        <w:t xml:space="preserve"> de funcionamiento por concepto de servicios personales, materiales y suministros y servicios generales </w:t>
      </w:r>
      <w:r w:rsidR="001A31D3" w:rsidRPr="00906A55">
        <w:rPr>
          <w:rFonts w:ascii="Barlow" w:hAnsi="Barlow" w:cs="Arial"/>
          <w:bCs/>
          <w:sz w:val="20"/>
          <w:szCs w:val="20"/>
        </w:rPr>
        <w:t>para fortalecer los Ejes, Estrategias y Acciones en el Marco del Sistema Nacional de Seguridad Pública</w:t>
      </w:r>
      <w:r w:rsidR="009B2088">
        <w:rPr>
          <w:rFonts w:ascii="Barlow" w:hAnsi="Barlow" w:cs="Arial"/>
          <w:bCs/>
          <w:sz w:val="20"/>
          <w:szCs w:val="20"/>
        </w:rPr>
        <w:t>.</w:t>
      </w:r>
    </w:p>
    <w:p w14:paraId="25716521" w14:textId="77777777" w:rsidR="009B2088" w:rsidRDefault="009B2088" w:rsidP="00906A55">
      <w:pPr>
        <w:autoSpaceDE w:val="0"/>
        <w:autoSpaceDN w:val="0"/>
        <w:adjustRightInd w:val="0"/>
        <w:jc w:val="both"/>
        <w:rPr>
          <w:rFonts w:ascii="Barlow" w:hAnsi="Barlow" w:cs="Arial"/>
          <w:b/>
          <w:sz w:val="20"/>
          <w:szCs w:val="20"/>
        </w:rPr>
      </w:pPr>
    </w:p>
    <w:p w14:paraId="2568E3C4" w14:textId="77777777" w:rsidR="00051C2B" w:rsidRPr="00410493" w:rsidRDefault="00051C2B" w:rsidP="00906A55">
      <w:pPr>
        <w:autoSpaceDE w:val="0"/>
        <w:autoSpaceDN w:val="0"/>
        <w:adjustRightInd w:val="0"/>
        <w:jc w:val="both"/>
        <w:rPr>
          <w:rFonts w:ascii="Barlow" w:hAnsi="Barlow" w:cs="Arial"/>
          <w:sz w:val="20"/>
          <w:szCs w:val="20"/>
        </w:rPr>
      </w:pPr>
      <w:r w:rsidRPr="00410493">
        <w:rPr>
          <w:rFonts w:ascii="Barlow" w:hAnsi="Barlow" w:cs="Arial"/>
          <w:b/>
          <w:sz w:val="20"/>
          <w:szCs w:val="20"/>
        </w:rPr>
        <w:t>III) NOTAS AL ESTADO DE VARIACIONES EN LA HACIENDA PÚBLICA.</w:t>
      </w:r>
    </w:p>
    <w:p w14:paraId="43F6A853" w14:textId="77777777" w:rsidR="008273DF" w:rsidRPr="00D8106F" w:rsidRDefault="008273DF" w:rsidP="00906A55">
      <w:pPr>
        <w:autoSpaceDE w:val="0"/>
        <w:autoSpaceDN w:val="0"/>
        <w:adjustRightInd w:val="0"/>
        <w:ind w:firstLine="708"/>
        <w:jc w:val="both"/>
        <w:rPr>
          <w:rFonts w:ascii="Barlow" w:hAnsi="Barlow" w:cs="Arial"/>
          <w:sz w:val="8"/>
          <w:szCs w:val="20"/>
        </w:rPr>
      </w:pPr>
    </w:p>
    <w:p w14:paraId="68A454FD" w14:textId="6D2F49FF" w:rsidR="001A31D3" w:rsidRPr="00906A55" w:rsidRDefault="008273DF" w:rsidP="00906A55">
      <w:pPr>
        <w:autoSpaceDE w:val="0"/>
        <w:autoSpaceDN w:val="0"/>
        <w:adjustRightInd w:val="0"/>
        <w:jc w:val="both"/>
        <w:rPr>
          <w:rFonts w:ascii="Barlow" w:hAnsi="Barlow" w:cs="Arial"/>
          <w:bCs/>
          <w:sz w:val="20"/>
          <w:szCs w:val="20"/>
        </w:rPr>
      </w:pPr>
      <w:r w:rsidRPr="000F564F">
        <w:rPr>
          <w:rFonts w:ascii="Barlow" w:hAnsi="Barlow" w:cs="Arial"/>
          <w:bCs/>
          <w:sz w:val="20"/>
          <w:szCs w:val="20"/>
        </w:rPr>
        <w:t xml:space="preserve">1.- </w:t>
      </w:r>
      <w:r w:rsidR="001A31D3" w:rsidRPr="00906A55">
        <w:rPr>
          <w:rFonts w:ascii="Barlow" w:hAnsi="Barlow" w:cs="Arial"/>
          <w:bCs/>
          <w:sz w:val="20"/>
          <w:szCs w:val="20"/>
        </w:rPr>
        <w:t>Las modificaciones en el rubro de Patrimonio Generado ocurridas al cierre del periodo que se informa, derivan única y exclusivamente de la determinación del Resultado del Presente Ejercicio (</w:t>
      </w:r>
      <w:r w:rsidR="003368F6">
        <w:rPr>
          <w:rFonts w:ascii="Barlow" w:hAnsi="Barlow" w:cs="Arial"/>
          <w:bCs/>
          <w:sz w:val="20"/>
          <w:szCs w:val="20"/>
        </w:rPr>
        <w:t>A</w:t>
      </w:r>
      <w:r w:rsidR="001A31D3" w:rsidRPr="00906A55">
        <w:rPr>
          <w:rFonts w:ascii="Barlow" w:hAnsi="Barlow" w:cs="Arial"/>
          <w:bCs/>
          <w:sz w:val="20"/>
          <w:szCs w:val="20"/>
        </w:rPr>
        <w:t xml:space="preserve">horro) por un monto </w:t>
      </w:r>
      <w:r w:rsidR="006B75D9" w:rsidRPr="001A31D3">
        <w:rPr>
          <w:rFonts w:ascii="Barlow" w:hAnsi="Barlow" w:cs="Arial"/>
          <w:bCs/>
          <w:sz w:val="20"/>
          <w:szCs w:val="20"/>
        </w:rPr>
        <w:t xml:space="preserve">de </w:t>
      </w:r>
      <w:r w:rsidR="006B75D9" w:rsidRPr="00253AED">
        <w:rPr>
          <w:rFonts w:ascii="Barlow" w:hAnsi="Barlow" w:cs="Arial"/>
          <w:bCs/>
          <w:sz w:val="20"/>
          <w:szCs w:val="20"/>
        </w:rPr>
        <w:t>$</w:t>
      </w:r>
      <w:r w:rsidR="001A31D3" w:rsidRPr="00906A55">
        <w:rPr>
          <w:rFonts w:ascii="Barlow" w:hAnsi="Barlow" w:cs="Arial"/>
          <w:bCs/>
          <w:sz w:val="20"/>
          <w:szCs w:val="20"/>
        </w:rPr>
        <w:t xml:space="preserve"> </w:t>
      </w:r>
      <w:r w:rsidR="0057368F">
        <w:rPr>
          <w:rFonts w:ascii="Barlow" w:hAnsi="Barlow" w:cs="Arial"/>
          <w:bCs/>
          <w:sz w:val="20"/>
          <w:szCs w:val="20"/>
        </w:rPr>
        <w:t>1</w:t>
      </w:r>
      <w:r w:rsidR="003823D6">
        <w:rPr>
          <w:rFonts w:ascii="Barlow" w:hAnsi="Barlow" w:cs="Arial"/>
          <w:bCs/>
          <w:sz w:val="20"/>
          <w:szCs w:val="20"/>
        </w:rPr>
        <w:t>6</w:t>
      </w:r>
      <w:r w:rsidR="009B2088">
        <w:rPr>
          <w:rFonts w:ascii="Barlow" w:hAnsi="Barlow" w:cs="Arial"/>
          <w:bCs/>
          <w:sz w:val="20"/>
          <w:szCs w:val="20"/>
        </w:rPr>
        <w:t>7</w:t>
      </w:r>
      <w:r w:rsidR="00CC6C37">
        <w:rPr>
          <w:rFonts w:ascii="Barlow" w:hAnsi="Barlow" w:cs="Arial"/>
          <w:bCs/>
          <w:sz w:val="20"/>
          <w:szCs w:val="20"/>
        </w:rPr>
        <w:t>,</w:t>
      </w:r>
      <w:r w:rsidR="0057368F">
        <w:rPr>
          <w:rFonts w:ascii="Barlow" w:hAnsi="Barlow" w:cs="Arial"/>
          <w:bCs/>
          <w:sz w:val="20"/>
          <w:szCs w:val="20"/>
        </w:rPr>
        <w:t>9</w:t>
      </w:r>
      <w:r w:rsidR="003823D6">
        <w:rPr>
          <w:rFonts w:ascii="Barlow" w:hAnsi="Barlow" w:cs="Arial"/>
          <w:bCs/>
          <w:sz w:val="20"/>
          <w:szCs w:val="20"/>
        </w:rPr>
        <w:t>02</w:t>
      </w:r>
      <w:r w:rsidR="00253AED" w:rsidRPr="00253AED">
        <w:rPr>
          <w:rFonts w:ascii="Barlow" w:hAnsi="Barlow" w:cs="Arial"/>
          <w:bCs/>
          <w:sz w:val="20"/>
          <w:szCs w:val="20"/>
        </w:rPr>
        <w:t>.</w:t>
      </w:r>
      <w:r w:rsidR="003823D6">
        <w:rPr>
          <w:rFonts w:ascii="Barlow" w:hAnsi="Barlow" w:cs="Arial"/>
          <w:bCs/>
          <w:sz w:val="20"/>
          <w:szCs w:val="20"/>
        </w:rPr>
        <w:t>37</w:t>
      </w:r>
    </w:p>
    <w:p w14:paraId="7164C296" w14:textId="77777777" w:rsidR="008273DF" w:rsidRPr="00DA1E17" w:rsidRDefault="008273DF" w:rsidP="00DA1E17">
      <w:pPr>
        <w:rPr>
          <w:rFonts w:ascii="Barlow" w:hAnsi="Barlow" w:cs="Arial"/>
          <w:sz w:val="8"/>
          <w:szCs w:val="14"/>
        </w:rPr>
      </w:pPr>
      <w:bookmarkStart w:id="8" w:name="m11"/>
      <w:bookmarkEnd w:id="8"/>
    </w:p>
    <w:p w14:paraId="4189E7BB" w14:textId="77777777" w:rsidR="00D8106F" w:rsidRDefault="00D8106F" w:rsidP="00D110DD">
      <w:pPr>
        <w:rPr>
          <w:rFonts w:ascii="Barlow" w:hAnsi="Barlow" w:cs="Arial"/>
          <w:sz w:val="8"/>
          <w:szCs w:val="20"/>
        </w:rPr>
      </w:pPr>
    </w:p>
    <w:p w14:paraId="4E8FC796" w14:textId="77777777" w:rsidR="00C850B8" w:rsidRDefault="00C850B8" w:rsidP="00906A55">
      <w:pPr>
        <w:rPr>
          <w:rFonts w:ascii="Barlow" w:hAnsi="Barlow" w:cs="Arial"/>
          <w:b/>
          <w:sz w:val="20"/>
          <w:szCs w:val="20"/>
        </w:rPr>
      </w:pPr>
      <w:r w:rsidRPr="00410493">
        <w:rPr>
          <w:rFonts w:ascii="Barlow" w:hAnsi="Barlow" w:cs="Arial"/>
          <w:b/>
          <w:sz w:val="20"/>
          <w:szCs w:val="20"/>
        </w:rPr>
        <w:t>IV) NOTAS AL ESTADO DE FLUJO DE EFECTIVO.</w:t>
      </w:r>
    </w:p>
    <w:p w14:paraId="7CE8ADB7" w14:textId="77777777" w:rsidR="00DA1E17" w:rsidRPr="00DA1E17" w:rsidRDefault="00DA1E17" w:rsidP="00DA1E17">
      <w:pPr>
        <w:autoSpaceDE w:val="0"/>
        <w:autoSpaceDN w:val="0"/>
        <w:adjustRightInd w:val="0"/>
        <w:jc w:val="both"/>
        <w:rPr>
          <w:rFonts w:ascii="Barlow" w:hAnsi="Barlow" w:cs="Arial"/>
          <w:bCs/>
          <w:sz w:val="8"/>
          <w:szCs w:val="6"/>
        </w:rPr>
      </w:pPr>
    </w:p>
    <w:p w14:paraId="055D38B9" w14:textId="64475CB6" w:rsidR="00AC79B9" w:rsidRDefault="00AC79B9" w:rsidP="00906A55">
      <w:pPr>
        <w:autoSpaceDE w:val="0"/>
        <w:autoSpaceDN w:val="0"/>
        <w:adjustRightInd w:val="0"/>
        <w:jc w:val="both"/>
        <w:rPr>
          <w:rFonts w:ascii="Barlow" w:hAnsi="Barlow" w:cs="Arial"/>
          <w:bCs/>
          <w:sz w:val="20"/>
          <w:szCs w:val="20"/>
        </w:rPr>
      </w:pPr>
      <w:r w:rsidRPr="00457469">
        <w:rPr>
          <w:rFonts w:ascii="Barlow" w:hAnsi="Barlow" w:cs="Arial"/>
          <w:bCs/>
          <w:sz w:val="20"/>
          <w:szCs w:val="20"/>
        </w:rPr>
        <w:t xml:space="preserve">1.- </w:t>
      </w:r>
      <w:r>
        <w:rPr>
          <w:rFonts w:ascii="Barlow" w:hAnsi="Barlow" w:cs="Arial"/>
          <w:bCs/>
          <w:sz w:val="20"/>
          <w:szCs w:val="20"/>
        </w:rPr>
        <w:t xml:space="preserve">El </w:t>
      </w:r>
      <w:r w:rsidRPr="00410493">
        <w:rPr>
          <w:rFonts w:ascii="Barlow" w:hAnsi="Barlow" w:cs="Arial"/>
          <w:bCs/>
          <w:sz w:val="20"/>
          <w:szCs w:val="20"/>
        </w:rPr>
        <w:t>análisis de los saldos inicial y final que figuran en la última parte del estado de flujo de efectivo en la cuenta de efectivo y equivalentes es como sigue:</w:t>
      </w:r>
    </w:p>
    <w:p w14:paraId="20BC9F84" w14:textId="77777777" w:rsidR="0019420F" w:rsidRPr="00410493" w:rsidRDefault="0019420F" w:rsidP="00906A55">
      <w:pPr>
        <w:autoSpaceDE w:val="0"/>
        <w:autoSpaceDN w:val="0"/>
        <w:adjustRightInd w:val="0"/>
        <w:jc w:val="both"/>
        <w:rPr>
          <w:rFonts w:ascii="Barlow" w:hAnsi="Barlow" w:cs="Arial"/>
          <w:sz w:val="20"/>
          <w:szCs w:val="20"/>
        </w:rPr>
      </w:pPr>
    </w:p>
    <w:p w14:paraId="14A7F0B9" w14:textId="00117096" w:rsidR="008273DF" w:rsidRDefault="004D266B" w:rsidP="00C4137E">
      <w:pPr>
        <w:autoSpaceDE w:val="0"/>
        <w:autoSpaceDN w:val="0"/>
        <w:adjustRightInd w:val="0"/>
        <w:spacing w:line="360" w:lineRule="auto"/>
        <w:ind w:left="708"/>
        <w:jc w:val="both"/>
        <w:rPr>
          <w:rFonts w:ascii="Barlow" w:hAnsi="Barlow" w:cs="Arial"/>
          <w:bCs/>
          <w:sz w:val="20"/>
          <w:szCs w:val="20"/>
        </w:rPr>
      </w:pPr>
      <w:r>
        <w:rPr>
          <w:rFonts w:ascii="Barlow" w:hAnsi="Barlow" w:cs="Arial"/>
          <w:bCs/>
          <w:noProof/>
          <w:sz w:val="20"/>
          <w:szCs w:val="20"/>
        </w:rPr>
        <w:object w:dxaOrig="1440" w:dyaOrig="1440" w14:anchorId="22037193">
          <v:shape id="_x0000_s1034" type="#_x0000_t75" style="position:absolute;left:0;text-align:left;margin-left:118.35pt;margin-top:7.15pt;width:289.65pt;height:53.4pt;z-index:251661312">
            <v:imagedata r:id="rId18" o:title=""/>
          </v:shape>
          <o:OLEObject Type="Embed" ProgID="Excel.Sheet.12" ShapeID="_x0000_s1034" DrawAspect="Content" ObjectID="_1681638627" r:id="rId19"/>
        </w:object>
      </w:r>
    </w:p>
    <w:p w14:paraId="09CAB124" w14:textId="77777777" w:rsidR="00AC79B9" w:rsidRDefault="00AC79B9" w:rsidP="00C4137E">
      <w:pPr>
        <w:autoSpaceDE w:val="0"/>
        <w:autoSpaceDN w:val="0"/>
        <w:adjustRightInd w:val="0"/>
        <w:spacing w:line="360" w:lineRule="auto"/>
        <w:ind w:left="708"/>
        <w:jc w:val="both"/>
        <w:rPr>
          <w:rFonts w:ascii="Barlow" w:hAnsi="Barlow" w:cs="Arial"/>
          <w:bCs/>
          <w:sz w:val="20"/>
          <w:szCs w:val="20"/>
        </w:rPr>
      </w:pPr>
    </w:p>
    <w:p w14:paraId="41FA07B3" w14:textId="77777777" w:rsidR="008273DF" w:rsidRDefault="008273DF" w:rsidP="00D8106F">
      <w:pPr>
        <w:autoSpaceDE w:val="0"/>
        <w:autoSpaceDN w:val="0"/>
        <w:adjustRightInd w:val="0"/>
        <w:jc w:val="both"/>
        <w:rPr>
          <w:rFonts w:ascii="Barlow" w:hAnsi="Barlow" w:cs="Arial"/>
          <w:bCs/>
          <w:sz w:val="20"/>
          <w:szCs w:val="20"/>
        </w:rPr>
      </w:pPr>
      <w:bookmarkStart w:id="9" w:name="m13"/>
      <w:bookmarkEnd w:id="9"/>
    </w:p>
    <w:p w14:paraId="08802CB9" w14:textId="77777777" w:rsidR="00CB7A0D" w:rsidRDefault="00CB7A0D" w:rsidP="00D8106F">
      <w:pPr>
        <w:autoSpaceDE w:val="0"/>
        <w:autoSpaceDN w:val="0"/>
        <w:adjustRightInd w:val="0"/>
        <w:jc w:val="both"/>
        <w:rPr>
          <w:rFonts w:ascii="Barlow" w:hAnsi="Barlow" w:cs="Arial"/>
          <w:bCs/>
          <w:sz w:val="20"/>
          <w:szCs w:val="20"/>
        </w:rPr>
      </w:pPr>
    </w:p>
    <w:p w14:paraId="3818D7AD" w14:textId="77777777" w:rsidR="0057368F" w:rsidRDefault="0057368F">
      <w:pPr>
        <w:autoSpaceDE w:val="0"/>
        <w:autoSpaceDN w:val="0"/>
        <w:adjustRightInd w:val="0"/>
        <w:jc w:val="both"/>
        <w:rPr>
          <w:rFonts w:ascii="Barlow" w:hAnsi="Barlow" w:cs="Arial"/>
          <w:bCs/>
          <w:sz w:val="20"/>
          <w:szCs w:val="20"/>
        </w:rPr>
      </w:pPr>
    </w:p>
    <w:p w14:paraId="7B6EA7B3" w14:textId="7F4045EB" w:rsidR="00AC79B9" w:rsidRDefault="00AC79B9">
      <w:pPr>
        <w:autoSpaceDE w:val="0"/>
        <w:autoSpaceDN w:val="0"/>
        <w:adjustRightInd w:val="0"/>
        <w:jc w:val="both"/>
        <w:rPr>
          <w:rFonts w:ascii="Barlow" w:hAnsi="Barlow" w:cs="Arial"/>
          <w:bCs/>
          <w:sz w:val="20"/>
          <w:szCs w:val="20"/>
        </w:rPr>
      </w:pPr>
      <w:r>
        <w:rPr>
          <w:rFonts w:ascii="Barlow" w:hAnsi="Barlow" w:cs="Arial"/>
          <w:bCs/>
          <w:sz w:val="20"/>
          <w:szCs w:val="20"/>
        </w:rPr>
        <w:t>2</w:t>
      </w:r>
      <w:r w:rsidRPr="00457469">
        <w:rPr>
          <w:rFonts w:ascii="Barlow" w:hAnsi="Barlow" w:cs="Arial"/>
          <w:bCs/>
          <w:sz w:val="20"/>
          <w:szCs w:val="20"/>
        </w:rPr>
        <w:t xml:space="preserve">.- </w:t>
      </w:r>
      <w:r w:rsidRPr="00906A55">
        <w:rPr>
          <w:rFonts w:ascii="Barlow" w:hAnsi="Barlow" w:cs="Arial"/>
          <w:bCs/>
          <w:sz w:val="20"/>
          <w:szCs w:val="20"/>
        </w:rPr>
        <w:t xml:space="preserve">Durante el mes de </w:t>
      </w:r>
      <w:r w:rsidR="00AD26E5">
        <w:rPr>
          <w:rFonts w:ascii="Barlow" w:hAnsi="Barlow" w:cs="Arial"/>
          <w:bCs/>
          <w:sz w:val="20"/>
          <w:szCs w:val="20"/>
        </w:rPr>
        <w:t>marzo</w:t>
      </w:r>
      <w:r w:rsidR="003C1D54">
        <w:rPr>
          <w:rFonts w:ascii="Barlow" w:hAnsi="Barlow" w:cs="Arial"/>
          <w:bCs/>
          <w:sz w:val="20"/>
          <w:szCs w:val="20"/>
        </w:rPr>
        <w:t xml:space="preserve"> </w:t>
      </w:r>
      <w:r w:rsidRPr="00906A55">
        <w:rPr>
          <w:rFonts w:ascii="Barlow" w:hAnsi="Barlow" w:cs="Arial"/>
          <w:bCs/>
          <w:sz w:val="20"/>
          <w:szCs w:val="20"/>
        </w:rPr>
        <w:t>de 20</w:t>
      </w:r>
      <w:r w:rsidR="00DD3BD4">
        <w:rPr>
          <w:rFonts w:ascii="Barlow" w:hAnsi="Barlow" w:cs="Arial"/>
          <w:bCs/>
          <w:sz w:val="20"/>
          <w:szCs w:val="20"/>
        </w:rPr>
        <w:t>2</w:t>
      </w:r>
      <w:r w:rsidR="003C1D54">
        <w:rPr>
          <w:rFonts w:ascii="Barlow" w:hAnsi="Barlow" w:cs="Arial"/>
          <w:bCs/>
          <w:sz w:val="20"/>
          <w:szCs w:val="20"/>
        </w:rPr>
        <w:t>1</w:t>
      </w:r>
      <w:r w:rsidR="00CE25C8">
        <w:rPr>
          <w:rFonts w:ascii="Barlow" w:hAnsi="Barlow" w:cs="Arial"/>
          <w:bCs/>
          <w:sz w:val="20"/>
          <w:szCs w:val="20"/>
        </w:rPr>
        <w:t xml:space="preserve"> el Fondo de Aportaciones para la Seguridad Pública</w:t>
      </w:r>
      <w:r w:rsidR="00F27E6E">
        <w:rPr>
          <w:rFonts w:ascii="Barlow" w:hAnsi="Barlow" w:cs="Arial"/>
          <w:bCs/>
          <w:sz w:val="20"/>
          <w:szCs w:val="20"/>
        </w:rPr>
        <w:t xml:space="preserve"> del Estado de Yucatán</w:t>
      </w:r>
      <w:r w:rsidR="00A042CB">
        <w:rPr>
          <w:rFonts w:ascii="Barlow" w:hAnsi="Barlow" w:cs="Arial"/>
          <w:bCs/>
          <w:sz w:val="20"/>
          <w:szCs w:val="20"/>
        </w:rPr>
        <w:t xml:space="preserve"> no</w:t>
      </w:r>
      <w:r>
        <w:rPr>
          <w:rFonts w:ascii="Barlow" w:hAnsi="Barlow" w:cs="Arial"/>
          <w:bCs/>
          <w:sz w:val="20"/>
          <w:szCs w:val="20"/>
        </w:rPr>
        <w:t xml:space="preserve"> </w:t>
      </w:r>
      <w:r w:rsidRPr="00906A55">
        <w:rPr>
          <w:rFonts w:ascii="Barlow" w:hAnsi="Barlow" w:cs="Arial"/>
          <w:bCs/>
          <w:sz w:val="20"/>
          <w:szCs w:val="20"/>
        </w:rPr>
        <w:t>realiz</w:t>
      </w:r>
      <w:r>
        <w:rPr>
          <w:rFonts w:ascii="Barlow" w:hAnsi="Barlow" w:cs="Arial"/>
          <w:bCs/>
          <w:sz w:val="20"/>
          <w:szCs w:val="20"/>
        </w:rPr>
        <w:t>ó</w:t>
      </w:r>
      <w:r w:rsidR="00A042CB">
        <w:rPr>
          <w:rFonts w:ascii="Barlow" w:hAnsi="Barlow" w:cs="Arial"/>
          <w:bCs/>
          <w:sz w:val="20"/>
          <w:szCs w:val="20"/>
        </w:rPr>
        <w:t xml:space="preserve"> </w:t>
      </w:r>
      <w:r w:rsidRPr="00906A55">
        <w:rPr>
          <w:rFonts w:ascii="Barlow" w:hAnsi="Barlow" w:cs="Arial"/>
          <w:bCs/>
          <w:sz w:val="20"/>
          <w:szCs w:val="20"/>
        </w:rPr>
        <w:t>adquisici</w:t>
      </w:r>
      <w:r w:rsidR="00087D4B">
        <w:rPr>
          <w:rFonts w:ascii="Barlow" w:hAnsi="Barlow" w:cs="Arial"/>
          <w:bCs/>
          <w:sz w:val="20"/>
          <w:szCs w:val="20"/>
        </w:rPr>
        <w:t>o</w:t>
      </w:r>
      <w:r w:rsidRPr="00906A55">
        <w:rPr>
          <w:rFonts w:ascii="Barlow" w:hAnsi="Barlow" w:cs="Arial"/>
          <w:bCs/>
          <w:sz w:val="20"/>
          <w:szCs w:val="20"/>
        </w:rPr>
        <w:t>n</w:t>
      </w:r>
      <w:r w:rsidR="00087D4B">
        <w:rPr>
          <w:rFonts w:ascii="Barlow" w:hAnsi="Barlow" w:cs="Arial"/>
          <w:bCs/>
          <w:sz w:val="20"/>
          <w:szCs w:val="20"/>
        </w:rPr>
        <w:t>es</w:t>
      </w:r>
      <w:r w:rsidRPr="00906A55">
        <w:rPr>
          <w:rFonts w:ascii="Barlow" w:hAnsi="Barlow" w:cs="Arial"/>
          <w:bCs/>
          <w:sz w:val="20"/>
          <w:szCs w:val="20"/>
        </w:rPr>
        <w:t xml:space="preserve"> de</w:t>
      </w:r>
      <w:r w:rsidR="00CB7A0D" w:rsidRPr="00906A55">
        <w:rPr>
          <w:rFonts w:ascii="Barlow" w:hAnsi="Barlow" w:cs="Arial"/>
          <w:bCs/>
          <w:sz w:val="20"/>
          <w:szCs w:val="20"/>
        </w:rPr>
        <w:t xml:space="preserve"> bienes muebles</w:t>
      </w:r>
      <w:r w:rsidR="00CB7A0D">
        <w:rPr>
          <w:rFonts w:ascii="Barlow" w:hAnsi="Barlow" w:cs="Arial"/>
          <w:bCs/>
          <w:sz w:val="20"/>
          <w:szCs w:val="20"/>
        </w:rPr>
        <w:t xml:space="preserve"> y </w:t>
      </w:r>
      <w:r w:rsidR="00383F3D">
        <w:rPr>
          <w:rFonts w:ascii="Barlow" w:hAnsi="Barlow" w:cs="Arial"/>
          <w:bCs/>
          <w:sz w:val="20"/>
          <w:szCs w:val="20"/>
        </w:rPr>
        <w:t>bienes inmuebles, infraestructura y construcciones en p</w:t>
      </w:r>
      <w:r w:rsidR="00383F3D" w:rsidRPr="00383F3D">
        <w:rPr>
          <w:rFonts w:ascii="Barlow" w:hAnsi="Barlow" w:cs="Arial"/>
          <w:bCs/>
          <w:sz w:val="20"/>
          <w:szCs w:val="20"/>
        </w:rPr>
        <w:t>roceso</w:t>
      </w:r>
      <w:r w:rsidR="00A042CB">
        <w:rPr>
          <w:rFonts w:ascii="Barlow" w:hAnsi="Barlow" w:cs="Arial"/>
          <w:bCs/>
          <w:sz w:val="20"/>
          <w:szCs w:val="20"/>
        </w:rPr>
        <w:t>.</w:t>
      </w:r>
    </w:p>
    <w:p w14:paraId="5FC746B3" w14:textId="77777777" w:rsidR="0019420F" w:rsidRDefault="0019420F">
      <w:pPr>
        <w:autoSpaceDE w:val="0"/>
        <w:autoSpaceDN w:val="0"/>
        <w:adjustRightInd w:val="0"/>
        <w:jc w:val="both"/>
        <w:rPr>
          <w:rFonts w:ascii="Barlow" w:hAnsi="Barlow" w:cs="Arial"/>
          <w:bCs/>
          <w:sz w:val="20"/>
          <w:szCs w:val="20"/>
        </w:rPr>
      </w:pPr>
    </w:p>
    <w:p w14:paraId="5F248891" w14:textId="1BD684D1" w:rsidR="00DD3BD4" w:rsidRPr="00DD3BD4" w:rsidRDefault="00DD3BD4">
      <w:pPr>
        <w:autoSpaceDE w:val="0"/>
        <w:autoSpaceDN w:val="0"/>
        <w:adjustRightInd w:val="0"/>
        <w:jc w:val="both"/>
        <w:rPr>
          <w:rFonts w:ascii="Barlow" w:hAnsi="Barlow" w:cs="Arial"/>
          <w:bCs/>
          <w:sz w:val="8"/>
          <w:szCs w:val="20"/>
        </w:rPr>
      </w:pPr>
    </w:p>
    <w:p w14:paraId="2C16CFA2" w14:textId="77777777" w:rsidR="0057368F" w:rsidRDefault="0057368F">
      <w:pPr>
        <w:autoSpaceDE w:val="0"/>
        <w:autoSpaceDN w:val="0"/>
        <w:adjustRightInd w:val="0"/>
        <w:jc w:val="both"/>
        <w:rPr>
          <w:rFonts w:ascii="Barlow" w:hAnsi="Barlow" w:cs="Arial"/>
          <w:bCs/>
          <w:sz w:val="20"/>
          <w:szCs w:val="20"/>
        </w:rPr>
      </w:pPr>
      <w:bookmarkStart w:id="10" w:name="m14"/>
      <w:bookmarkEnd w:id="10"/>
    </w:p>
    <w:p w14:paraId="02283B6B" w14:textId="77777777" w:rsidR="0057368F" w:rsidRDefault="0057368F">
      <w:pPr>
        <w:autoSpaceDE w:val="0"/>
        <w:autoSpaceDN w:val="0"/>
        <w:adjustRightInd w:val="0"/>
        <w:jc w:val="both"/>
        <w:rPr>
          <w:rFonts w:ascii="Barlow" w:hAnsi="Barlow" w:cs="Arial"/>
          <w:bCs/>
          <w:sz w:val="20"/>
          <w:szCs w:val="20"/>
        </w:rPr>
      </w:pPr>
    </w:p>
    <w:p w14:paraId="65BD65B6" w14:textId="7AF02474" w:rsidR="00B83254" w:rsidRDefault="00B83254">
      <w:pPr>
        <w:autoSpaceDE w:val="0"/>
        <w:autoSpaceDN w:val="0"/>
        <w:adjustRightInd w:val="0"/>
        <w:jc w:val="both"/>
        <w:rPr>
          <w:rFonts w:ascii="Barlow" w:hAnsi="Barlow" w:cs="Arial"/>
          <w:bCs/>
          <w:sz w:val="20"/>
          <w:szCs w:val="20"/>
        </w:rPr>
      </w:pPr>
      <w:r w:rsidRPr="00410493">
        <w:rPr>
          <w:rFonts w:ascii="Barlow" w:hAnsi="Barlow" w:cs="Arial"/>
          <w:bCs/>
          <w:sz w:val="20"/>
          <w:szCs w:val="20"/>
        </w:rPr>
        <w:t xml:space="preserve">3.- Se presenta la </w:t>
      </w:r>
      <w:r w:rsidR="006E1089" w:rsidRPr="00410493">
        <w:rPr>
          <w:rFonts w:ascii="Barlow" w:hAnsi="Barlow" w:cs="Arial"/>
          <w:bCs/>
          <w:sz w:val="20"/>
          <w:szCs w:val="20"/>
        </w:rPr>
        <w:t>conciliación</w:t>
      </w:r>
      <w:r w:rsidRPr="00410493">
        <w:rPr>
          <w:rFonts w:ascii="Barlow" w:hAnsi="Barlow" w:cs="Arial"/>
          <w:bCs/>
          <w:sz w:val="20"/>
          <w:szCs w:val="20"/>
        </w:rPr>
        <w:t xml:space="preserve"> de flujos de efectivo ne</w:t>
      </w:r>
      <w:r w:rsidR="00D265A1" w:rsidRPr="00410493">
        <w:rPr>
          <w:rFonts w:ascii="Barlow" w:hAnsi="Barlow" w:cs="Arial"/>
          <w:bCs/>
          <w:sz w:val="20"/>
          <w:szCs w:val="20"/>
        </w:rPr>
        <w:t>to</w:t>
      </w:r>
      <w:r w:rsidRPr="00410493">
        <w:rPr>
          <w:rFonts w:ascii="Barlow" w:hAnsi="Barlow" w:cs="Arial"/>
          <w:bCs/>
          <w:sz w:val="20"/>
          <w:szCs w:val="20"/>
        </w:rPr>
        <w:t xml:space="preserve"> de las actividades de operación y la cuenta de ahorro/desahorro antes de rubros extraordinarios</w:t>
      </w:r>
      <w:r w:rsidR="00251A08" w:rsidRPr="00410493">
        <w:rPr>
          <w:rFonts w:ascii="Barlow" w:hAnsi="Barlow" w:cs="Arial"/>
          <w:bCs/>
          <w:sz w:val="20"/>
          <w:szCs w:val="20"/>
        </w:rPr>
        <w:t>.</w:t>
      </w:r>
    </w:p>
    <w:p w14:paraId="69B377C4" w14:textId="77777777" w:rsidR="0019420F" w:rsidRDefault="0019420F">
      <w:pPr>
        <w:autoSpaceDE w:val="0"/>
        <w:autoSpaceDN w:val="0"/>
        <w:adjustRightInd w:val="0"/>
        <w:jc w:val="both"/>
        <w:rPr>
          <w:rFonts w:ascii="Barlow" w:hAnsi="Barlow" w:cs="Arial"/>
          <w:bCs/>
          <w:sz w:val="20"/>
          <w:szCs w:val="20"/>
        </w:rPr>
      </w:pPr>
    </w:p>
    <w:p w14:paraId="2DF3D59A" w14:textId="77777777" w:rsidR="00DA1E17" w:rsidRPr="00B85C58" w:rsidRDefault="00DA1E17" w:rsidP="00DA1E17">
      <w:pPr>
        <w:autoSpaceDE w:val="0"/>
        <w:autoSpaceDN w:val="0"/>
        <w:adjustRightInd w:val="0"/>
        <w:jc w:val="both"/>
        <w:rPr>
          <w:rFonts w:ascii="Barlow" w:hAnsi="Barlow" w:cs="Arial"/>
          <w:bCs/>
          <w:sz w:val="8"/>
          <w:szCs w:val="20"/>
        </w:rPr>
      </w:pPr>
    </w:p>
    <w:p w14:paraId="7E5650A7" w14:textId="77777777" w:rsidR="00723D9B" w:rsidRPr="00DA1E17" w:rsidRDefault="00723D9B" w:rsidP="00906A55">
      <w:pPr>
        <w:autoSpaceDE w:val="0"/>
        <w:autoSpaceDN w:val="0"/>
        <w:adjustRightInd w:val="0"/>
        <w:ind w:left="708"/>
        <w:jc w:val="both"/>
        <w:rPr>
          <w:rFonts w:ascii="Barlow" w:hAnsi="Barlow" w:cs="Arial"/>
          <w:bCs/>
          <w:sz w:val="8"/>
          <w:szCs w:val="4"/>
        </w:rPr>
      </w:pPr>
    </w:p>
    <w:tbl>
      <w:tblPr>
        <w:tblW w:w="8759" w:type="dxa"/>
        <w:jc w:val="center"/>
        <w:tblCellMar>
          <w:left w:w="70" w:type="dxa"/>
          <w:right w:w="70" w:type="dxa"/>
        </w:tblCellMar>
        <w:tblLook w:val="04A0" w:firstRow="1" w:lastRow="0" w:firstColumn="1" w:lastColumn="0" w:noHBand="0" w:noVBand="1"/>
      </w:tblPr>
      <w:tblGrid>
        <w:gridCol w:w="4449"/>
        <w:gridCol w:w="2338"/>
        <w:gridCol w:w="1972"/>
      </w:tblGrid>
      <w:tr w:rsidR="00EB30EA" w:rsidRPr="00CE25C8" w14:paraId="2818F1EA" w14:textId="77777777" w:rsidTr="00906A55">
        <w:trPr>
          <w:trHeight w:val="221"/>
          <w:jc w:val="center"/>
        </w:trPr>
        <w:tc>
          <w:tcPr>
            <w:tcW w:w="4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12375"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 </w:t>
            </w:r>
          </w:p>
        </w:tc>
        <w:tc>
          <w:tcPr>
            <w:tcW w:w="2338" w:type="dxa"/>
            <w:tcBorders>
              <w:top w:val="single" w:sz="4" w:space="0" w:color="auto"/>
              <w:left w:val="nil"/>
              <w:bottom w:val="single" w:sz="4" w:space="0" w:color="auto"/>
              <w:right w:val="single" w:sz="4" w:space="0" w:color="auto"/>
            </w:tcBorders>
            <w:shd w:val="clear" w:color="auto" w:fill="auto"/>
            <w:noWrap/>
            <w:vAlign w:val="center"/>
            <w:hideMark/>
          </w:tcPr>
          <w:p w14:paraId="399A2508" w14:textId="1E3CD11E" w:rsidR="00EB30EA" w:rsidRPr="00906A55" w:rsidRDefault="00A042CB" w:rsidP="00EB30EA">
            <w:pPr>
              <w:jc w:val="center"/>
              <w:rPr>
                <w:rFonts w:ascii="Barlow" w:hAnsi="Barlow"/>
                <w:b/>
                <w:bCs/>
                <w:color w:val="000000"/>
                <w:sz w:val="18"/>
                <w:szCs w:val="18"/>
                <w:lang w:eastAsia="es-MX"/>
              </w:rPr>
            </w:pPr>
            <w:r>
              <w:rPr>
                <w:rFonts w:ascii="Barlow" w:hAnsi="Barlow"/>
                <w:b/>
                <w:bCs/>
                <w:color w:val="000000"/>
                <w:sz w:val="18"/>
                <w:szCs w:val="18"/>
                <w:lang w:eastAsia="es-MX"/>
              </w:rPr>
              <w:t>2021</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14:paraId="698B8277" w14:textId="1734B597" w:rsidR="00EB30EA" w:rsidRPr="00906A55" w:rsidRDefault="00A042CB" w:rsidP="00EB30EA">
            <w:pPr>
              <w:jc w:val="center"/>
              <w:rPr>
                <w:rFonts w:ascii="Barlow" w:hAnsi="Barlow"/>
                <w:b/>
                <w:bCs/>
                <w:color w:val="000000"/>
                <w:sz w:val="18"/>
                <w:szCs w:val="18"/>
                <w:lang w:eastAsia="es-MX"/>
              </w:rPr>
            </w:pPr>
            <w:r>
              <w:rPr>
                <w:rFonts w:ascii="Barlow" w:hAnsi="Barlow"/>
                <w:b/>
                <w:bCs/>
                <w:color w:val="000000"/>
                <w:sz w:val="18"/>
                <w:szCs w:val="18"/>
                <w:lang w:eastAsia="es-MX"/>
              </w:rPr>
              <w:t>2020</w:t>
            </w:r>
          </w:p>
        </w:tc>
      </w:tr>
      <w:tr w:rsidR="00EB30EA" w:rsidRPr="00CE25C8" w14:paraId="4BD419EF" w14:textId="77777777" w:rsidTr="00906A55">
        <w:trPr>
          <w:trHeight w:val="267"/>
          <w:jc w:val="center"/>
        </w:trPr>
        <w:tc>
          <w:tcPr>
            <w:tcW w:w="4449" w:type="dxa"/>
            <w:tcBorders>
              <w:top w:val="nil"/>
              <w:left w:val="single" w:sz="4" w:space="0" w:color="auto"/>
              <w:bottom w:val="single" w:sz="4" w:space="0" w:color="auto"/>
              <w:right w:val="single" w:sz="4" w:space="0" w:color="auto"/>
            </w:tcBorders>
            <w:shd w:val="clear" w:color="auto" w:fill="auto"/>
            <w:vAlign w:val="center"/>
            <w:hideMark/>
          </w:tcPr>
          <w:p w14:paraId="600559F3" w14:textId="77777777" w:rsidR="00EB30EA" w:rsidRPr="00906A55" w:rsidRDefault="00EB30EA" w:rsidP="00EB30EA">
            <w:pPr>
              <w:rPr>
                <w:rFonts w:ascii="Barlow" w:hAnsi="Barlow"/>
                <w:b/>
                <w:bCs/>
                <w:color w:val="000000"/>
                <w:sz w:val="18"/>
                <w:szCs w:val="18"/>
                <w:lang w:eastAsia="es-MX"/>
              </w:rPr>
            </w:pPr>
            <w:r w:rsidRPr="00906A55">
              <w:rPr>
                <w:rFonts w:ascii="Barlow" w:hAnsi="Barlow"/>
                <w:b/>
                <w:bCs/>
                <w:color w:val="000000"/>
                <w:sz w:val="18"/>
                <w:szCs w:val="18"/>
                <w:lang w:eastAsia="es-MX"/>
              </w:rPr>
              <w:t>Ahorro/Desahorro antes de rubros extraordinarios</w:t>
            </w:r>
          </w:p>
        </w:tc>
        <w:tc>
          <w:tcPr>
            <w:tcW w:w="2338" w:type="dxa"/>
            <w:tcBorders>
              <w:top w:val="nil"/>
              <w:left w:val="nil"/>
              <w:bottom w:val="single" w:sz="4" w:space="0" w:color="auto"/>
              <w:right w:val="single" w:sz="4" w:space="0" w:color="auto"/>
            </w:tcBorders>
            <w:shd w:val="clear" w:color="auto" w:fill="auto"/>
            <w:noWrap/>
            <w:vAlign w:val="center"/>
            <w:hideMark/>
          </w:tcPr>
          <w:p w14:paraId="4858A51B" w14:textId="2FD3BDFE" w:rsidR="00CE25C8" w:rsidRPr="00906A55" w:rsidRDefault="0057368F" w:rsidP="005F5D0B">
            <w:pPr>
              <w:jc w:val="right"/>
              <w:rPr>
                <w:rFonts w:ascii="Barlow" w:hAnsi="Barlow"/>
                <w:b/>
                <w:bCs/>
                <w:color w:val="000000"/>
                <w:sz w:val="18"/>
                <w:szCs w:val="18"/>
                <w:lang w:eastAsia="es-MX"/>
              </w:rPr>
            </w:pPr>
            <w:r>
              <w:rPr>
                <w:rFonts w:ascii="Barlow" w:hAnsi="Barlow"/>
                <w:b/>
                <w:bCs/>
                <w:color w:val="000000"/>
                <w:sz w:val="18"/>
                <w:szCs w:val="18"/>
                <w:lang w:eastAsia="es-MX"/>
              </w:rPr>
              <w:t>1</w:t>
            </w:r>
            <w:r w:rsidR="005F5D0B">
              <w:rPr>
                <w:rFonts w:ascii="Barlow" w:hAnsi="Barlow"/>
                <w:b/>
                <w:bCs/>
                <w:color w:val="000000"/>
                <w:sz w:val="18"/>
                <w:szCs w:val="18"/>
                <w:lang w:eastAsia="es-MX"/>
              </w:rPr>
              <w:t>69</w:t>
            </w:r>
            <w:r w:rsidR="00C003CF">
              <w:rPr>
                <w:rFonts w:ascii="Barlow" w:hAnsi="Barlow"/>
                <w:b/>
                <w:bCs/>
                <w:color w:val="000000"/>
                <w:sz w:val="18"/>
                <w:szCs w:val="18"/>
                <w:lang w:eastAsia="es-MX"/>
              </w:rPr>
              <w:t>,</w:t>
            </w:r>
            <w:r>
              <w:rPr>
                <w:rFonts w:ascii="Barlow" w:hAnsi="Barlow"/>
                <w:b/>
                <w:bCs/>
                <w:color w:val="000000"/>
                <w:sz w:val="18"/>
                <w:szCs w:val="18"/>
                <w:lang w:eastAsia="es-MX"/>
              </w:rPr>
              <w:t>8</w:t>
            </w:r>
            <w:r w:rsidR="005F5D0B">
              <w:rPr>
                <w:rFonts w:ascii="Barlow" w:hAnsi="Barlow"/>
                <w:b/>
                <w:bCs/>
                <w:color w:val="000000"/>
                <w:sz w:val="18"/>
                <w:szCs w:val="18"/>
                <w:lang w:eastAsia="es-MX"/>
              </w:rPr>
              <w:t>70</w:t>
            </w:r>
            <w:r w:rsidR="000E654E">
              <w:rPr>
                <w:rFonts w:ascii="Barlow" w:hAnsi="Barlow"/>
                <w:b/>
                <w:bCs/>
                <w:color w:val="000000"/>
                <w:sz w:val="18"/>
                <w:szCs w:val="18"/>
                <w:lang w:eastAsia="es-MX"/>
              </w:rPr>
              <w:t>.</w:t>
            </w:r>
            <w:r w:rsidR="005F5D0B">
              <w:rPr>
                <w:rFonts w:ascii="Barlow" w:hAnsi="Barlow"/>
                <w:b/>
                <w:bCs/>
                <w:color w:val="000000"/>
                <w:sz w:val="18"/>
                <w:szCs w:val="18"/>
                <w:lang w:eastAsia="es-MX"/>
              </w:rPr>
              <w:t>89</w:t>
            </w:r>
          </w:p>
        </w:tc>
        <w:tc>
          <w:tcPr>
            <w:tcW w:w="1972" w:type="dxa"/>
            <w:tcBorders>
              <w:top w:val="nil"/>
              <w:left w:val="nil"/>
              <w:bottom w:val="single" w:sz="4" w:space="0" w:color="auto"/>
              <w:right w:val="single" w:sz="4" w:space="0" w:color="auto"/>
            </w:tcBorders>
            <w:shd w:val="clear" w:color="auto" w:fill="auto"/>
            <w:noWrap/>
            <w:vAlign w:val="center"/>
            <w:hideMark/>
          </w:tcPr>
          <w:p w14:paraId="0BC2D0E2" w14:textId="4A377066" w:rsidR="00EB30EA" w:rsidRPr="00906A55" w:rsidRDefault="005F5D0B" w:rsidP="005F5D0B">
            <w:pPr>
              <w:jc w:val="right"/>
              <w:rPr>
                <w:rFonts w:ascii="Barlow" w:hAnsi="Barlow"/>
                <w:b/>
                <w:bCs/>
                <w:color w:val="000000"/>
                <w:sz w:val="18"/>
                <w:szCs w:val="18"/>
                <w:lang w:eastAsia="es-MX"/>
              </w:rPr>
            </w:pPr>
            <w:r>
              <w:rPr>
                <w:rFonts w:ascii="Barlow" w:hAnsi="Barlow"/>
                <w:b/>
                <w:bCs/>
                <w:color w:val="000000"/>
                <w:sz w:val="18"/>
                <w:szCs w:val="18"/>
                <w:lang w:eastAsia="es-MX"/>
              </w:rPr>
              <w:t>244</w:t>
            </w:r>
            <w:r w:rsidR="007900C8">
              <w:rPr>
                <w:rFonts w:ascii="Barlow" w:hAnsi="Barlow"/>
                <w:b/>
                <w:bCs/>
                <w:color w:val="000000"/>
                <w:sz w:val="18"/>
                <w:szCs w:val="18"/>
                <w:lang w:eastAsia="es-MX"/>
              </w:rPr>
              <w:t>,</w:t>
            </w:r>
            <w:r>
              <w:rPr>
                <w:rFonts w:ascii="Barlow" w:hAnsi="Barlow"/>
                <w:b/>
                <w:bCs/>
                <w:color w:val="000000"/>
                <w:sz w:val="18"/>
                <w:szCs w:val="18"/>
                <w:lang w:eastAsia="es-MX"/>
              </w:rPr>
              <w:t>928</w:t>
            </w:r>
            <w:r w:rsidR="00727A0D">
              <w:rPr>
                <w:rFonts w:ascii="Barlow" w:hAnsi="Barlow"/>
                <w:b/>
                <w:bCs/>
                <w:color w:val="000000"/>
                <w:sz w:val="18"/>
                <w:szCs w:val="18"/>
                <w:lang w:eastAsia="es-MX"/>
              </w:rPr>
              <w:t>.</w:t>
            </w:r>
            <w:r>
              <w:rPr>
                <w:rFonts w:ascii="Barlow" w:hAnsi="Barlow"/>
                <w:b/>
                <w:bCs/>
                <w:color w:val="000000"/>
                <w:sz w:val="18"/>
                <w:szCs w:val="18"/>
                <w:lang w:eastAsia="es-MX"/>
              </w:rPr>
              <w:t>65</w:t>
            </w:r>
          </w:p>
        </w:tc>
      </w:tr>
      <w:tr w:rsidR="00EB30EA" w:rsidRPr="00CE25C8" w14:paraId="1A70750A" w14:textId="77777777" w:rsidTr="00906A55">
        <w:trPr>
          <w:trHeight w:val="215"/>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22F3C9A1"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Movimientos de partidas o rubros que no afectan efectivo</w:t>
            </w:r>
          </w:p>
        </w:tc>
        <w:tc>
          <w:tcPr>
            <w:tcW w:w="2338" w:type="dxa"/>
            <w:tcBorders>
              <w:top w:val="nil"/>
              <w:left w:val="nil"/>
              <w:bottom w:val="single" w:sz="4" w:space="0" w:color="auto"/>
              <w:right w:val="single" w:sz="4" w:space="0" w:color="auto"/>
            </w:tcBorders>
            <w:shd w:val="clear" w:color="auto" w:fill="auto"/>
            <w:noWrap/>
            <w:vAlign w:val="bottom"/>
            <w:hideMark/>
          </w:tcPr>
          <w:p w14:paraId="7D8AFD3A" w14:textId="77777777" w:rsidR="00EB30EA" w:rsidRPr="00906A55" w:rsidRDefault="00EB30EA" w:rsidP="00EB30EA">
            <w:pPr>
              <w:jc w:val="right"/>
              <w:rPr>
                <w:rFonts w:ascii="Barlow" w:hAnsi="Barlow"/>
                <w:color w:val="000000"/>
                <w:sz w:val="18"/>
                <w:szCs w:val="18"/>
                <w:lang w:eastAsia="es-MX"/>
              </w:rPr>
            </w:pPr>
            <w:r w:rsidRPr="00906A55">
              <w:rPr>
                <w:rFonts w:ascii="Barlow" w:hAnsi="Barlow"/>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58218ECF" w14:textId="77777777" w:rsidR="00EB30EA" w:rsidRPr="00906A55" w:rsidRDefault="00EB30EA" w:rsidP="00EB30EA">
            <w:pPr>
              <w:jc w:val="right"/>
              <w:rPr>
                <w:rFonts w:ascii="Barlow" w:hAnsi="Barlow"/>
                <w:color w:val="000000"/>
                <w:sz w:val="18"/>
                <w:szCs w:val="18"/>
                <w:lang w:eastAsia="es-MX"/>
              </w:rPr>
            </w:pPr>
            <w:r w:rsidRPr="00906A55">
              <w:rPr>
                <w:rFonts w:ascii="Barlow" w:hAnsi="Barlow"/>
                <w:color w:val="000000"/>
                <w:sz w:val="18"/>
                <w:szCs w:val="18"/>
                <w:lang w:eastAsia="es-MX"/>
              </w:rPr>
              <w:t>0.00</w:t>
            </w:r>
          </w:p>
        </w:tc>
      </w:tr>
      <w:tr w:rsidR="00EB30EA" w:rsidRPr="00CE25C8" w14:paraId="0B7AE1DE" w14:textId="77777777" w:rsidTr="00906A55">
        <w:trPr>
          <w:trHeight w:val="205"/>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6746D24D"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Depreciación</w:t>
            </w:r>
          </w:p>
        </w:tc>
        <w:tc>
          <w:tcPr>
            <w:tcW w:w="2338" w:type="dxa"/>
            <w:tcBorders>
              <w:top w:val="nil"/>
              <w:left w:val="nil"/>
              <w:bottom w:val="single" w:sz="4" w:space="0" w:color="auto"/>
              <w:right w:val="single" w:sz="4" w:space="0" w:color="auto"/>
            </w:tcBorders>
            <w:shd w:val="clear" w:color="auto" w:fill="auto"/>
            <w:noWrap/>
            <w:vAlign w:val="bottom"/>
            <w:hideMark/>
          </w:tcPr>
          <w:p w14:paraId="22FED3BA" w14:textId="50D9E3FC" w:rsidR="00EB30EA" w:rsidRPr="00906A55" w:rsidRDefault="00CE25C8" w:rsidP="00EB30EA">
            <w:pPr>
              <w:jc w:val="right"/>
              <w:rPr>
                <w:rFonts w:ascii="Barlow" w:hAnsi="Barlow"/>
                <w:color w:val="000000"/>
                <w:sz w:val="18"/>
                <w:szCs w:val="18"/>
                <w:lang w:eastAsia="es-MX"/>
              </w:rPr>
            </w:pPr>
            <w:r>
              <w:rPr>
                <w:rFonts w:ascii="Barlow" w:hAnsi="Barlow"/>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250D54CC" w14:textId="3620587F" w:rsidR="00EB30EA" w:rsidRPr="00906A55" w:rsidRDefault="00CE25C8" w:rsidP="00EB30EA">
            <w:pPr>
              <w:jc w:val="right"/>
              <w:rPr>
                <w:rFonts w:ascii="Barlow" w:hAnsi="Barlow"/>
                <w:color w:val="000000"/>
                <w:sz w:val="18"/>
                <w:szCs w:val="18"/>
                <w:lang w:eastAsia="es-MX"/>
              </w:rPr>
            </w:pPr>
            <w:r>
              <w:rPr>
                <w:rFonts w:ascii="Barlow" w:hAnsi="Barlow"/>
                <w:color w:val="000000"/>
                <w:sz w:val="18"/>
                <w:szCs w:val="18"/>
                <w:lang w:eastAsia="es-MX"/>
              </w:rPr>
              <w:t>0.00</w:t>
            </w:r>
          </w:p>
        </w:tc>
      </w:tr>
      <w:tr w:rsidR="00EB30EA" w:rsidRPr="00CE25C8" w14:paraId="57FECFB6" w14:textId="77777777" w:rsidTr="00906A55">
        <w:trPr>
          <w:trHeight w:val="181"/>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0437A744"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 xml:space="preserve">Amortización </w:t>
            </w:r>
          </w:p>
        </w:tc>
        <w:tc>
          <w:tcPr>
            <w:tcW w:w="2338" w:type="dxa"/>
            <w:tcBorders>
              <w:top w:val="nil"/>
              <w:left w:val="nil"/>
              <w:bottom w:val="single" w:sz="4" w:space="0" w:color="auto"/>
              <w:right w:val="single" w:sz="4" w:space="0" w:color="auto"/>
            </w:tcBorders>
            <w:shd w:val="clear" w:color="auto" w:fill="auto"/>
            <w:noWrap/>
            <w:vAlign w:val="bottom"/>
            <w:hideMark/>
          </w:tcPr>
          <w:p w14:paraId="66189638" w14:textId="11EFDD6D" w:rsidR="00EB30EA" w:rsidRPr="00906A55" w:rsidRDefault="00CE25C8" w:rsidP="00EB30EA">
            <w:pPr>
              <w:jc w:val="right"/>
              <w:rPr>
                <w:rFonts w:ascii="Barlow" w:hAnsi="Barlow"/>
                <w:color w:val="000000"/>
                <w:sz w:val="18"/>
                <w:szCs w:val="18"/>
                <w:lang w:eastAsia="es-MX"/>
              </w:rPr>
            </w:pPr>
            <w:r>
              <w:rPr>
                <w:rFonts w:ascii="Barlow" w:hAnsi="Barlow"/>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5847DD3A" w14:textId="3A0E578B" w:rsidR="00EB30EA" w:rsidRPr="00906A55" w:rsidRDefault="00CE25C8" w:rsidP="00EB30EA">
            <w:pPr>
              <w:jc w:val="right"/>
              <w:rPr>
                <w:rFonts w:ascii="Barlow" w:hAnsi="Barlow"/>
                <w:color w:val="000000"/>
                <w:sz w:val="18"/>
                <w:szCs w:val="18"/>
                <w:lang w:eastAsia="es-MX"/>
              </w:rPr>
            </w:pPr>
            <w:r>
              <w:rPr>
                <w:rFonts w:ascii="Barlow" w:hAnsi="Barlow"/>
                <w:color w:val="000000"/>
                <w:sz w:val="18"/>
                <w:szCs w:val="18"/>
                <w:lang w:eastAsia="es-MX"/>
              </w:rPr>
              <w:t>0.00</w:t>
            </w:r>
          </w:p>
        </w:tc>
      </w:tr>
      <w:tr w:rsidR="00EB30EA" w:rsidRPr="00CE25C8" w14:paraId="5512F241" w14:textId="77777777" w:rsidTr="00906A55">
        <w:trPr>
          <w:trHeight w:val="153"/>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65736A8F"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Incremento en las provisiones</w:t>
            </w:r>
          </w:p>
        </w:tc>
        <w:tc>
          <w:tcPr>
            <w:tcW w:w="2338" w:type="dxa"/>
            <w:tcBorders>
              <w:top w:val="nil"/>
              <w:left w:val="nil"/>
              <w:bottom w:val="single" w:sz="4" w:space="0" w:color="auto"/>
              <w:right w:val="single" w:sz="4" w:space="0" w:color="auto"/>
            </w:tcBorders>
            <w:shd w:val="clear" w:color="auto" w:fill="auto"/>
            <w:noWrap/>
            <w:vAlign w:val="bottom"/>
            <w:hideMark/>
          </w:tcPr>
          <w:p w14:paraId="17CBC9F1" w14:textId="77777777" w:rsidR="00EB30EA" w:rsidRPr="00906A55" w:rsidRDefault="00EB30EA" w:rsidP="00EB30EA">
            <w:pPr>
              <w:jc w:val="right"/>
              <w:rPr>
                <w:rFonts w:ascii="Barlow" w:hAnsi="Barlow"/>
                <w:color w:val="000000"/>
                <w:sz w:val="18"/>
                <w:szCs w:val="18"/>
                <w:lang w:eastAsia="es-MX"/>
              </w:rPr>
            </w:pPr>
            <w:r w:rsidRPr="00906A55">
              <w:rPr>
                <w:rFonts w:ascii="Barlow" w:hAnsi="Barlow"/>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000EDBCD" w14:textId="77777777" w:rsidR="00EB30EA" w:rsidRPr="00906A55" w:rsidRDefault="00EB30EA" w:rsidP="00EB30EA">
            <w:pPr>
              <w:jc w:val="right"/>
              <w:rPr>
                <w:rFonts w:ascii="Barlow" w:hAnsi="Barlow"/>
                <w:color w:val="000000"/>
                <w:sz w:val="18"/>
                <w:szCs w:val="18"/>
                <w:lang w:eastAsia="es-MX"/>
              </w:rPr>
            </w:pPr>
            <w:r w:rsidRPr="00906A55">
              <w:rPr>
                <w:rFonts w:ascii="Barlow" w:hAnsi="Barlow"/>
                <w:color w:val="000000"/>
                <w:sz w:val="18"/>
                <w:szCs w:val="18"/>
                <w:lang w:eastAsia="es-MX"/>
              </w:rPr>
              <w:t>0.00</w:t>
            </w:r>
          </w:p>
        </w:tc>
      </w:tr>
      <w:tr w:rsidR="00EB30EA" w:rsidRPr="00CE25C8" w14:paraId="3CD8A562" w14:textId="77777777" w:rsidTr="00906A55">
        <w:trPr>
          <w:trHeight w:val="257"/>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52E49CF4"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Incremento en inversiones producido por reevaluación</w:t>
            </w:r>
          </w:p>
        </w:tc>
        <w:tc>
          <w:tcPr>
            <w:tcW w:w="2338" w:type="dxa"/>
            <w:tcBorders>
              <w:top w:val="nil"/>
              <w:left w:val="nil"/>
              <w:bottom w:val="single" w:sz="4" w:space="0" w:color="auto"/>
              <w:right w:val="single" w:sz="4" w:space="0" w:color="auto"/>
            </w:tcBorders>
            <w:shd w:val="clear" w:color="auto" w:fill="auto"/>
            <w:noWrap/>
            <w:vAlign w:val="bottom"/>
            <w:hideMark/>
          </w:tcPr>
          <w:p w14:paraId="27660EFD" w14:textId="77777777" w:rsidR="00EB30EA" w:rsidRPr="00906A55" w:rsidRDefault="00EB30EA" w:rsidP="00EB30EA">
            <w:pPr>
              <w:jc w:val="right"/>
              <w:rPr>
                <w:rFonts w:ascii="Barlow" w:hAnsi="Barlow"/>
                <w:color w:val="000000"/>
                <w:sz w:val="18"/>
                <w:szCs w:val="18"/>
                <w:lang w:eastAsia="es-MX"/>
              </w:rPr>
            </w:pPr>
            <w:r w:rsidRPr="00906A55">
              <w:rPr>
                <w:rFonts w:ascii="Barlow" w:hAnsi="Barlow"/>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1159CB4B" w14:textId="77777777" w:rsidR="00EB30EA" w:rsidRPr="00906A55" w:rsidRDefault="00EB30EA" w:rsidP="00EB30EA">
            <w:pPr>
              <w:jc w:val="right"/>
              <w:rPr>
                <w:rFonts w:ascii="Barlow" w:hAnsi="Barlow"/>
                <w:color w:val="000000"/>
                <w:sz w:val="18"/>
                <w:szCs w:val="18"/>
                <w:lang w:eastAsia="es-MX"/>
              </w:rPr>
            </w:pPr>
            <w:r w:rsidRPr="00906A55">
              <w:rPr>
                <w:rFonts w:ascii="Barlow" w:hAnsi="Barlow"/>
                <w:color w:val="000000"/>
                <w:sz w:val="18"/>
                <w:szCs w:val="18"/>
                <w:lang w:eastAsia="es-MX"/>
              </w:rPr>
              <w:t>0.00</w:t>
            </w:r>
          </w:p>
        </w:tc>
      </w:tr>
      <w:tr w:rsidR="00EB30EA" w:rsidRPr="00CE25C8" w14:paraId="14DB1AD1" w14:textId="77777777" w:rsidTr="00906A55">
        <w:trPr>
          <w:trHeight w:val="242"/>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5E4D6FB9"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Ganancia/pérdida en venta de propiedad, planta y equipo</w:t>
            </w:r>
          </w:p>
        </w:tc>
        <w:tc>
          <w:tcPr>
            <w:tcW w:w="2338" w:type="dxa"/>
            <w:tcBorders>
              <w:top w:val="nil"/>
              <w:left w:val="nil"/>
              <w:bottom w:val="single" w:sz="4" w:space="0" w:color="auto"/>
              <w:right w:val="single" w:sz="4" w:space="0" w:color="auto"/>
            </w:tcBorders>
            <w:shd w:val="clear" w:color="auto" w:fill="auto"/>
            <w:noWrap/>
            <w:vAlign w:val="bottom"/>
            <w:hideMark/>
          </w:tcPr>
          <w:p w14:paraId="5BC40537" w14:textId="53414B22" w:rsidR="00EB30EA" w:rsidRPr="00906A55" w:rsidRDefault="00CE25C8" w:rsidP="00EB30EA">
            <w:pPr>
              <w:jc w:val="right"/>
              <w:rPr>
                <w:rFonts w:ascii="Barlow" w:hAnsi="Barlow"/>
                <w:color w:val="000000"/>
                <w:sz w:val="18"/>
                <w:szCs w:val="18"/>
                <w:lang w:eastAsia="es-MX"/>
              </w:rPr>
            </w:pPr>
            <w:r>
              <w:rPr>
                <w:rFonts w:ascii="Barlow" w:hAnsi="Barlow"/>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0A08F63C" w14:textId="77777777" w:rsidR="00EB30EA" w:rsidRPr="00906A55" w:rsidRDefault="00EB30EA" w:rsidP="00EB30EA">
            <w:pPr>
              <w:jc w:val="right"/>
              <w:rPr>
                <w:rFonts w:ascii="Barlow" w:hAnsi="Barlow"/>
                <w:color w:val="000000"/>
                <w:sz w:val="18"/>
                <w:szCs w:val="18"/>
                <w:lang w:eastAsia="es-MX"/>
              </w:rPr>
            </w:pPr>
            <w:r w:rsidRPr="00906A55">
              <w:rPr>
                <w:rFonts w:ascii="Barlow" w:hAnsi="Barlow"/>
                <w:color w:val="000000"/>
                <w:sz w:val="18"/>
                <w:szCs w:val="18"/>
                <w:lang w:eastAsia="es-MX"/>
              </w:rPr>
              <w:t>0.00</w:t>
            </w:r>
          </w:p>
        </w:tc>
      </w:tr>
      <w:tr w:rsidR="00EB30EA" w:rsidRPr="00CE25C8" w14:paraId="62D27FAB" w14:textId="77777777" w:rsidTr="00906A55">
        <w:trPr>
          <w:trHeight w:val="231"/>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34A06E30"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Incremento en cuentas por cobrar</w:t>
            </w:r>
          </w:p>
        </w:tc>
        <w:tc>
          <w:tcPr>
            <w:tcW w:w="2338" w:type="dxa"/>
            <w:tcBorders>
              <w:top w:val="nil"/>
              <w:left w:val="nil"/>
              <w:bottom w:val="single" w:sz="4" w:space="0" w:color="auto"/>
              <w:right w:val="single" w:sz="4" w:space="0" w:color="auto"/>
            </w:tcBorders>
            <w:shd w:val="clear" w:color="auto" w:fill="auto"/>
            <w:noWrap/>
            <w:vAlign w:val="bottom"/>
            <w:hideMark/>
          </w:tcPr>
          <w:p w14:paraId="09AFEC00" w14:textId="1D68AE02" w:rsidR="00EB30EA" w:rsidRPr="00906A55" w:rsidRDefault="0057368F" w:rsidP="005F5D0B">
            <w:pPr>
              <w:jc w:val="right"/>
              <w:rPr>
                <w:rFonts w:ascii="Barlow" w:hAnsi="Barlow"/>
                <w:color w:val="000000"/>
                <w:sz w:val="18"/>
                <w:szCs w:val="18"/>
                <w:lang w:eastAsia="es-MX"/>
              </w:rPr>
            </w:pPr>
            <w:r>
              <w:rPr>
                <w:rFonts w:ascii="Barlow" w:hAnsi="Barlow"/>
                <w:color w:val="000000"/>
                <w:sz w:val="18"/>
                <w:szCs w:val="18"/>
                <w:lang w:eastAsia="es-MX"/>
              </w:rPr>
              <w:t>1,9</w:t>
            </w:r>
            <w:r w:rsidR="005F5D0B">
              <w:rPr>
                <w:rFonts w:ascii="Barlow" w:hAnsi="Barlow"/>
                <w:color w:val="000000"/>
                <w:sz w:val="18"/>
                <w:szCs w:val="18"/>
                <w:lang w:eastAsia="es-MX"/>
              </w:rPr>
              <w:t>68</w:t>
            </w:r>
            <w:r w:rsidR="006373FF">
              <w:rPr>
                <w:rFonts w:ascii="Barlow" w:hAnsi="Barlow"/>
                <w:color w:val="000000"/>
                <w:sz w:val="18"/>
                <w:szCs w:val="18"/>
                <w:lang w:eastAsia="es-MX"/>
              </w:rPr>
              <w:t>.</w:t>
            </w:r>
            <w:r w:rsidR="005F5D0B">
              <w:rPr>
                <w:rFonts w:ascii="Barlow" w:hAnsi="Barlow"/>
                <w:color w:val="000000"/>
                <w:sz w:val="18"/>
                <w:szCs w:val="18"/>
                <w:lang w:eastAsia="es-MX"/>
              </w:rPr>
              <w:t>52</w:t>
            </w:r>
          </w:p>
        </w:tc>
        <w:tc>
          <w:tcPr>
            <w:tcW w:w="1972" w:type="dxa"/>
            <w:tcBorders>
              <w:top w:val="nil"/>
              <w:left w:val="nil"/>
              <w:bottom w:val="single" w:sz="4" w:space="0" w:color="auto"/>
              <w:right w:val="single" w:sz="4" w:space="0" w:color="auto"/>
            </w:tcBorders>
            <w:shd w:val="clear" w:color="auto" w:fill="auto"/>
            <w:noWrap/>
            <w:vAlign w:val="bottom"/>
            <w:hideMark/>
          </w:tcPr>
          <w:p w14:paraId="3CFD7732" w14:textId="16286826" w:rsidR="00EB30EA" w:rsidRPr="00906A55" w:rsidRDefault="005F5D0B" w:rsidP="005F5D0B">
            <w:pPr>
              <w:jc w:val="right"/>
              <w:rPr>
                <w:rFonts w:ascii="Barlow" w:hAnsi="Barlow"/>
                <w:color w:val="000000"/>
                <w:sz w:val="18"/>
                <w:szCs w:val="18"/>
                <w:lang w:eastAsia="es-MX"/>
              </w:rPr>
            </w:pPr>
            <w:r>
              <w:rPr>
                <w:rFonts w:ascii="Barlow" w:hAnsi="Barlow"/>
                <w:color w:val="000000"/>
                <w:sz w:val="18"/>
                <w:szCs w:val="18"/>
                <w:lang w:eastAsia="es-MX"/>
              </w:rPr>
              <w:t>1,054</w:t>
            </w:r>
            <w:r w:rsidR="00D2382F">
              <w:rPr>
                <w:rFonts w:ascii="Barlow" w:hAnsi="Barlow"/>
                <w:color w:val="000000"/>
                <w:sz w:val="18"/>
                <w:szCs w:val="18"/>
                <w:lang w:eastAsia="es-MX"/>
              </w:rPr>
              <w:t>.</w:t>
            </w:r>
            <w:r>
              <w:rPr>
                <w:rFonts w:ascii="Barlow" w:hAnsi="Barlow"/>
                <w:color w:val="000000"/>
                <w:sz w:val="18"/>
                <w:szCs w:val="18"/>
                <w:lang w:eastAsia="es-MX"/>
              </w:rPr>
              <w:t>44</w:t>
            </w:r>
          </w:p>
        </w:tc>
      </w:tr>
      <w:tr w:rsidR="00EB30EA" w:rsidRPr="00CE25C8" w14:paraId="51EAAC76" w14:textId="77777777" w:rsidTr="00906A55">
        <w:trPr>
          <w:trHeight w:val="58"/>
          <w:jc w:val="center"/>
        </w:trPr>
        <w:tc>
          <w:tcPr>
            <w:tcW w:w="4449" w:type="dxa"/>
            <w:tcBorders>
              <w:top w:val="nil"/>
              <w:left w:val="single" w:sz="4" w:space="0" w:color="auto"/>
              <w:bottom w:val="single" w:sz="4" w:space="0" w:color="auto"/>
              <w:right w:val="single" w:sz="4" w:space="0" w:color="auto"/>
            </w:tcBorders>
            <w:shd w:val="clear" w:color="auto" w:fill="auto"/>
            <w:vAlign w:val="bottom"/>
            <w:hideMark/>
          </w:tcPr>
          <w:p w14:paraId="4078C067" w14:textId="77777777" w:rsidR="00EB30EA" w:rsidRPr="00906A55" w:rsidRDefault="00EB30EA" w:rsidP="00EB30EA">
            <w:pPr>
              <w:rPr>
                <w:rFonts w:ascii="Barlow" w:hAnsi="Barlow"/>
                <w:color w:val="000000"/>
                <w:sz w:val="18"/>
                <w:szCs w:val="18"/>
                <w:lang w:eastAsia="es-MX"/>
              </w:rPr>
            </w:pPr>
            <w:r w:rsidRPr="00906A55">
              <w:rPr>
                <w:rFonts w:ascii="Barlow" w:hAnsi="Barlow"/>
                <w:color w:val="000000"/>
                <w:sz w:val="18"/>
                <w:szCs w:val="18"/>
                <w:lang w:eastAsia="es-MX"/>
              </w:rPr>
              <w:t>Partidas extraordinarias</w:t>
            </w:r>
          </w:p>
        </w:tc>
        <w:tc>
          <w:tcPr>
            <w:tcW w:w="2338" w:type="dxa"/>
            <w:tcBorders>
              <w:top w:val="nil"/>
              <w:left w:val="nil"/>
              <w:bottom w:val="single" w:sz="4" w:space="0" w:color="auto"/>
              <w:right w:val="single" w:sz="4" w:space="0" w:color="auto"/>
            </w:tcBorders>
            <w:shd w:val="clear" w:color="auto" w:fill="auto"/>
            <w:noWrap/>
            <w:vAlign w:val="bottom"/>
            <w:hideMark/>
          </w:tcPr>
          <w:p w14:paraId="7379FDDD" w14:textId="0AEC36D0" w:rsidR="00EB30EA" w:rsidRPr="00906A55" w:rsidRDefault="00CE25C8" w:rsidP="00EB30EA">
            <w:pPr>
              <w:jc w:val="right"/>
              <w:rPr>
                <w:rFonts w:ascii="Barlow" w:hAnsi="Barlow"/>
                <w:color w:val="000000"/>
                <w:sz w:val="18"/>
                <w:szCs w:val="18"/>
                <w:lang w:eastAsia="es-MX"/>
              </w:rPr>
            </w:pPr>
            <w:r>
              <w:rPr>
                <w:rFonts w:ascii="Barlow" w:hAnsi="Barlow"/>
                <w:color w:val="000000"/>
                <w:sz w:val="18"/>
                <w:szCs w:val="18"/>
                <w:lang w:eastAsia="es-MX"/>
              </w:rPr>
              <w:t>0.00</w:t>
            </w:r>
          </w:p>
        </w:tc>
        <w:tc>
          <w:tcPr>
            <w:tcW w:w="1972" w:type="dxa"/>
            <w:tcBorders>
              <w:top w:val="nil"/>
              <w:left w:val="nil"/>
              <w:bottom w:val="single" w:sz="4" w:space="0" w:color="auto"/>
              <w:right w:val="single" w:sz="4" w:space="0" w:color="auto"/>
            </w:tcBorders>
            <w:shd w:val="clear" w:color="auto" w:fill="auto"/>
            <w:noWrap/>
            <w:vAlign w:val="bottom"/>
            <w:hideMark/>
          </w:tcPr>
          <w:p w14:paraId="2A0D0E4F" w14:textId="22FF8CC6" w:rsidR="00EB30EA" w:rsidRPr="00906A55" w:rsidRDefault="00CE25C8" w:rsidP="00EB30EA">
            <w:pPr>
              <w:jc w:val="right"/>
              <w:rPr>
                <w:rFonts w:ascii="Barlow" w:hAnsi="Barlow"/>
                <w:color w:val="000000"/>
                <w:sz w:val="18"/>
                <w:szCs w:val="18"/>
                <w:lang w:eastAsia="es-MX"/>
              </w:rPr>
            </w:pPr>
            <w:r>
              <w:rPr>
                <w:rFonts w:ascii="Barlow" w:hAnsi="Barlow"/>
                <w:color w:val="000000"/>
                <w:sz w:val="18"/>
                <w:szCs w:val="18"/>
                <w:lang w:eastAsia="es-MX"/>
              </w:rPr>
              <w:t>0.00</w:t>
            </w:r>
          </w:p>
        </w:tc>
      </w:tr>
    </w:tbl>
    <w:p w14:paraId="32E71AD0" w14:textId="77777777" w:rsidR="008A304E" w:rsidRPr="00DA1E17" w:rsidRDefault="008A304E" w:rsidP="00C4137E">
      <w:pPr>
        <w:autoSpaceDE w:val="0"/>
        <w:autoSpaceDN w:val="0"/>
        <w:adjustRightInd w:val="0"/>
        <w:spacing w:line="360" w:lineRule="auto"/>
        <w:jc w:val="both"/>
        <w:rPr>
          <w:rFonts w:ascii="Barlow" w:hAnsi="Barlow" w:cs="Arial"/>
          <w:bCs/>
          <w:sz w:val="8"/>
          <w:szCs w:val="4"/>
        </w:rPr>
      </w:pPr>
    </w:p>
    <w:p w14:paraId="66FC5F46" w14:textId="77777777" w:rsidR="00D8106F" w:rsidRDefault="00D8106F" w:rsidP="00DA1E17">
      <w:pPr>
        <w:autoSpaceDE w:val="0"/>
        <w:autoSpaceDN w:val="0"/>
        <w:adjustRightInd w:val="0"/>
        <w:jc w:val="both"/>
        <w:rPr>
          <w:rFonts w:ascii="Barlow" w:hAnsi="Barlow" w:cs="Arial"/>
          <w:bCs/>
          <w:sz w:val="20"/>
          <w:szCs w:val="20"/>
        </w:rPr>
      </w:pPr>
    </w:p>
    <w:p w14:paraId="05030BA3" w14:textId="77777777" w:rsidR="0019420F" w:rsidRDefault="0019420F" w:rsidP="00DA1E17">
      <w:pPr>
        <w:autoSpaceDE w:val="0"/>
        <w:autoSpaceDN w:val="0"/>
        <w:adjustRightInd w:val="0"/>
        <w:jc w:val="both"/>
        <w:rPr>
          <w:rFonts w:ascii="Barlow" w:hAnsi="Barlow" w:cs="Arial"/>
          <w:b/>
          <w:sz w:val="20"/>
          <w:szCs w:val="20"/>
        </w:rPr>
      </w:pPr>
    </w:p>
    <w:p w14:paraId="5BFDF0F5" w14:textId="77777777" w:rsidR="0019420F" w:rsidRDefault="0019420F" w:rsidP="00DA1E17">
      <w:pPr>
        <w:autoSpaceDE w:val="0"/>
        <w:autoSpaceDN w:val="0"/>
        <w:adjustRightInd w:val="0"/>
        <w:jc w:val="both"/>
        <w:rPr>
          <w:rFonts w:ascii="Barlow" w:hAnsi="Barlow" w:cs="Arial"/>
          <w:b/>
          <w:sz w:val="20"/>
          <w:szCs w:val="20"/>
        </w:rPr>
      </w:pPr>
    </w:p>
    <w:p w14:paraId="1D8FDF97" w14:textId="77777777" w:rsidR="0019420F" w:rsidRDefault="0019420F" w:rsidP="00DA1E17">
      <w:pPr>
        <w:autoSpaceDE w:val="0"/>
        <w:autoSpaceDN w:val="0"/>
        <w:adjustRightInd w:val="0"/>
        <w:jc w:val="both"/>
        <w:rPr>
          <w:rFonts w:ascii="Barlow" w:hAnsi="Barlow" w:cs="Arial"/>
          <w:b/>
          <w:sz w:val="20"/>
          <w:szCs w:val="20"/>
        </w:rPr>
      </w:pPr>
    </w:p>
    <w:p w14:paraId="055ED9C7" w14:textId="77777777" w:rsidR="0019420F" w:rsidRDefault="0019420F" w:rsidP="00DA1E17">
      <w:pPr>
        <w:autoSpaceDE w:val="0"/>
        <w:autoSpaceDN w:val="0"/>
        <w:adjustRightInd w:val="0"/>
        <w:jc w:val="both"/>
        <w:rPr>
          <w:rFonts w:ascii="Barlow" w:hAnsi="Barlow" w:cs="Arial"/>
          <w:b/>
          <w:sz w:val="20"/>
          <w:szCs w:val="20"/>
        </w:rPr>
      </w:pPr>
    </w:p>
    <w:p w14:paraId="6D5B90FF" w14:textId="77777777" w:rsidR="0019420F" w:rsidRDefault="0019420F" w:rsidP="00DA1E17">
      <w:pPr>
        <w:autoSpaceDE w:val="0"/>
        <w:autoSpaceDN w:val="0"/>
        <w:adjustRightInd w:val="0"/>
        <w:jc w:val="both"/>
        <w:rPr>
          <w:rFonts w:ascii="Barlow" w:hAnsi="Barlow" w:cs="Arial"/>
          <w:b/>
          <w:sz w:val="20"/>
          <w:szCs w:val="20"/>
        </w:rPr>
      </w:pPr>
    </w:p>
    <w:p w14:paraId="79BE1D5B" w14:textId="77777777" w:rsidR="0019420F" w:rsidRDefault="0019420F" w:rsidP="00DA1E17">
      <w:pPr>
        <w:autoSpaceDE w:val="0"/>
        <w:autoSpaceDN w:val="0"/>
        <w:adjustRightInd w:val="0"/>
        <w:jc w:val="both"/>
        <w:rPr>
          <w:rFonts w:ascii="Barlow" w:hAnsi="Barlow" w:cs="Arial"/>
          <w:b/>
          <w:sz w:val="20"/>
          <w:szCs w:val="20"/>
        </w:rPr>
      </w:pPr>
    </w:p>
    <w:p w14:paraId="78C144D5" w14:textId="77777777" w:rsidR="0019420F" w:rsidRDefault="0019420F" w:rsidP="00DA1E17">
      <w:pPr>
        <w:autoSpaceDE w:val="0"/>
        <w:autoSpaceDN w:val="0"/>
        <w:adjustRightInd w:val="0"/>
        <w:jc w:val="both"/>
        <w:rPr>
          <w:rFonts w:ascii="Barlow" w:hAnsi="Barlow" w:cs="Arial"/>
          <w:b/>
          <w:sz w:val="20"/>
          <w:szCs w:val="20"/>
        </w:rPr>
      </w:pPr>
    </w:p>
    <w:p w14:paraId="5C7A74A4" w14:textId="77777777" w:rsidR="0019420F" w:rsidRDefault="0019420F" w:rsidP="00DA1E17">
      <w:pPr>
        <w:autoSpaceDE w:val="0"/>
        <w:autoSpaceDN w:val="0"/>
        <w:adjustRightInd w:val="0"/>
        <w:jc w:val="both"/>
        <w:rPr>
          <w:rFonts w:ascii="Barlow" w:hAnsi="Barlow" w:cs="Arial"/>
          <w:b/>
          <w:sz w:val="20"/>
          <w:szCs w:val="20"/>
        </w:rPr>
      </w:pPr>
    </w:p>
    <w:p w14:paraId="17FF8CC6" w14:textId="77777777" w:rsidR="0019420F" w:rsidRDefault="0019420F" w:rsidP="00DA1E17">
      <w:pPr>
        <w:autoSpaceDE w:val="0"/>
        <w:autoSpaceDN w:val="0"/>
        <w:adjustRightInd w:val="0"/>
        <w:jc w:val="both"/>
        <w:rPr>
          <w:rFonts w:ascii="Barlow" w:hAnsi="Barlow" w:cs="Arial"/>
          <w:b/>
          <w:sz w:val="20"/>
          <w:szCs w:val="20"/>
        </w:rPr>
      </w:pPr>
    </w:p>
    <w:p w14:paraId="3A9035EB" w14:textId="60D9A0ED" w:rsidR="00251A08" w:rsidRPr="00410493" w:rsidRDefault="00251A08" w:rsidP="00DA1E17">
      <w:pPr>
        <w:autoSpaceDE w:val="0"/>
        <w:autoSpaceDN w:val="0"/>
        <w:adjustRightInd w:val="0"/>
        <w:jc w:val="both"/>
        <w:rPr>
          <w:rFonts w:ascii="Barlow" w:hAnsi="Barlow" w:cs="Arial"/>
          <w:b/>
          <w:sz w:val="20"/>
          <w:szCs w:val="20"/>
        </w:rPr>
      </w:pPr>
      <w:r w:rsidRPr="00410493">
        <w:rPr>
          <w:rFonts w:ascii="Barlow" w:hAnsi="Barlow" w:cs="Arial"/>
          <w:b/>
          <w:sz w:val="20"/>
          <w:szCs w:val="20"/>
        </w:rPr>
        <w:lastRenderedPageBreak/>
        <w:t>V) CONCILIACIÓN ENTRE LOS INGRESOS PRESUP</w:t>
      </w:r>
      <w:r w:rsidR="006720EF" w:rsidRPr="00410493">
        <w:rPr>
          <w:rFonts w:ascii="Barlow" w:hAnsi="Barlow" w:cs="Arial"/>
          <w:b/>
          <w:sz w:val="20"/>
          <w:szCs w:val="20"/>
        </w:rPr>
        <w:t>U</w:t>
      </w:r>
      <w:r w:rsidRPr="00410493">
        <w:rPr>
          <w:rFonts w:ascii="Barlow" w:hAnsi="Barlow" w:cs="Arial"/>
          <w:b/>
          <w:sz w:val="20"/>
          <w:szCs w:val="20"/>
        </w:rPr>
        <w:t>ESTARIOS Y CONTABLES, ASI COMO ENTRE LOS EGRESOS PRESUPUESTARIOS Y GASTOS CONTABLES.</w:t>
      </w:r>
    </w:p>
    <w:p w14:paraId="4971453F" w14:textId="77777777" w:rsidR="003D61D4" w:rsidRPr="003D61D4" w:rsidRDefault="003D61D4" w:rsidP="00C4137E">
      <w:pPr>
        <w:autoSpaceDE w:val="0"/>
        <w:autoSpaceDN w:val="0"/>
        <w:adjustRightInd w:val="0"/>
        <w:spacing w:line="360" w:lineRule="auto"/>
        <w:ind w:left="708"/>
        <w:jc w:val="both"/>
        <w:rPr>
          <w:rFonts w:ascii="Barlow" w:hAnsi="Barlow" w:cs="Arial"/>
          <w:bCs/>
          <w:sz w:val="8"/>
          <w:szCs w:val="8"/>
        </w:rPr>
      </w:pPr>
    </w:p>
    <w:p w14:paraId="197A69AA" w14:textId="7DBCA77E" w:rsidR="008273DF" w:rsidRDefault="008273DF" w:rsidP="00C4137E">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t>A. Conciliación de ingresos presupuestarios y contables del 1</w:t>
      </w:r>
      <w:r w:rsidR="003C1D54">
        <w:rPr>
          <w:rFonts w:ascii="Barlow" w:hAnsi="Barlow" w:cs="Arial"/>
          <w:bCs/>
          <w:sz w:val="20"/>
          <w:szCs w:val="20"/>
        </w:rPr>
        <w:t xml:space="preserve"> </w:t>
      </w:r>
      <w:r w:rsidR="007161F2">
        <w:rPr>
          <w:rFonts w:ascii="Barlow" w:hAnsi="Barlow" w:cs="Arial"/>
          <w:bCs/>
          <w:sz w:val="20"/>
          <w:szCs w:val="20"/>
        </w:rPr>
        <w:t xml:space="preserve">de </w:t>
      </w:r>
      <w:r w:rsidR="00FB4A74">
        <w:rPr>
          <w:rFonts w:ascii="Barlow" w:hAnsi="Barlow" w:cs="Arial"/>
          <w:bCs/>
          <w:sz w:val="20"/>
          <w:szCs w:val="20"/>
        </w:rPr>
        <w:t>e</w:t>
      </w:r>
      <w:r w:rsidR="007161F2">
        <w:rPr>
          <w:rFonts w:ascii="Barlow" w:hAnsi="Barlow" w:cs="Arial"/>
          <w:bCs/>
          <w:sz w:val="20"/>
          <w:szCs w:val="20"/>
        </w:rPr>
        <w:t>nero</w:t>
      </w:r>
      <w:r w:rsidR="009B69E8">
        <w:rPr>
          <w:rFonts w:ascii="Barlow" w:hAnsi="Barlow" w:cs="Arial"/>
          <w:bCs/>
          <w:sz w:val="20"/>
          <w:szCs w:val="20"/>
        </w:rPr>
        <w:t xml:space="preserve"> al </w:t>
      </w:r>
      <w:r w:rsidR="00AD26E5">
        <w:rPr>
          <w:rFonts w:ascii="Barlow" w:hAnsi="Barlow" w:cs="Arial"/>
          <w:bCs/>
          <w:sz w:val="20"/>
          <w:szCs w:val="20"/>
        </w:rPr>
        <w:t xml:space="preserve">31 </w:t>
      </w:r>
      <w:r w:rsidR="009B69E8" w:rsidRPr="00852D69">
        <w:rPr>
          <w:rFonts w:ascii="Barlow" w:hAnsi="Barlow" w:cs="Arial"/>
          <w:sz w:val="20"/>
          <w:szCs w:val="20"/>
        </w:rPr>
        <w:t xml:space="preserve">de </w:t>
      </w:r>
      <w:r w:rsidR="00AD26E5">
        <w:rPr>
          <w:rFonts w:ascii="Barlow" w:hAnsi="Barlow" w:cs="Arial"/>
          <w:sz w:val="20"/>
          <w:szCs w:val="20"/>
        </w:rPr>
        <w:t>marzo</w:t>
      </w:r>
      <w:r w:rsidR="003C1D54">
        <w:rPr>
          <w:rFonts w:ascii="Barlow" w:hAnsi="Barlow" w:cs="Arial"/>
          <w:bCs/>
          <w:sz w:val="20"/>
          <w:szCs w:val="20"/>
        </w:rPr>
        <w:t xml:space="preserve"> </w:t>
      </w:r>
      <w:r w:rsidR="00852D69" w:rsidRPr="00852D69">
        <w:rPr>
          <w:rFonts w:ascii="Barlow" w:hAnsi="Barlow" w:cs="Arial"/>
          <w:sz w:val="20"/>
          <w:szCs w:val="20"/>
        </w:rPr>
        <w:t>de 202</w:t>
      </w:r>
      <w:r w:rsidR="003C1D54">
        <w:rPr>
          <w:rFonts w:ascii="Barlow" w:hAnsi="Barlow" w:cs="Arial"/>
          <w:sz w:val="20"/>
          <w:szCs w:val="20"/>
        </w:rPr>
        <w:t>1</w:t>
      </w:r>
    </w:p>
    <w:p w14:paraId="08346831" w14:textId="77777777" w:rsidR="000A53B7" w:rsidRPr="00D8106F" w:rsidRDefault="000A53B7" w:rsidP="00C4137E">
      <w:pPr>
        <w:autoSpaceDE w:val="0"/>
        <w:autoSpaceDN w:val="0"/>
        <w:adjustRightInd w:val="0"/>
        <w:spacing w:line="360" w:lineRule="auto"/>
        <w:ind w:left="708"/>
        <w:jc w:val="both"/>
        <w:rPr>
          <w:rFonts w:ascii="Barlow" w:hAnsi="Barlow" w:cs="Arial"/>
          <w:bCs/>
          <w:sz w:val="8"/>
          <w:szCs w:val="20"/>
        </w:rPr>
      </w:pPr>
    </w:p>
    <w:tbl>
      <w:tblPr>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3168"/>
        <w:gridCol w:w="1449"/>
        <w:gridCol w:w="1414"/>
      </w:tblGrid>
      <w:tr w:rsidR="00FE045F" w:rsidRPr="000A53B7" w14:paraId="7BB814CB" w14:textId="77777777" w:rsidTr="005842AB">
        <w:trPr>
          <w:trHeight w:val="167"/>
          <w:jc w:val="center"/>
        </w:trPr>
        <w:tc>
          <w:tcPr>
            <w:tcW w:w="4165" w:type="dxa"/>
            <w:gridSpan w:val="2"/>
            <w:shd w:val="clear" w:color="000000" w:fill="C0C0C0"/>
            <w:vAlign w:val="center"/>
            <w:hideMark/>
          </w:tcPr>
          <w:p w14:paraId="5D8DD393" w14:textId="77777777" w:rsidR="008273DF" w:rsidRPr="000A53B7" w:rsidRDefault="008273DF" w:rsidP="00C4137E">
            <w:pPr>
              <w:jc w:val="both"/>
              <w:rPr>
                <w:rFonts w:ascii="Barlow" w:hAnsi="Barlow" w:cs="Arial"/>
                <w:b/>
                <w:bCs/>
                <w:color w:val="000000"/>
                <w:sz w:val="18"/>
                <w:szCs w:val="18"/>
                <w:lang w:eastAsia="es-MX"/>
              </w:rPr>
            </w:pPr>
            <w:r w:rsidRPr="000A53B7">
              <w:rPr>
                <w:rFonts w:ascii="Barlow" w:hAnsi="Barlow" w:cs="Arial"/>
                <w:b/>
                <w:bCs/>
                <w:color w:val="000000"/>
                <w:sz w:val="18"/>
                <w:szCs w:val="18"/>
                <w:lang w:eastAsia="es-MX"/>
              </w:rPr>
              <w:t>1. Ingresos Presupuestarios</w:t>
            </w:r>
          </w:p>
        </w:tc>
        <w:tc>
          <w:tcPr>
            <w:tcW w:w="1449" w:type="dxa"/>
            <w:shd w:val="clear" w:color="auto" w:fill="auto"/>
            <w:vAlign w:val="center"/>
            <w:hideMark/>
          </w:tcPr>
          <w:p w14:paraId="24FA9BF3"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1414" w:type="dxa"/>
            <w:shd w:val="clear" w:color="000000" w:fill="C0C0C0"/>
            <w:vAlign w:val="center"/>
            <w:hideMark/>
          </w:tcPr>
          <w:p w14:paraId="3D3D822F" w14:textId="2D830970" w:rsidR="008273DF" w:rsidRPr="000A53B7" w:rsidRDefault="004568A1" w:rsidP="005F5D0B">
            <w:pPr>
              <w:ind w:right="-140"/>
              <w:jc w:val="both"/>
              <w:rPr>
                <w:rFonts w:ascii="Barlow" w:hAnsi="Barlow" w:cs="Arial"/>
                <w:b/>
                <w:bCs/>
                <w:color w:val="000000"/>
                <w:sz w:val="18"/>
                <w:szCs w:val="18"/>
                <w:lang w:eastAsia="es-MX"/>
              </w:rPr>
            </w:pPr>
            <w:r w:rsidRPr="000A53B7">
              <w:rPr>
                <w:rFonts w:ascii="Barlow" w:hAnsi="Barlow" w:cs="Arial"/>
                <w:b/>
                <w:bCs/>
                <w:color w:val="000000"/>
                <w:sz w:val="18"/>
                <w:szCs w:val="18"/>
                <w:lang w:eastAsia="es-MX"/>
              </w:rPr>
              <w:t xml:space="preserve">         </w:t>
            </w:r>
            <w:r w:rsidR="00991EFD">
              <w:rPr>
                <w:rFonts w:ascii="Barlow" w:hAnsi="Barlow" w:cs="Arial"/>
                <w:b/>
                <w:bCs/>
                <w:color w:val="000000"/>
                <w:sz w:val="18"/>
                <w:szCs w:val="18"/>
                <w:lang w:eastAsia="es-MX"/>
              </w:rPr>
              <w:t xml:space="preserve">   </w:t>
            </w:r>
            <w:r w:rsidR="005842AB">
              <w:rPr>
                <w:rFonts w:ascii="Barlow" w:hAnsi="Barlow" w:cs="Arial"/>
                <w:b/>
                <w:bCs/>
                <w:color w:val="000000"/>
                <w:sz w:val="18"/>
                <w:szCs w:val="18"/>
                <w:lang w:eastAsia="es-MX"/>
              </w:rPr>
              <w:t>1</w:t>
            </w:r>
            <w:r w:rsidR="005F5D0B">
              <w:rPr>
                <w:rFonts w:ascii="Barlow" w:hAnsi="Barlow" w:cs="Arial"/>
                <w:b/>
                <w:bCs/>
                <w:color w:val="000000"/>
                <w:sz w:val="18"/>
                <w:szCs w:val="18"/>
                <w:lang w:eastAsia="es-MX"/>
              </w:rPr>
              <w:t>69</w:t>
            </w:r>
            <w:r w:rsidR="008273DF" w:rsidRPr="000A53B7">
              <w:rPr>
                <w:rFonts w:ascii="Barlow" w:hAnsi="Barlow" w:cs="Arial"/>
                <w:b/>
                <w:bCs/>
                <w:color w:val="000000"/>
                <w:sz w:val="18"/>
                <w:szCs w:val="18"/>
                <w:lang w:eastAsia="es-MX"/>
              </w:rPr>
              <w:t>,</w:t>
            </w:r>
            <w:r w:rsidR="005F5D0B">
              <w:rPr>
                <w:rFonts w:ascii="Barlow" w:hAnsi="Barlow" w:cs="Arial"/>
                <w:b/>
                <w:bCs/>
                <w:color w:val="000000"/>
                <w:sz w:val="18"/>
                <w:szCs w:val="18"/>
                <w:lang w:eastAsia="es-MX"/>
              </w:rPr>
              <w:t>870</w:t>
            </w:r>
            <w:r w:rsidR="008273DF" w:rsidRPr="000A53B7">
              <w:rPr>
                <w:rFonts w:ascii="Barlow" w:hAnsi="Barlow" w:cs="Arial"/>
                <w:b/>
                <w:bCs/>
                <w:color w:val="000000"/>
                <w:sz w:val="18"/>
                <w:szCs w:val="18"/>
                <w:lang w:eastAsia="es-MX"/>
              </w:rPr>
              <w:t>.</w:t>
            </w:r>
            <w:r w:rsidR="005F5D0B">
              <w:rPr>
                <w:rFonts w:ascii="Barlow" w:hAnsi="Barlow" w:cs="Arial"/>
                <w:b/>
                <w:bCs/>
                <w:color w:val="000000"/>
                <w:sz w:val="18"/>
                <w:szCs w:val="18"/>
                <w:lang w:eastAsia="es-MX"/>
              </w:rPr>
              <w:t>89</w:t>
            </w:r>
          </w:p>
        </w:tc>
      </w:tr>
      <w:tr w:rsidR="008273DF" w:rsidRPr="000A53B7" w14:paraId="67CA88D0" w14:textId="77777777" w:rsidTr="005842AB">
        <w:trPr>
          <w:trHeight w:val="205"/>
          <w:jc w:val="center"/>
        </w:trPr>
        <w:tc>
          <w:tcPr>
            <w:tcW w:w="4165" w:type="dxa"/>
            <w:gridSpan w:val="2"/>
            <w:shd w:val="clear" w:color="auto" w:fill="auto"/>
            <w:vAlign w:val="center"/>
            <w:hideMark/>
          </w:tcPr>
          <w:p w14:paraId="6002BA23" w14:textId="77777777" w:rsidR="008273DF" w:rsidRPr="000A53B7" w:rsidRDefault="008273DF" w:rsidP="00C4137E">
            <w:pPr>
              <w:jc w:val="both"/>
              <w:rPr>
                <w:rFonts w:ascii="Barlow" w:hAnsi="Barlow" w:cs="Arial"/>
                <w:b/>
                <w:bCs/>
                <w:color w:val="000000"/>
                <w:sz w:val="18"/>
                <w:szCs w:val="18"/>
                <w:lang w:eastAsia="es-MX"/>
              </w:rPr>
            </w:pPr>
            <w:r w:rsidRPr="000A53B7">
              <w:rPr>
                <w:rFonts w:ascii="Barlow" w:hAnsi="Barlow" w:cs="Arial"/>
                <w:b/>
                <w:bCs/>
                <w:color w:val="000000"/>
                <w:sz w:val="18"/>
                <w:szCs w:val="18"/>
                <w:lang w:eastAsia="es-MX"/>
              </w:rPr>
              <w:t>2. Más ingresos contables no presupuestarios</w:t>
            </w:r>
          </w:p>
        </w:tc>
        <w:tc>
          <w:tcPr>
            <w:tcW w:w="1449" w:type="dxa"/>
            <w:shd w:val="clear" w:color="auto" w:fill="auto"/>
            <w:vAlign w:val="center"/>
            <w:hideMark/>
          </w:tcPr>
          <w:p w14:paraId="63ABBD6F"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1414" w:type="dxa"/>
            <w:shd w:val="clear" w:color="auto" w:fill="auto"/>
            <w:vAlign w:val="center"/>
            <w:hideMark/>
          </w:tcPr>
          <w:p w14:paraId="4E8F3AAB" w14:textId="77777777" w:rsidR="008273DF" w:rsidRPr="000A53B7" w:rsidRDefault="004568A1"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w:t>
            </w:r>
            <w:r w:rsidR="008273DF" w:rsidRPr="000A53B7">
              <w:rPr>
                <w:rFonts w:ascii="Barlow" w:hAnsi="Barlow" w:cs="Arial"/>
                <w:color w:val="000000"/>
                <w:sz w:val="18"/>
                <w:szCs w:val="18"/>
                <w:lang w:eastAsia="es-MX"/>
              </w:rPr>
              <w:t>.</w:t>
            </w:r>
            <w:r w:rsidRPr="000A53B7">
              <w:rPr>
                <w:rFonts w:ascii="Barlow" w:hAnsi="Barlow" w:cs="Arial"/>
                <w:color w:val="000000"/>
                <w:sz w:val="18"/>
                <w:szCs w:val="18"/>
                <w:lang w:eastAsia="es-MX"/>
              </w:rPr>
              <w:t>00</w:t>
            </w:r>
          </w:p>
        </w:tc>
      </w:tr>
      <w:tr w:rsidR="00FE045F" w:rsidRPr="000A53B7" w14:paraId="69154423" w14:textId="77777777" w:rsidTr="005842AB">
        <w:trPr>
          <w:trHeight w:val="153"/>
          <w:jc w:val="center"/>
        </w:trPr>
        <w:tc>
          <w:tcPr>
            <w:tcW w:w="997" w:type="dxa"/>
            <w:shd w:val="clear" w:color="auto" w:fill="auto"/>
            <w:vAlign w:val="center"/>
            <w:hideMark/>
          </w:tcPr>
          <w:p w14:paraId="5FEF7378"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3168" w:type="dxa"/>
            <w:shd w:val="clear" w:color="auto" w:fill="auto"/>
            <w:vAlign w:val="center"/>
            <w:hideMark/>
          </w:tcPr>
          <w:p w14:paraId="002DAF9E"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Incremento por variación de inventarios</w:t>
            </w:r>
          </w:p>
        </w:tc>
        <w:tc>
          <w:tcPr>
            <w:tcW w:w="1449" w:type="dxa"/>
            <w:shd w:val="clear" w:color="auto" w:fill="auto"/>
            <w:vAlign w:val="center"/>
            <w:hideMark/>
          </w:tcPr>
          <w:p w14:paraId="73B6FEE3"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c>
          <w:tcPr>
            <w:tcW w:w="1414" w:type="dxa"/>
            <w:shd w:val="clear" w:color="auto" w:fill="auto"/>
            <w:vAlign w:val="center"/>
            <w:hideMark/>
          </w:tcPr>
          <w:p w14:paraId="4E5D3709" w14:textId="77777777" w:rsidR="008273DF" w:rsidRPr="000A53B7" w:rsidRDefault="008273DF" w:rsidP="002E6169">
            <w:pPr>
              <w:jc w:val="right"/>
              <w:rPr>
                <w:rFonts w:ascii="Barlow" w:hAnsi="Barlow" w:cs="Arial"/>
                <w:color w:val="000000"/>
                <w:sz w:val="18"/>
                <w:szCs w:val="18"/>
                <w:lang w:eastAsia="es-MX"/>
              </w:rPr>
            </w:pPr>
          </w:p>
        </w:tc>
      </w:tr>
      <w:tr w:rsidR="00FE045F" w:rsidRPr="000A53B7" w14:paraId="3A937550" w14:textId="77777777" w:rsidTr="005842AB">
        <w:trPr>
          <w:trHeight w:val="151"/>
          <w:jc w:val="center"/>
        </w:trPr>
        <w:tc>
          <w:tcPr>
            <w:tcW w:w="997" w:type="dxa"/>
            <w:shd w:val="clear" w:color="auto" w:fill="auto"/>
            <w:vAlign w:val="center"/>
            <w:hideMark/>
          </w:tcPr>
          <w:p w14:paraId="6FE3D3D2" w14:textId="42575F14" w:rsidR="008273DF" w:rsidRPr="000A53B7" w:rsidRDefault="008273DF" w:rsidP="00C4137E">
            <w:pPr>
              <w:jc w:val="both"/>
              <w:rPr>
                <w:rFonts w:ascii="Barlow" w:hAnsi="Barlow" w:cs="Arial"/>
                <w:color w:val="000000"/>
                <w:sz w:val="18"/>
                <w:szCs w:val="18"/>
                <w:lang w:eastAsia="es-MX"/>
              </w:rPr>
            </w:pPr>
          </w:p>
        </w:tc>
        <w:tc>
          <w:tcPr>
            <w:tcW w:w="3168" w:type="dxa"/>
            <w:shd w:val="clear" w:color="auto" w:fill="auto"/>
            <w:vAlign w:val="center"/>
            <w:hideMark/>
          </w:tcPr>
          <w:p w14:paraId="124208B7"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Disminución del exceso de provisiones</w:t>
            </w:r>
          </w:p>
        </w:tc>
        <w:tc>
          <w:tcPr>
            <w:tcW w:w="1449" w:type="dxa"/>
            <w:shd w:val="clear" w:color="auto" w:fill="auto"/>
            <w:vAlign w:val="center"/>
            <w:hideMark/>
          </w:tcPr>
          <w:p w14:paraId="0A551DD7"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c>
          <w:tcPr>
            <w:tcW w:w="1414" w:type="dxa"/>
            <w:shd w:val="clear" w:color="auto" w:fill="auto"/>
            <w:vAlign w:val="center"/>
            <w:hideMark/>
          </w:tcPr>
          <w:p w14:paraId="7E666DE9" w14:textId="77777777" w:rsidR="008273DF" w:rsidRPr="000A53B7" w:rsidRDefault="008273DF" w:rsidP="002E6169">
            <w:pPr>
              <w:jc w:val="right"/>
              <w:rPr>
                <w:rFonts w:ascii="Barlow" w:hAnsi="Barlow" w:cs="Arial"/>
                <w:color w:val="000000"/>
                <w:sz w:val="18"/>
                <w:szCs w:val="18"/>
                <w:lang w:eastAsia="es-MX"/>
              </w:rPr>
            </w:pPr>
          </w:p>
        </w:tc>
      </w:tr>
      <w:tr w:rsidR="00FE045F" w:rsidRPr="000A53B7" w14:paraId="4C60846B" w14:textId="77777777" w:rsidTr="005842AB">
        <w:trPr>
          <w:trHeight w:val="98"/>
          <w:jc w:val="center"/>
        </w:trPr>
        <w:tc>
          <w:tcPr>
            <w:tcW w:w="997" w:type="dxa"/>
            <w:shd w:val="clear" w:color="auto" w:fill="auto"/>
            <w:vAlign w:val="center"/>
            <w:hideMark/>
          </w:tcPr>
          <w:p w14:paraId="460846AB"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3168" w:type="dxa"/>
            <w:shd w:val="clear" w:color="auto" w:fill="auto"/>
            <w:vAlign w:val="center"/>
            <w:hideMark/>
          </w:tcPr>
          <w:p w14:paraId="468BE856"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Otros ingresos y beneficios varios</w:t>
            </w:r>
          </w:p>
        </w:tc>
        <w:tc>
          <w:tcPr>
            <w:tcW w:w="1449" w:type="dxa"/>
            <w:shd w:val="clear" w:color="auto" w:fill="auto"/>
            <w:vAlign w:val="center"/>
            <w:hideMark/>
          </w:tcPr>
          <w:p w14:paraId="005CF966" w14:textId="77777777" w:rsidR="008273DF" w:rsidRPr="000A53B7" w:rsidRDefault="004568A1"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w:t>
            </w:r>
            <w:r w:rsidR="008273DF" w:rsidRPr="000A53B7">
              <w:rPr>
                <w:rFonts w:ascii="Barlow" w:hAnsi="Barlow" w:cs="Arial"/>
                <w:color w:val="000000"/>
                <w:sz w:val="18"/>
                <w:szCs w:val="18"/>
                <w:lang w:eastAsia="es-MX"/>
              </w:rPr>
              <w:t>.</w:t>
            </w:r>
            <w:r w:rsidRPr="000A53B7">
              <w:rPr>
                <w:rFonts w:ascii="Barlow" w:hAnsi="Barlow" w:cs="Arial"/>
                <w:color w:val="000000"/>
                <w:sz w:val="18"/>
                <w:szCs w:val="18"/>
                <w:lang w:eastAsia="es-MX"/>
              </w:rPr>
              <w:t>00</w:t>
            </w:r>
          </w:p>
        </w:tc>
        <w:tc>
          <w:tcPr>
            <w:tcW w:w="1414" w:type="dxa"/>
            <w:shd w:val="clear" w:color="auto" w:fill="auto"/>
            <w:vAlign w:val="center"/>
            <w:hideMark/>
          </w:tcPr>
          <w:p w14:paraId="09D85C7B" w14:textId="77777777" w:rsidR="008273DF" w:rsidRPr="000A53B7" w:rsidRDefault="008273DF" w:rsidP="002E6169">
            <w:pPr>
              <w:jc w:val="right"/>
              <w:rPr>
                <w:rFonts w:ascii="Barlow" w:hAnsi="Barlow" w:cs="Arial"/>
                <w:color w:val="000000"/>
                <w:sz w:val="18"/>
                <w:szCs w:val="18"/>
                <w:lang w:eastAsia="es-MX"/>
              </w:rPr>
            </w:pPr>
          </w:p>
        </w:tc>
      </w:tr>
      <w:tr w:rsidR="008273DF" w:rsidRPr="000A53B7" w14:paraId="27C5B48D" w14:textId="77777777" w:rsidTr="005842AB">
        <w:trPr>
          <w:trHeight w:val="257"/>
          <w:jc w:val="center"/>
        </w:trPr>
        <w:tc>
          <w:tcPr>
            <w:tcW w:w="4165" w:type="dxa"/>
            <w:gridSpan w:val="2"/>
            <w:shd w:val="clear" w:color="auto" w:fill="auto"/>
            <w:vAlign w:val="center"/>
            <w:hideMark/>
          </w:tcPr>
          <w:p w14:paraId="2DC4EBC2"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Otros ingresos contables no presupuestarios</w:t>
            </w:r>
          </w:p>
        </w:tc>
        <w:tc>
          <w:tcPr>
            <w:tcW w:w="1449" w:type="dxa"/>
            <w:shd w:val="clear" w:color="auto" w:fill="auto"/>
            <w:vAlign w:val="center"/>
            <w:hideMark/>
          </w:tcPr>
          <w:p w14:paraId="7695356F"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c>
          <w:tcPr>
            <w:tcW w:w="1414" w:type="dxa"/>
            <w:shd w:val="clear" w:color="auto" w:fill="auto"/>
            <w:vAlign w:val="center"/>
            <w:hideMark/>
          </w:tcPr>
          <w:p w14:paraId="552FD9DC" w14:textId="77777777" w:rsidR="008273DF" w:rsidRPr="000A53B7" w:rsidRDefault="008273DF" w:rsidP="002E6169">
            <w:pPr>
              <w:jc w:val="right"/>
              <w:rPr>
                <w:rFonts w:ascii="Barlow" w:hAnsi="Barlow" w:cs="Arial"/>
                <w:color w:val="000000"/>
                <w:sz w:val="18"/>
                <w:szCs w:val="18"/>
                <w:lang w:eastAsia="es-MX"/>
              </w:rPr>
            </w:pPr>
          </w:p>
        </w:tc>
      </w:tr>
      <w:tr w:rsidR="008273DF" w:rsidRPr="000A53B7" w14:paraId="6444B4CA" w14:textId="77777777" w:rsidTr="005842AB">
        <w:trPr>
          <w:trHeight w:val="149"/>
          <w:jc w:val="center"/>
        </w:trPr>
        <w:tc>
          <w:tcPr>
            <w:tcW w:w="4165" w:type="dxa"/>
            <w:gridSpan w:val="2"/>
            <w:shd w:val="clear" w:color="auto" w:fill="auto"/>
            <w:vAlign w:val="center"/>
            <w:hideMark/>
          </w:tcPr>
          <w:p w14:paraId="66AC40B7" w14:textId="77777777" w:rsidR="008273DF" w:rsidRPr="000A53B7" w:rsidRDefault="008273DF" w:rsidP="00C4137E">
            <w:pPr>
              <w:jc w:val="both"/>
              <w:rPr>
                <w:rFonts w:ascii="Barlow" w:hAnsi="Barlow" w:cs="Arial"/>
                <w:b/>
                <w:bCs/>
                <w:color w:val="000000"/>
                <w:sz w:val="18"/>
                <w:szCs w:val="18"/>
                <w:lang w:eastAsia="es-MX"/>
              </w:rPr>
            </w:pPr>
            <w:r w:rsidRPr="000A53B7">
              <w:rPr>
                <w:rFonts w:ascii="Barlow" w:hAnsi="Barlow" w:cs="Arial"/>
                <w:b/>
                <w:bCs/>
                <w:color w:val="000000"/>
                <w:sz w:val="18"/>
                <w:szCs w:val="18"/>
                <w:lang w:eastAsia="es-MX"/>
              </w:rPr>
              <w:t>3. Menos ingresos presupuestarios no contables</w:t>
            </w:r>
          </w:p>
        </w:tc>
        <w:tc>
          <w:tcPr>
            <w:tcW w:w="1449" w:type="dxa"/>
            <w:shd w:val="clear" w:color="auto" w:fill="auto"/>
            <w:vAlign w:val="center"/>
            <w:hideMark/>
          </w:tcPr>
          <w:p w14:paraId="793B8EDC"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1414" w:type="dxa"/>
            <w:shd w:val="clear" w:color="auto" w:fill="auto"/>
            <w:vAlign w:val="center"/>
            <w:hideMark/>
          </w:tcPr>
          <w:p w14:paraId="7CE47AB7"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r>
      <w:tr w:rsidR="00FE045F" w:rsidRPr="000A53B7" w14:paraId="68E158BC" w14:textId="77777777" w:rsidTr="005842AB">
        <w:trPr>
          <w:trHeight w:val="239"/>
          <w:jc w:val="center"/>
        </w:trPr>
        <w:tc>
          <w:tcPr>
            <w:tcW w:w="997" w:type="dxa"/>
            <w:shd w:val="clear" w:color="auto" w:fill="auto"/>
            <w:vAlign w:val="center"/>
            <w:hideMark/>
          </w:tcPr>
          <w:p w14:paraId="3AD8A265"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3168" w:type="dxa"/>
            <w:shd w:val="clear" w:color="auto" w:fill="auto"/>
            <w:vAlign w:val="center"/>
            <w:hideMark/>
          </w:tcPr>
          <w:p w14:paraId="23DABD95"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Productos de capital</w:t>
            </w:r>
          </w:p>
        </w:tc>
        <w:tc>
          <w:tcPr>
            <w:tcW w:w="1449" w:type="dxa"/>
            <w:shd w:val="clear" w:color="auto" w:fill="auto"/>
            <w:vAlign w:val="center"/>
            <w:hideMark/>
          </w:tcPr>
          <w:p w14:paraId="19A7BC25"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c>
          <w:tcPr>
            <w:tcW w:w="1414" w:type="dxa"/>
            <w:shd w:val="clear" w:color="auto" w:fill="auto"/>
            <w:vAlign w:val="center"/>
            <w:hideMark/>
          </w:tcPr>
          <w:p w14:paraId="52E9A810" w14:textId="77777777" w:rsidR="008273DF" w:rsidRPr="000A53B7" w:rsidRDefault="008273DF" w:rsidP="002E6169">
            <w:pPr>
              <w:jc w:val="right"/>
              <w:rPr>
                <w:rFonts w:ascii="Barlow" w:hAnsi="Barlow" w:cs="Arial"/>
                <w:color w:val="000000"/>
                <w:sz w:val="18"/>
                <w:szCs w:val="18"/>
                <w:lang w:eastAsia="es-MX"/>
              </w:rPr>
            </w:pPr>
          </w:p>
        </w:tc>
      </w:tr>
      <w:tr w:rsidR="00FE045F" w:rsidRPr="000A53B7" w14:paraId="7C1F8546" w14:textId="77777777" w:rsidTr="005842AB">
        <w:trPr>
          <w:trHeight w:val="257"/>
          <w:jc w:val="center"/>
        </w:trPr>
        <w:tc>
          <w:tcPr>
            <w:tcW w:w="997" w:type="dxa"/>
            <w:shd w:val="clear" w:color="auto" w:fill="auto"/>
            <w:vAlign w:val="center"/>
            <w:hideMark/>
          </w:tcPr>
          <w:p w14:paraId="281605DB"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3168" w:type="dxa"/>
            <w:shd w:val="clear" w:color="auto" w:fill="auto"/>
            <w:vAlign w:val="center"/>
            <w:hideMark/>
          </w:tcPr>
          <w:p w14:paraId="6FEB6910"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Aprovechamientos capital</w:t>
            </w:r>
          </w:p>
        </w:tc>
        <w:tc>
          <w:tcPr>
            <w:tcW w:w="1449" w:type="dxa"/>
            <w:shd w:val="clear" w:color="auto" w:fill="auto"/>
            <w:vAlign w:val="center"/>
            <w:hideMark/>
          </w:tcPr>
          <w:p w14:paraId="352A8818"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c>
          <w:tcPr>
            <w:tcW w:w="1414" w:type="dxa"/>
            <w:shd w:val="clear" w:color="auto" w:fill="auto"/>
            <w:vAlign w:val="center"/>
            <w:hideMark/>
          </w:tcPr>
          <w:p w14:paraId="3BB3CF2B" w14:textId="77777777" w:rsidR="008273DF" w:rsidRPr="000A53B7" w:rsidRDefault="008273DF" w:rsidP="002E6169">
            <w:pPr>
              <w:jc w:val="right"/>
              <w:rPr>
                <w:rFonts w:ascii="Barlow" w:hAnsi="Barlow" w:cs="Arial"/>
                <w:color w:val="000000"/>
                <w:sz w:val="18"/>
                <w:szCs w:val="18"/>
                <w:lang w:eastAsia="es-MX"/>
              </w:rPr>
            </w:pPr>
          </w:p>
        </w:tc>
      </w:tr>
      <w:tr w:rsidR="00FE045F" w:rsidRPr="000A53B7" w14:paraId="113CC8F0" w14:textId="77777777" w:rsidTr="005842AB">
        <w:trPr>
          <w:trHeight w:val="261"/>
          <w:jc w:val="center"/>
        </w:trPr>
        <w:tc>
          <w:tcPr>
            <w:tcW w:w="997" w:type="dxa"/>
            <w:shd w:val="clear" w:color="auto" w:fill="auto"/>
            <w:vAlign w:val="center"/>
            <w:hideMark/>
          </w:tcPr>
          <w:p w14:paraId="6048DAC5"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3168" w:type="dxa"/>
            <w:shd w:val="clear" w:color="auto" w:fill="auto"/>
            <w:vAlign w:val="center"/>
            <w:hideMark/>
          </w:tcPr>
          <w:p w14:paraId="65FD99A5"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Ingresos derivados de financiamientos</w:t>
            </w:r>
          </w:p>
        </w:tc>
        <w:tc>
          <w:tcPr>
            <w:tcW w:w="1449" w:type="dxa"/>
            <w:shd w:val="clear" w:color="auto" w:fill="auto"/>
            <w:vAlign w:val="center"/>
            <w:hideMark/>
          </w:tcPr>
          <w:p w14:paraId="4CFC463A"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c>
          <w:tcPr>
            <w:tcW w:w="1414" w:type="dxa"/>
            <w:shd w:val="clear" w:color="auto" w:fill="auto"/>
            <w:vAlign w:val="center"/>
            <w:hideMark/>
          </w:tcPr>
          <w:p w14:paraId="051EFF82" w14:textId="77777777" w:rsidR="008273DF" w:rsidRPr="000A53B7" w:rsidRDefault="008273DF" w:rsidP="002E6169">
            <w:pPr>
              <w:jc w:val="right"/>
              <w:rPr>
                <w:rFonts w:ascii="Barlow" w:hAnsi="Barlow" w:cs="Arial"/>
                <w:color w:val="000000"/>
                <w:sz w:val="18"/>
                <w:szCs w:val="18"/>
                <w:lang w:eastAsia="es-MX"/>
              </w:rPr>
            </w:pPr>
          </w:p>
        </w:tc>
      </w:tr>
      <w:tr w:rsidR="008273DF" w:rsidRPr="000A53B7" w14:paraId="1458807B" w14:textId="77777777" w:rsidTr="005842AB">
        <w:trPr>
          <w:trHeight w:val="123"/>
          <w:jc w:val="center"/>
        </w:trPr>
        <w:tc>
          <w:tcPr>
            <w:tcW w:w="4165" w:type="dxa"/>
            <w:gridSpan w:val="2"/>
            <w:shd w:val="clear" w:color="auto" w:fill="auto"/>
            <w:vAlign w:val="center"/>
            <w:hideMark/>
          </w:tcPr>
          <w:p w14:paraId="63F56731"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Otros Ingresos presupuestarios no contables</w:t>
            </w:r>
          </w:p>
        </w:tc>
        <w:tc>
          <w:tcPr>
            <w:tcW w:w="1449" w:type="dxa"/>
            <w:shd w:val="clear" w:color="auto" w:fill="auto"/>
            <w:vAlign w:val="center"/>
            <w:hideMark/>
          </w:tcPr>
          <w:p w14:paraId="5884B1FE" w14:textId="77777777" w:rsidR="008273DF" w:rsidRPr="000A53B7" w:rsidRDefault="008273DF" w:rsidP="002E6169">
            <w:pPr>
              <w:jc w:val="right"/>
              <w:rPr>
                <w:rFonts w:ascii="Barlow" w:hAnsi="Barlow" w:cs="Arial"/>
                <w:color w:val="000000"/>
                <w:sz w:val="18"/>
                <w:szCs w:val="18"/>
                <w:lang w:eastAsia="es-MX"/>
              </w:rPr>
            </w:pPr>
            <w:r w:rsidRPr="000A53B7">
              <w:rPr>
                <w:rFonts w:ascii="Barlow" w:hAnsi="Barlow" w:cs="Arial"/>
                <w:color w:val="000000"/>
                <w:sz w:val="18"/>
                <w:szCs w:val="18"/>
                <w:lang w:eastAsia="es-MX"/>
              </w:rPr>
              <w:t>0.00</w:t>
            </w:r>
          </w:p>
        </w:tc>
        <w:tc>
          <w:tcPr>
            <w:tcW w:w="1414" w:type="dxa"/>
            <w:shd w:val="clear" w:color="auto" w:fill="auto"/>
            <w:vAlign w:val="center"/>
            <w:hideMark/>
          </w:tcPr>
          <w:p w14:paraId="75AD4C64" w14:textId="77777777" w:rsidR="008273DF" w:rsidRPr="000A53B7" w:rsidRDefault="008273DF" w:rsidP="002E6169">
            <w:pPr>
              <w:jc w:val="right"/>
              <w:rPr>
                <w:rFonts w:ascii="Barlow" w:hAnsi="Barlow" w:cs="Arial"/>
                <w:color w:val="000000"/>
                <w:sz w:val="18"/>
                <w:szCs w:val="18"/>
                <w:lang w:eastAsia="es-MX"/>
              </w:rPr>
            </w:pPr>
          </w:p>
        </w:tc>
      </w:tr>
      <w:tr w:rsidR="00FE045F" w:rsidRPr="00991EFD" w14:paraId="2DF220B0" w14:textId="77777777" w:rsidTr="005842AB">
        <w:trPr>
          <w:trHeight w:val="52"/>
          <w:jc w:val="center"/>
        </w:trPr>
        <w:tc>
          <w:tcPr>
            <w:tcW w:w="4165" w:type="dxa"/>
            <w:gridSpan w:val="2"/>
            <w:shd w:val="clear" w:color="000000" w:fill="C0C0C0"/>
            <w:vAlign w:val="center"/>
            <w:hideMark/>
          </w:tcPr>
          <w:p w14:paraId="2245B4BE" w14:textId="77777777" w:rsidR="008273DF" w:rsidRPr="000A53B7" w:rsidRDefault="008273DF" w:rsidP="00C4137E">
            <w:pPr>
              <w:jc w:val="both"/>
              <w:rPr>
                <w:rFonts w:ascii="Barlow" w:hAnsi="Barlow" w:cs="Arial"/>
                <w:b/>
                <w:bCs/>
                <w:color w:val="000000"/>
                <w:sz w:val="18"/>
                <w:szCs w:val="18"/>
                <w:lang w:eastAsia="es-MX"/>
              </w:rPr>
            </w:pPr>
            <w:r w:rsidRPr="000A53B7">
              <w:rPr>
                <w:rFonts w:ascii="Barlow" w:hAnsi="Barlow" w:cs="Arial"/>
                <w:b/>
                <w:bCs/>
                <w:color w:val="000000"/>
                <w:sz w:val="18"/>
                <w:szCs w:val="18"/>
                <w:lang w:eastAsia="es-MX"/>
              </w:rPr>
              <w:t>4. Ingresos Contables (4 = 1 + 2 - 3)</w:t>
            </w:r>
          </w:p>
        </w:tc>
        <w:tc>
          <w:tcPr>
            <w:tcW w:w="1449" w:type="dxa"/>
            <w:shd w:val="clear" w:color="auto" w:fill="auto"/>
            <w:vAlign w:val="center"/>
            <w:hideMark/>
          </w:tcPr>
          <w:p w14:paraId="6733B07E" w14:textId="77777777" w:rsidR="008273DF" w:rsidRPr="000A53B7" w:rsidRDefault="008273DF" w:rsidP="00C4137E">
            <w:pPr>
              <w:jc w:val="both"/>
              <w:rPr>
                <w:rFonts w:ascii="Barlow" w:hAnsi="Barlow" w:cs="Arial"/>
                <w:color w:val="000000"/>
                <w:sz w:val="18"/>
                <w:szCs w:val="18"/>
                <w:lang w:eastAsia="es-MX"/>
              </w:rPr>
            </w:pPr>
            <w:r w:rsidRPr="000A53B7">
              <w:rPr>
                <w:rFonts w:ascii="Barlow" w:hAnsi="Barlow" w:cs="Arial"/>
                <w:color w:val="000000"/>
                <w:sz w:val="18"/>
                <w:szCs w:val="18"/>
                <w:lang w:eastAsia="es-MX"/>
              </w:rPr>
              <w:t> </w:t>
            </w:r>
          </w:p>
        </w:tc>
        <w:tc>
          <w:tcPr>
            <w:tcW w:w="1414" w:type="dxa"/>
            <w:shd w:val="clear" w:color="000000" w:fill="C0C0C0"/>
            <w:vAlign w:val="center"/>
            <w:hideMark/>
          </w:tcPr>
          <w:p w14:paraId="4506B8F3" w14:textId="497D2EFF" w:rsidR="008273DF" w:rsidRPr="000A53B7" w:rsidRDefault="004568A1" w:rsidP="005F5D0B">
            <w:pPr>
              <w:ind w:right="-140"/>
              <w:jc w:val="both"/>
              <w:rPr>
                <w:rFonts w:ascii="Barlow" w:hAnsi="Barlow" w:cs="Arial"/>
                <w:b/>
                <w:bCs/>
                <w:color w:val="000000"/>
                <w:sz w:val="18"/>
                <w:szCs w:val="18"/>
                <w:lang w:eastAsia="es-MX"/>
              </w:rPr>
            </w:pPr>
            <w:r w:rsidRPr="000A53B7">
              <w:rPr>
                <w:rFonts w:ascii="Barlow" w:hAnsi="Barlow" w:cs="Arial"/>
                <w:b/>
                <w:bCs/>
                <w:color w:val="000000"/>
                <w:sz w:val="18"/>
                <w:szCs w:val="18"/>
                <w:lang w:eastAsia="es-MX"/>
              </w:rPr>
              <w:t xml:space="preserve">      </w:t>
            </w:r>
            <w:r w:rsidR="00991EFD">
              <w:rPr>
                <w:rFonts w:ascii="Barlow" w:hAnsi="Barlow" w:cs="Arial"/>
                <w:b/>
                <w:bCs/>
                <w:color w:val="000000"/>
                <w:sz w:val="18"/>
                <w:szCs w:val="18"/>
                <w:lang w:eastAsia="es-MX"/>
              </w:rPr>
              <w:t xml:space="preserve">    </w:t>
            </w:r>
            <w:r w:rsidRPr="000A53B7">
              <w:rPr>
                <w:rFonts w:ascii="Barlow" w:hAnsi="Barlow" w:cs="Arial"/>
                <w:b/>
                <w:bCs/>
                <w:color w:val="000000"/>
                <w:sz w:val="18"/>
                <w:szCs w:val="18"/>
                <w:lang w:eastAsia="es-MX"/>
              </w:rPr>
              <w:t xml:space="preserve">  </w:t>
            </w:r>
            <w:r w:rsidR="005842AB">
              <w:rPr>
                <w:rFonts w:ascii="Barlow" w:hAnsi="Barlow" w:cs="Arial"/>
                <w:b/>
                <w:bCs/>
                <w:color w:val="000000"/>
                <w:sz w:val="18"/>
                <w:szCs w:val="18"/>
                <w:lang w:eastAsia="es-MX"/>
              </w:rPr>
              <w:t>1</w:t>
            </w:r>
            <w:r w:rsidR="005F5D0B">
              <w:rPr>
                <w:rFonts w:ascii="Barlow" w:hAnsi="Barlow" w:cs="Arial"/>
                <w:b/>
                <w:bCs/>
                <w:color w:val="000000"/>
                <w:sz w:val="18"/>
                <w:szCs w:val="18"/>
                <w:lang w:eastAsia="es-MX"/>
              </w:rPr>
              <w:t>69</w:t>
            </w:r>
            <w:r w:rsidR="001320CB">
              <w:rPr>
                <w:rFonts w:ascii="Barlow" w:hAnsi="Barlow" w:cs="Arial"/>
                <w:b/>
                <w:bCs/>
                <w:color w:val="000000"/>
                <w:sz w:val="18"/>
                <w:szCs w:val="18"/>
                <w:lang w:eastAsia="es-MX"/>
              </w:rPr>
              <w:t>,</w:t>
            </w:r>
            <w:r w:rsidR="005842AB">
              <w:rPr>
                <w:rFonts w:ascii="Barlow" w:hAnsi="Barlow" w:cs="Arial"/>
                <w:b/>
                <w:bCs/>
                <w:color w:val="000000"/>
                <w:sz w:val="18"/>
                <w:szCs w:val="18"/>
                <w:lang w:eastAsia="es-MX"/>
              </w:rPr>
              <w:t>8</w:t>
            </w:r>
            <w:r w:rsidR="005F5D0B">
              <w:rPr>
                <w:rFonts w:ascii="Barlow" w:hAnsi="Barlow" w:cs="Arial"/>
                <w:b/>
                <w:bCs/>
                <w:color w:val="000000"/>
                <w:sz w:val="18"/>
                <w:szCs w:val="18"/>
                <w:lang w:eastAsia="es-MX"/>
              </w:rPr>
              <w:t>70</w:t>
            </w:r>
            <w:r w:rsidR="005842AB">
              <w:rPr>
                <w:rFonts w:ascii="Barlow" w:hAnsi="Barlow" w:cs="Arial"/>
                <w:b/>
                <w:bCs/>
                <w:color w:val="000000"/>
                <w:sz w:val="18"/>
                <w:szCs w:val="18"/>
                <w:lang w:eastAsia="es-MX"/>
              </w:rPr>
              <w:t>.</w:t>
            </w:r>
            <w:r w:rsidR="005F5D0B">
              <w:rPr>
                <w:rFonts w:ascii="Barlow" w:hAnsi="Barlow" w:cs="Arial"/>
                <w:b/>
                <w:bCs/>
                <w:color w:val="000000"/>
                <w:sz w:val="18"/>
                <w:szCs w:val="18"/>
                <w:lang w:eastAsia="es-MX"/>
              </w:rPr>
              <w:t>89</w:t>
            </w:r>
          </w:p>
        </w:tc>
      </w:tr>
    </w:tbl>
    <w:p w14:paraId="3CDCD4AF" w14:textId="77777777" w:rsidR="008273DF" w:rsidRPr="008B620B" w:rsidRDefault="008273DF" w:rsidP="00C4137E">
      <w:pPr>
        <w:autoSpaceDE w:val="0"/>
        <w:autoSpaceDN w:val="0"/>
        <w:adjustRightInd w:val="0"/>
        <w:spacing w:line="360" w:lineRule="auto"/>
        <w:ind w:left="708"/>
        <w:jc w:val="both"/>
        <w:rPr>
          <w:rFonts w:ascii="Barlow" w:hAnsi="Barlow" w:cs="Arial"/>
          <w:bCs/>
          <w:sz w:val="8"/>
          <w:szCs w:val="20"/>
        </w:rPr>
      </w:pPr>
    </w:p>
    <w:p w14:paraId="7ED801C1" w14:textId="77777777" w:rsidR="00DA1E17" w:rsidRDefault="00DA1E17" w:rsidP="00C4137E">
      <w:pPr>
        <w:autoSpaceDE w:val="0"/>
        <w:autoSpaceDN w:val="0"/>
        <w:adjustRightInd w:val="0"/>
        <w:spacing w:line="360" w:lineRule="auto"/>
        <w:ind w:left="708"/>
        <w:jc w:val="both"/>
        <w:rPr>
          <w:rFonts w:ascii="Barlow" w:hAnsi="Barlow" w:cs="Arial"/>
          <w:bCs/>
          <w:sz w:val="20"/>
          <w:szCs w:val="20"/>
        </w:rPr>
      </w:pPr>
    </w:p>
    <w:p w14:paraId="3FC8548E" w14:textId="0038BBB3" w:rsidR="008273DF" w:rsidRDefault="008273DF" w:rsidP="00C4137E">
      <w:pPr>
        <w:autoSpaceDE w:val="0"/>
        <w:autoSpaceDN w:val="0"/>
        <w:adjustRightInd w:val="0"/>
        <w:spacing w:line="360" w:lineRule="auto"/>
        <w:ind w:left="708"/>
        <w:jc w:val="both"/>
        <w:rPr>
          <w:rFonts w:ascii="Barlow" w:hAnsi="Barlow" w:cs="Arial"/>
          <w:sz w:val="20"/>
          <w:szCs w:val="20"/>
        </w:rPr>
      </w:pPr>
      <w:r w:rsidRPr="00410493">
        <w:rPr>
          <w:rFonts w:ascii="Barlow" w:hAnsi="Barlow" w:cs="Arial"/>
          <w:bCs/>
          <w:sz w:val="20"/>
          <w:szCs w:val="20"/>
        </w:rPr>
        <w:t>B. Conciliación de Egresos presupuestarios y gastos contables del 1</w:t>
      </w:r>
      <w:r w:rsidR="003C1D54">
        <w:rPr>
          <w:rFonts w:ascii="Barlow" w:hAnsi="Barlow" w:cs="Arial"/>
          <w:bCs/>
          <w:sz w:val="20"/>
          <w:szCs w:val="20"/>
        </w:rPr>
        <w:t xml:space="preserve"> </w:t>
      </w:r>
      <w:r w:rsidR="009B69E8">
        <w:rPr>
          <w:rFonts w:ascii="Barlow" w:hAnsi="Barlow" w:cs="Arial"/>
          <w:bCs/>
          <w:sz w:val="20"/>
          <w:szCs w:val="20"/>
        </w:rPr>
        <w:t>d</w:t>
      </w:r>
      <w:r w:rsidRPr="00410493">
        <w:rPr>
          <w:rFonts w:ascii="Barlow" w:hAnsi="Barlow" w:cs="Arial"/>
          <w:bCs/>
          <w:sz w:val="20"/>
          <w:szCs w:val="20"/>
        </w:rPr>
        <w:t xml:space="preserve">e </w:t>
      </w:r>
      <w:r w:rsidR="00FB4A74">
        <w:rPr>
          <w:rFonts w:ascii="Barlow" w:hAnsi="Barlow" w:cs="Arial"/>
          <w:bCs/>
          <w:sz w:val="20"/>
          <w:szCs w:val="20"/>
        </w:rPr>
        <w:t>e</w:t>
      </w:r>
      <w:r w:rsidRPr="00410493">
        <w:rPr>
          <w:rFonts w:ascii="Barlow" w:hAnsi="Barlow" w:cs="Arial"/>
          <w:bCs/>
          <w:sz w:val="20"/>
          <w:szCs w:val="20"/>
        </w:rPr>
        <w:t>nero</w:t>
      </w:r>
      <w:r w:rsidR="009B69E8">
        <w:rPr>
          <w:rFonts w:ascii="Barlow" w:hAnsi="Barlow" w:cs="Arial"/>
          <w:bCs/>
          <w:sz w:val="20"/>
          <w:szCs w:val="20"/>
        </w:rPr>
        <w:t xml:space="preserve"> </w:t>
      </w:r>
      <w:r w:rsidR="00AD26E5">
        <w:rPr>
          <w:rFonts w:ascii="Barlow" w:hAnsi="Barlow" w:cs="Arial"/>
          <w:bCs/>
          <w:sz w:val="20"/>
          <w:szCs w:val="20"/>
        </w:rPr>
        <w:t>31</w:t>
      </w:r>
      <w:r w:rsidR="009B69E8" w:rsidRPr="00852D69">
        <w:rPr>
          <w:rFonts w:ascii="Barlow" w:hAnsi="Barlow" w:cs="Arial"/>
          <w:sz w:val="20"/>
          <w:szCs w:val="20"/>
        </w:rPr>
        <w:t xml:space="preserve"> de </w:t>
      </w:r>
      <w:r w:rsidR="00AD26E5">
        <w:rPr>
          <w:rFonts w:ascii="Barlow" w:hAnsi="Barlow" w:cs="Arial"/>
          <w:sz w:val="20"/>
          <w:szCs w:val="20"/>
        </w:rPr>
        <w:t>ma</w:t>
      </w:r>
      <w:r w:rsidR="009B69E8">
        <w:rPr>
          <w:rFonts w:ascii="Barlow" w:hAnsi="Barlow" w:cs="Arial"/>
          <w:sz w:val="20"/>
          <w:szCs w:val="20"/>
        </w:rPr>
        <w:t>r</w:t>
      </w:r>
      <w:r w:rsidR="00AD26E5">
        <w:rPr>
          <w:rFonts w:ascii="Barlow" w:hAnsi="Barlow" w:cs="Arial"/>
          <w:sz w:val="20"/>
          <w:szCs w:val="20"/>
        </w:rPr>
        <w:t>z</w:t>
      </w:r>
      <w:r w:rsidR="009B69E8">
        <w:rPr>
          <w:rFonts w:ascii="Barlow" w:hAnsi="Barlow" w:cs="Arial"/>
          <w:sz w:val="20"/>
          <w:szCs w:val="20"/>
        </w:rPr>
        <w:t>o</w:t>
      </w:r>
      <w:r w:rsidRPr="00410493">
        <w:rPr>
          <w:rFonts w:ascii="Barlow" w:hAnsi="Barlow" w:cs="Arial"/>
          <w:bCs/>
          <w:sz w:val="20"/>
          <w:szCs w:val="20"/>
        </w:rPr>
        <w:t xml:space="preserve"> </w:t>
      </w:r>
      <w:r w:rsidR="00852D69" w:rsidRPr="00852D69">
        <w:rPr>
          <w:rFonts w:ascii="Barlow" w:hAnsi="Barlow" w:cs="Arial"/>
          <w:sz w:val="20"/>
          <w:szCs w:val="20"/>
        </w:rPr>
        <w:t>de 202</w:t>
      </w:r>
      <w:r w:rsidR="003C1D54">
        <w:rPr>
          <w:rFonts w:ascii="Barlow" w:hAnsi="Barlow" w:cs="Arial"/>
          <w:sz w:val="20"/>
          <w:szCs w:val="20"/>
        </w:rPr>
        <w:t>1</w:t>
      </w:r>
    </w:p>
    <w:p w14:paraId="7742D2C3" w14:textId="77777777" w:rsidR="005842AB" w:rsidRPr="005842AB" w:rsidRDefault="005842AB" w:rsidP="00C4137E">
      <w:pPr>
        <w:autoSpaceDE w:val="0"/>
        <w:autoSpaceDN w:val="0"/>
        <w:adjustRightInd w:val="0"/>
        <w:spacing w:line="360" w:lineRule="auto"/>
        <w:ind w:left="708"/>
        <w:jc w:val="both"/>
        <w:rPr>
          <w:rFonts w:ascii="Barlow" w:hAnsi="Barlow" w:cs="Arial"/>
          <w:sz w:val="8"/>
          <w:szCs w:val="20"/>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780"/>
        <w:gridCol w:w="1400"/>
        <w:gridCol w:w="1540"/>
      </w:tblGrid>
      <w:tr w:rsidR="00B76817" w:rsidRPr="00410493" w14:paraId="18824262" w14:textId="77777777" w:rsidTr="00E02187">
        <w:trPr>
          <w:trHeight w:val="211"/>
          <w:jc w:val="center"/>
        </w:trPr>
        <w:tc>
          <w:tcPr>
            <w:tcW w:w="5980" w:type="dxa"/>
            <w:gridSpan w:val="2"/>
            <w:shd w:val="clear" w:color="000000" w:fill="C0C0C0"/>
            <w:vAlign w:val="center"/>
            <w:hideMark/>
          </w:tcPr>
          <w:p w14:paraId="0360A6C7" w14:textId="77777777" w:rsidR="00B76817" w:rsidRPr="00410493" w:rsidRDefault="00B76817" w:rsidP="00B76817">
            <w:pPr>
              <w:jc w:val="both"/>
              <w:rPr>
                <w:rFonts w:ascii="Barlow" w:hAnsi="Barlow" w:cs="Arial"/>
                <w:b/>
                <w:bCs/>
                <w:color w:val="000000"/>
                <w:sz w:val="18"/>
                <w:szCs w:val="18"/>
                <w:lang w:eastAsia="es-MX"/>
              </w:rPr>
            </w:pPr>
            <w:bookmarkStart w:id="11" w:name="m25"/>
            <w:bookmarkEnd w:id="11"/>
            <w:r w:rsidRPr="00410493">
              <w:rPr>
                <w:rFonts w:ascii="Barlow" w:hAnsi="Barlow" w:cs="Arial"/>
                <w:b/>
                <w:bCs/>
                <w:color w:val="000000"/>
                <w:sz w:val="18"/>
                <w:szCs w:val="18"/>
                <w:lang w:eastAsia="es-MX"/>
              </w:rPr>
              <w:t>1. Total de egresos (presupuestarios)</w:t>
            </w:r>
          </w:p>
        </w:tc>
        <w:tc>
          <w:tcPr>
            <w:tcW w:w="1400" w:type="dxa"/>
            <w:shd w:val="clear" w:color="auto" w:fill="auto"/>
            <w:vAlign w:val="center"/>
            <w:hideMark/>
          </w:tcPr>
          <w:p w14:paraId="2DEAD5F1"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540" w:type="dxa"/>
            <w:shd w:val="clear" w:color="000000" w:fill="C0C0C0"/>
            <w:vAlign w:val="center"/>
            <w:hideMark/>
          </w:tcPr>
          <w:p w14:paraId="251E5A7D" w14:textId="6EF39E5E" w:rsidR="00B76817" w:rsidRPr="00410493" w:rsidRDefault="006036B8" w:rsidP="006036B8">
            <w:pPr>
              <w:jc w:val="right"/>
              <w:rPr>
                <w:rFonts w:ascii="Barlow" w:hAnsi="Barlow" w:cs="Arial"/>
                <w:b/>
                <w:bCs/>
                <w:color w:val="000000"/>
                <w:sz w:val="18"/>
                <w:szCs w:val="18"/>
                <w:lang w:eastAsia="es-MX"/>
              </w:rPr>
            </w:pPr>
            <w:r>
              <w:rPr>
                <w:rFonts w:ascii="Barlow" w:hAnsi="Barlow" w:cs="Arial"/>
                <w:b/>
                <w:bCs/>
                <w:color w:val="000000"/>
                <w:sz w:val="18"/>
                <w:szCs w:val="18"/>
                <w:lang w:eastAsia="es-MX"/>
              </w:rPr>
              <w:t>0</w:t>
            </w:r>
            <w:r w:rsidR="00B76817" w:rsidRPr="00410493">
              <w:rPr>
                <w:rFonts w:ascii="Barlow" w:hAnsi="Barlow" w:cs="Arial"/>
                <w:b/>
                <w:bCs/>
                <w:color w:val="000000"/>
                <w:sz w:val="18"/>
                <w:szCs w:val="18"/>
                <w:lang w:eastAsia="es-MX"/>
              </w:rPr>
              <w:t>.</w:t>
            </w:r>
            <w:r>
              <w:rPr>
                <w:rFonts w:ascii="Barlow" w:hAnsi="Barlow" w:cs="Arial"/>
                <w:b/>
                <w:bCs/>
                <w:color w:val="000000"/>
                <w:sz w:val="18"/>
                <w:szCs w:val="18"/>
                <w:lang w:eastAsia="es-MX"/>
              </w:rPr>
              <w:t>00</w:t>
            </w:r>
          </w:p>
        </w:tc>
      </w:tr>
      <w:tr w:rsidR="00B76817" w:rsidRPr="00410493" w14:paraId="66848AF6" w14:textId="77777777" w:rsidTr="00E02187">
        <w:trPr>
          <w:trHeight w:val="257"/>
          <w:jc w:val="center"/>
        </w:trPr>
        <w:tc>
          <w:tcPr>
            <w:tcW w:w="5980" w:type="dxa"/>
            <w:gridSpan w:val="2"/>
            <w:shd w:val="clear" w:color="auto" w:fill="auto"/>
            <w:vAlign w:val="center"/>
            <w:hideMark/>
          </w:tcPr>
          <w:p w14:paraId="58395C54" w14:textId="77777777" w:rsidR="00B76817" w:rsidRPr="00410493" w:rsidRDefault="00B76817" w:rsidP="00B7681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2. Menos egresos presupuestarios no contables</w:t>
            </w:r>
          </w:p>
        </w:tc>
        <w:tc>
          <w:tcPr>
            <w:tcW w:w="1400" w:type="dxa"/>
            <w:shd w:val="clear" w:color="auto" w:fill="auto"/>
            <w:vAlign w:val="center"/>
            <w:hideMark/>
          </w:tcPr>
          <w:p w14:paraId="2B97DB3B"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540" w:type="dxa"/>
            <w:shd w:val="clear" w:color="auto" w:fill="auto"/>
            <w:vAlign w:val="center"/>
            <w:hideMark/>
          </w:tcPr>
          <w:p w14:paraId="7BC242AB" w14:textId="55F6B36C" w:rsidR="00B76817" w:rsidRPr="00410493" w:rsidRDefault="006036B8" w:rsidP="006036B8">
            <w:pPr>
              <w:jc w:val="right"/>
              <w:rPr>
                <w:rFonts w:ascii="Barlow" w:hAnsi="Barlow" w:cs="Arial"/>
                <w:b/>
                <w:bCs/>
                <w:color w:val="000000"/>
                <w:sz w:val="18"/>
                <w:szCs w:val="18"/>
                <w:lang w:eastAsia="es-MX"/>
              </w:rPr>
            </w:pPr>
            <w:r>
              <w:rPr>
                <w:rFonts w:ascii="Barlow" w:hAnsi="Barlow" w:cs="Arial"/>
                <w:b/>
                <w:bCs/>
                <w:color w:val="000000"/>
                <w:sz w:val="18"/>
                <w:szCs w:val="18"/>
                <w:lang w:eastAsia="es-MX"/>
              </w:rPr>
              <w:t>0</w:t>
            </w:r>
            <w:r w:rsidR="00B85C58">
              <w:rPr>
                <w:rFonts w:ascii="Barlow" w:hAnsi="Barlow" w:cs="Arial"/>
                <w:b/>
                <w:bCs/>
                <w:color w:val="000000"/>
                <w:sz w:val="18"/>
                <w:szCs w:val="18"/>
                <w:lang w:eastAsia="es-MX"/>
              </w:rPr>
              <w:t>.</w:t>
            </w:r>
            <w:r>
              <w:rPr>
                <w:rFonts w:ascii="Barlow" w:hAnsi="Barlow" w:cs="Arial"/>
                <w:b/>
                <w:bCs/>
                <w:color w:val="000000"/>
                <w:sz w:val="18"/>
                <w:szCs w:val="18"/>
                <w:lang w:eastAsia="es-MX"/>
              </w:rPr>
              <w:t>00</w:t>
            </w:r>
          </w:p>
        </w:tc>
      </w:tr>
      <w:tr w:rsidR="00B76817" w:rsidRPr="00410493" w14:paraId="323BE2C3" w14:textId="77777777" w:rsidTr="00E02187">
        <w:trPr>
          <w:trHeight w:val="156"/>
          <w:jc w:val="center"/>
        </w:trPr>
        <w:tc>
          <w:tcPr>
            <w:tcW w:w="1200" w:type="dxa"/>
            <w:shd w:val="clear" w:color="auto" w:fill="auto"/>
            <w:vAlign w:val="center"/>
            <w:hideMark/>
          </w:tcPr>
          <w:p w14:paraId="05D3EE7D"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2E70F333"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Mobiliario y equipo de administración</w:t>
            </w:r>
          </w:p>
        </w:tc>
        <w:tc>
          <w:tcPr>
            <w:tcW w:w="1400" w:type="dxa"/>
            <w:shd w:val="clear" w:color="auto" w:fill="auto"/>
            <w:vAlign w:val="center"/>
            <w:hideMark/>
          </w:tcPr>
          <w:p w14:paraId="3E2EB170" w14:textId="04AD4F8D" w:rsidR="00B76817" w:rsidRPr="00410493" w:rsidRDefault="006036B8" w:rsidP="006036B8">
            <w:pPr>
              <w:jc w:val="right"/>
              <w:rPr>
                <w:rFonts w:ascii="Barlow" w:hAnsi="Barlow" w:cs="Arial"/>
                <w:color w:val="000000"/>
                <w:sz w:val="18"/>
                <w:szCs w:val="18"/>
                <w:lang w:eastAsia="es-MX"/>
              </w:rPr>
            </w:pPr>
            <w:r>
              <w:rPr>
                <w:rFonts w:ascii="Barlow" w:hAnsi="Barlow" w:cs="Arial"/>
                <w:color w:val="000000"/>
                <w:sz w:val="18"/>
                <w:szCs w:val="18"/>
                <w:lang w:eastAsia="es-MX"/>
              </w:rPr>
              <w:t>0</w:t>
            </w:r>
            <w:r w:rsidR="00B76817" w:rsidRPr="00410493">
              <w:rPr>
                <w:rFonts w:ascii="Barlow" w:hAnsi="Barlow" w:cs="Arial"/>
                <w:color w:val="000000"/>
                <w:sz w:val="18"/>
                <w:szCs w:val="18"/>
                <w:lang w:eastAsia="es-MX"/>
              </w:rPr>
              <w:t>.</w:t>
            </w:r>
            <w:r>
              <w:rPr>
                <w:rFonts w:ascii="Barlow" w:hAnsi="Barlow" w:cs="Arial"/>
                <w:color w:val="000000"/>
                <w:sz w:val="18"/>
                <w:szCs w:val="18"/>
                <w:lang w:eastAsia="es-MX"/>
              </w:rPr>
              <w:t>00</w:t>
            </w:r>
          </w:p>
        </w:tc>
        <w:tc>
          <w:tcPr>
            <w:tcW w:w="1540" w:type="dxa"/>
            <w:shd w:val="clear" w:color="auto" w:fill="auto"/>
            <w:vAlign w:val="center"/>
            <w:hideMark/>
          </w:tcPr>
          <w:p w14:paraId="2059DB39" w14:textId="77777777" w:rsidR="00B76817" w:rsidRPr="00410493" w:rsidRDefault="00B76817" w:rsidP="00B76817">
            <w:pPr>
              <w:jc w:val="right"/>
              <w:rPr>
                <w:rFonts w:ascii="Barlow" w:hAnsi="Barlow"/>
                <w:color w:val="000000"/>
                <w:lang w:eastAsia="es-MX"/>
              </w:rPr>
            </w:pPr>
          </w:p>
        </w:tc>
      </w:tr>
      <w:tr w:rsidR="00B76817" w:rsidRPr="00410493" w14:paraId="2164B293" w14:textId="77777777" w:rsidTr="00E02187">
        <w:trPr>
          <w:trHeight w:val="201"/>
          <w:jc w:val="center"/>
        </w:trPr>
        <w:tc>
          <w:tcPr>
            <w:tcW w:w="1200" w:type="dxa"/>
            <w:shd w:val="clear" w:color="auto" w:fill="auto"/>
            <w:vAlign w:val="center"/>
            <w:hideMark/>
          </w:tcPr>
          <w:p w14:paraId="3E773080"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7D8C7A49"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Mobiliario y equipo educacional y recreativo</w:t>
            </w:r>
          </w:p>
        </w:tc>
        <w:tc>
          <w:tcPr>
            <w:tcW w:w="1400" w:type="dxa"/>
            <w:shd w:val="clear" w:color="auto" w:fill="auto"/>
            <w:vAlign w:val="center"/>
            <w:hideMark/>
          </w:tcPr>
          <w:p w14:paraId="113C2FEB" w14:textId="2A4F3DC8" w:rsidR="00B76817" w:rsidRPr="00410493" w:rsidRDefault="006036B8" w:rsidP="006036B8">
            <w:pPr>
              <w:jc w:val="right"/>
              <w:rPr>
                <w:rFonts w:ascii="Barlow" w:hAnsi="Barlow" w:cs="Arial"/>
                <w:color w:val="000000"/>
                <w:sz w:val="18"/>
                <w:szCs w:val="18"/>
                <w:lang w:eastAsia="es-MX"/>
              </w:rPr>
            </w:pPr>
            <w:r>
              <w:rPr>
                <w:rFonts w:ascii="Barlow" w:hAnsi="Barlow" w:cs="Arial"/>
                <w:color w:val="000000"/>
                <w:sz w:val="18"/>
                <w:szCs w:val="18"/>
                <w:lang w:eastAsia="es-MX"/>
              </w:rPr>
              <w:t>0</w:t>
            </w:r>
            <w:r w:rsidR="00E17AD4">
              <w:rPr>
                <w:rFonts w:ascii="Barlow" w:hAnsi="Barlow" w:cs="Arial"/>
                <w:color w:val="000000"/>
                <w:sz w:val="18"/>
                <w:szCs w:val="18"/>
                <w:lang w:eastAsia="es-MX"/>
              </w:rPr>
              <w:t>.</w:t>
            </w:r>
            <w:r>
              <w:rPr>
                <w:rFonts w:ascii="Barlow" w:hAnsi="Barlow" w:cs="Arial"/>
                <w:color w:val="000000"/>
                <w:sz w:val="18"/>
                <w:szCs w:val="18"/>
                <w:lang w:eastAsia="es-MX"/>
              </w:rPr>
              <w:t>00</w:t>
            </w:r>
          </w:p>
        </w:tc>
        <w:tc>
          <w:tcPr>
            <w:tcW w:w="1540" w:type="dxa"/>
            <w:shd w:val="clear" w:color="auto" w:fill="auto"/>
            <w:vAlign w:val="center"/>
            <w:hideMark/>
          </w:tcPr>
          <w:p w14:paraId="4D070557" w14:textId="77777777" w:rsidR="00B76817" w:rsidRPr="00410493" w:rsidRDefault="00B76817" w:rsidP="00B76817">
            <w:pPr>
              <w:jc w:val="right"/>
              <w:rPr>
                <w:rFonts w:ascii="Barlow" w:hAnsi="Barlow"/>
                <w:color w:val="000000"/>
                <w:lang w:eastAsia="es-MX"/>
              </w:rPr>
            </w:pPr>
          </w:p>
        </w:tc>
      </w:tr>
      <w:tr w:rsidR="00B76817" w:rsidRPr="00410493" w14:paraId="419D11C1" w14:textId="77777777" w:rsidTr="00E02187">
        <w:trPr>
          <w:trHeight w:val="248"/>
          <w:jc w:val="center"/>
        </w:trPr>
        <w:tc>
          <w:tcPr>
            <w:tcW w:w="1200" w:type="dxa"/>
            <w:shd w:val="clear" w:color="auto" w:fill="auto"/>
            <w:vAlign w:val="center"/>
            <w:hideMark/>
          </w:tcPr>
          <w:p w14:paraId="2F236E52"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7D4C0D1D"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Equipo e instrumental médico y de laboratorio</w:t>
            </w:r>
          </w:p>
        </w:tc>
        <w:tc>
          <w:tcPr>
            <w:tcW w:w="1400" w:type="dxa"/>
            <w:shd w:val="clear" w:color="auto" w:fill="auto"/>
            <w:vAlign w:val="center"/>
            <w:hideMark/>
          </w:tcPr>
          <w:p w14:paraId="699FFCC1" w14:textId="0B3BC219" w:rsidR="00B76817" w:rsidRPr="00410493" w:rsidRDefault="006036B8" w:rsidP="006036B8">
            <w:pPr>
              <w:jc w:val="right"/>
              <w:rPr>
                <w:rFonts w:ascii="Barlow" w:hAnsi="Barlow" w:cs="Arial"/>
                <w:color w:val="000000"/>
                <w:sz w:val="18"/>
                <w:szCs w:val="18"/>
                <w:lang w:eastAsia="es-MX"/>
              </w:rPr>
            </w:pPr>
            <w:r>
              <w:rPr>
                <w:rFonts w:ascii="Barlow" w:hAnsi="Barlow" w:cs="Arial"/>
                <w:color w:val="000000"/>
                <w:sz w:val="18"/>
                <w:szCs w:val="18"/>
                <w:lang w:eastAsia="es-MX"/>
              </w:rPr>
              <w:t>0</w:t>
            </w:r>
            <w:r w:rsidR="00B76817" w:rsidRPr="00410493">
              <w:rPr>
                <w:rFonts w:ascii="Barlow" w:hAnsi="Barlow" w:cs="Arial"/>
                <w:color w:val="000000"/>
                <w:sz w:val="18"/>
                <w:szCs w:val="18"/>
                <w:lang w:eastAsia="es-MX"/>
              </w:rPr>
              <w:t>.</w:t>
            </w:r>
            <w:r>
              <w:rPr>
                <w:rFonts w:ascii="Barlow" w:hAnsi="Barlow" w:cs="Arial"/>
                <w:color w:val="000000"/>
                <w:sz w:val="18"/>
                <w:szCs w:val="18"/>
                <w:lang w:eastAsia="es-MX"/>
              </w:rPr>
              <w:t>00</w:t>
            </w:r>
          </w:p>
        </w:tc>
        <w:tc>
          <w:tcPr>
            <w:tcW w:w="1540" w:type="dxa"/>
            <w:shd w:val="clear" w:color="auto" w:fill="auto"/>
            <w:vAlign w:val="center"/>
            <w:hideMark/>
          </w:tcPr>
          <w:p w14:paraId="39B0759E" w14:textId="77777777" w:rsidR="00B76817" w:rsidRPr="00410493" w:rsidRDefault="00B76817" w:rsidP="00B76817">
            <w:pPr>
              <w:jc w:val="right"/>
              <w:rPr>
                <w:rFonts w:ascii="Barlow" w:hAnsi="Barlow"/>
                <w:color w:val="000000"/>
                <w:lang w:eastAsia="es-MX"/>
              </w:rPr>
            </w:pPr>
          </w:p>
        </w:tc>
      </w:tr>
      <w:tr w:rsidR="00B76817" w:rsidRPr="00410493" w14:paraId="6EFA9298" w14:textId="77777777" w:rsidTr="00E02187">
        <w:trPr>
          <w:trHeight w:val="109"/>
          <w:jc w:val="center"/>
        </w:trPr>
        <w:tc>
          <w:tcPr>
            <w:tcW w:w="1200" w:type="dxa"/>
            <w:shd w:val="clear" w:color="auto" w:fill="auto"/>
            <w:vAlign w:val="center"/>
            <w:hideMark/>
          </w:tcPr>
          <w:p w14:paraId="41BEED68"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54A695E2"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Vehículos y equipo de transporte</w:t>
            </w:r>
          </w:p>
        </w:tc>
        <w:tc>
          <w:tcPr>
            <w:tcW w:w="1400" w:type="dxa"/>
            <w:shd w:val="clear" w:color="auto" w:fill="auto"/>
            <w:vAlign w:val="center"/>
            <w:hideMark/>
          </w:tcPr>
          <w:p w14:paraId="15D0D68C" w14:textId="000578F2" w:rsidR="00B76817" w:rsidRPr="00410493" w:rsidRDefault="006036B8" w:rsidP="006036B8">
            <w:pPr>
              <w:jc w:val="right"/>
              <w:rPr>
                <w:rFonts w:ascii="Barlow" w:hAnsi="Barlow" w:cs="Arial"/>
                <w:color w:val="000000"/>
                <w:sz w:val="18"/>
                <w:szCs w:val="18"/>
                <w:lang w:eastAsia="es-MX"/>
              </w:rPr>
            </w:pPr>
            <w:r>
              <w:rPr>
                <w:rFonts w:ascii="Barlow" w:hAnsi="Barlow" w:cs="Arial"/>
                <w:color w:val="000000"/>
                <w:sz w:val="18"/>
                <w:szCs w:val="18"/>
                <w:lang w:eastAsia="es-MX"/>
              </w:rPr>
              <w:t>0</w:t>
            </w:r>
            <w:r w:rsidR="00020429">
              <w:rPr>
                <w:rFonts w:ascii="Barlow" w:hAnsi="Barlow" w:cs="Arial"/>
                <w:color w:val="000000"/>
                <w:sz w:val="18"/>
                <w:szCs w:val="18"/>
                <w:lang w:eastAsia="es-MX"/>
              </w:rPr>
              <w:t>.</w:t>
            </w:r>
            <w:r>
              <w:rPr>
                <w:rFonts w:ascii="Barlow" w:hAnsi="Barlow" w:cs="Arial"/>
                <w:color w:val="000000"/>
                <w:sz w:val="18"/>
                <w:szCs w:val="18"/>
                <w:lang w:eastAsia="es-MX"/>
              </w:rPr>
              <w:t>00</w:t>
            </w:r>
          </w:p>
        </w:tc>
        <w:tc>
          <w:tcPr>
            <w:tcW w:w="1540" w:type="dxa"/>
            <w:shd w:val="clear" w:color="auto" w:fill="auto"/>
            <w:vAlign w:val="center"/>
            <w:hideMark/>
          </w:tcPr>
          <w:p w14:paraId="07C36B5D" w14:textId="77777777" w:rsidR="00B76817" w:rsidRPr="00410493" w:rsidRDefault="00B76817" w:rsidP="00B76817">
            <w:pPr>
              <w:jc w:val="right"/>
              <w:rPr>
                <w:rFonts w:ascii="Barlow" w:hAnsi="Barlow"/>
                <w:color w:val="000000"/>
                <w:lang w:eastAsia="es-MX"/>
              </w:rPr>
            </w:pPr>
          </w:p>
        </w:tc>
      </w:tr>
      <w:tr w:rsidR="00B76817" w:rsidRPr="00410493" w14:paraId="468EBAA3" w14:textId="77777777" w:rsidTr="00E02187">
        <w:trPr>
          <w:trHeight w:val="155"/>
          <w:jc w:val="center"/>
        </w:trPr>
        <w:tc>
          <w:tcPr>
            <w:tcW w:w="1200" w:type="dxa"/>
            <w:shd w:val="clear" w:color="auto" w:fill="auto"/>
            <w:vAlign w:val="center"/>
            <w:hideMark/>
          </w:tcPr>
          <w:p w14:paraId="1DD6B9D2"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51A376A5"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Equipo de defensa y seguridad</w:t>
            </w:r>
          </w:p>
        </w:tc>
        <w:tc>
          <w:tcPr>
            <w:tcW w:w="1400" w:type="dxa"/>
            <w:shd w:val="clear" w:color="auto" w:fill="auto"/>
            <w:vAlign w:val="center"/>
            <w:hideMark/>
          </w:tcPr>
          <w:p w14:paraId="070B6B1E" w14:textId="597418FD" w:rsidR="00B76817" w:rsidRPr="00410493" w:rsidRDefault="006036B8" w:rsidP="006036B8">
            <w:pPr>
              <w:jc w:val="right"/>
              <w:rPr>
                <w:rFonts w:ascii="Barlow" w:hAnsi="Barlow" w:cs="Arial"/>
                <w:color w:val="000000"/>
                <w:sz w:val="18"/>
                <w:szCs w:val="18"/>
                <w:lang w:eastAsia="es-MX"/>
              </w:rPr>
            </w:pPr>
            <w:r>
              <w:rPr>
                <w:rFonts w:ascii="Barlow" w:hAnsi="Barlow" w:cs="Arial"/>
                <w:color w:val="000000"/>
                <w:sz w:val="18"/>
                <w:szCs w:val="18"/>
                <w:lang w:eastAsia="es-MX"/>
              </w:rPr>
              <w:t>0</w:t>
            </w:r>
            <w:r w:rsidR="00B76817" w:rsidRPr="00410493">
              <w:rPr>
                <w:rFonts w:ascii="Barlow" w:hAnsi="Barlow" w:cs="Arial"/>
                <w:color w:val="000000"/>
                <w:sz w:val="18"/>
                <w:szCs w:val="18"/>
                <w:lang w:eastAsia="es-MX"/>
              </w:rPr>
              <w:t>.</w:t>
            </w:r>
            <w:r>
              <w:rPr>
                <w:rFonts w:ascii="Barlow" w:hAnsi="Barlow" w:cs="Arial"/>
                <w:color w:val="000000"/>
                <w:sz w:val="18"/>
                <w:szCs w:val="18"/>
                <w:lang w:eastAsia="es-MX"/>
              </w:rPr>
              <w:t>00</w:t>
            </w:r>
          </w:p>
        </w:tc>
        <w:tc>
          <w:tcPr>
            <w:tcW w:w="1540" w:type="dxa"/>
            <w:shd w:val="clear" w:color="auto" w:fill="auto"/>
            <w:vAlign w:val="center"/>
            <w:hideMark/>
          </w:tcPr>
          <w:p w14:paraId="5C1902D6" w14:textId="77777777" w:rsidR="00B76817" w:rsidRPr="00410493" w:rsidRDefault="00B76817" w:rsidP="00B76817">
            <w:pPr>
              <w:jc w:val="right"/>
              <w:rPr>
                <w:rFonts w:ascii="Barlow" w:hAnsi="Barlow"/>
                <w:color w:val="000000"/>
                <w:lang w:eastAsia="es-MX"/>
              </w:rPr>
            </w:pPr>
          </w:p>
        </w:tc>
      </w:tr>
      <w:tr w:rsidR="00B76817" w:rsidRPr="00410493" w14:paraId="2616F070" w14:textId="77777777" w:rsidTr="00E02187">
        <w:trPr>
          <w:trHeight w:val="201"/>
          <w:jc w:val="center"/>
        </w:trPr>
        <w:tc>
          <w:tcPr>
            <w:tcW w:w="1200" w:type="dxa"/>
            <w:shd w:val="clear" w:color="auto" w:fill="auto"/>
            <w:vAlign w:val="center"/>
            <w:hideMark/>
          </w:tcPr>
          <w:p w14:paraId="6C9AD275"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0A88CB24"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Maquinaria, otros equipos y herramientas</w:t>
            </w:r>
          </w:p>
        </w:tc>
        <w:tc>
          <w:tcPr>
            <w:tcW w:w="1400" w:type="dxa"/>
            <w:shd w:val="clear" w:color="auto" w:fill="auto"/>
            <w:vAlign w:val="center"/>
            <w:hideMark/>
          </w:tcPr>
          <w:p w14:paraId="3CE5E8A3" w14:textId="40BA10C0" w:rsidR="00B76817" w:rsidRPr="00410493" w:rsidRDefault="006036B8" w:rsidP="006036B8">
            <w:pPr>
              <w:jc w:val="right"/>
              <w:rPr>
                <w:rFonts w:ascii="Barlow" w:hAnsi="Barlow" w:cs="Arial"/>
                <w:color w:val="000000"/>
                <w:sz w:val="18"/>
                <w:szCs w:val="18"/>
                <w:lang w:eastAsia="es-MX"/>
              </w:rPr>
            </w:pPr>
            <w:r>
              <w:rPr>
                <w:rFonts w:ascii="Barlow" w:hAnsi="Barlow" w:cs="Arial"/>
                <w:color w:val="000000"/>
                <w:sz w:val="18"/>
                <w:szCs w:val="18"/>
                <w:lang w:eastAsia="es-MX"/>
              </w:rPr>
              <w:t>0</w:t>
            </w:r>
            <w:r w:rsidR="005321F9">
              <w:rPr>
                <w:rFonts w:ascii="Barlow" w:hAnsi="Barlow" w:cs="Arial"/>
                <w:color w:val="000000"/>
                <w:sz w:val="18"/>
                <w:szCs w:val="18"/>
                <w:lang w:eastAsia="es-MX"/>
              </w:rPr>
              <w:t>.</w:t>
            </w:r>
            <w:r>
              <w:rPr>
                <w:rFonts w:ascii="Barlow" w:hAnsi="Barlow" w:cs="Arial"/>
                <w:color w:val="000000"/>
                <w:sz w:val="18"/>
                <w:szCs w:val="18"/>
                <w:lang w:eastAsia="es-MX"/>
              </w:rPr>
              <w:t>00</w:t>
            </w:r>
          </w:p>
        </w:tc>
        <w:tc>
          <w:tcPr>
            <w:tcW w:w="1540" w:type="dxa"/>
            <w:shd w:val="clear" w:color="auto" w:fill="auto"/>
            <w:vAlign w:val="center"/>
            <w:hideMark/>
          </w:tcPr>
          <w:p w14:paraId="5B1A96C5" w14:textId="77777777" w:rsidR="00B76817" w:rsidRPr="00410493" w:rsidRDefault="00B76817" w:rsidP="00B76817">
            <w:pPr>
              <w:jc w:val="right"/>
              <w:rPr>
                <w:rFonts w:ascii="Barlow" w:hAnsi="Barlow"/>
                <w:color w:val="000000"/>
                <w:lang w:eastAsia="es-MX"/>
              </w:rPr>
            </w:pPr>
          </w:p>
        </w:tc>
      </w:tr>
      <w:tr w:rsidR="00B76817" w:rsidRPr="00410493" w14:paraId="2545B086" w14:textId="77777777" w:rsidTr="00E02187">
        <w:trPr>
          <w:trHeight w:val="105"/>
          <w:jc w:val="center"/>
        </w:trPr>
        <w:tc>
          <w:tcPr>
            <w:tcW w:w="1200" w:type="dxa"/>
            <w:shd w:val="clear" w:color="auto" w:fill="auto"/>
            <w:vAlign w:val="center"/>
            <w:hideMark/>
          </w:tcPr>
          <w:p w14:paraId="5912CF9A"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41B33BC2"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Activos biológicos</w:t>
            </w:r>
          </w:p>
        </w:tc>
        <w:tc>
          <w:tcPr>
            <w:tcW w:w="1400" w:type="dxa"/>
            <w:shd w:val="clear" w:color="auto" w:fill="auto"/>
            <w:vAlign w:val="center"/>
            <w:hideMark/>
          </w:tcPr>
          <w:p w14:paraId="14086223"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540" w:type="dxa"/>
            <w:shd w:val="clear" w:color="auto" w:fill="auto"/>
            <w:vAlign w:val="center"/>
            <w:hideMark/>
          </w:tcPr>
          <w:p w14:paraId="20A99855" w14:textId="77777777" w:rsidR="00B76817" w:rsidRPr="00410493" w:rsidRDefault="00B76817" w:rsidP="00B76817">
            <w:pPr>
              <w:jc w:val="right"/>
              <w:rPr>
                <w:rFonts w:ascii="Barlow" w:hAnsi="Barlow"/>
                <w:color w:val="000000"/>
                <w:lang w:eastAsia="es-MX"/>
              </w:rPr>
            </w:pPr>
          </w:p>
        </w:tc>
      </w:tr>
      <w:tr w:rsidR="00B76817" w:rsidRPr="00410493" w14:paraId="3F6CF5D6" w14:textId="77777777" w:rsidTr="00E02187">
        <w:trPr>
          <w:trHeight w:val="48"/>
          <w:jc w:val="center"/>
        </w:trPr>
        <w:tc>
          <w:tcPr>
            <w:tcW w:w="1200" w:type="dxa"/>
            <w:shd w:val="clear" w:color="auto" w:fill="auto"/>
            <w:vAlign w:val="center"/>
            <w:hideMark/>
          </w:tcPr>
          <w:p w14:paraId="7D91CEA1"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5DB10167"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Bienes inmuebles</w:t>
            </w:r>
          </w:p>
        </w:tc>
        <w:tc>
          <w:tcPr>
            <w:tcW w:w="1400" w:type="dxa"/>
            <w:shd w:val="clear" w:color="auto" w:fill="auto"/>
            <w:vAlign w:val="center"/>
            <w:hideMark/>
          </w:tcPr>
          <w:p w14:paraId="6A8FC3A0"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w:t>
            </w:r>
            <w:r w:rsidR="004568A1">
              <w:rPr>
                <w:rFonts w:ascii="Barlow" w:hAnsi="Barlow" w:cs="Arial"/>
                <w:color w:val="000000"/>
                <w:sz w:val="18"/>
                <w:szCs w:val="18"/>
                <w:lang w:eastAsia="es-MX"/>
              </w:rPr>
              <w:t>00</w:t>
            </w:r>
          </w:p>
        </w:tc>
        <w:tc>
          <w:tcPr>
            <w:tcW w:w="1540" w:type="dxa"/>
            <w:shd w:val="clear" w:color="auto" w:fill="auto"/>
            <w:vAlign w:val="center"/>
            <w:hideMark/>
          </w:tcPr>
          <w:p w14:paraId="2850D0F4" w14:textId="77777777" w:rsidR="00B76817" w:rsidRPr="00410493" w:rsidRDefault="00B76817" w:rsidP="00B76817">
            <w:pPr>
              <w:jc w:val="right"/>
              <w:rPr>
                <w:rFonts w:ascii="Barlow" w:hAnsi="Barlow"/>
                <w:color w:val="000000"/>
                <w:lang w:eastAsia="es-MX"/>
              </w:rPr>
            </w:pPr>
          </w:p>
        </w:tc>
      </w:tr>
      <w:tr w:rsidR="00B76817" w:rsidRPr="00410493" w14:paraId="0F07F8AE" w14:textId="77777777" w:rsidTr="00E02187">
        <w:trPr>
          <w:trHeight w:val="55"/>
          <w:jc w:val="center"/>
        </w:trPr>
        <w:tc>
          <w:tcPr>
            <w:tcW w:w="1200" w:type="dxa"/>
            <w:shd w:val="clear" w:color="auto" w:fill="auto"/>
            <w:vAlign w:val="center"/>
            <w:hideMark/>
          </w:tcPr>
          <w:p w14:paraId="521FDA5F"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2B09613B"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Activos intangibles</w:t>
            </w:r>
          </w:p>
        </w:tc>
        <w:tc>
          <w:tcPr>
            <w:tcW w:w="1400" w:type="dxa"/>
            <w:shd w:val="clear" w:color="auto" w:fill="auto"/>
            <w:vAlign w:val="center"/>
            <w:hideMark/>
          </w:tcPr>
          <w:p w14:paraId="21E3CB6F" w14:textId="2F93CD12" w:rsidR="00B76817" w:rsidRPr="00410493" w:rsidRDefault="006036B8" w:rsidP="00B85C58">
            <w:pPr>
              <w:jc w:val="right"/>
              <w:rPr>
                <w:rFonts w:ascii="Barlow" w:hAnsi="Barlow" w:cs="Arial"/>
                <w:color w:val="000000"/>
                <w:sz w:val="18"/>
                <w:szCs w:val="18"/>
                <w:lang w:eastAsia="es-MX"/>
              </w:rPr>
            </w:pPr>
            <w:r>
              <w:rPr>
                <w:rFonts w:ascii="Barlow" w:hAnsi="Barlow" w:cs="Arial"/>
                <w:color w:val="000000"/>
                <w:sz w:val="18"/>
                <w:szCs w:val="18"/>
                <w:lang w:eastAsia="es-MX"/>
              </w:rPr>
              <w:t>0</w:t>
            </w:r>
            <w:r w:rsidR="00B76817" w:rsidRPr="00410493">
              <w:rPr>
                <w:rFonts w:ascii="Barlow" w:hAnsi="Barlow" w:cs="Arial"/>
                <w:color w:val="000000"/>
                <w:sz w:val="18"/>
                <w:szCs w:val="18"/>
                <w:lang w:eastAsia="es-MX"/>
              </w:rPr>
              <w:t>.</w:t>
            </w:r>
            <w:r w:rsidR="004451A9">
              <w:rPr>
                <w:rFonts w:ascii="Barlow" w:hAnsi="Barlow" w:cs="Arial"/>
                <w:color w:val="000000"/>
                <w:sz w:val="18"/>
                <w:szCs w:val="18"/>
                <w:lang w:eastAsia="es-MX"/>
              </w:rPr>
              <w:t>00</w:t>
            </w:r>
          </w:p>
        </w:tc>
        <w:tc>
          <w:tcPr>
            <w:tcW w:w="1540" w:type="dxa"/>
            <w:shd w:val="clear" w:color="auto" w:fill="auto"/>
            <w:vAlign w:val="center"/>
            <w:hideMark/>
          </w:tcPr>
          <w:p w14:paraId="3B00213D" w14:textId="77777777" w:rsidR="00B76817" w:rsidRPr="00410493" w:rsidRDefault="00B76817" w:rsidP="00B76817">
            <w:pPr>
              <w:jc w:val="right"/>
              <w:rPr>
                <w:rFonts w:ascii="Barlow" w:hAnsi="Barlow"/>
                <w:color w:val="000000"/>
                <w:lang w:eastAsia="es-MX"/>
              </w:rPr>
            </w:pPr>
          </w:p>
        </w:tc>
      </w:tr>
      <w:tr w:rsidR="00B76817" w:rsidRPr="00410493" w14:paraId="79B419C6" w14:textId="77777777" w:rsidTr="00E02187">
        <w:trPr>
          <w:trHeight w:val="230"/>
          <w:jc w:val="center"/>
        </w:trPr>
        <w:tc>
          <w:tcPr>
            <w:tcW w:w="1200" w:type="dxa"/>
            <w:shd w:val="clear" w:color="auto" w:fill="auto"/>
            <w:vAlign w:val="center"/>
            <w:hideMark/>
          </w:tcPr>
          <w:p w14:paraId="3FDBE4AE"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lastRenderedPageBreak/>
              <w:t> </w:t>
            </w:r>
          </w:p>
        </w:tc>
        <w:tc>
          <w:tcPr>
            <w:tcW w:w="4780" w:type="dxa"/>
            <w:shd w:val="clear" w:color="auto" w:fill="auto"/>
            <w:vAlign w:val="center"/>
            <w:hideMark/>
          </w:tcPr>
          <w:p w14:paraId="71E0CD43"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Obra pública en bienes propios</w:t>
            </w:r>
          </w:p>
        </w:tc>
        <w:tc>
          <w:tcPr>
            <w:tcW w:w="1400" w:type="dxa"/>
            <w:shd w:val="clear" w:color="auto" w:fill="auto"/>
            <w:vAlign w:val="center"/>
            <w:hideMark/>
          </w:tcPr>
          <w:p w14:paraId="582F6C50" w14:textId="79E64CE1" w:rsidR="00B76817" w:rsidRPr="00410493" w:rsidRDefault="006036B8" w:rsidP="006036B8">
            <w:pPr>
              <w:jc w:val="right"/>
              <w:rPr>
                <w:rFonts w:ascii="Barlow" w:hAnsi="Barlow" w:cs="Arial"/>
                <w:color w:val="000000"/>
                <w:sz w:val="18"/>
                <w:szCs w:val="18"/>
                <w:lang w:eastAsia="es-MX"/>
              </w:rPr>
            </w:pPr>
            <w:r>
              <w:rPr>
                <w:rFonts w:ascii="Barlow" w:hAnsi="Barlow" w:cs="Arial"/>
                <w:color w:val="000000"/>
                <w:sz w:val="18"/>
                <w:szCs w:val="18"/>
                <w:lang w:eastAsia="es-MX"/>
              </w:rPr>
              <w:t>0</w:t>
            </w:r>
            <w:r w:rsidR="00B76817" w:rsidRPr="00410493">
              <w:rPr>
                <w:rFonts w:ascii="Barlow" w:hAnsi="Barlow" w:cs="Arial"/>
                <w:color w:val="000000"/>
                <w:sz w:val="18"/>
                <w:szCs w:val="18"/>
                <w:lang w:eastAsia="es-MX"/>
              </w:rPr>
              <w:t>.</w:t>
            </w:r>
            <w:r>
              <w:rPr>
                <w:rFonts w:ascii="Barlow" w:hAnsi="Barlow" w:cs="Arial"/>
                <w:color w:val="000000"/>
                <w:sz w:val="18"/>
                <w:szCs w:val="18"/>
                <w:lang w:eastAsia="es-MX"/>
              </w:rPr>
              <w:t>0</w:t>
            </w:r>
            <w:r w:rsidR="00804593">
              <w:rPr>
                <w:rFonts w:ascii="Barlow" w:hAnsi="Barlow" w:cs="Arial"/>
                <w:color w:val="000000"/>
                <w:sz w:val="18"/>
                <w:szCs w:val="18"/>
                <w:lang w:eastAsia="es-MX"/>
              </w:rPr>
              <w:t>0</w:t>
            </w:r>
          </w:p>
        </w:tc>
        <w:tc>
          <w:tcPr>
            <w:tcW w:w="1540" w:type="dxa"/>
            <w:shd w:val="clear" w:color="auto" w:fill="auto"/>
            <w:vAlign w:val="center"/>
            <w:hideMark/>
          </w:tcPr>
          <w:p w14:paraId="2E5B2556" w14:textId="77777777" w:rsidR="00B76817" w:rsidRPr="00410493" w:rsidRDefault="00B76817" w:rsidP="00B76817">
            <w:pPr>
              <w:jc w:val="right"/>
              <w:rPr>
                <w:rFonts w:ascii="Barlow" w:hAnsi="Barlow"/>
                <w:color w:val="000000"/>
                <w:lang w:eastAsia="es-MX"/>
              </w:rPr>
            </w:pPr>
          </w:p>
        </w:tc>
      </w:tr>
      <w:tr w:rsidR="00B76817" w:rsidRPr="00410493" w14:paraId="2A1ACDE3" w14:textId="77777777" w:rsidTr="00E02187">
        <w:trPr>
          <w:trHeight w:val="133"/>
          <w:jc w:val="center"/>
        </w:trPr>
        <w:tc>
          <w:tcPr>
            <w:tcW w:w="5980" w:type="dxa"/>
            <w:gridSpan w:val="2"/>
            <w:shd w:val="clear" w:color="auto" w:fill="auto"/>
            <w:vAlign w:val="center"/>
            <w:hideMark/>
          </w:tcPr>
          <w:p w14:paraId="0D4DB05A"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Egresos Presupuestales No Contables</w:t>
            </w:r>
          </w:p>
        </w:tc>
        <w:tc>
          <w:tcPr>
            <w:tcW w:w="1400" w:type="dxa"/>
            <w:shd w:val="clear" w:color="auto" w:fill="auto"/>
            <w:vAlign w:val="center"/>
            <w:hideMark/>
          </w:tcPr>
          <w:p w14:paraId="78732410"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540" w:type="dxa"/>
            <w:shd w:val="clear" w:color="auto" w:fill="auto"/>
            <w:vAlign w:val="center"/>
            <w:hideMark/>
          </w:tcPr>
          <w:p w14:paraId="743B82EE" w14:textId="77777777" w:rsidR="00B76817" w:rsidRPr="00410493" w:rsidRDefault="00B76817" w:rsidP="00B76817">
            <w:pPr>
              <w:jc w:val="right"/>
              <w:rPr>
                <w:rFonts w:ascii="Barlow" w:hAnsi="Barlow"/>
                <w:color w:val="000000"/>
                <w:lang w:eastAsia="es-MX"/>
              </w:rPr>
            </w:pPr>
          </w:p>
        </w:tc>
      </w:tr>
      <w:tr w:rsidR="00B76817" w:rsidRPr="00410493" w14:paraId="50D5F384" w14:textId="77777777" w:rsidTr="00E02187">
        <w:trPr>
          <w:trHeight w:val="121"/>
          <w:jc w:val="center"/>
        </w:trPr>
        <w:tc>
          <w:tcPr>
            <w:tcW w:w="5980" w:type="dxa"/>
            <w:gridSpan w:val="2"/>
            <w:shd w:val="clear" w:color="auto" w:fill="auto"/>
            <w:vAlign w:val="center"/>
            <w:hideMark/>
          </w:tcPr>
          <w:p w14:paraId="615946D1" w14:textId="77777777" w:rsidR="00B76817" w:rsidRPr="00410493" w:rsidRDefault="00B76817" w:rsidP="00B7681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3. Más gastos contables no presupuestales</w:t>
            </w:r>
          </w:p>
        </w:tc>
        <w:tc>
          <w:tcPr>
            <w:tcW w:w="1400" w:type="dxa"/>
            <w:shd w:val="clear" w:color="auto" w:fill="auto"/>
            <w:vAlign w:val="center"/>
            <w:hideMark/>
          </w:tcPr>
          <w:p w14:paraId="38FEB976"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540" w:type="dxa"/>
            <w:shd w:val="clear" w:color="auto" w:fill="auto"/>
            <w:vAlign w:val="center"/>
            <w:hideMark/>
          </w:tcPr>
          <w:p w14:paraId="1F1DAF2C" w14:textId="79D74CAC" w:rsidR="00B76817" w:rsidRPr="00410493" w:rsidRDefault="006036B8" w:rsidP="005F5D0B">
            <w:pPr>
              <w:jc w:val="right"/>
              <w:rPr>
                <w:rFonts w:ascii="Barlow" w:hAnsi="Barlow" w:cs="Arial"/>
                <w:b/>
                <w:bCs/>
                <w:color w:val="000000"/>
                <w:sz w:val="18"/>
                <w:szCs w:val="18"/>
                <w:lang w:eastAsia="es-MX"/>
              </w:rPr>
            </w:pPr>
            <w:r>
              <w:rPr>
                <w:rFonts w:ascii="Barlow" w:hAnsi="Barlow" w:cs="Arial"/>
                <w:b/>
                <w:bCs/>
                <w:color w:val="000000"/>
                <w:sz w:val="18"/>
                <w:szCs w:val="18"/>
                <w:lang w:eastAsia="es-MX"/>
              </w:rPr>
              <w:t>1</w:t>
            </w:r>
            <w:r w:rsidR="005842AB">
              <w:rPr>
                <w:rFonts w:ascii="Barlow" w:hAnsi="Barlow" w:cs="Arial"/>
                <w:b/>
                <w:bCs/>
                <w:color w:val="000000"/>
                <w:sz w:val="18"/>
                <w:szCs w:val="18"/>
                <w:lang w:eastAsia="es-MX"/>
              </w:rPr>
              <w:t>,9</w:t>
            </w:r>
            <w:r w:rsidR="005F5D0B">
              <w:rPr>
                <w:rFonts w:ascii="Barlow" w:hAnsi="Barlow" w:cs="Arial"/>
                <w:b/>
                <w:bCs/>
                <w:color w:val="000000"/>
                <w:sz w:val="18"/>
                <w:szCs w:val="18"/>
                <w:lang w:eastAsia="es-MX"/>
              </w:rPr>
              <w:t>68</w:t>
            </w:r>
            <w:r w:rsidR="00B76817" w:rsidRPr="00410493">
              <w:rPr>
                <w:rFonts w:ascii="Barlow" w:hAnsi="Barlow" w:cs="Arial"/>
                <w:b/>
                <w:bCs/>
                <w:color w:val="000000"/>
                <w:sz w:val="18"/>
                <w:szCs w:val="18"/>
                <w:lang w:eastAsia="es-MX"/>
              </w:rPr>
              <w:t>.</w:t>
            </w:r>
            <w:r w:rsidR="005F5D0B">
              <w:rPr>
                <w:rFonts w:ascii="Barlow" w:hAnsi="Barlow" w:cs="Arial"/>
                <w:b/>
                <w:bCs/>
                <w:color w:val="000000"/>
                <w:sz w:val="18"/>
                <w:szCs w:val="18"/>
                <w:lang w:eastAsia="es-MX"/>
              </w:rPr>
              <w:t>52</w:t>
            </w:r>
          </w:p>
        </w:tc>
      </w:tr>
      <w:tr w:rsidR="00B76817" w:rsidRPr="00410493" w14:paraId="652D00F5" w14:textId="77777777" w:rsidTr="00E02187">
        <w:trPr>
          <w:trHeight w:val="389"/>
          <w:jc w:val="center"/>
        </w:trPr>
        <w:tc>
          <w:tcPr>
            <w:tcW w:w="1200" w:type="dxa"/>
            <w:shd w:val="clear" w:color="auto" w:fill="auto"/>
            <w:vAlign w:val="center"/>
            <w:hideMark/>
          </w:tcPr>
          <w:p w14:paraId="3AEBE233"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065190CD"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Estimaciones, depreciaciones, deterioros, obsolescencia y amortizaciones</w:t>
            </w:r>
          </w:p>
        </w:tc>
        <w:tc>
          <w:tcPr>
            <w:tcW w:w="1400" w:type="dxa"/>
            <w:shd w:val="clear" w:color="auto" w:fill="auto"/>
            <w:vAlign w:val="center"/>
            <w:hideMark/>
          </w:tcPr>
          <w:p w14:paraId="022CCCE3"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w:t>
            </w:r>
            <w:r w:rsidR="008B620B">
              <w:rPr>
                <w:rFonts w:ascii="Barlow" w:hAnsi="Barlow" w:cs="Arial"/>
                <w:color w:val="000000"/>
                <w:sz w:val="18"/>
                <w:szCs w:val="18"/>
                <w:lang w:eastAsia="es-MX"/>
              </w:rPr>
              <w:t>.00</w:t>
            </w:r>
          </w:p>
        </w:tc>
        <w:tc>
          <w:tcPr>
            <w:tcW w:w="1540" w:type="dxa"/>
            <w:shd w:val="clear" w:color="auto" w:fill="auto"/>
            <w:vAlign w:val="center"/>
            <w:hideMark/>
          </w:tcPr>
          <w:p w14:paraId="0BBCCDBA" w14:textId="77777777" w:rsidR="00B76817" w:rsidRPr="00410493" w:rsidRDefault="00B76817" w:rsidP="00B76817">
            <w:pPr>
              <w:jc w:val="right"/>
              <w:rPr>
                <w:rFonts w:ascii="Barlow" w:hAnsi="Barlow"/>
                <w:color w:val="000000"/>
                <w:lang w:eastAsia="es-MX"/>
              </w:rPr>
            </w:pPr>
          </w:p>
        </w:tc>
      </w:tr>
      <w:tr w:rsidR="00B76817" w:rsidRPr="00410493" w14:paraId="1EC3CB3F" w14:textId="77777777" w:rsidTr="00E02187">
        <w:trPr>
          <w:trHeight w:val="202"/>
          <w:jc w:val="center"/>
        </w:trPr>
        <w:tc>
          <w:tcPr>
            <w:tcW w:w="1200" w:type="dxa"/>
            <w:shd w:val="clear" w:color="auto" w:fill="auto"/>
            <w:vAlign w:val="center"/>
            <w:hideMark/>
          </w:tcPr>
          <w:p w14:paraId="0A8AA42B"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03C8C2C4"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Provisiones</w:t>
            </w:r>
          </w:p>
        </w:tc>
        <w:tc>
          <w:tcPr>
            <w:tcW w:w="1400" w:type="dxa"/>
            <w:shd w:val="clear" w:color="auto" w:fill="auto"/>
            <w:vAlign w:val="center"/>
            <w:hideMark/>
          </w:tcPr>
          <w:p w14:paraId="47E49512"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540" w:type="dxa"/>
            <w:shd w:val="clear" w:color="auto" w:fill="auto"/>
            <w:vAlign w:val="center"/>
            <w:hideMark/>
          </w:tcPr>
          <w:p w14:paraId="2737B266" w14:textId="77777777" w:rsidR="00B76817" w:rsidRPr="00410493" w:rsidRDefault="00B76817" w:rsidP="00B76817">
            <w:pPr>
              <w:jc w:val="right"/>
              <w:rPr>
                <w:rFonts w:ascii="Barlow" w:hAnsi="Barlow"/>
                <w:color w:val="000000"/>
                <w:lang w:eastAsia="es-MX"/>
              </w:rPr>
            </w:pPr>
          </w:p>
        </w:tc>
      </w:tr>
      <w:tr w:rsidR="00B76817" w:rsidRPr="00410493" w14:paraId="52F51111" w14:textId="77777777" w:rsidTr="00E02187">
        <w:trPr>
          <w:trHeight w:val="234"/>
          <w:jc w:val="center"/>
        </w:trPr>
        <w:tc>
          <w:tcPr>
            <w:tcW w:w="1200" w:type="dxa"/>
            <w:shd w:val="clear" w:color="auto" w:fill="auto"/>
            <w:vAlign w:val="center"/>
            <w:hideMark/>
          </w:tcPr>
          <w:p w14:paraId="585901B5"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shd w:val="clear" w:color="auto" w:fill="auto"/>
            <w:vAlign w:val="center"/>
            <w:hideMark/>
          </w:tcPr>
          <w:p w14:paraId="69A36414"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Gastos</w:t>
            </w:r>
          </w:p>
        </w:tc>
        <w:tc>
          <w:tcPr>
            <w:tcW w:w="1400" w:type="dxa"/>
            <w:shd w:val="clear" w:color="auto" w:fill="auto"/>
            <w:vAlign w:val="center"/>
            <w:hideMark/>
          </w:tcPr>
          <w:p w14:paraId="3C433F9D" w14:textId="09A1A019" w:rsidR="00B76817" w:rsidRPr="00410493" w:rsidRDefault="006036B8" w:rsidP="005842AB">
            <w:pPr>
              <w:jc w:val="right"/>
              <w:rPr>
                <w:rFonts w:ascii="Barlow" w:hAnsi="Barlow" w:cs="Arial"/>
                <w:color w:val="000000"/>
                <w:sz w:val="18"/>
                <w:szCs w:val="18"/>
                <w:lang w:eastAsia="es-MX"/>
              </w:rPr>
            </w:pPr>
            <w:r>
              <w:rPr>
                <w:rFonts w:ascii="Barlow" w:hAnsi="Barlow" w:cs="Arial"/>
                <w:color w:val="000000"/>
                <w:sz w:val="18"/>
                <w:szCs w:val="18"/>
                <w:lang w:eastAsia="es-MX"/>
              </w:rPr>
              <w:t>1</w:t>
            </w:r>
            <w:r w:rsidR="005842AB">
              <w:rPr>
                <w:rFonts w:ascii="Barlow" w:hAnsi="Barlow" w:cs="Arial"/>
                <w:color w:val="000000"/>
                <w:sz w:val="18"/>
                <w:szCs w:val="18"/>
                <w:lang w:eastAsia="es-MX"/>
              </w:rPr>
              <w:t>,519</w:t>
            </w:r>
            <w:r w:rsidR="00B76817" w:rsidRPr="00410493">
              <w:rPr>
                <w:rFonts w:ascii="Barlow" w:hAnsi="Barlow" w:cs="Arial"/>
                <w:color w:val="000000"/>
                <w:sz w:val="18"/>
                <w:szCs w:val="18"/>
                <w:lang w:eastAsia="es-MX"/>
              </w:rPr>
              <w:t>.</w:t>
            </w:r>
            <w:r w:rsidR="005842AB">
              <w:rPr>
                <w:rFonts w:ascii="Barlow" w:hAnsi="Barlow" w:cs="Arial"/>
                <w:color w:val="000000"/>
                <w:sz w:val="18"/>
                <w:szCs w:val="18"/>
                <w:lang w:eastAsia="es-MX"/>
              </w:rPr>
              <w:t>60</w:t>
            </w:r>
          </w:p>
        </w:tc>
        <w:tc>
          <w:tcPr>
            <w:tcW w:w="1540" w:type="dxa"/>
            <w:shd w:val="clear" w:color="auto" w:fill="auto"/>
            <w:vAlign w:val="center"/>
            <w:hideMark/>
          </w:tcPr>
          <w:p w14:paraId="7AEC3689" w14:textId="77777777" w:rsidR="00B76817" w:rsidRPr="00410493" w:rsidRDefault="00B76817" w:rsidP="00B76817">
            <w:pPr>
              <w:jc w:val="right"/>
              <w:rPr>
                <w:rFonts w:ascii="Barlow" w:hAnsi="Barlow"/>
                <w:color w:val="000000"/>
                <w:lang w:eastAsia="es-MX"/>
              </w:rPr>
            </w:pPr>
          </w:p>
        </w:tc>
      </w:tr>
      <w:tr w:rsidR="00B76817" w:rsidRPr="00410493" w14:paraId="5714C61B" w14:textId="77777777" w:rsidTr="00E02187">
        <w:trPr>
          <w:trHeight w:val="123"/>
          <w:jc w:val="center"/>
        </w:trPr>
        <w:tc>
          <w:tcPr>
            <w:tcW w:w="5980" w:type="dxa"/>
            <w:gridSpan w:val="2"/>
            <w:shd w:val="clear" w:color="auto" w:fill="auto"/>
            <w:vAlign w:val="center"/>
            <w:hideMark/>
          </w:tcPr>
          <w:p w14:paraId="1E9C9737" w14:textId="77777777"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Gastos Contables No Presupuestales</w:t>
            </w:r>
          </w:p>
        </w:tc>
        <w:tc>
          <w:tcPr>
            <w:tcW w:w="1400" w:type="dxa"/>
            <w:shd w:val="clear" w:color="auto" w:fill="auto"/>
            <w:vAlign w:val="center"/>
            <w:hideMark/>
          </w:tcPr>
          <w:p w14:paraId="7861CAE1"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540" w:type="dxa"/>
            <w:shd w:val="clear" w:color="auto" w:fill="auto"/>
            <w:vAlign w:val="center"/>
            <w:hideMark/>
          </w:tcPr>
          <w:p w14:paraId="5AB118E4" w14:textId="77777777" w:rsidR="00B76817" w:rsidRPr="00410493" w:rsidRDefault="00B76817" w:rsidP="00B76817">
            <w:pPr>
              <w:jc w:val="right"/>
              <w:rPr>
                <w:rFonts w:ascii="Barlow" w:hAnsi="Barlow"/>
                <w:color w:val="000000"/>
                <w:lang w:eastAsia="es-MX"/>
              </w:rPr>
            </w:pPr>
          </w:p>
        </w:tc>
      </w:tr>
      <w:tr w:rsidR="00B76817" w:rsidRPr="00410493" w14:paraId="463523CC" w14:textId="77777777" w:rsidTr="00E02187">
        <w:trPr>
          <w:trHeight w:val="120"/>
          <w:jc w:val="center"/>
        </w:trPr>
        <w:tc>
          <w:tcPr>
            <w:tcW w:w="5980" w:type="dxa"/>
            <w:gridSpan w:val="2"/>
            <w:shd w:val="clear" w:color="000000" w:fill="C0C0C0"/>
            <w:vAlign w:val="center"/>
            <w:hideMark/>
          </w:tcPr>
          <w:p w14:paraId="5300ED7F" w14:textId="77777777" w:rsidR="00B76817" w:rsidRPr="00410493" w:rsidRDefault="00B76817" w:rsidP="00B7681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4. Total de Gasto Contable (4 = 1 - 2 + 3)</w:t>
            </w:r>
          </w:p>
        </w:tc>
        <w:tc>
          <w:tcPr>
            <w:tcW w:w="1400" w:type="dxa"/>
            <w:shd w:val="clear" w:color="auto" w:fill="auto"/>
            <w:vAlign w:val="center"/>
            <w:hideMark/>
          </w:tcPr>
          <w:p w14:paraId="65A40C5B" w14:textId="77777777"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540" w:type="dxa"/>
            <w:shd w:val="clear" w:color="000000" w:fill="C0C0C0"/>
            <w:vAlign w:val="center"/>
            <w:hideMark/>
          </w:tcPr>
          <w:p w14:paraId="617AFC7D" w14:textId="63796399" w:rsidR="00B76817" w:rsidRPr="00410493" w:rsidRDefault="006036B8" w:rsidP="005F5D0B">
            <w:pPr>
              <w:jc w:val="right"/>
              <w:rPr>
                <w:rFonts w:ascii="Barlow" w:hAnsi="Barlow" w:cs="Arial"/>
                <w:b/>
                <w:bCs/>
                <w:color w:val="000000"/>
                <w:sz w:val="18"/>
                <w:szCs w:val="18"/>
                <w:lang w:eastAsia="es-MX"/>
              </w:rPr>
            </w:pPr>
            <w:r>
              <w:rPr>
                <w:rFonts w:ascii="Barlow" w:hAnsi="Barlow" w:cs="Arial"/>
                <w:b/>
                <w:bCs/>
                <w:color w:val="000000"/>
                <w:sz w:val="18"/>
                <w:szCs w:val="18"/>
                <w:lang w:eastAsia="es-MX"/>
              </w:rPr>
              <w:t>1</w:t>
            </w:r>
            <w:r w:rsidR="005842AB">
              <w:rPr>
                <w:rFonts w:ascii="Barlow" w:hAnsi="Barlow" w:cs="Arial"/>
                <w:b/>
                <w:bCs/>
                <w:color w:val="000000"/>
                <w:sz w:val="18"/>
                <w:szCs w:val="18"/>
                <w:lang w:eastAsia="es-MX"/>
              </w:rPr>
              <w:t>,9</w:t>
            </w:r>
            <w:r w:rsidR="005F5D0B">
              <w:rPr>
                <w:rFonts w:ascii="Barlow" w:hAnsi="Barlow" w:cs="Arial"/>
                <w:b/>
                <w:bCs/>
                <w:color w:val="000000"/>
                <w:sz w:val="18"/>
                <w:szCs w:val="18"/>
                <w:lang w:eastAsia="es-MX"/>
              </w:rPr>
              <w:t>68</w:t>
            </w:r>
            <w:r w:rsidR="008B620B">
              <w:rPr>
                <w:rFonts w:ascii="Barlow" w:hAnsi="Barlow" w:cs="Arial"/>
                <w:b/>
                <w:bCs/>
                <w:color w:val="000000"/>
                <w:sz w:val="18"/>
                <w:szCs w:val="18"/>
                <w:lang w:eastAsia="es-MX"/>
              </w:rPr>
              <w:t>.</w:t>
            </w:r>
            <w:r w:rsidR="005F5D0B">
              <w:rPr>
                <w:rFonts w:ascii="Barlow" w:hAnsi="Barlow" w:cs="Arial"/>
                <w:b/>
                <w:bCs/>
                <w:color w:val="000000"/>
                <w:sz w:val="18"/>
                <w:szCs w:val="18"/>
                <w:lang w:eastAsia="es-MX"/>
              </w:rPr>
              <w:t>52</w:t>
            </w:r>
          </w:p>
        </w:tc>
      </w:tr>
    </w:tbl>
    <w:p w14:paraId="7FAB2185" w14:textId="77777777" w:rsidR="00961E03" w:rsidRPr="00961E03" w:rsidRDefault="00961E03" w:rsidP="00096F24">
      <w:pPr>
        <w:spacing w:after="200"/>
        <w:rPr>
          <w:rFonts w:ascii="Barlow" w:hAnsi="Barlow" w:cs="Arial"/>
          <w:b/>
          <w:sz w:val="8"/>
          <w:szCs w:val="2"/>
        </w:rPr>
      </w:pPr>
    </w:p>
    <w:p w14:paraId="6331F868" w14:textId="22337104" w:rsidR="00251A08" w:rsidRPr="00410493" w:rsidRDefault="00251A08" w:rsidP="00096F24">
      <w:pPr>
        <w:spacing w:after="200"/>
        <w:rPr>
          <w:rFonts w:ascii="Barlow" w:hAnsi="Barlow" w:cs="Arial"/>
          <w:b/>
          <w:sz w:val="20"/>
          <w:szCs w:val="20"/>
        </w:rPr>
      </w:pPr>
      <w:r w:rsidRPr="00410493">
        <w:rPr>
          <w:rFonts w:ascii="Barlow" w:hAnsi="Barlow" w:cs="Arial"/>
          <w:b/>
          <w:sz w:val="20"/>
          <w:szCs w:val="20"/>
        </w:rPr>
        <w:t>B) NOTAS DE MEMORIA</w:t>
      </w:r>
    </w:p>
    <w:p w14:paraId="0F1388D3" w14:textId="77777777" w:rsidR="00251A08" w:rsidRPr="00410493" w:rsidRDefault="00251A08" w:rsidP="00096F24">
      <w:pPr>
        <w:autoSpaceDE w:val="0"/>
        <w:autoSpaceDN w:val="0"/>
        <w:adjustRightInd w:val="0"/>
        <w:jc w:val="both"/>
        <w:rPr>
          <w:rFonts w:ascii="Barlow" w:hAnsi="Barlow" w:cs="Arial"/>
          <w:sz w:val="20"/>
          <w:szCs w:val="20"/>
        </w:rPr>
      </w:pPr>
      <w:r w:rsidRPr="00410493">
        <w:rPr>
          <w:rFonts w:ascii="Barlow" w:hAnsi="Barlow" w:cs="Arial"/>
          <w:bCs/>
          <w:sz w:val="20"/>
          <w:szCs w:val="20"/>
        </w:rPr>
        <w:t xml:space="preserve">Los saldos de las cuentas de orden contables y </w:t>
      </w:r>
      <w:r w:rsidR="00E35F67" w:rsidRPr="00410493">
        <w:rPr>
          <w:rFonts w:ascii="Barlow" w:hAnsi="Barlow" w:cs="Arial"/>
          <w:bCs/>
          <w:sz w:val="20"/>
          <w:szCs w:val="20"/>
        </w:rPr>
        <w:t>presupuestales se</w:t>
      </w:r>
      <w:r w:rsidRPr="00410493">
        <w:rPr>
          <w:rFonts w:ascii="Barlow" w:hAnsi="Barlow" w:cs="Arial"/>
          <w:bCs/>
          <w:sz w:val="20"/>
          <w:szCs w:val="20"/>
        </w:rPr>
        <w:t xml:space="preserve"> presentan a continuación</w:t>
      </w:r>
      <w:r w:rsidR="00A92B97" w:rsidRPr="00410493">
        <w:rPr>
          <w:rFonts w:ascii="Barlow" w:hAnsi="Barlow" w:cs="Arial"/>
          <w:sz w:val="20"/>
          <w:szCs w:val="20"/>
        </w:rPr>
        <w:t>:</w:t>
      </w:r>
    </w:p>
    <w:p w14:paraId="7B74AE5C" w14:textId="77777777" w:rsidR="00A92B97" w:rsidRPr="00410493" w:rsidRDefault="00A92B97" w:rsidP="00096F24">
      <w:pPr>
        <w:autoSpaceDE w:val="0"/>
        <w:autoSpaceDN w:val="0"/>
        <w:adjustRightInd w:val="0"/>
        <w:jc w:val="both"/>
        <w:rPr>
          <w:rFonts w:ascii="Barlow" w:hAnsi="Barlow" w:cs="Arial"/>
          <w:sz w:val="20"/>
          <w:szCs w:val="20"/>
        </w:rPr>
      </w:pPr>
    </w:p>
    <w:p w14:paraId="465209F7" w14:textId="77777777" w:rsidR="00251A08" w:rsidRPr="00096F24" w:rsidRDefault="00251A08" w:rsidP="00096F24">
      <w:pPr>
        <w:numPr>
          <w:ilvl w:val="0"/>
          <w:numId w:val="32"/>
        </w:numPr>
        <w:autoSpaceDE w:val="0"/>
        <w:autoSpaceDN w:val="0"/>
        <w:adjustRightInd w:val="0"/>
        <w:jc w:val="both"/>
        <w:rPr>
          <w:rFonts w:ascii="Barlow" w:hAnsi="Barlow" w:cs="Arial"/>
          <w:b/>
          <w:bCs/>
          <w:sz w:val="20"/>
          <w:szCs w:val="20"/>
        </w:rPr>
      </w:pPr>
      <w:r w:rsidRPr="00096F24">
        <w:rPr>
          <w:rFonts w:ascii="Barlow" w:hAnsi="Barlow" w:cs="Arial"/>
          <w:b/>
          <w:bCs/>
          <w:sz w:val="20"/>
          <w:szCs w:val="20"/>
        </w:rPr>
        <w:t>Cuentas contables.</w:t>
      </w:r>
    </w:p>
    <w:p w14:paraId="54551D06" w14:textId="77777777" w:rsidR="000A53B7" w:rsidRDefault="000A53B7" w:rsidP="00096F24">
      <w:pPr>
        <w:autoSpaceDE w:val="0"/>
        <w:autoSpaceDN w:val="0"/>
        <w:adjustRightInd w:val="0"/>
        <w:jc w:val="both"/>
        <w:rPr>
          <w:rFonts w:ascii="Barlow" w:hAnsi="Barlow" w:cs="Arial"/>
          <w:bCs/>
          <w:sz w:val="20"/>
          <w:szCs w:val="20"/>
        </w:rPr>
      </w:pPr>
      <w:r>
        <w:rPr>
          <w:rFonts w:ascii="Barlow" w:hAnsi="Barlow" w:cs="Arial"/>
          <w:bCs/>
          <w:sz w:val="20"/>
          <w:szCs w:val="20"/>
        </w:rPr>
        <w:t xml:space="preserve">Cabe aclarar que a la fecha el Fondo de Aportaciones para la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Pr>
          <w:rFonts w:ascii="Barlow" w:hAnsi="Barlow" w:cs="Arial"/>
          <w:bCs/>
          <w:sz w:val="20"/>
          <w:szCs w:val="20"/>
        </w:rPr>
        <w:t>consignar sus derechos o responsabilidades contingentes que puedan, o no, presentarse en futuro.</w:t>
      </w:r>
    </w:p>
    <w:p w14:paraId="60475648" w14:textId="77777777" w:rsidR="00410493" w:rsidRPr="00410493" w:rsidRDefault="00410493" w:rsidP="00096F24">
      <w:pPr>
        <w:autoSpaceDE w:val="0"/>
        <w:autoSpaceDN w:val="0"/>
        <w:adjustRightInd w:val="0"/>
        <w:ind w:left="720"/>
        <w:jc w:val="both"/>
        <w:rPr>
          <w:rFonts w:ascii="Barlow" w:hAnsi="Barlow" w:cs="Arial"/>
          <w:bCs/>
          <w:sz w:val="20"/>
          <w:szCs w:val="20"/>
        </w:rPr>
      </w:pPr>
      <w:bookmarkStart w:id="12" w:name="m16"/>
      <w:bookmarkEnd w:id="12"/>
    </w:p>
    <w:p w14:paraId="2BC5DF99" w14:textId="377EFDDE" w:rsidR="00251A08" w:rsidRDefault="00251A08" w:rsidP="00096F24">
      <w:pPr>
        <w:numPr>
          <w:ilvl w:val="0"/>
          <w:numId w:val="32"/>
        </w:numPr>
        <w:autoSpaceDE w:val="0"/>
        <w:autoSpaceDN w:val="0"/>
        <w:adjustRightInd w:val="0"/>
        <w:jc w:val="both"/>
        <w:rPr>
          <w:rFonts w:ascii="Barlow" w:hAnsi="Barlow" w:cs="Arial"/>
          <w:b/>
          <w:bCs/>
          <w:sz w:val="20"/>
          <w:szCs w:val="20"/>
        </w:rPr>
      </w:pPr>
      <w:r w:rsidRPr="00096F24">
        <w:rPr>
          <w:rFonts w:ascii="Barlow" w:hAnsi="Barlow" w:cs="Arial"/>
          <w:b/>
          <w:bCs/>
          <w:sz w:val="20"/>
          <w:szCs w:val="20"/>
        </w:rPr>
        <w:t>Cuentas presupuestarias.</w:t>
      </w:r>
    </w:p>
    <w:p w14:paraId="611FC972" w14:textId="1DDDEC97" w:rsidR="008D1226" w:rsidRDefault="004D266B" w:rsidP="008D1226">
      <w:pPr>
        <w:autoSpaceDE w:val="0"/>
        <w:autoSpaceDN w:val="0"/>
        <w:adjustRightInd w:val="0"/>
        <w:jc w:val="both"/>
        <w:rPr>
          <w:rFonts w:ascii="Barlow" w:hAnsi="Barlow" w:cs="Arial"/>
          <w:b/>
          <w:bCs/>
          <w:sz w:val="20"/>
          <w:szCs w:val="20"/>
        </w:rPr>
      </w:pPr>
      <w:r>
        <w:rPr>
          <w:rFonts w:ascii="Barlow" w:hAnsi="Barlow" w:cs="Arial"/>
          <w:b/>
          <w:bCs/>
          <w:noProof/>
          <w:sz w:val="20"/>
          <w:szCs w:val="20"/>
        </w:rPr>
        <w:object w:dxaOrig="1440" w:dyaOrig="1440" w14:anchorId="2F9C70FA">
          <v:shape id="_x0000_s1042" type="#_x0000_t75" style="position:absolute;left:0;text-align:left;margin-left:142.25pt;margin-top:3.35pt;width:241.8pt;height:49.8pt;z-index:251670528;mso-position-horizontal-relative:text;mso-position-vertical-relative:text">
            <v:imagedata r:id="rId20" o:title=""/>
          </v:shape>
          <o:OLEObject Type="Embed" ProgID="Excel.Sheet.12" ShapeID="_x0000_s1042" DrawAspect="Content" ObjectID="_1681638628" r:id="rId21"/>
        </w:object>
      </w:r>
    </w:p>
    <w:p w14:paraId="1B800497" w14:textId="77777777" w:rsidR="008D1226" w:rsidRDefault="008D1226" w:rsidP="008D1226">
      <w:pPr>
        <w:autoSpaceDE w:val="0"/>
        <w:autoSpaceDN w:val="0"/>
        <w:adjustRightInd w:val="0"/>
        <w:jc w:val="both"/>
        <w:rPr>
          <w:rFonts w:ascii="Barlow" w:hAnsi="Barlow" w:cs="Arial"/>
          <w:b/>
          <w:bCs/>
          <w:sz w:val="20"/>
          <w:szCs w:val="20"/>
        </w:rPr>
      </w:pPr>
    </w:p>
    <w:p w14:paraId="193CD718" w14:textId="7D4C6728" w:rsidR="008D1226" w:rsidRDefault="008D1226" w:rsidP="005C28A8">
      <w:pPr>
        <w:autoSpaceDE w:val="0"/>
        <w:autoSpaceDN w:val="0"/>
        <w:adjustRightInd w:val="0"/>
        <w:jc w:val="center"/>
        <w:rPr>
          <w:rFonts w:ascii="Barlow" w:hAnsi="Barlow" w:cs="Arial"/>
          <w:b/>
          <w:bCs/>
          <w:sz w:val="20"/>
          <w:szCs w:val="20"/>
        </w:rPr>
      </w:pPr>
    </w:p>
    <w:p w14:paraId="4E147D13" w14:textId="75AF1B0D" w:rsidR="008D1226" w:rsidRDefault="008D1226" w:rsidP="008D1226">
      <w:pPr>
        <w:autoSpaceDE w:val="0"/>
        <w:autoSpaceDN w:val="0"/>
        <w:adjustRightInd w:val="0"/>
        <w:jc w:val="both"/>
        <w:rPr>
          <w:rFonts w:ascii="Barlow" w:hAnsi="Barlow" w:cs="Arial"/>
          <w:b/>
          <w:bCs/>
          <w:sz w:val="20"/>
          <w:szCs w:val="20"/>
        </w:rPr>
      </w:pPr>
    </w:p>
    <w:p w14:paraId="030F1514" w14:textId="762C3F97" w:rsidR="00096F24" w:rsidRDefault="00096F24" w:rsidP="00096F24">
      <w:pPr>
        <w:autoSpaceDE w:val="0"/>
        <w:autoSpaceDN w:val="0"/>
        <w:adjustRightInd w:val="0"/>
        <w:jc w:val="both"/>
        <w:rPr>
          <w:rFonts w:ascii="Barlow" w:hAnsi="Barlow" w:cs="Arial"/>
          <w:b/>
          <w:bCs/>
          <w:sz w:val="20"/>
          <w:szCs w:val="20"/>
        </w:rPr>
      </w:pPr>
    </w:p>
    <w:p w14:paraId="74A84534" w14:textId="1A907E4A" w:rsidR="00096F24" w:rsidRDefault="004D266B" w:rsidP="00096F24">
      <w:pPr>
        <w:autoSpaceDE w:val="0"/>
        <w:autoSpaceDN w:val="0"/>
        <w:adjustRightInd w:val="0"/>
        <w:jc w:val="both"/>
        <w:rPr>
          <w:rFonts w:ascii="Barlow" w:hAnsi="Barlow" w:cs="Arial"/>
          <w:b/>
          <w:bCs/>
          <w:sz w:val="20"/>
          <w:szCs w:val="20"/>
        </w:rPr>
      </w:pPr>
      <w:r>
        <w:rPr>
          <w:rFonts w:ascii="Barlow" w:hAnsi="Barlow" w:cs="Arial"/>
          <w:b/>
          <w:bCs/>
          <w:noProof/>
          <w:sz w:val="20"/>
          <w:szCs w:val="20"/>
        </w:rPr>
        <w:object w:dxaOrig="1440" w:dyaOrig="1440" w14:anchorId="1FA6EF94">
          <v:shape id="_x0000_s1035" type="#_x0000_t75" style="position:absolute;left:0;text-align:left;margin-left:114.8pt;margin-top:1.65pt;width:296.95pt;height:101.25pt;z-index:251662336">
            <v:imagedata r:id="rId22" o:title=""/>
          </v:shape>
          <o:OLEObject Type="Embed" ProgID="Excel.Sheet.12" ShapeID="_x0000_s1035" DrawAspect="Content" ObjectID="_1681638629" r:id="rId23"/>
        </w:object>
      </w:r>
    </w:p>
    <w:p w14:paraId="7673CAC9" w14:textId="041DC49A" w:rsidR="00096F24" w:rsidRDefault="00096F24" w:rsidP="00096F24">
      <w:pPr>
        <w:autoSpaceDE w:val="0"/>
        <w:autoSpaceDN w:val="0"/>
        <w:adjustRightInd w:val="0"/>
        <w:jc w:val="both"/>
        <w:rPr>
          <w:rFonts w:ascii="Barlow" w:hAnsi="Barlow" w:cs="Arial"/>
          <w:b/>
          <w:bCs/>
          <w:sz w:val="20"/>
          <w:szCs w:val="20"/>
        </w:rPr>
      </w:pPr>
    </w:p>
    <w:p w14:paraId="53376B58" w14:textId="77777777" w:rsidR="00096F24" w:rsidRDefault="00096F24" w:rsidP="00096F24">
      <w:pPr>
        <w:autoSpaceDE w:val="0"/>
        <w:autoSpaceDN w:val="0"/>
        <w:adjustRightInd w:val="0"/>
        <w:jc w:val="both"/>
        <w:rPr>
          <w:rFonts w:ascii="Barlow" w:hAnsi="Barlow" w:cs="Arial"/>
          <w:b/>
          <w:bCs/>
          <w:sz w:val="20"/>
          <w:szCs w:val="20"/>
        </w:rPr>
      </w:pPr>
    </w:p>
    <w:p w14:paraId="101DDF38" w14:textId="77777777" w:rsidR="00096F24" w:rsidRDefault="00096F24" w:rsidP="00096F24">
      <w:pPr>
        <w:autoSpaceDE w:val="0"/>
        <w:autoSpaceDN w:val="0"/>
        <w:adjustRightInd w:val="0"/>
        <w:jc w:val="both"/>
        <w:rPr>
          <w:rFonts w:ascii="Barlow" w:hAnsi="Barlow" w:cs="Arial"/>
          <w:b/>
          <w:bCs/>
          <w:sz w:val="20"/>
          <w:szCs w:val="20"/>
        </w:rPr>
      </w:pPr>
    </w:p>
    <w:p w14:paraId="65092F6C" w14:textId="77777777" w:rsidR="00096F24" w:rsidRDefault="00096F24" w:rsidP="00096F24">
      <w:pPr>
        <w:autoSpaceDE w:val="0"/>
        <w:autoSpaceDN w:val="0"/>
        <w:adjustRightInd w:val="0"/>
        <w:jc w:val="both"/>
        <w:rPr>
          <w:rFonts w:ascii="Barlow" w:hAnsi="Barlow" w:cs="Arial"/>
          <w:b/>
          <w:bCs/>
          <w:sz w:val="20"/>
          <w:szCs w:val="20"/>
        </w:rPr>
      </w:pPr>
    </w:p>
    <w:p w14:paraId="2C6D3866" w14:textId="77777777" w:rsidR="00096F24" w:rsidRDefault="00096F24" w:rsidP="00096F24">
      <w:pPr>
        <w:autoSpaceDE w:val="0"/>
        <w:autoSpaceDN w:val="0"/>
        <w:adjustRightInd w:val="0"/>
        <w:jc w:val="both"/>
        <w:rPr>
          <w:rFonts w:ascii="Barlow" w:hAnsi="Barlow" w:cs="Arial"/>
          <w:b/>
          <w:bCs/>
          <w:sz w:val="20"/>
          <w:szCs w:val="20"/>
        </w:rPr>
      </w:pPr>
    </w:p>
    <w:p w14:paraId="5C2C1B1E" w14:textId="77777777" w:rsidR="00257165" w:rsidRPr="00257165" w:rsidRDefault="00257165" w:rsidP="00257165">
      <w:pPr>
        <w:autoSpaceDE w:val="0"/>
        <w:autoSpaceDN w:val="0"/>
        <w:adjustRightInd w:val="0"/>
        <w:jc w:val="both"/>
        <w:rPr>
          <w:rFonts w:ascii="Barlow" w:hAnsi="Barlow" w:cs="Arial"/>
          <w:b/>
          <w:sz w:val="8"/>
          <w:szCs w:val="20"/>
        </w:rPr>
      </w:pPr>
      <w:bookmarkStart w:id="13" w:name="m15"/>
      <w:bookmarkEnd w:id="13"/>
    </w:p>
    <w:p w14:paraId="6F42D670" w14:textId="77777777" w:rsidR="005842AB" w:rsidRDefault="005842AB" w:rsidP="00906A55">
      <w:pPr>
        <w:autoSpaceDE w:val="0"/>
        <w:autoSpaceDN w:val="0"/>
        <w:adjustRightInd w:val="0"/>
        <w:jc w:val="both"/>
        <w:rPr>
          <w:rFonts w:ascii="Barlow" w:hAnsi="Barlow" w:cs="Arial"/>
          <w:b/>
          <w:sz w:val="20"/>
          <w:szCs w:val="20"/>
        </w:rPr>
      </w:pPr>
    </w:p>
    <w:p w14:paraId="72296997" w14:textId="77777777" w:rsidR="005842AB" w:rsidRDefault="005842AB" w:rsidP="00906A55">
      <w:pPr>
        <w:autoSpaceDE w:val="0"/>
        <w:autoSpaceDN w:val="0"/>
        <w:adjustRightInd w:val="0"/>
        <w:jc w:val="both"/>
        <w:rPr>
          <w:rFonts w:ascii="Barlow" w:hAnsi="Barlow" w:cs="Arial"/>
          <w:b/>
          <w:sz w:val="20"/>
          <w:szCs w:val="20"/>
        </w:rPr>
      </w:pPr>
    </w:p>
    <w:p w14:paraId="39C4BD11" w14:textId="77777777" w:rsidR="005842AB" w:rsidRDefault="005842AB" w:rsidP="00906A55">
      <w:pPr>
        <w:autoSpaceDE w:val="0"/>
        <w:autoSpaceDN w:val="0"/>
        <w:adjustRightInd w:val="0"/>
        <w:jc w:val="both"/>
        <w:rPr>
          <w:rFonts w:ascii="Barlow" w:hAnsi="Barlow" w:cs="Arial"/>
          <w:b/>
          <w:sz w:val="20"/>
          <w:szCs w:val="20"/>
        </w:rPr>
      </w:pPr>
    </w:p>
    <w:p w14:paraId="231940B1" w14:textId="37C32AE3" w:rsidR="00D3760C" w:rsidRPr="00410493" w:rsidRDefault="00D3760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NOTAS DE GESTIÓN ADMINISTRATIVA</w:t>
      </w:r>
    </w:p>
    <w:p w14:paraId="1AD38445" w14:textId="77777777" w:rsidR="00052C47" w:rsidRPr="00AD7F6D" w:rsidRDefault="00052C47" w:rsidP="00906A55">
      <w:pPr>
        <w:autoSpaceDE w:val="0"/>
        <w:autoSpaceDN w:val="0"/>
        <w:adjustRightInd w:val="0"/>
        <w:jc w:val="both"/>
        <w:rPr>
          <w:rFonts w:ascii="Barlow" w:hAnsi="Barlow" w:cs="Arial"/>
          <w:b/>
          <w:sz w:val="8"/>
          <w:szCs w:val="20"/>
        </w:rPr>
      </w:pPr>
    </w:p>
    <w:p w14:paraId="3F8606DC" w14:textId="77777777" w:rsidR="00AD7F6D" w:rsidRPr="00CD63AA" w:rsidRDefault="00AD7F6D" w:rsidP="00AD7F6D">
      <w:pPr>
        <w:autoSpaceDE w:val="0"/>
        <w:autoSpaceDN w:val="0"/>
        <w:adjustRightInd w:val="0"/>
        <w:jc w:val="both"/>
        <w:rPr>
          <w:rFonts w:ascii="Barlow" w:hAnsi="Barlow" w:cs="Arial"/>
          <w:b/>
          <w:sz w:val="8"/>
          <w:szCs w:val="20"/>
        </w:rPr>
      </w:pPr>
    </w:p>
    <w:p w14:paraId="13C1FDD1" w14:textId="77777777" w:rsidR="00D3760C" w:rsidRPr="00410493" w:rsidRDefault="00D3760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1.- Introducción</w:t>
      </w:r>
    </w:p>
    <w:p w14:paraId="1432F0E1" w14:textId="77777777" w:rsidR="00052C47" w:rsidRPr="00AD7F6D" w:rsidRDefault="00052C47" w:rsidP="00906A55">
      <w:pPr>
        <w:autoSpaceDE w:val="0"/>
        <w:autoSpaceDN w:val="0"/>
        <w:adjustRightInd w:val="0"/>
        <w:ind w:left="709"/>
        <w:jc w:val="both"/>
        <w:rPr>
          <w:rFonts w:ascii="Barlow" w:hAnsi="Barlow" w:cs="Arial"/>
          <w:b/>
          <w:sz w:val="8"/>
          <w:szCs w:val="20"/>
        </w:rPr>
      </w:pPr>
    </w:p>
    <w:p w14:paraId="014F92D4" w14:textId="0DDB5D17" w:rsidR="00D3760C" w:rsidRPr="00410493" w:rsidRDefault="00D3760C" w:rsidP="00906A55">
      <w:pPr>
        <w:autoSpaceDE w:val="0"/>
        <w:autoSpaceDN w:val="0"/>
        <w:adjustRightInd w:val="0"/>
        <w:jc w:val="both"/>
        <w:rPr>
          <w:rFonts w:ascii="Barlow" w:hAnsi="Barlow" w:cs="Arial"/>
          <w:sz w:val="20"/>
          <w:szCs w:val="20"/>
        </w:rPr>
      </w:pPr>
      <w:r w:rsidRPr="00410493">
        <w:rPr>
          <w:rFonts w:ascii="Barlow" w:hAnsi="Barlow" w:cs="Arial"/>
          <w:sz w:val="20"/>
          <w:szCs w:val="20"/>
        </w:rPr>
        <w:t xml:space="preserve">Los Estados Financieros del </w:t>
      </w:r>
      <w:r w:rsidR="00230693">
        <w:rPr>
          <w:rFonts w:ascii="Barlow" w:hAnsi="Barlow" w:cs="Arial"/>
          <w:sz w:val="20"/>
          <w:szCs w:val="20"/>
        </w:rPr>
        <w:t>Fondo de Aportaciones para la Seguridad Pública</w:t>
      </w:r>
      <w:r w:rsidRPr="00410493">
        <w:rPr>
          <w:rFonts w:ascii="Barlow" w:hAnsi="Barlow" w:cs="Arial"/>
          <w:sz w:val="20"/>
          <w:szCs w:val="20"/>
        </w:rPr>
        <w:t xml:space="preserve">, proveen de información financiera a </w:t>
      </w:r>
      <w:r w:rsidR="00AE5989" w:rsidRPr="00410493">
        <w:rPr>
          <w:rFonts w:ascii="Barlow" w:hAnsi="Barlow" w:cs="Arial"/>
          <w:sz w:val="20"/>
          <w:szCs w:val="20"/>
        </w:rPr>
        <w:t>los</w:t>
      </w:r>
      <w:r w:rsidRPr="00410493">
        <w:rPr>
          <w:rFonts w:ascii="Barlow" w:hAnsi="Barlow" w:cs="Arial"/>
          <w:sz w:val="20"/>
          <w:szCs w:val="20"/>
        </w:rPr>
        <w:t xml:space="preserve"> principales usuarios</w:t>
      </w:r>
      <w:r w:rsidR="00AE5989" w:rsidRPr="00410493">
        <w:rPr>
          <w:rFonts w:ascii="Barlow" w:hAnsi="Barlow" w:cs="Arial"/>
          <w:sz w:val="20"/>
          <w:szCs w:val="20"/>
        </w:rPr>
        <w:t xml:space="preserve"> de la misma</w:t>
      </w:r>
      <w:r w:rsidRPr="00410493">
        <w:rPr>
          <w:rFonts w:ascii="Barlow" w:hAnsi="Barlow" w:cs="Arial"/>
          <w:sz w:val="20"/>
          <w:szCs w:val="20"/>
        </w:rPr>
        <w:t xml:space="preserve">, la </w:t>
      </w:r>
      <w:r w:rsidR="00230693" w:rsidRPr="00410493">
        <w:rPr>
          <w:rFonts w:ascii="Barlow" w:hAnsi="Barlow" w:cs="Arial"/>
          <w:sz w:val="20"/>
          <w:szCs w:val="20"/>
        </w:rPr>
        <w:t>ciudadanía, a</w:t>
      </w:r>
      <w:r w:rsidRPr="00410493">
        <w:rPr>
          <w:rFonts w:ascii="Barlow" w:hAnsi="Barlow" w:cs="Arial"/>
          <w:sz w:val="20"/>
          <w:szCs w:val="20"/>
        </w:rPr>
        <w:t xml:space="preserve"> los administradores de la Secretarías que integran el Poder Ejecutivo del Gobierno del Estado, al H. Congreso del Estado de Yucatán, a las Entidades Fiscalizadoras, a las Instituciones Bancarias y a las Calificadoras</w:t>
      </w:r>
      <w:r w:rsidR="00962E2B" w:rsidRPr="00410493">
        <w:rPr>
          <w:rFonts w:ascii="Barlow" w:hAnsi="Barlow" w:cs="Arial"/>
          <w:sz w:val="20"/>
          <w:szCs w:val="20"/>
        </w:rPr>
        <w:t>, entre otros</w:t>
      </w:r>
      <w:r w:rsidRPr="00410493">
        <w:rPr>
          <w:rFonts w:ascii="Barlow" w:hAnsi="Barlow" w:cs="Arial"/>
          <w:sz w:val="20"/>
          <w:szCs w:val="20"/>
        </w:rPr>
        <w:t>.</w:t>
      </w:r>
    </w:p>
    <w:p w14:paraId="64C06D23" w14:textId="77777777" w:rsidR="00AA7F21" w:rsidRPr="00AD7F6D" w:rsidRDefault="00AA7F21" w:rsidP="00906A55">
      <w:pPr>
        <w:autoSpaceDE w:val="0"/>
        <w:autoSpaceDN w:val="0"/>
        <w:adjustRightInd w:val="0"/>
        <w:ind w:firstLine="360"/>
        <w:jc w:val="both"/>
        <w:rPr>
          <w:rFonts w:ascii="Barlow" w:hAnsi="Barlow" w:cs="Arial"/>
          <w:sz w:val="8"/>
          <w:szCs w:val="20"/>
        </w:rPr>
      </w:pPr>
    </w:p>
    <w:p w14:paraId="4527B24E" w14:textId="338EFBCB" w:rsidR="00D3760C" w:rsidRPr="00410493" w:rsidRDefault="00D3760C" w:rsidP="00906A55">
      <w:pPr>
        <w:autoSpaceDE w:val="0"/>
        <w:autoSpaceDN w:val="0"/>
        <w:adjustRightInd w:val="0"/>
        <w:jc w:val="both"/>
        <w:rPr>
          <w:rFonts w:ascii="Barlow" w:hAnsi="Barlow" w:cs="Arial"/>
          <w:sz w:val="20"/>
          <w:szCs w:val="20"/>
        </w:rPr>
      </w:pPr>
      <w:r w:rsidRPr="00410493">
        <w:rPr>
          <w:rFonts w:ascii="Barlow" w:hAnsi="Barlow" w:cs="Arial"/>
          <w:sz w:val="20"/>
          <w:szCs w:val="20"/>
        </w:rPr>
        <w:t xml:space="preserve">El objetivo del presente documento es la revelación del contexto y de los aspectos económicos-financieros más relevantes que influyeron en las decisiones del período y que </w:t>
      </w:r>
      <w:r w:rsidR="00962E2B" w:rsidRPr="00410493">
        <w:rPr>
          <w:rFonts w:ascii="Barlow" w:hAnsi="Barlow" w:cs="Arial"/>
          <w:sz w:val="20"/>
          <w:szCs w:val="20"/>
        </w:rPr>
        <w:t xml:space="preserve">fueron </w:t>
      </w:r>
      <w:r w:rsidRPr="00410493">
        <w:rPr>
          <w:rFonts w:ascii="Barlow" w:hAnsi="Barlow" w:cs="Arial"/>
          <w:sz w:val="20"/>
          <w:szCs w:val="20"/>
        </w:rPr>
        <w:t xml:space="preserve">considerados en la elaboración de los estados financieros para mayor comprensión de los mismos y </w:t>
      </w:r>
      <w:r w:rsidR="008A304E" w:rsidRPr="00410493">
        <w:rPr>
          <w:rFonts w:ascii="Barlow" w:hAnsi="Barlow" w:cs="Arial"/>
          <w:sz w:val="20"/>
          <w:szCs w:val="20"/>
        </w:rPr>
        <w:t>sus</w:t>
      </w:r>
      <w:r w:rsidRPr="00410493">
        <w:rPr>
          <w:rFonts w:ascii="Barlow" w:hAnsi="Barlow" w:cs="Arial"/>
          <w:sz w:val="20"/>
          <w:szCs w:val="20"/>
        </w:rPr>
        <w:t xml:space="preserve"> particular</w:t>
      </w:r>
      <w:r w:rsidR="00230693">
        <w:rPr>
          <w:rFonts w:ascii="Barlow" w:hAnsi="Barlow" w:cs="Arial"/>
          <w:sz w:val="20"/>
          <w:szCs w:val="20"/>
        </w:rPr>
        <w:t>idade</w:t>
      </w:r>
      <w:r w:rsidRPr="00410493">
        <w:rPr>
          <w:rFonts w:ascii="Barlow" w:hAnsi="Barlow" w:cs="Arial"/>
          <w:sz w:val="20"/>
          <w:szCs w:val="20"/>
        </w:rPr>
        <w:t>s.</w:t>
      </w:r>
    </w:p>
    <w:p w14:paraId="1EF0306E" w14:textId="77777777" w:rsidR="00AA7F21" w:rsidRPr="00AD7F6D" w:rsidRDefault="00AA7F21" w:rsidP="00906A55">
      <w:pPr>
        <w:autoSpaceDE w:val="0"/>
        <w:autoSpaceDN w:val="0"/>
        <w:adjustRightInd w:val="0"/>
        <w:ind w:firstLine="360"/>
        <w:jc w:val="both"/>
        <w:rPr>
          <w:rFonts w:ascii="Barlow" w:hAnsi="Barlow" w:cs="Arial"/>
          <w:sz w:val="8"/>
          <w:szCs w:val="20"/>
        </w:rPr>
      </w:pPr>
    </w:p>
    <w:p w14:paraId="7F7EBA7B" w14:textId="77777777" w:rsidR="00D3760C" w:rsidRPr="00410493" w:rsidRDefault="00D3760C" w:rsidP="00906A55">
      <w:pPr>
        <w:autoSpaceDE w:val="0"/>
        <w:autoSpaceDN w:val="0"/>
        <w:adjustRightInd w:val="0"/>
        <w:jc w:val="both"/>
        <w:rPr>
          <w:rFonts w:ascii="Barlow" w:hAnsi="Barlow" w:cs="Arial"/>
          <w:sz w:val="20"/>
          <w:szCs w:val="20"/>
        </w:rPr>
      </w:pPr>
      <w:r w:rsidRPr="00410493">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1D0BE6B" w14:textId="77777777" w:rsidR="002B4C8F" w:rsidRPr="00410493" w:rsidRDefault="002B4C8F" w:rsidP="00906A55">
      <w:pPr>
        <w:autoSpaceDE w:val="0"/>
        <w:autoSpaceDN w:val="0"/>
        <w:adjustRightInd w:val="0"/>
        <w:jc w:val="both"/>
        <w:rPr>
          <w:rFonts w:ascii="Barlow" w:hAnsi="Barlow" w:cs="Arial"/>
          <w:b/>
          <w:bCs/>
          <w:sz w:val="20"/>
          <w:szCs w:val="20"/>
        </w:rPr>
      </w:pPr>
    </w:p>
    <w:p w14:paraId="1025D1DC" w14:textId="55511BBB" w:rsidR="00D3760C" w:rsidRDefault="00D3760C" w:rsidP="00AD7F6D">
      <w:pPr>
        <w:autoSpaceDE w:val="0"/>
        <w:autoSpaceDN w:val="0"/>
        <w:adjustRightInd w:val="0"/>
        <w:jc w:val="both"/>
        <w:rPr>
          <w:rFonts w:ascii="Barlow" w:hAnsi="Barlow" w:cs="Arial"/>
          <w:b/>
          <w:sz w:val="20"/>
          <w:szCs w:val="20"/>
        </w:rPr>
      </w:pPr>
      <w:r w:rsidRPr="00410493">
        <w:rPr>
          <w:rFonts w:ascii="Barlow" w:hAnsi="Barlow" w:cs="Arial"/>
          <w:b/>
          <w:sz w:val="20"/>
          <w:szCs w:val="20"/>
        </w:rPr>
        <w:t>2.- Panorama Económico y Financiero</w:t>
      </w:r>
    </w:p>
    <w:p w14:paraId="15F0A73C" w14:textId="77777777" w:rsidR="00AD7F6D" w:rsidRPr="00AD7F6D" w:rsidRDefault="00AD7F6D" w:rsidP="00AD7F6D">
      <w:pPr>
        <w:autoSpaceDE w:val="0"/>
        <w:autoSpaceDN w:val="0"/>
        <w:adjustRightInd w:val="0"/>
        <w:ind w:left="709"/>
        <w:jc w:val="both"/>
        <w:rPr>
          <w:rFonts w:ascii="Barlow" w:hAnsi="Barlow" w:cs="Arial"/>
          <w:b/>
          <w:sz w:val="8"/>
          <w:szCs w:val="20"/>
        </w:rPr>
      </w:pPr>
    </w:p>
    <w:p w14:paraId="4C4C791F" w14:textId="77777777" w:rsidR="0072194E" w:rsidRPr="00410493" w:rsidRDefault="0072194E" w:rsidP="00906A55">
      <w:pPr>
        <w:autoSpaceDE w:val="0"/>
        <w:autoSpaceDN w:val="0"/>
        <w:jc w:val="both"/>
        <w:rPr>
          <w:rFonts w:ascii="Barlow" w:hAnsi="Barlow" w:cs="Arial"/>
          <w:sz w:val="20"/>
          <w:szCs w:val="20"/>
        </w:rPr>
      </w:pPr>
      <w:bookmarkStart w:id="14" w:name="_Hlk8996546"/>
      <w:r w:rsidRPr="00410493">
        <w:rPr>
          <w:rFonts w:ascii="Barlow" w:hAnsi="Barlow" w:cs="Arial"/>
          <w:sz w:val="20"/>
          <w:szCs w:val="20"/>
        </w:rPr>
        <w:t xml:space="preserve">Entre las </w:t>
      </w:r>
      <w:r w:rsidR="00AD7F6D" w:rsidRPr="00410493">
        <w:rPr>
          <w:rFonts w:ascii="Barlow" w:hAnsi="Barlow" w:cs="Arial"/>
          <w:sz w:val="20"/>
          <w:szCs w:val="20"/>
        </w:rPr>
        <w:t>principales fortalezas</w:t>
      </w:r>
      <w:r w:rsidRPr="00410493">
        <w:rPr>
          <w:rFonts w:ascii="Barlow" w:hAnsi="Barlow" w:cs="Arial"/>
          <w:sz w:val="20"/>
          <w:szCs w:val="20"/>
        </w:rPr>
        <w:t xml:space="preserve"> que tiene el Estado se encuentra su ubicación geográfica, lo que representa un punto clave para el comercio nacional e internacional.</w:t>
      </w:r>
    </w:p>
    <w:p w14:paraId="2CCF6950" w14:textId="77777777" w:rsidR="00AA55FA" w:rsidRPr="00AD7F6D" w:rsidRDefault="00AA55FA" w:rsidP="00906A55">
      <w:pPr>
        <w:autoSpaceDE w:val="0"/>
        <w:autoSpaceDN w:val="0"/>
        <w:ind w:firstLine="708"/>
        <w:jc w:val="both"/>
        <w:rPr>
          <w:rFonts w:ascii="Barlow" w:hAnsi="Barlow" w:cs="Arial"/>
          <w:sz w:val="8"/>
          <w:szCs w:val="20"/>
        </w:rPr>
      </w:pPr>
    </w:p>
    <w:p w14:paraId="2C07EDBE" w14:textId="77777777" w:rsidR="00AA55FA" w:rsidRDefault="00AA55FA" w:rsidP="00AD7F6D">
      <w:pPr>
        <w:ind w:left="426"/>
        <w:jc w:val="both"/>
        <w:rPr>
          <w:rFonts w:ascii="Barlow" w:eastAsia="Calibri" w:hAnsi="Barlow" w:cs="Arial"/>
          <w:b/>
          <w:sz w:val="20"/>
          <w:szCs w:val="20"/>
          <w:lang w:eastAsia="en-US"/>
        </w:rPr>
      </w:pPr>
      <w:r w:rsidRPr="00410493">
        <w:rPr>
          <w:rFonts w:ascii="Barlow" w:eastAsia="Calibri" w:hAnsi="Barlow" w:cs="Arial"/>
          <w:b/>
          <w:sz w:val="20"/>
          <w:szCs w:val="20"/>
          <w:lang w:eastAsia="en-US"/>
        </w:rPr>
        <w:t>2.1 Panorama económico nacional</w:t>
      </w:r>
      <w:r w:rsidR="00803BD8">
        <w:rPr>
          <w:rFonts w:ascii="Barlow" w:eastAsia="Calibri" w:hAnsi="Barlow" w:cs="Arial"/>
          <w:b/>
          <w:sz w:val="20"/>
          <w:szCs w:val="20"/>
          <w:lang w:eastAsia="en-US"/>
        </w:rPr>
        <w:t xml:space="preserve"> y local.</w:t>
      </w:r>
    </w:p>
    <w:p w14:paraId="47385708" w14:textId="77777777" w:rsidR="00AD7F6D" w:rsidRPr="00AD7F6D" w:rsidRDefault="00AD7F6D" w:rsidP="00AD7F6D">
      <w:pPr>
        <w:jc w:val="both"/>
        <w:rPr>
          <w:rFonts w:ascii="Barlow" w:eastAsia="Calibri" w:hAnsi="Barlow" w:cs="Arial"/>
          <w:b/>
          <w:sz w:val="8"/>
          <w:szCs w:val="20"/>
          <w:lang w:eastAsia="en-US"/>
        </w:rPr>
      </w:pPr>
    </w:p>
    <w:p w14:paraId="576FB2E9" w14:textId="3400730F" w:rsidR="00AD7F6D" w:rsidRDefault="00803BD8" w:rsidP="00AD7F6D">
      <w:pPr>
        <w:jc w:val="both"/>
        <w:rPr>
          <w:rFonts w:ascii="Barlow" w:eastAsia="Calibri" w:hAnsi="Barlow" w:cs="Arial"/>
          <w:sz w:val="20"/>
          <w:szCs w:val="20"/>
          <w:lang w:eastAsia="en-US"/>
        </w:rPr>
      </w:pPr>
      <w:r>
        <w:rPr>
          <w:rFonts w:ascii="Barlow" w:eastAsia="Calibri" w:hAnsi="Barlow" w:cs="Arial"/>
          <w:sz w:val="20"/>
          <w:szCs w:val="20"/>
          <w:lang w:eastAsia="en-US"/>
        </w:rPr>
        <w:t>La información y conformación económica del Fondo de Aportaciones para la Seguridad Pública del Estado de Yucatán se encuentran</w:t>
      </w:r>
      <w:r w:rsidR="001E163C">
        <w:rPr>
          <w:rFonts w:ascii="Barlow" w:eastAsia="Calibri" w:hAnsi="Barlow" w:cs="Arial"/>
          <w:sz w:val="20"/>
          <w:szCs w:val="20"/>
          <w:lang w:eastAsia="en-US"/>
        </w:rPr>
        <w:t xml:space="preserve"> particularmente en la cláusula segunda del</w:t>
      </w:r>
      <w:r>
        <w:rPr>
          <w:rFonts w:ascii="Barlow" w:eastAsia="Calibri" w:hAnsi="Barlow" w:cs="Arial"/>
          <w:sz w:val="20"/>
          <w:szCs w:val="20"/>
          <w:lang w:eastAsia="en-US"/>
        </w:rPr>
        <w:t xml:space="preserve"> </w:t>
      </w:r>
      <w:r w:rsidRPr="00803BD8">
        <w:rPr>
          <w:rFonts w:ascii="Barlow" w:eastAsia="Calibri" w:hAnsi="Barlow" w:cs="Arial"/>
          <w:sz w:val="20"/>
          <w:szCs w:val="20"/>
          <w:lang w:eastAsia="en-US"/>
        </w:rPr>
        <w:t>CONVENIO de Coordinación que, en el marco del Sistema Nacional de Seguridad Pública, celebran el Secretariado Ejecutivo del Sistema Nacional de Seguridad Pública y el Estado de Yucatán, relativo al Fondo de Aportaciones para la Seguridad Pública de los Estados y</w:t>
      </w:r>
      <w:r w:rsidR="00257165">
        <w:rPr>
          <w:rFonts w:ascii="Barlow" w:eastAsia="Calibri" w:hAnsi="Barlow" w:cs="Arial"/>
          <w:sz w:val="20"/>
          <w:szCs w:val="20"/>
          <w:lang w:eastAsia="en-US"/>
        </w:rPr>
        <w:t xml:space="preserve"> del Distrito Federal (FASP) 202</w:t>
      </w:r>
      <w:r w:rsidR="003C1D54">
        <w:rPr>
          <w:rFonts w:ascii="Barlow" w:eastAsia="Calibri" w:hAnsi="Barlow" w:cs="Arial"/>
          <w:sz w:val="20"/>
          <w:szCs w:val="20"/>
          <w:lang w:eastAsia="en-US"/>
        </w:rPr>
        <w:t>1</w:t>
      </w:r>
      <w:r w:rsidRPr="00803BD8">
        <w:rPr>
          <w:rFonts w:ascii="Barlow" w:eastAsia="Calibri" w:hAnsi="Barlow" w:cs="Arial"/>
          <w:sz w:val="20"/>
          <w:szCs w:val="20"/>
          <w:lang w:eastAsia="en-US"/>
        </w:rPr>
        <w:t>.</w:t>
      </w:r>
      <w:r w:rsidR="001E163C">
        <w:rPr>
          <w:rFonts w:ascii="Barlow" w:eastAsia="Calibri" w:hAnsi="Barlow" w:cs="Arial"/>
          <w:sz w:val="20"/>
          <w:szCs w:val="20"/>
          <w:lang w:eastAsia="en-US"/>
        </w:rPr>
        <w:t xml:space="preserve"> </w:t>
      </w:r>
    </w:p>
    <w:p w14:paraId="732F68C9" w14:textId="77777777" w:rsidR="00AD7F6D" w:rsidRPr="00AD7F6D" w:rsidRDefault="00AD7F6D" w:rsidP="00AD7F6D">
      <w:pPr>
        <w:jc w:val="both"/>
        <w:rPr>
          <w:rFonts w:ascii="Barlow" w:eastAsia="Calibri" w:hAnsi="Barlow" w:cs="Arial"/>
          <w:sz w:val="8"/>
          <w:szCs w:val="20"/>
          <w:lang w:eastAsia="en-US"/>
        </w:rPr>
      </w:pPr>
    </w:p>
    <w:p w14:paraId="7CD3E68B" w14:textId="77777777" w:rsidR="00A56D65" w:rsidRDefault="00A56D65" w:rsidP="00AD7F6D">
      <w:pPr>
        <w:jc w:val="both"/>
        <w:rPr>
          <w:rFonts w:ascii="Barlow" w:eastAsia="Calibri" w:hAnsi="Barlow" w:cs="Arial"/>
          <w:sz w:val="20"/>
          <w:szCs w:val="20"/>
          <w:lang w:eastAsia="en-US"/>
        </w:rPr>
      </w:pPr>
      <w:r>
        <w:rPr>
          <w:rFonts w:ascii="Barlow" w:eastAsia="Calibri" w:hAnsi="Barlow" w:cs="Arial"/>
          <w:sz w:val="20"/>
          <w:szCs w:val="20"/>
          <w:lang w:eastAsia="en-US"/>
        </w:rPr>
        <w:t>L</w:t>
      </w:r>
      <w:r w:rsidRPr="00A56D65">
        <w:rPr>
          <w:rFonts w:ascii="Barlow" w:eastAsia="Calibri" w:hAnsi="Barlow" w:cs="Arial"/>
          <w:sz w:val="20"/>
          <w:szCs w:val="20"/>
          <w:lang w:eastAsia="en-US"/>
        </w:rPr>
        <w:t xml:space="preserve">a </w:t>
      </w:r>
      <w:r w:rsidR="001E163C" w:rsidRPr="00A56D65">
        <w:rPr>
          <w:rFonts w:ascii="Barlow" w:eastAsia="Calibri" w:hAnsi="Barlow" w:cs="Arial"/>
          <w:sz w:val="20"/>
          <w:szCs w:val="20"/>
          <w:lang w:eastAsia="en-US"/>
        </w:rPr>
        <w:t xml:space="preserve">Clausula Segunda del Convenio de Coordinación </w:t>
      </w:r>
      <w:r w:rsidRPr="00A56D65">
        <w:rPr>
          <w:rFonts w:ascii="Barlow" w:eastAsia="Calibri" w:hAnsi="Barlow" w:cs="Arial"/>
          <w:sz w:val="20"/>
          <w:szCs w:val="20"/>
          <w:lang w:eastAsia="en-US"/>
        </w:rPr>
        <w:t>(</w:t>
      </w:r>
      <w:r w:rsidR="001E163C" w:rsidRPr="00A56D65">
        <w:rPr>
          <w:rFonts w:ascii="Barlow" w:eastAsia="Calibri" w:hAnsi="Barlow" w:cs="Arial"/>
          <w:sz w:val="20"/>
          <w:szCs w:val="20"/>
          <w:lang w:eastAsia="en-US"/>
        </w:rPr>
        <w:t>Montos y destinos del gasto del FASP</w:t>
      </w:r>
      <w:r w:rsidRPr="00A56D65">
        <w:rPr>
          <w:rFonts w:ascii="Barlow" w:eastAsia="Calibri" w:hAnsi="Barlow" w:cs="Arial"/>
          <w:sz w:val="20"/>
          <w:szCs w:val="20"/>
          <w:lang w:eastAsia="en-US"/>
        </w:rPr>
        <w:t>)</w:t>
      </w:r>
      <w:r>
        <w:rPr>
          <w:rFonts w:ascii="Barlow" w:eastAsia="Calibri" w:hAnsi="Barlow" w:cs="Arial"/>
          <w:sz w:val="20"/>
          <w:szCs w:val="20"/>
          <w:lang w:eastAsia="en-US"/>
        </w:rPr>
        <w:t xml:space="preserve"> establece lo siguiente:</w:t>
      </w:r>
    </w:p>
    <w:p w14:paraId="684068B1" w14:textId="3665E6AF" w:rsidR="001E163C" w:rsidRDefault="00A56D65" w:rsidP="00AD7F6D">
      <w:pPr>
        <w:jc w:val="both"/>
        <w:rPr>
          <w:rFonts w:ascii="Barlow" w:eastAsia="Calibri" w:hAnsi="Barlow" w:cs="Arial"/>
          <w:sz w:val="20"/>
          <w:szCs w:val="20"/>
          <w:lang w:eastAsia="en-US"/>
        </w:rPr>
      </w:pPr>
      <w:r>
        <w:rPr>
          <w:rFonts w:ascii="Barlow" w:eastAsia="Calibri" w:hAnsi="Barlow" w:cs="Arial"/>
          <w:sz w:val="20"/>
          <w:szCs w:val="20"/>
          <w:lang w:eastAsia="en-US"/>
        </w:rPr>
        <w:t xml:space="preserve">De conformidad con </w:t>
      </w:r>
      <w:r w:rsidR="00803BD8" w:rsidRPr="00306BEA">
        <w:rPr>
          <w:rFonts w:ascii="Barlow" w:eastAsia="Calibri" w:hAnsi="Barlow" w:cs="Arial"/>
          <w:sz w:val="20"/>
          <w:szCs w:val="20"/>
          <w:lang w:eastAsia="en-US"/>
        </w:rPr>
        <w:t>el Presupuesto de Egresos de la Federac</w:t>
      </w:r>
      <w:r w:rsidR="005026A0">
        <w:rPr>
          <w:rFonts w:ascii="Barlow" w:eastAsia="Calibri" w:hAnsi="Barlow" w:cs="Arial"/>
          <w:sz w:val="20"/>
          <w:szCs w:val="20"/>
          <w:lang w:eastAsia="en-US"/>
        </w:rPr>
        <w:t>ión para el Ejercicio Fiscal 202</w:t>
      </w:r>
      <w:r w:rsidR="003C1D54">
        <w:rPr>
          <w:rFonts w:ascii="Barlow" w:eastAsia="Calibri" w:hAnsi="Barlow" w:cs="Arial"/>
          <w:sz w:val="20"/>
          <w:szCs w:val="20"/>
          <w:lang w:eastAsia="en-US"/>
        </w:rPr>
        <w:t>1</w:t>
      </w:r>
      <w:r w:rsidR="00803BD8" w:rsidRPr="00306BEA">
        <w:rPr>
          <w:rFonts w:ascii="Barlow" w:eastAsia="Calibri" w:hAnsi="Barlow" w:cs="Arial"/>
          <w:sz w:val="20"/>
          <w:szCs w:val="20"/>
          <w:lang w:eastAsia="en-US"/>
        </w:rPr>
        <w:t xml:space="preserve"> y los Criterios de distribució</w:t>
      </w:r>
      <w:r w:rsidR="001E163C" w:rsidRPr="00306BEA">
        <w:rPr>
          <w:rFonts w:ascii="Barlow" w:eastAsia="Calibri" w:hAnsi="Barlow" w:cs="Arial"/>
          <w:sz w:val="20"/>
          <w:szCs w:val="20"/>
          <w:lang w:eastAsia="en-US"/>
        </w:rPr>
        <w:t xml:space="preserve">n </w:t>
      </w:r>
      <w:r w:rsidR="00803BD8" w:rsidRPr="00306BEA">
        <w:rPr>
          <w:rFonts w:ascii="Barlow" w:eastAsia="Calibri" w:hAnsi="Barlow" w:cs="Arial"/>
          <w:sz w:val="20"/>
          <w:szCs w:val="20"/>
          <w:lang w:eastAsia="en-US"/>
        </w:rPr>
        <w:t>del Fondo de Aportaciones para la Seguridad Pública de los Estados y del Distrito Federal</w:t>
      </w:r>
      <w:r w:rsidR="001E163C" w:rsidRPr="00306BEA">
        <w:rPr>
          <w:rFonts w:ascii="Barlow" w:eastAsia="Calibri" w:hAnsi="Barlow" w:cs="Arial"/>
          <w:sz w:val="20"/>
          <w:szCs w:val="20"/>
          <w:lang w:eastAsia="en-US"/>
        </w:rPr>
        <w:t xml:space="preserve"> </w:t>
      </w:r>
      <w:r w:rsidR="008515B8">
        <w:rPr>
          <w:rFonts w:ascii="Barlow" w:eastAsia="Calibri" w:hAnsi="Barlow" w:cs="Arial"/>
          <w:sz w:val="20"/>
          <w:szCs w:val="20"/>
          <w:lang w:eastAsia="en-US"/>
        </w:rPr>
        <w:t xml:space="preserve">(Ciudad de México) </w:t>
      </w:r>
      <w:r w:rsidR="001E163C" w:rsidRPr="00306BEA">
        <w:rPr>
          <w:rFonts w:ascii="Barlow" w:eastAsia="Calibri" w:hAnsi="Barlow" w:cs="Arial"/>
          <w:sz w:val="20"/>
          <w:szCs w:val="20"/>
          <w:lang w:eastAsia="en-US"/>
        </w:rPr>
        <w:t>(FASP)</w:t>
      </w:r>
      <w:r w:rsidR="00803BD8" w:rsidRPr="00306BEA">
        <w:rPr>
          <w:rFonts w:ascii="Barlow" w:eastAsia="Calibri" w:hAnsi="Barlow" w:cs="Arial"/>
          <w:sz w:val="20"/>
          <w:szCs w:val="20"/>
          <w:lang w:eastAsia="en-US"/>
        </w:rPr>
        <w:t xml:space="preserve"> </w:t>
      </w:r>
      <w:r w:rsidR="001E163C" w:rsidRPr="00306BEA">
        <w:rPr>
          <w:rFonts w:ascii="Barlow" w:eastAsia="Calibri" w:hAnsi="Barlow" w:cs="Arial"/>
          <w:sz w:val="20"/>
          <w:szCs w:val="20"/>
          <w:lang w:eastAsia="en-US"/>
        </w:rPr>
        <w:t>para el</w:t>
      </w:r>
      <w:r w:rsidR="005026A0">
        <w:rPr>
          <w:rFonts w:ascii="Barlow" w:eastAsia="Calibri" w:hAnsi="Barlow" w:cs="Arial"/>
          <w:sz w:val="20"/>
          <w:szCs w:val="20"/>
          <w:lang w:eastAsia="en-US"/>
        </w:rPr>
        <w:t xml:space="preserve"> ejercicio fiscal 202</w:t>
      </w:r>
      <w:r w:rsidR="003C1D54">
        <w:rPr>
          <w:rFonts w:ascii="Barlow" w:eastAsia="Calibri" w:hAnsi="Barlow" w:cs="Arial"/>
          <w:sz w:val="20"/>
          <w:szCs w:val="20"/>
          <w:lang w:eastAsia="en-US"/>
        </w:rPr>
        <w:t>1</w:t>
      </w:r>
      <w:r w:rsidR="00803BD8" w:rsidRPr="00306BEA">
        <w:rPr>
          <w:rFonts w:ascii="Barlow" w:eastAsia="Calibri" w:hAnsi="Barlow" w:cs="Arial"/>
          <w:sz w:val="20"/>
          <w:szCs w:val="20"/>
          <w:lang w:eastAsia="en-US"/>
        </w:rPr>
        <w:t xml:space="preserve"> y </w:t>
      </w:r>
      <w:r w:rsidR="001E163C" w:rsidRPr="00306BEA">
        <w:rPr>
          <w:rFonts w:ascii="Barlow" w:eastAsia="Calibri" w:hAnsi="Barlow" w:cs="Arial"/>
          <w:sz w:val="20"/>
          <w:szCs w:val="20"/>
          <w:lang w:eastAsia="en-US"/>
        </w:rPr>
        <w:t>los</w:t>
      </w:r>
      <w:r w:rsidR="00803BD8" w:rsidRPr="00306BEA">
        <w:rPr>
          <w:rFonts w:ascii="Barlow" w:eastAsia="Calibri" w:hAnsi="Barlow" w:cs="Arial"/>
          <w:sz w:val="20"/>
          <w:szCs w:val="20"/>
          <w:lang w:eastAsia="en-US"/>
        </w:rPr>
        <w:t xml:space="preserve"> resultado</w:t>
      </w:r>
      <w:r w:rsidR="001E163C" w:rsidRPr="00306BEA">
        <w:rPr>
          <w:rFonts w:ascii="Barlow" w:eastAsia="Calibri" w:hAnsi="Barlow" w:cs="Arial"/>
          <w:sz w:val="20"/>
          <w:szCs w:val="20"/>
          <w:lang w:eastAsia="en-US"/>
        </w:rPr>
        <w:t>s</w:t>
      </w:r>
      <w:r w:rsidR="00803BD8" w:rsidRPr="00306BEA">
        <w:rPr>
          <w:rFonts w:ascii="Barlow" w:eastAsia="Calibri" w:hAnsi="Barlow" w:cs="Arial"/>
          <w:sz w:val="20"/>
          <w:szCs w:val="20"/>
          <w:lang w:eastAsia="en-US"/>
        </w:rPr>
        <w:t xml:space="preserve"> de su aplicación, publicados en el Diario Oficial de la Federación el </w:t>
      </w:r>
      <w:r w:rsidR="008515B8" w:rsidRPr="008515B8">
        <w:rPr>
          <w:rFonts w:ascii="Barlow" w:eastAsia="Calibri" w:hAnsi="Barlow" w:cs="Arial"/>
          <w:sz w:val="20"/>
          <w:szCs w:val="20"/>
          <w:lang w:eastAsia="en-US"/>
        </w:rPr>
        <w:t>30</w:t>
      </w:r>
      <w:r w:rsidR="00803BD8" w:rsidRPr="008515B8">
        <w:rPr>
          <w:rFonts w:ascii="Barlow" w:eastAsia="Calibri" w:hAnsi="Barlow" w:cs="Arial"/>
          <w:sz w:val="20"/>
          <w:szCs w:val="20"/>
          <w:lang w:eastAsia="en-US"/>
        </w:rPr>
        <w:t xml:space="preserve"> </w:t>
      </w:r>
      <w:r w:rsidR="008515B8" w:rsidRPr="008515B8">
        <w:rPr>
          <w:rFonts w:ascii="Barlow" w:eastAsia="Calibri" w:hAnsi="Barlow" w:cs="Arial"/>
          <w:sz w:val="20"/>
          <w:szCs w:val="20"/>
          <w:lang w:eastAsia="en-US"/>
        </w:rPr>
        <w:t>de</w:t>
      </w:r>
      <w:r w:rsidR="00803BD8" w:rsidRPr="008515B8">
        <w:rPr>
          <w:rFonts w:ascii="Barlow" w:eastAsia="Calibri" w:hAnsi="Barlow" w:cs="Arial"/>
          <w:sz w:val="20"/>
          <w:szCs w:val="20"/>
          <w:lang w:eastAsia="en-US"/>
        </w:rPr>
        <w:t xml:space="preserve"> </w:t>
      </w:r>
      <w:r w:rsidR="008515B8" w:rsidRPr="008515B8">
        <w:rPr>
          <w:rFonts w:ascii="Barlow" w:eastAsia="Calibri" w:hAnsi="Barlow" w:cs="Arial"/>
          <w:sz w:val="20"/>
          <w:szCs w:val="20"/>
          <w:lang w:eastAsia="en-US"/>
        </w:rPr>
        <w:t>diciembre</w:t>
      </w:r>
      <w:r w:rsidR="005026A0" w:rsidRPr="008515B8">
        <w:rPr>
          <w:rFonts w:ascii="Barlow" w:eastAsia="Calibri" w:hAnsi="Barlow" w:cs="Arial"/>
          <w:sz w:val="20"/>
          <w:szCs w:val="20"/>
          <w:lang w:eastAsia="en-US"/>
        </w:rPr>
        <w:t xml:space="preserve"> de 2020</w:t>
      </w:r>
      <w:r w:rsidR="00803BD8" w:rsidRPr="008515B8">
        <w:rPr>
          <w:rFonts w:ascii="Barlow" w:eastAsia="Calibri" w:hAnsi="Barlow" w:cs="Arial"/>
          <w:sz w:val="20"/>
          <w:szCs w:val="20"/>
          <w:lang w:eastAsia="en-US"/>
        </w:rPr>
        <w:t>, El</w:t>
      </w:r>
      <w:r w:rsidR="001E163C" w:rsidRPr="00306BEA">
        <w:rPr>
          <w:rFonts w:ascii="Barlow" w:eastAsia="Calibri" w:hAnsi="Barlow" w:cs="Arial"/>
          <w:sz w:val="20"/>
          <w:szCs w:val="20"/>
          <w:lang w:eastAsia="en-US"/>
        </w:rPr>
        <w:t xml:space="preserve"> Estado de Yucatán recibirá para el </w:t>
      </w:r>
      <w:r w:rsidR="00803BD8" w:rsidRPr="00306BEA">
        <w:rPr>
          <w:rFonts w:ascii="Barlow" w:eastAsia="Calibri" w:hAnsi="Barlow" w:cs="Arial"/>
          <w:sz w:val="20"/>
          <w:szCs w:val="20"/>
          <w:lang w:eastAsia="en-US"/>
        </w:rPr>
        <w:t xml:space="preserve">Fondo de Aportaciones para la Seguridad Pública la cantidad de </w:t>
      </w:r>
      <w:r w:rsidR="00803BD8" w:rsidRPr="00AD04A4">
        <w:rPr>
          <w:rFonts w:ascii="Barlow" w:eastAsia="Calibri" w:hAnsi="Barlow" w:cs="Arial"/>
          <w:sz w:val="20"/>
          <w:szCs w:val="20"/>
          <w:lang w:eastAsia="en-US"/>
        </w:rPr>
        <w:t>$1</w:t>
      </w:r>
      <w:r w:rsidR="00AD04A4" w:rsidRPr="00AD04A4">
        <w:rPr>
          <w:rFonts w:ascii="Barlow" w:eastAsia="Calibri" w:hAnsi="Barlow" w:cs="Arial"/>
          <w:sz w:val="20"/>
          <w:szCs w:val="20"/>
          <w:lang w:eastAsia="en-US"/>
        </w:rPr>
        <w:t>71</w:t>
      </w:r>
      <w:r w:rsidR="00803BD8" w:rsidRPr="00AD04A4">
        <w:rPr>
          <w:rFonts w:ascii="Barlow" w:eastAsia="Calibri" w:hAnsi="Barlow" w:cs="Arial"/>
          <w:sz w:val="20"/>
          <w:szCs w:val="20"/>
          <w:lang w:eastAsia="en-US"/>
        </w:rPr>
        <w:t>,</w:t>
      </w:r>
      <w:r w:rsidR="00AD04A4" w:rsidRPr="00AD04A4">
        <w:rPr>
          <w:rFonts w:ascii="Barlow" w:eastAsia="Calibri" w:hAnsi="Barlow" w:cs="Arial"/>
          <w:sz w:val="20"/>
          <w:szCs w:val="20"/>
          <w:lang w:eastAsia="en-US"/>
        </w:rPr>
        <w:t>008</w:t>
      </w:r>
      <w:r w:rsidR="00803BD8" w:rsidRPr="00AD04A4">
        <w:rPr>
          <w:rFonts w:ascii="Barlow" w:eastAsia="Calibri" w:hAnsi="Barlow" w:cs="Arial"/>
          <w:sz w:val="20"/>
          <w:szCs w:val="20"/>
          <w:lang w:eastAsia="en-US"/>
        </w:rPr>
        <w:t>,</w:t>
      </w:r>
      <w:r w:rsidR="00AD04A4" w:rsidRPr="00AD04A4">
        <w:rPr>
          <w:rFonts w:ascii="Barlow" w:eastAsia="Calibri" w:hAnsi="Barlow" w:cs="Arial"/>
          <w:sz w:val="20"/>
          <w:szCs w:val="20"/>
          <w:lang w:eastAsia="en-US"/>
        </w:rPr>
        <w:t>689</w:t>
      </w:r>
      <w:r w:rsidR="00803BD8" w:rsidRPr="00AD04A4">
        <w:rPr>
          <w:rFonts w:ascii="Barlow" w:eastAsia="Calibri" w:hAnsi="Barlow" w:cs="Arial"/>
          <w:sz w:val="20"/>
          <w:szCs w:val="20"/>
          <w:lang w:eastAsia="en-US"/>
        </w:rPr>
        <w:t>.00</w:t>
      </w:r>
      <w:r w:rsidR="00803BD8" w:rsidRPr="00306BEA">
        <w:rPr>
          <w:rFonts w:ascii="Barlow" w:eastAsia="Calibri" w:hAnsi="Barlow" w:cs="Arial"/>
          <w:sz w:val="20"/>
          <w:szCs w:val="20"/>
          <w:lang w:eastAsia="en-US"/>
        </w:rPr>
        <w:t xml:space="preserve"> (</w:t>
      </w:r>
      <w:r w:rsidR="00AD04A4">
        <w:rPr>
          <w:rFonts w:ascii="Barlow" w:eastAsia="Calibri" w:hAnsi="Barlow" w:cs="Arial"/>
          <w:sz w:val="20"/>
          <w:szCs w:val="20"/>
          <w:lang w:eastAsia="en-US"/>
        </w:rPr>
        <w:t>CIENTO SETEN</w:t>
      </w:r>
      <w:r w:rsidR="00342161" w:rsidRPr="00306BEA">
        <w:rPr>
          <w:rFonts w:ascii="Barlow" w:eastAsia="Calibri" w:hAnsi="Barlow" w:cs="Arial"/>
          <w:sz w:val="20"/>
          <w:szCs w:val="20"/>
          <w:lang w:eastAsia="en-US"/>
        </w:rPr>
        <w:t xml:space="preserve">TA Y </w:t>
      </w:r>
      <w:r w:rsidR="00AD04A4">
        <w:rPr>
          <w:rFonts w:ascii="Barlow" w:eastAsia="Calibri" w:hAnsi="Barlow" w:cs="Arial"/>
          <w:sz w:val="20"/>
          <w:szCs w:val="20"/>
          <w:lang w:eastAsia="en-US"/>
        </w:rPr>
        <w:t>UN</w:t>
      </w:r>
      <w:r w:rsidR="00342161" w:rsidRPr="00306BEA">
        <w:rPr>
          <w:rFonts w:ascii="Barlow" w:eastAsia="Calibri" w:hAnsi="Barlow" w:cs="Arial"/>
          <w:sz w:val="20"/>
          <w:szCs w:val="20"/>
          <w:lang w:eastAsia="en-US"/>
        </w:rPr>
        <w:t xml:space="preserve"> MILLONES </w:t>
      </w:r>
      <w:r w:rsidR="00AD04A4">
        <w:rPr>
          <w:rFonts w:ascii="Barlow" w:eastAsia="Calibri" w:hAnsi="Barlow" w:cs="Arial"/>
          <w:sz w:val="20"/>
          <w:szCs w:val="20"/>
          <w:lang w:eastAsia="en-US"/>
        </w:rPr>
        <w:t>OCHO MIL SEICIENTOS</w:t>
      </w:r>
      <w:r w:rsidR="00342161" w:rsidRPr="00306BEA">
        <w:rPr>
          <w:rFonts w:ascii="Barlow" w:eastAsia="Calibri" w:hAnsi="Barlow" w:cs="Arial"/>
          <w:sz w:val="20"/>
          <w:szCs w:val="20"/>
          <w:lang w:eastAsia="en-US"/>
        </w:rPr>
        <w:t xml:space="preserve"> </w:t>
      </w:r>
      <w:r w:rsidR="00AD04A4">
        <w:rPr>
          <w:rFonts w:ascii="Barlow" w:eastAsia="Calibri" w:hAnsi="Barlow" w:cs="Arial"/>
          <w:sz w:val="20"/>
          <w:szCs w:val="20"/>
          <w:lang w:eastAsia="en-US"/>
        </w:rPr>
        <w:t>OCHENTA</w:t>
      </w:r>
      <w:r w:rsidR="00342161" w:rsidRPr="00306BEA">
        <w:rPr>
          <w:rFonts w:ascii="Barlow" w:eastAsia="Calibri" w:hAnsi="Barlow" w:cs="Arial"/>
          <w:sz w:val="20"/>
          <w:szCs w:val="20"/>
          <w:lang w:eastAsia="en-US"/>
        </w:rPr>
        <w:t xml:space="preserve"> Y </w:t>
      </w:r>
      <w:r w:rsidR="00AD04A4">
        <w:rPr>
          <w:rFonts w:ascii="Barlow" w:eastAsia="Calibri" w:hAnsi="Barlow" w:cs="Arial"/>
          <w:sz w:val="20"/>
          <w:szCs w:val="20"/>
          <w:lang w:eastAsia="en-US"/>
        </w:rPr>
        <w:t xml:space="preserve">NUEVE </w:t>
      </w:r>
      <w:r w:rsidR="00342161" w:rsidRPr="00306BEA">
        <w:rPr>
          <w:rFonts w:ascii="Barlow" w:eastAsia="Calibri" w:hAnsi="Barlow" w:cs="Arial"/>
          <w:sz w:val="20"/>
          <w:szCs w:val="20"/>
          <w:lang w:eastAsia="en-US"/>
        </w:rPr>
        <w:t>PESOS</w:t>
      </w:r>
      <w:r w:rsidR="00803BD8" w:rsidRPr="00306BEA">
        <w:rPr>
          <w:rFonts w:ascii="Barlow" w:eastAsia="Calibri" w:hAnsi="Barlow" w:cs="Arial"/>
          <w:sz w:val="20"/>
          <w:szCs w:val="20"/>
          <w:lang w:eastAsia="en-US"/>
        </w:rPr>
        <w:t xml:space="preserve"> 00/100 M.N.). </w:t>
      </w:r>
    </w:p>
    <w:p w14:paraId="09FD346F" w14:textId="77777777" w:rsidR="00AD7F6D" w:rsidRPr="00AD7F6D" w:rsidRDefault="00AD7F6D" w:rsidP="00AD7F6D">
      <w:pPr>
        <w:jc w:val="both"/>
        <w:rPr>
          <w:rFonts w:ascii="Barlow" w:eastAsia="Calibri" w:hAnsi="Barlow" w:cs="Arial"/>
          <w:sz w:val="8"/>
          <w:szCs w:val="20"/>
          <w:lang w:eastAsia="en-US"/>
        </w:rPr>
      </w:pPr>
    </w:p>
    <w:p w14:paraId="51D1298A" w14:textId="483CF0DA" w:rsidR="00306BEA" w:rsidRPr="00306BEA" w:rsidRDefault="00803BD8" w:rsidP="00AD7F6D">
      <w:pPr>
        <w:jc w:val="both"/>
        <w:rPr>
          <w:rFonts w:ascii="Barlow" w:eastAsia="Calibri" w:hAnsi="Barlow" w:cs="Arial"/>
          <w:sz w:val="20"/>
          <w:szCs w:val="20"/>
          <w:lang w:eastAsia="en-US"/>
        </w:rPr>
      </w:pPr>
      <w:r w:rsidRPr="00306BEA">
        <w:rPr>
          <w:rFonts w:ascii="Barlow" w:eastAsia="Calibri" w:hAnsi="Barlow" w:cs="Arial"/>
          <w:sz w:val="20"/>
          <w:szCs w:val="20"/>
          <w:lang w:eastAsia="en-US"/>
        </w:rPr>
        <w:t>A efecto de complementar los recursos necesarios para la realización del objeto del Fondo</w:t>
      </w:r>
      <w:r w:rsidR="00306BEA" w:rsidRPr="00306BEA">
        <w:rPr>
          <w:rFonts w:ascii="Barlow" w:eastAsia="Calibri" w:hAnsi="Barlow" w:cs="Arial"/>
          <w:sz w:val="20"/>
          <w:szCs w:val="20"/>
          <w:lang w:eastAsia="en-US"/>
        </w:rPr>
        <w:t xml:space="preserve"> de Aportaciones para la Seguridad Pública</w:t>
      </w:r>
      <w:r w:rsidRPr="00306BEA">
        <w:rPr>
          <w:rFonts w:ascii="Barlow" w:eastAsia="Calibri" w:hAnsi="Barlow" w:cs="Arial"/>
          <w:sz w:val="20"/>
          <w:szCs w:val="20"/>
          <w:lang w:eastAsia="en-US"/>
        </w:rPr>
        <w:t xml:space="preserve">, </w:t>
      </w:r>
      <w:r w:rsidR="00306BEA" w:rsidRPr="00306BEA">
        <w:rPr>
          <w:rFonts w:ascii="Barlow" w:eastAsia="Calibri" w:hAnsi="Barlow" w:cs="Arial"/>
          <w:sz w:val="20"/>
          <w:szCs w:val="20"/>
          <w:lang w:eastAsia="en-US"/>
        </w:rPr>
        <w:t>El Estado de Yucatán</w:t>
      </w:r>
      <w:r w:rsidRPr="00306BEA">
        <w:rPr>
          <w:rFonts w:ascii="Barlow" w:eastAsia="Calibri" w:hAnsi="Barlow" w:cs="Arial"/>
          <w:sz w:val="20"/>
          <w:szCs w:val="20"/>
          <w:lang w:eastAsia="en-US"/>
        </w:rPr>
        <w:t xml:space="preserve"> se obliga a aportar de sus recursos presupuestarios</w:t>
      </w:r>
      <w:r w:rsidR="00393442">
        <w:rPr>
          <w:rFonts w:ascii="Barlow" w:eastAsia="Calibri" w:hAnsi="Barlow" w:cs="Arial"/>
          <w:sz w:val="20"/>
          <w:szCs w:val="20"/>
          <w:lang w:eastAsia="en-US"/>
        </w:rPr>
        <w:t xml:space="preserve"> la cantidad de </w:t>
      </w:r>
      <w:r w:rsidR="00393442" w:rsidRPr="00AD04A4">
        <w:rPr>
          <w:rFonts w:ascii="Barlow" w:eastAsia="Calibri" w:hAnsi="Barlow" w:cs="Arial"/>
          <w:sz w:val="20"/>
          <w:szCs w:val="20"/>
          <w:lang w:eastAsia="en-US"/>
        </w:rPr>
        <w:t>$52,000,000.00</w:t>
      </w:r>
      <w:r w:rsidR="00393442" w:rsidRPr="00306BEA">
        <w:rPr>
          <w:rFonts w:ascii="Barlow" w:eastAsia="Calibri" w:hAnsi="Barlow" w:cs="Arial"/>
          <w:sz w:val="20"/>
          <w:szCs w:val="20"/>
          <w:lang w:eastAsia="en-US"/>
        </w:rPr>
        <w:t xml:space="preserve"> (CINCUENTA Y DOS MILLONES PESOS </w:t>
      </w:r>
      <w:r w:rsidR="00393442">
        <w:rPr>
          <w:rFonts w:ascii="Barlow" w:eastAsia="Calibri" w:hAnsi="Barlow" w:cs="Arial"/>
          <w:sz w:val="20"/>
          <w:szCs w:val="20"/>
          <w:lang w:eastAsia="en-US"/>
        </w:rPr>
        <w:t>00</w:t>
      </w:r>
      <w:r w:rsidR="00393442" w:rsidRPr="00306BEA">
        <w:rPr>
          <w:rFonts w:ascii="Barlow" w:eastAsia="Calibri" w:hAnsi="Barlow" w:cs="Arial"/>
          <w:sz w:val="20"/>
          <w:szCs w:val="20"/>
          <w:lang w:eastAsia="en-US"/>
        </w:rPr>
        <w:t>/100 M.N.)</w:t>
      </w:r>
      <w:r w:rsidR="00393442">
        <w:rPr>
          <w:rFonts w:ascii="Barlow" w:eastAsia="Calibri" w:hAnsi="Barlow" w:cs="Arial"/>
          <w:sz w:val="20"/>
          <w:szCs w:val="20"/>
          <w:lang w:eastAsia="en-US"/>
        </w:rPr>
        <w:t>, misma que equivale a más d</w:t>
      </w:r>
      <w:r w:rsidRPr="00306BEA">
        <w:rPr>
          <w:rFonts w:ascii="Barlow" w:eastAsia="Calibri" w:hAnsi="Barlow" w:cs="Arial"/>
          <w:sz w:val="20"/>
          <w:szCs w:val="20"/>
          <w:lang w:eastAsia="en-US"/>
        </w:rPr>
        <w:t xml:space="preserve">el </w:t>
      </w:r>
      <w:r w:rsidR="00AD04A4" w:rsidRPr="00AD04A4">
        <w:rPr>
          <w:rFonts w:ascii="Barlow" w:eastAsia="Calibri" w:hAnsi="Barlow" w:cs="Arial"/>
          <w:sz w:val="20"/>
          <w:szCs w:val="20"/>
          <w:lang w:eastAsia="en-US"/>
        </w:rPr>
        <w:t>25</w:t>
      </w:r>
      <w:r w:rsidR="00AD04A4">
        <w:rPr>
          <w:rFonts w:ascii="Barlow" w:eastAsia="Calibri" w:hAnsi="Barlow" w:cs="Arial"/>
          <w:sz w:val="20"/>
          <w:szCs w:val="20"/>
          <w:lang w:eastAsia="en-US"/>
        </w:rPr>
        <w:t>%</w:t>
      </w:r>
      <w:r w:rsidRPr="00AD04A4">
        <w:rPr>
          <w:rFonts w:ascii="Barlow" w:eastAsia="Calibri" w:hAnsi="Barlow" w:cs="Arial"/>
          <w:sz w:val="20"/>
          <w:szCs w:val="20"/>
          <w:lang w:eastAsia="en-US"/>
        </w:rPr>
        <w:t xml:space="preserve"> (</w:t>
      </w:r>
      <w:r w:rsidR="00AD04A4" w:rsidRPr="00AD04A4">
        <w:rPr>
          <w:rFonts w:ascii="Barlow" w:eastAsia="Calibri" w:hAnsi="Barlow" w:cs="Arial"/>
          <w:sz w:val="20"/>
          <w:szCs w:val="20"/>
          <w:lang w:eastAsia="en-US"/>
        </w:rPr>
        <w:t>veinticinco</w:t>
      </w:r>
      <w:r w:rsidRPr="00AD04A4">
        <w:rPr>
          <w:rFonts w:ascii="Barlow" w:eastAsia="Calibri" w:hAnsi="Barlow" w:cs="Arial"/>
          <w:sz w:val="20"/>
          <w:szCs w:val="20"/>
          <w:lang w:eastAsia="en-US"/>
        </w:rPr>
        <w:t>)</w:t>
      </w:r>
      <w:r w:rsidRPr="00306BEA">
        <w:rPr>
          <w:rFonts w:ascii="Barlow" w:eastAsia="Calibri" w:hAnsi="Barlow" w:cs="Arial"/>
          <w:sz w:val="20"/>
          <w:szCs w:val="20"/>
          <w:lang w:eastAsia="en-US"/>
        </w:rPr>
        <w:t xml:space="preserve"> por ciento del </w:t>
      </w:r>
      <w:r w:rsidR="00393442">
        <w:rPr>
          <w:rFonts w:ascii="Barlow" w:eastAsia="Calibri" w:hAnsi="Barlow" w:cs="Arial"/>
          <w:sz w:val="20"/>
          <w:szCs w:val="20"/>
          <w:lang w:eastAsia="en-US"/>
        </w:rPr>
        <w:t>total de los recursos federales otorgados.</w:t>
      </w:r>
      <w:r w:rsidRPr="00306BEA">
        <w:rPr>
          <w:rFonts w:ascii="Barlow" w:eastAsia="Calibri" w:hAnsi="Barlow" w:cs="Arial"/>
          <w:sz w:val="20"/>
          <w:szCs w:val="20"/>
          <w:lang w:eastAsia="en-US"/>
        </w:rPr>
        <w:t xml:space="preserve"> </w:t>
      </w:r>
    </w:p>
    <w:p w14:paraId="60337B35" w14:textId="57396A11" w:rsidR="00803BD8" w:rsidRDefault="00306BEA" w:rsidP="00BF525A">
      <w:pPr>
        <w:spacing w:after="200"/>
        <w:jc w:val="both"/>
        <w:rPr>
          <w:rFonts w:ascii="Barlow" w:eastAsia="Calibri" w:hAnsi="Barlow" w:cs="Arial"/>
          <w:sz w:val="20"/>
          <w:szCs w:val="20"/>
          <w:lang w:eastAsia="en-US"/>
        </w:rPr>
      </w:pPr>
      <w:r>
        <w:rPr>
          <w:rFonts w:ascii="Barlow" w:eastAsia="Calibri" w:hAnsi="Barlow" w:cs="Arial"/>
          <w:sz w:val="20"/>
          <w:szCs w:val="20"/>
          <w:lang w:eastAsia="en-US"/>
        </w:rPr>
        <w:lastRenderedPageBreak/>
        <w:t>El</w:t>
      </w:r>
      <w:r w:rsidR="00803BD8" w:rsidRPr="00306BEA">
        <w:rPr>
          <w:rFonts w:ascii="Barlow" w:eastAsia="Calibri" w:hAnsi="Barlow" w:cs="Arial"/>
          <w:sz w:val="20"/>
          <w:szCs w:val="20"/>
          <w:lang w:eastAsia="en-US"/>
        </w:rPr>
        <w:t xml:space="preserve"> Financiamiento Conjunto pactado en el Convenio</w:t>
      </w:r>
      <w:r w:rsidRPr="00306BEA">
        <w:rPr>
          <w:rFonts w:ascii="Barlow" w:eastAsia="Calibri" w:hAnsi="Barlow" w:cs="Arial"/>
          <w:sz w:val="20"/>
          <w:szCs w:val="20"/>
          <w:lang w:eastAsia="en-US"/>
        </w:rPr>
        <w:t xml:space="preserve"> de Coordinación</w:t>
      </w:r>
      <w:r w:rsidR="00803BD8" w:rsidRPr="00306BEA">
        <w:rPr>
          <w:rFonts w:ascii="Barlow" w:eastAsia="Calibri" w:hAnsi="Barlow" w:cs="Arial"/>
          <w:sz w:val="20"/>
          <w:szCs w:val="20"/>
          <w:lang w:eastAsia="en-US"/>
        </w:rPr>
        <w:t xml:space="preserve">, integrado por las aportaciones federal y estatal suman en conjunto la cantidad </w:t>
      </w:r>
      <w:r w:rsidR="00803BD8" w:rsidRPr="00B3253A">
        <w:rPr>
          <w:rFonts w:ascii="Barlow" w:eastAsia="Calibri" w:hAnsi="Barlow" w:cs="Arial"/>
          <w:sz w:val="20"/>
          <w:szCs w:val="20"/>
          <w:lang w:eastAsia="en-US"/>
        </w:rPr>
        <w:t>de $2</w:t>
      </w:r>
      <w:r w:rsidR="00AD04A4" w:rsidRPr="00B3253A">
        <w:rPr>
          <w:rFonts w:ascii="Barlow" w:eastAsia="Calibri" w:hAnsi="Barlow" w:cs="Arial"/>
          <w:sz w:val="20"/>
          <w:szCs w:val="20"/>
          <w:lang w:eastAsia="en-US"/>
        </w:rPr>
        <w:t>23</w:t>
      </w:r>
      <w:r w:rsidR="00342161" w:rsidRPr="00B3253A">
        <w:rPr>
          <w:rFonts w:ascii="Barlow" w:eastAsia="Calibri" w:hAnsi="Barlow" w:cs="Arial"/>
          <w:sz w:val="20"/>
          <w:szCs w:val="20"/>
          <w:lang w:eastAsia="en-US"/>
        </w:rPr>
        <w:t>,</w:t>
      </w:r>
      <w:r w:rsidR="00393442" w:rsidRPr="00B3253A">
        <w:rPr>
          <w:rFonts w:ascii="Barlow" w:eastAsia="Calibri" w:hAnsi="Barlow" w:cs="Arial"/>
          <w:sz w:val="20"/>
          <w:szCs w:val="20"/>
          <w:lang w:eastAsia="en-US"/>
        </w:rPr>
        <w:t>008</w:t>
      </w:r>
      <w:r w:rsidR="00342161" w:rsidRPr="00B3253A">
        <w:rPr>
          <w:rFonts w:ascii="Barlow" w:eastAsia="Calibri" w:hAnsi="Barlow" w:cs="Arial"/>
          <w:sz w:val="20"/>
          <w:szCs w:val="20"/>
          <w:lang w:eastAsia="en-US"/>
        </w:rPr>
        <w:t>,</w:t>
      </w:r>
      <w:r w:rsidR="00393442" w:rsidRPr="00B3253A">
        <w:rPr>
          <w:rFonts w:ascii="Barlow" w:eastAsia="Calibri" w:hAnsi="Barlow" w:cs="Arial"/>
          <w:sz w:val="20"/>
          <w:szCs w:val="20"/>
          <w:lang w:eastAsia="en-US"/>
        </w:rPr>
        <w:t>689</w:t>
      </w:r>
      <w:r w:rsidR="00803BD8" w:rsidRPr="00B3253A">
        <w:rPr>
          <w:rFonts w:ascii="Barlow" w:eastAsia="Calibri" w:hAnsi="Barlow" w:cs="Arial"/>
          <w:sz w:val="20"/>
          <w:szCs w:val="20"/>
          <w:lang w:eastAsia="en-US"/>
        </w:rPr>
        <w:t>.</w:t>
      </w:r>
      <w:r w:rsidR="00342161" w:rsidRPr="00B3253A">
        <w:rPr>
          <w:rFonts w:ascii="Barlow" w:eastAsia="Calibri" w:hAnsi="Barlow" w:cs="Arial"/>
          <w:sz w:val="20"/>
          <w:szCs w:val="20"/>
          <w:lang w:eastAsia="en-US"/>
        </w:rPr>
        <w:t>00</w:t>
      </w:r>
      <w:r w:rsidR="00803BD8" w:rsidRPr="00B3253A">
        <w:rPr>
          <w:rFonts w:ascii="Barlow" w:eastAsia="Calibri" w:hAnsi="Barlow" w:cs="Arial"/>
          <w:sz w:val="20"/>
          <w:szCs w:val="20"/>
          <w:lang w:eastAsia="en-US"/>
        </w:rPr>
        <w:t xml:space="preserve"> (</w:t>
      </w:r>
      <w:r w:rsidR="00342161" w:rsidRPr="00B3253A">
        <w:rPr>
          <w:rFonts w:ascii="Barlow" w:eastAsia="Calibri" w:hAnsi="Barlow" w:cs="Arial"/>
          <w:sz w:val="20"/>
          <w:szCs w:val="20"/>
          <w:lang w:eastAsia="en-US"/>
        </w:rPr>
        <w:t>DOSCIENTOS</w:t>
      </w:r>
      <w:r w:rsidR="00342161" w:rsidRPr="00306BEA">
        <w:rPr>
          <w:rFonts w:ascii="Barlow" w:eastAsia="Calibri" w:hAnsi="Barlow" w:cs="Arial"/>
          <w:sz w:val="20"/>
          <w:szCs w:val="20"/>
          <w:lang w:eastAsia="en-US"/>
        </w:rPr>
        <w:t xml:space="preserve"> </w:t>
      </w:r>
      <w:r w:rsidR="00393442">
        <w:rPr>
          <w:rFonts w:ascii="Barlow" w:eastAsia="Calibri" w:hAnsi="Barlow" w:cs="Arial"/>
          <w:sz w:val="20"/>
          <w:szCs w:val="20"/>
          <w:lang w:eastAsia="en-US"/>
        </w:rPr>
        <w:t>VEINTITRÉS</w:t>
      </w:r>
      <w:r w:rsidR="00342161">
        <w:rPr>
          <w:rFonts w:ascii="Barlow" w:eastAsia="Calibri" w:hAnsi="Barlow" w:cs="Arial"/>
          <w:sz w:val="20"/>
          <w:szCs w:val="20"/>
          <w:lang w:eastAsia="en-US"/>
        </w:rPr>
        <w:t xml:space="preserve"> MILLONES </w:t>
      </w:r>
      <w:r w:rsidR="00393442">
        <w:rPr>
          <w:rFonts w:ascii="Barlow" w:eastAsia="Calibri" w:hAnsi="Barlow" w:cs="Arial"/>
          <w:sz w:val="20"/>
          <w:szCs w:val="20"/>
          <w:lang w:eastAsia="en-US"/>
        </w:rPr>
        <w:t>OCHO</w:t>
      </w:r>
      <w:r w:rsidR="00342161" w:rsidRPr="00306BEA">
        <w:rPr>
          <w:rFonts w:ascii="Barlow" w:eastAsia="Calibri" w:hAnsi="Barlow" w:cs="Arial"/>
          <w:sz w:val="20"/>
          <w:szCs w:val="20"/>
          <w:lang w:eastAsia="en-US"/>
        </w:rPr>
        <w:t xml:space="preserve"> MIL </w:t>
      </w:r>
      <w:r w:rsidR="00393442">
        <w:rPr>
          <w:rFonts w:ascii="Barlow" w:eastAsia="Calibri" w:hAnsi="Barlow" w:cs="Arial"/>
          <w:sz w:val="20"/>
          <w:szCs w:val="20"/>
          <w:lang w:eastAsia="en-US"/>
        </w:rPr>
        <w:t>SEISCIENTOS OCHENTA</w:t>
      </w:r>
      <w:r w:rsidR="00342161">
        <w:rPr>
          <w:rFonts w:ascii="Barlow" w:eastAsia="Calibri" w:hAnsi="Barlow" w:cs="Arial"/>
          <w:sz w:val="20"/>
          <w:szCs w:val="20"/>
          <w:lang w:eastAsia="en-US"/>
        </w:rPr>
        <w:t xml:space="preserve"> </w:t>
      </w:r>
      <w:r w:rsidR="00342161" w:rsidRPr="00306BEA">
        <w:rPr>
          <w:rFonts w:ascii="Barlow" w:eastAsia="Calibri" w:hAnsi="Barlow" w:cs="Arial"/>
          <w:sz w:val="20"/>
          <w:szCs w:val="20"/>
          <w:lang w:eastAsia="en-US"/>
        </w:rPr>
        <w:t xml:space="preserve">Y </w:t>
      </w:r>
      <w:r w:rsidR="00393442">
        <w:rPr>
          <w:rFonts w:ascii="Barlow" w:eastAsia="Calibri" w:hAnsi="Barlow" w:cs="Arial"/>
          <w:sz w:val="20"/>
          <w:szCs w:val="20"/>
          <w:lang w:eastAsia="en-US"/>
        </w:rPr>
        <w:t xml:space="preserve">NUEVE </w:t>
      </w:r>
      <w:r w:rsidR="00342161" w:rsidRPr="00306BEA">
        <w:rPr>
          <w:rFonts w:ascii="Barlow" w:eastAsia="Calibri" w:hAnsi="Barlow" w:cs="Arial"/>
          <w:sz w:val="20"/>
          <w:szCs w:val="20"/>
          <w:lang w:eastAsia="en-US"/>
        </w:rPr>
        <w:t xml:space="preserve">PESOS </w:t>
      </w:r>
      <w:r w:rsidR="00393442">
        <w:rPr>
          <w:rFonts w:ascii="Barlow" w:eastAsia="Calibri" w:hAnsi="Barlow" w:cs="Arial"/>
          <w:sz w:val="20"/>
          <w:szCs w:val="20"/>
          <w:lang w:eastAsia="en-US"/>
        </w:rPr>
        <w:t>00</w:t>
      </w:r>
      <w:r w:rsidR="00803BD8" w:rsidRPr="00306BEA">
        <w:rPr>
          <w:rFonts w:ascii="Barlow" w:eastAsia="Calibri" w:hAnsi="Barlow" w:cs="Arial"/>
          <w:sz w:val="20"/>
          <w:szCs w:val="20"/>
          <w:lang w:eastAsia="en-US"/>
        </w:rPr>
        <w:t>/100 M.N.)</w:t>
      </w:r>
    </w:p>
    <w:p w14:paraId="320A858F" w14:textId="77777777" w:rsidR="00A56D65" w:rsidRPr="00A56D65" w:rsidRDefault="00A56D65" w:rsidP="00BF525A">
      <w:pPr>
        <w:spacing w:after="200"/>
        <w:jc w:val="both"/>
        <w:rPr>
          <w:rFonts w:ascii="Barlow" w:eastAsia="Calibri" w:hAnsi="Barlow" w:cs="Arial"/>
          <w:sz w:val="20"/>
          <w:szCs w:val="20"/>
          <w:lang w:eastAsia="en-US"/>
        </w:rPr>
      </w:pPr>
      <w:r w:rsidRPr="00A56D65">
        <w:rPr>
          <w:rFonts w:ascii="Barlow" w:eastAsia="Calibri" w:hAnsi="Barlow" w:cs="Arial"/>
          <w:sz w:val="20"/>
          <w:szCs w:val="20"/>
          <w:lang w:eastAsia="en-US"/>
        </w:rPr>
        <w:t>Las acciones prioritarias,</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metas y conceptos convenidos de los</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Programas con Prioridad Nacional, se establecerán en un</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Anexo</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Técnico,</w:t>
      </w:r>
      <w:r w:rsidR="00BF525A">
        <w:rPr>
          <w:rFonts w:ascii="Barlow" w:eastAsia="Calibri" w:hAnsi="Barlow" w:cs="Arial"/>
          <w:sz w:val="20"/>
          <w:szCs w:val="20"/>
          <w:lang w:eastAsia="en-US"/>
        </w:rPr>
        <w:t xml:space="preserve"> e</w:t>
      </w:r>
      <w:r w:rsidRPr="00A56D65">
        <w:rPr>
          <w:rFonts w:ascii="Barlow" w:eastAsia="Calibri" w:hAnsi="Barlow" w:cs="Arial"/>
          <w:sz w:val="20"/>
          <w:szCs w:val="20"/>
          <w:lang w:eastAsia="en-US"/>
        </w:rPr>
        <w:t>l</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cual</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una</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vez</w:t>
      </w:r>
      <w:r w:rsidR="00BF525A">
        <w:rPr>
          <w:rFonts w:ascii="Barlow" w:eastAsia="Calibri" w:hAnsi="Barlow" w:cs="Arial"/>
          <w:sz w:val="20"/>
          <w:szCs w:val="20"/>
          <w:lang w:eastAsia="en-US"/>
        </w:rPr>
        <w:t xml:space="preserve"> f</w:t>
      </w:r>
      <w:r w:rsidRPr="00A56D65">
        <w:rPr>
          <w:rFonts w:ascii="Barlow" w:eastAsia="Calibri" w:hAnsi="Barlow" w:cs="Arial"/>
          <w:sz w:val="20"/>
          <w:szCs w:val="20"/>
          <w:lang w:eastAsia="en-US"/>
        </w:rPr>
        <w:t>irmado</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por las y los Titulares de las Unidades Administrativas competentes de</w:t>
      </w:r>
      <w:r w:rsidR="00BF525A">
        <w:rPr>
          <w:rFonts w:ascii="Barlow" w:eastAsia="Calibri" w:hAnsi="Barlow" w:cs="Arial"/>
          <w:sz w:val="20"/>
          <w:szCs w:val="20"/>
          <w:lang w:eastAsia="en-US"/>
        </w:rPr>
        <w:t>l</w:t>
      </w:r>
      <w:r w:rsidRPr="00A56D65">
        <w:rPr>
          <w:rFonts w:ascii="Barlow" w:eastAsia="Calibri" w:hAnsi="Barlow" w:cs="Arial"/>
          <w:sz w:val="20"/>
          <w:szCs w:val="20"/>
          <w:lang w:eastAsia="en-US"/>
        </w:rPr>
        <w:t xml:space="preserve"> </w:t>
      </w:r>
      <w:r w:rsidR="00BF525A" w:rsidRPr="00803BD8">
        <w:rPr>
          <w:rFonts w:ascii="Barlow" w:eastAsia="Calibri" w:hAnsi="Barlow" w:cs="Arial"/>
          <w:sz w:val="20"/>
          <w:szCs w:val="20"/>
          <w:lang w:eastAsia="en-US"/>
        </w:rPr>
        <w:t>Secretariado Ejecutivo del Sistema Nacional de Seguridad Pública</w:t>
      </w:r>
      <w:r w:rsidRPr="00A56D65">
        <w:rPr>
          <w:rFonts w:ascii="Barlow" w:eastAsia="Calibri" w:hAnsi="Barlow" w:cs="Arial"/>
          <w:sz w:val="20"/>
          <w:szCs w:val="20"/>
          <w:lang w:eastAsia="en-US"/>
        </w:rPr>
        <w:t>, y</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el</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Secretario Ejecutivo</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del</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Sistema Estatal de Seguridad Pública de</w:t>
      </w:r>
      <w:r w:rsidR="00BF525A">
        <w:rPr>
          <w:rFonts w:ascii="Barlow" w:eastAsia="Calibri" w:hAnsi="Barlow" w:cs="Arial"/>
          <w:sz w:val="20"/>
          <w:szCs w:val="20"/>
          <w:lang w:eastAsia="en-US"/>
        </w:rPr>
        <w:t>l</w:t>
      </w:r>
      <w:r w:rsidRPr="00A56D65">
        <w:rPr>
          <w:rFonts w:ascii="Barlow" w:eastAsia="Calibri" w:hAnsi="Barlow" w:cs="Arial"/>
          <w:sz w:val="20"/>
          <w:szCs w:val="20"/>
          <w:lang w:eastAsia="en-US"/>
        </w:rPr>
        <w:t xml:space="preserve"> </w:t>
      </w:r>
      <w:r w:rsidR="00BF525A">
        <w:rPr>
          <w:rFonts w:ascii="Barlow" w:eastAsia="Calibri" w:hAnsi="Barlow" w:cs="Arial"/>
          <w:sz w:val="20"/>
          <w:szCs w:val="20"/>
          <w:lang w:eastAsia="en-US"/>
        </w:rPr>
        <w:t>Estado de Yucatán</w:t>
      </w:r>
      <w:r w:rsidRPr="00A56D65">
        <w:rPr>
          <w:rFonts w:ascii="Barlow" w:eastAsia="Calibri" w:hAnsi="Barlow" w:cs="Arial"/>
          <w:sz w:val="20"/>
          <w:szCs w:val="20"/>
          <w:lang w:eastAsia="en-US"/>
        </w:rPr>
        <w:t>, formará parte integrante</w:t>
      </w:r>
      <w:r w:rsidR="00BF525A">
        <w:rPr>
          <w:rFonts w:ascii="Barlow" w:eastAsia="Calibri" w:hAnsi="Barlow" w:cs="Arial"/>
          <w:sz w:val="20"/>
          <w:szCs w:val="20"/>
          <w:lang w:eastAsia="en-US"/>
        </w:rPr>
        <w:t xml:space="preserve"> </w:t>
      </w:r>
      <w:r w:rsidRPr="00A56D65">
        <w:rPr>
          <w:rFonts w:ascii="Barlow" w:eastAsia="Calibri" w:hAnsi="Barlow" w:cs="Arial"/>
          <w:sz w:val="20"/>
          <w:szCs w:val="20"/>
          <w:lang w:eastAsia="en-US"/>
        </w:rPr>
        <w:t>del presente Convenio.</w:t>
      </w:r>
    </w:p>
    <w:p w14:paraId="58B2889A" w14:textId="77777777" w:rsidR="002B4062" w:rsidRDefault="00A56D65" w:rsidP="00BF525A">
      <w:pPr>
        <w:spacing w:after="200"/>
        <w:jc w:val="both"/>
        <w:rPr>
          <w:rFonts w:ascii="Barlow" w:eastAsia="Calibri" w:hAnsi="Barlow" w:cs="Arial"/>
          <w:sz w:val="20"/>
          <w:szCs w:val="20"/>
          <w:lang w:eastAsia="en-US"/>
        </w:rPr>
      </w:pPr>
      <w:r w:rsidRPr="00A56D65">
        <w:rPr>
          <w:rFonts w:ascii="Barlow" w:eastAsia="Calibri" w:hAnsi="Barlow" w:cs="Arial"/>
          <w:sz w:val="20"/>
          <w:szCs w:val="20"/>
          <w:lang w:eastAsia="en-US"/>
        </w:rPr>
        <w:t xml:space="preserve">En cumplimiento a lo dispuesto en los artículos 7, fracción II y 8 de la "Ley General" y 45 de la Ley de Coordinación Fiscal, </w:t>
      </w:r>
      <w:r w:rsidR="002B4062">
        <w:rPr>
          <w:rFonts w:ascii="Barlow" w:eastAsia="Calibri" w:hAnsi="Barlow" w:cs="Arial"/>
          <w:sz w:val="20"/>
          <w:szCs w:val="20"/>
          <w:lang w:eastAsia="en-US"/>
        </w:rPr>
        <w:t xml:space="preserve">Estado de Yucatán </w:t>
      </w:r>
      <w:r w:rsidRPr="00A56D65">
        <w:rPr>
          <w:rFonts w:ascii="Barlow" w:eastAsia="Calibri" w:hAnsi="Barlow" w:cs="Arial"/>
          <w:sz w:val="20"/>
          <w:szCs w:val="20"/>
          <w:lang w:eastAsia="en-US"/>
        </w:rPr>
        <w:t>destinará recursos del</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Financiamiento Conjunto, para realizar</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acciones específicas en materia de seguimiento</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y</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evaluación respecto de las</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acciones, metas, conceptos y</w:t>
      </w:r>
      <w:r w:rsidR="002B4062">
        <w:rPr>
          <w:rFonts w:ascii="Barlow" w:eastAsia="Calibri" w:hAnsi="Barlow" w:cs="Arial"/>
          <w:sz w:val="20"/>
          <w:szCs w:val="20"/>
          <w:lang w:eastAsia="en-US"/>
        </w:rPr>
        <w:t xml:space="preserve"> r</w:t>
      </w:r>
      <w:r w:rsidRPr="00A56D65">
        <w:rPr>
          <w:rFonts w:ascii="Barlow" w:eastAsia="Calibri" w:hAnsi="Barlow" w:cs="Arial"/>
          <w:sz w:val="20"/>
          <w:szCs w:val="20"/>
          <w:lang w:eastAsia="en-US"/>
        </w:rPr>
        <w:t>ecursos asociados</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de</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los</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Programas</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co</w:t>
      </w:r>
      <w:r w:rsidR="002B4062">
        <w:rPr>
          <w:rFonts w:ascii="Barlow" w:eastAsia="Calibri" w:hAnsi="Barlow" w:cs="Arial"/>
          <w:sz w:val="20"/>
          <w:szCs w:val="20"/>
          <w:lang w:eastAsia="en-US"/>
        </w:rPr>
        <w:t>n P</w:t>
      </w:r>
      <w:r w:rsidRPr="00A56D65">
        <w:rPr>
          <w:rFonts w:ascii="Barlow" w:eastAsia="Calibri" w:hAnsi="Barlow" w:cs="Arial"/>
          <w:sz w:val="20"/>
          <w:szCs w:val="20"/>
          <w:lang w:eastAsia="en-US"/>
        </w:rPr>
        <w:t>rioridad</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Nacional,</w:t>
      </w:r>
      <w:r w:rsidR="002B4062">
        <w:rPr>
          <w:rFonts w:ascii="Barlow" w:eastAsia="Calibri" w:hAnsi="Barlow" w:cs="Arial"/>
          <w:sz w:val="20"/>
          <w:szCs w:val="20"/>
          <w:lang w:eastAsia="en-US"/>
        </w:rPr>
        <w:t xml:space="preserve"> </w:t>
      </w:r>
      <w:r w:rsidRPr="00A56D65">
        <w:rPr>
          <w:rFonts w:ascii="Barlow" w:eastAsia="Calibri" w:hAnsi="Barlow" w:cs="Arial"/>
          <w:sz w:val="20"/>
          <w:szCs w:val="20"/>
          <w:lang w:eastAsia="en-US"/>
        </w:rPr>
        <w:t xml:space="preserve">instrumentados en el marco de este Convenio, en los términos establecidos en el Anexo Técnico y observando los Lineamientos Generales de Evaluación que emita </w:t>
      </w:r>
      <w:r w:rsidR="002B4062" w:rsidRPr="00A56D65">
        <w:rPr>
          <w:rFonts w:ascii="Barlow" w:eastAsia="Calibri" w:hAnsi="Barlow" w:cs="Arial"/>
          <w:sz w:val="20"/>
          <w:szCs w:val="20"/>
          <w:lang w:eastAsia="en-US"/>
        </w:rPr>
        <w:t>e</w:t>
      </w:r>
      <w:r w:rsidR="002B4062">
        <w:rPr>
          <w:rFonts w:ascii="Barlow" w:eastAsia="Calibri" w:hAnsi="Barlow" w:cs="Arial"/>
          <w:sz w:val="20"/>
          <w:szCs w:val="20"/>
          <w:lang w:eastAsia="en-US"/>
        </w:rPr>
        <w:t>l</w:t>
      </w:r>
      <w:r w:rsidR="002B4062" w:rsidRPr="00A56D65">
        <w:rPr>
          <w:rFonts w:ascii="Barlow" w:eastAsia="Calibri" w:hAnsi="Barlow" w:cs="Arial"/>
          <w:sz w:val="20"/>
          <w:szCs w:val="20"/>
          <w:lang w:eastAsia="en-US"/>
        </w:rPr>
        <w:t xml:space="preserve"> </w:t>
      </w:r>
      <w:r w:rsidR="002B4062" w:rsidRPr="00803BD8">
        <w:rPr>
          <w:rFonts w:ascii="Barlow" w:eastAsia="Calibri" w:hAnsi="Barlow" w:cs="Arial"/>
          <w:sz w:val="20"/>
          <w:szCs w:val="20"/>
          <w:lang w:eastAsia="en-US"/>
        </w:rPr>
        <w:t>Secretariado Ejecutivo del Sistema Nacional de Seguridad Pública</w:t>
      </w:r>
      <w:r w:rsidR="002B4062" w:rsidRPr="00A56D65">
        <w:rPr>
          <w:rFonts w:ascii="Barlow" w:eastAsia="Calibri" w:hAnsi="Barlow" w:cs="Arial"/>
          <w:sz w:val="20"/>
          <w:szCs w:val="20"/>
          <w:lang w:eastAsia="en-US"/>
        </w:rPr>
        <w:t xml:space="preserve"> </w:t>
      </w:r>
      <w:r w:rsidR="002B4062">
        <w:rPr>
          <w:rFonts w:ascii="Barlow" w:eastAsia="Calibri" w:hAnsi="Barlow" w:cs="Arial"/>
          <w:sz w:val="20"/>
          <w:szCs w:val="20"/>
          <w:lang w:eastAsia="en-US"/>
        </w:rPr>
        <w:t>.</w:t>
      </w:r>
    </w:p>
    <w:p w14:paraId="542F6AFD" w14:textId="3A9BEEBB" w:rsidR="00BF525A" w:rsidRPr="00FD25B5" w:rsidRDefault="002B4062" w:rsidP="00BF525A">
      <w:pPr>
        <w:spacing w:after="200"/>
        <w:jc w:val="both"/>
        <w:rPr>
          <w:rFonts w:ascii="Barlow" w:eastAsia="Calibri" w:hAnsi="Barlow" w:cs="Arial"/>
          <w:sz w:val="20"/>
          <w:szCs w:val="20"/>
        </w:rPr>
      </w:pPr>
      <w:r>
        <w:rPr>
          <w:rFonts w:ascii="Barlow" w:eastAsia="Calibri" w:hAnsi="Barlow" w:cs="Arial"/>
          <w:sz w:val="20"/>
          <w:szCs w:val="20"/>
          <w:lang w:eastAsia="en-US"/>
        </w:rPr>
        <w:t>L</w:t>
      </w:r>
      <w:r w:rsidR="00A56D65" w:rsidRPr="00A56D65">
        <w:rPr>
          <w:rFonts w:ascii="Barlow" w:eastAsia="Calibri" w:hAnsi="Barlow" w:cs="Arial"/>
          <w:sz w:val="20"/>
          <w:szCs w:val="20"/>
          <w:lang w:eastAsia="en-US"/>
        </w:rPr>
        <w:t>os recursos del</w:t>
      </w:r>
      <w:r w:rsidR="004A2419">
        <w:rPr>
          <w:rFonts w:ascii="Barlow" w:eastAsia="Calibri" w:hAnsi="Barlow" w:cs="Arial"/>
          <w:sz w:val="20"/>
          <w:szCs w:val="20"/>
          <w:lang w:eastAsia="en-US"/>
        </w:rPr>
        <w:t xml:space="preserve"> Fondo de Aportaciones para la Seguridad Pública</w:t>
      </w:r>
      <w:r w:rsidR="00A56D65" w:rsidRPr="00A56D65">
        <w:rPr>
          <w:rFonts w:ascii="Barlow" w:eastAsia="Calibri" w:hAnsi="Barlow" w:cs="Arial"/>
          <w:sz w:val="20"/>
          <w:szCs w:val="20"/>
          <w:lang w:eastAsia="en-US"/>
        </w:rPr>
        <w:t xml:space="preserve"> </w:t>
      </w:r>
      <w:r>
        <w:rPr>
          <w:rFonts w:ascii="Barlow" w:eastAsia="Calibri" w:hAnsi="Barlow" w:cs="Arial"/>
          <w:sz w:val="20"/>
          <w:szCs w:val="20"/>
          <w:lang w:eastAsia="en-US"/>
        </w:rPr>
        <w:t xml:space="preserve">se </w:t>
      </w:r>
      <w:r w:rsidRPr="00A56D65">
        <w:rPr>
          <w:rFonts w:ascii="Barlow" w:eastAsia="Calibri" w:hAnsi="Barlow" w:cs="Arial"/>
          <w:sz w:val="20"/>
          <w:szCs w:val="20"/>
          <w:lang w:eastAsia="en-US"/>
        </w:rPr>
        <w:t>deberá</w:t>
      </w:r>
      <w:r>
        <w:rPr>
          <w:rFonts w:ascii="Barlow" w:eastAsia="Calibri" w:hAnsi="Barlow" w:cs="Arial"/>
          <w:sz w:val="20"/>
          <w:szCs w:val="20"/>
          <w:lang w:eastAsia="en-US"/>
        </w:rPr>
        <w:t>n</w:t>
      </w:r>
      <w:r w:rsidRPr="00A56D65">
        <w:rPr>
          <w:rFonts w:ascii="Barlow" w:eastAsia="Calibri" w:hAnsi="Barlow" w:cs="Arial"/>
          <w:sz w:val="20"/>
          <w:szCs w:val="20"/>
          <w:lang w:eastAsia="en-US"/>
        </w:rPr>
        <w:t xml:space="preserve"> ejer</w:t>
      </w:r>
      <w:r>
        <w:rPr>
          <w:rFonts w:ascii="Barlow" w:eastAsia="Calibri" w:hAnsi="Barlow" w:cs="Arial"/>
          <w:sz w:val="20"/>
          <w:szCs w:val="20"/>
          <w:lang w:eastAsia="en-US"/>
        </w:rPr>
        <w:t>cer</w:t>
      </w:r>
      <w:r w:rsidRPr="00A56D65">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observando los criterios de eficiencia, eficacia, economía, transparencia y honradez</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que</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aseguren</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las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mejores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condiciones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disponibles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en</w:t>
      </w:r>
      <w:r>
        <w:rPr>
          <w:rFonts w:ascii="Barlow" w:eastAsia="Calibri" w:hAnsi="Barlow" w:cs="Arial"/>
          <w:sz w:val="20"/>
          <w:szCs w:val="20"/>
          <w:lang w:eastAsia="en-US"/>
        </w:rPr>
        <w:t xml:space="preserve"> c</w:t>
      </w:r>
      <w:r w:rsidR="00A56D65" w:rsidRPr="00A56D65">
        <w:rPr>
          <w:rFonts w:ascii="Barlow" w:eastAsia="Calibri" w:hAnsi="Barlow" w:cs="Arial"/>
          <w:sz w:val="20"/>
          <w:szCs w:val="20"/>
          <w:lang w:eastAsia="en-US"/>
        </w:rPr>
        <w:t>uanto</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a</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precio,</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calidad,</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financiamiento,</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oportunidad</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y</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demás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circunstancias pertinentes, previstos en el artículo 134 de la Constitución</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Política de los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Estados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Unidos Mexicanos;</w:t>
      </w:r>
      <w:r>
        <w:rPr>
          <w:rFonts w:ascii="Barlow" w:eastAsia="Calibri" w:hAnsi="Barlow" w:cs="Arial"/>
          <w:sz w:val="20"/>
          <w:szCs w:val="20"/>
          <w:lang w:eastAsia="en-US"/>
        </w:rPr>
        <w:t xml:space="preserve"> </w:t>
      </w:r>
      <w:r w:rsidR="00A56D65" w:rsidRPr="00A56D65">
        <w:rPr>
          <w:rFonts w:ascii="Barlow" w:eastAsia="Calibri" w:hAnsi="Barlow" w:cs="Arial"/>
          <w:sz w:val="20"/>
          <w:szCs w:val="20"/>
          <w:lang w:eastAsia="en-US"/>
        </w:rPr>
        <w:t>las  disposiciones para  e</w:t>
      </w:r>
      <w:r>
        <w:rPr>
          <w:rFonts w:ascii="Barlow" w:eastAsia="Calibri" w:hAnsi="Barlow" w:cs="Arial"/>
          <w:sz w:val="20"/>
          <w:szCs w:val="20"/>
          <w:lang w:eastAsia="en-US"/>
        </w:rPr>
        <w:t>l</w:t>
      </w:r>
      <w:r w:rsidR="00A56D65" w:rsidRPr="00A56D65">
        <w:rPr>
          <w:rFonts w:ascii="Barlow" w:eastAsia="Calibri" w:hAnsi="Barlow" w:cs="Arial"/>
          <w:sz w:val="20"/>
          <w:szCs w:val="20"/>
          <w:lang w:eastAsia="en-US"/>
        </w:rPr>
        <w:t xml:space="preserve"> ejercicio, control, vigilancia, información, evaluación y fiscalización previstas en la "Ley General"; los fines y objetivos previstos en los artículos 45 y 49 de la Ley de Coordinación Fiscal;</w:t>
      </w:r>
      <w:r w:rsidR="000D0DD7">
        <w:rPr>
          <w:rFonts w:ascii="Barlow" w:eastAsia="Calibri" w:hAnsi="Barlow" w:cs="Arial"/>
          <w:sz w:val="20"/>
          <w:szCs w:val="20"/>
          <w:lang w:eastAsia="en-US"/>
        </w:rPr>
        <w:t xml:space="preserve"> el principio de anualidad previsto en el artículo 7 del Presupuesto de Egresos de la Federación </w:t>
      </w:r>
      <w:r w:rsidR="007D0F52" w:rsidRPr="00A56D65">
        <w:rPr>
          <w:rFonts w:ascii="Barlow" w:eastAsia="Calibri" w:hAnsi="Barlow" w:cs="Arial"/>
          <w:sz w:val="20"/>
          <w:szCs w:val="20"/>
          <w:lang w:eastAsia="en-US"/>
        </w:rPr>
        <w:t>p</w:t>
      </w:r>
      <w:r w:rsidR="000D0DD7">
        <w:rPr>
          <w:rFonts w:ascii="Barlow" w:eastAsia="Calibri" w:hAnsi="Barlow" w:cs="Arial"/>
          <w:sz w:val="20"/>
          <w:szCs w:val="20"/>
          <w:lang w:eastAsia="en-US"/>
        </w:rPr>
        <w:t>ara el ejercicio Fiscal 2021</w:t>
      </w:r>
      <w:r w:rsidR="00972AF0">
        <w:rPr>
          <w:rFonts w:ascii="Barlow" w:eastAsia="Calibri" w:hAnsi="Barlow" w:cs="Arial"/>
          <w:sz w:val="20"/>
          <w:szCs w:val="20"/>
          <w:lang w:eastAsia="en-US"/>
        </w:rPr>
        <w:t xml:space="preserve">; </w:t>
      </w:r>
      <w:r w:rsidR="00BF525A" w:rsidRPr="00FD25B5">
        <w:rPr>
          <w:rFonts w:ascii="Barlow" w:eastAsia="Calibri" w:hAnsi="Barlow" w:cs="Arial"/>
          <w:sz w:val="20"/>
          <w:szCs w:val="20"/>
        </w:rPr>
        <w:t>los criterios</w:t>
      </w:r>
      <w:r w:rsidR="00BF525A">
        <w:rPr>
          <w:rFonts w:ascii="Barlow" w:eastAsia="Calibri" w:hAnsi="Barlow" w:cs="Arial"/>
        </w:rPr>
        <w:t xml:space="preserve"> </w:t>
      </w:r>
      <w:r w:rsidR="00BF525A" w:rsidRPr="00FD25B5">
        <w:rPr>
          <w:rFonts w:ascii="Barlow" w:eastAsia="Calibri" w:hAnsi="Barlow" w:cs="Arial"/>
          <w:sz w:val="20"/>
          <w:szCs w:val="20"/>
        </w:rPr>
        <w:t>generales que</w:t>
      </w:r>
      <w:r>
        <w:rPr>
          <w:rFonts w:ascii="Barlow" w:eastAsia="Calibri" w:hAnsi="Barlow" w:cs="Arial"/>
          <w:sz w:val="20"/>
          <w:szCs w:val="20"/>
        </w:rPr>
        <w:t xml:space="preserve"> </w:t>
      </w:r>
      <w:r w:rsidR="00BF525A" w:rsidRPr="00FD25B5">
        <w:rPr>
          <w:rFonts w:ascii="Barlow" w:eastAsia="Calibri" w:hAnsi="Barlow" w:cs="Arial"/>
          <w:sz w:val="20"/>
          <w:szCs w:val="20"/>
        </w:rPr>
        <w:t>rigen la contabilidad gubernamental y la emisión de información financiera</w:t>
      </w:r>
      <w:r>
        <w:rPr>
          <w:rFonts w:ascii="Barlow" w:eastAsia="Calibri" w:hAnsi="Barlow" w:cs="Arial"/>
          <w:sz w:val="20"/>
          <w:szCs w:val="20"/>
        </w:rPr>
        <w:t xml:space="preserve"> </w:t>
      </w:r>
      <w:r w:rsidR="00BF525A" w:rsidRPr="00FD25B5">
        <w:rPr>
          <w:rFonts w:ascii="Barlow" w:eastAsia="Calibri" w:hAnsi="Barlow" w:cs="Arial"/>
          <w:sz w:val="20"/>
          <w:szCs w:val="20"/>
        </w:rPr>
        <w:t>de los entes públicos, previstos en la Ley General de</w:t>
      </w:r>
      <w:r>
        <w:rPr>
          <w:rFonts w:ascii="Barlow" w:eastAsia="Calibri" w:hAnsi="Barlow" w:cs="Arial"/>
          <w:sz w:val="20"/>
          <w:szCs w:val="20"/>
        </w:rPr>
        <w:t xml:space="preserve"> </w:t>
      </w:r>
      <w:r w:rsidR="00BF525A" w:rsidRPr="00FD25B5">
        <w:rPr>
          <w:rFonts w:ascii="Barlow" w:eastAsia="Calibri" w:hAnsi="Barlow" w:cs="Arial"/>
          <w:sz w:val="20"/>
          <w:szCs w:val="20"/>
        </w:rPr>
        <w:t>Contabilidad Gubernamental;</w:t>
      </w:r>
      <w:r>
        <w:rPr>
          <w:rFonts w:ascii="Barlow" w:eastAsia="Calibri" w:hAnsi="Barlow" w:cs="Arial"/>
          <w:sz w:val="20"/>
          <w:szCs w:val="20"/>
        </w:rPr>
        <w:t xml:space="preserve"> </w:t>
      </w:r>
      <w:r w:rsidR="00BF525A" w:rsidRPr="00FD25B5">
        <w:rPr>
          <w:rFonts w:ascii="Barlow" w:eastAsia="Calibri" w:hAnsi="Barlow" w:cs="Arial"/>
          <w:sz w:val="20"/>
          <w:szCs w:val="20"/>
        </w:rPr>
        <w:t>los</w:t>
      </w:r>
      <w:r>
        <w:rPr>
          <w:rFonts w:ascii="Barlow" w:eastAsia="Calibri" w:hAnsi="Barlow" w:cs="Arial"/>
          <w:sz w:val="20"/>
          <w:szCs w:val="20"/>
        </w:rPr>
        <w:t xml:space="preserve"> </w:t>
      </w:r>
      <w:r w:rsidR="00BF525A" w:rsidRPr="00FD25B5">
        <w:rPr>
          <w:rFonts w:ascii="Barlow" w:eastAsia="Calibri" w:hAnsi="Barlow" w:cs="Arial"/>
          <w:sz w:val="20"/>
          <w:szCs w:val="20"/>
        </w:rPr>
        <w:t>criterios</w:t>
      </w:r>
      <w:r>
        <w:rPr>
          <w:rFonts w:ascii="Barlow" w:eastAsia="Calibri" w:hAnsi="Barlow" w:cs="Arial"/>
          <w:sz w:val="20"/>
          <w:szCs w:val="20"/>
        </w:rPr>
        <w:t xml:space="preserve"> </w:t>
      </w:r>
      <w:r w:rsidR="00BF525A" w:rsidRPr="00FD25B5">
        <w:rPr>
          <w:rFonts w:ascii="Barlow" w:eastAsia="Calibri" w:hAnsi="Barlow" w:cs="Arial"/>
          <w:sz w:val="20"/>
          <w:szCs w:val="20"/>
        </w:rPr>
        <w:t>generales</w:t>
      </w:r>
      <w:r>
        <w:rPr>
          <w:rFonts w:ascii="Barlow" w:eastAsia="Calibri" w:hAnsi="Barlow" w:cs="Arial"/>
          <w:sz w:val="20"/>
          <w:szCs w:val="20"/>
        </w:rPr>
        <w:t xml:space="preserve"> </w:t>
      </w:r>
      <w:r w:rsidR="00BF525A" w:rsidRPr="00FD25B5">
        <w:rPr>
          <w:rFonts w:ascii="Barlow" w:eastAsia="Calibri" w:hAnsi="Barlow" w:cs="Arial"/>
          <w:sz w:val="20"/>
          <w:szCs w:val="20"/>
        </w:rPr>
        <w:t>de</w:t>
      </w:r>
      <w:r>
        <w:rPr>
          <w:rFonts w:ascii="Barlow" w:eastAsia="Calibri" w:hAnsi="Barlow" w:cs="Arial"/>
          <w:sz w:val="20"/>
          <w:szCs w:val="20"/>
        </w:rPr>
        <w:t xml:space="preserve"> </w:t>
      </w:r>
      <w:r w:rsidR="00BF525A" w:rsidRPr="00FD25B5">
        <w:rPr>
          <w:rFonts w:ascii="Barlow" w:eastAsia="Calibri" w:hAnsi="Barlow" w:cs="Arial"/>
          <w:sz w:val="20"/>
          <w:szCs w:val="20"/>
        </w:rPr>
        <w:t>responsabilidad hacendaria</w:t>
      </w:r>
      <w:r>
        <w:rPr>
          <w:rFonts w:ascii="Barlow" w:eastAsia="Calibri" w:hAnsi="Barlow" w:cs="Arial"/>
          <w:sz w:val="20"/>
          <w:szCs w:val="20"/>
        </w:rPr>
        <w:t xml:space="preserve"> </w:t>
      </w:r>
      <w:r w:rsidR="00BF525A" w:rsidRPr="00FD25B5">
        <w:rPr>
          <w:rFonts w:ascii="Barlow" w:eastAsia="Calibri" w:hAnsi="Barlow" w:cs="Arial"/>
          <w:sz w:val="20"/>
          <w:szCs w:val="20"/>
        </w:rPr>
        <w:t>y financiera</w:t>
      </w:r>
      <w:r>
        <w:rPr>
          <w:rFonts w:ascii="Barlow" w:eastAsia="Calibri" w:hAnsi="Barlow" w:cs="Arial"/>
          <w:sz w:val="20"/>
          <w:szCs w:val="20"/>
        </w:rPr>
        <w:t xml:space="preserve"> </w:t>
      </w:r>
      <w:r w:rsidR="00BF525A" w:rsidRPr="00FD25B5">
        <w:rPr>
          <w:rFonts w:ascii="Barlow" w:eastAsia="Calibri" w:hAnsi="Barlow" w:cs="Arial"/>
          <w:sz w:val="20"/>
          <w:szCs w:val="20"/>
        </w:rPr>
        <w:t>que</w:t>
      </w:r>
      <w:r>
        <w:rPr>
          <w:rFonts w:ascii="Barlow" w:eastAsia="Calibri" w:hAnsi="Barlow" w:cs="Arial"/>
          <w:sz w:val="20"/>
          <w:szCs w:val="20"/>
        </w:rPr>
        <w:t xml:space="preserve"> </w:t>
      </w:r>
      <w:r w:rsidR="00BF525A" w:rsidRPr="00FD25B5">
        <w:rPr>
          <w:rFonts w:ascii="Barlow" w:eastAsia="Calibri" w:hAnsi="Barlow" w:cs="Arial"/>
          <w:sz w:val="20"/>
          <w:szCs w:val="20"/>
        </w:rPr>
        <w:t>rigen a las Entidades</w:t>
      </w:r>
      <w:r>
        <w:rPr>
          <w:rFonts w:ascii="Barlow" w:eastAsia="Calibri" w:hAnsi="Barlow" w:cs="Arial"/>
          <w:sz w:val="20"/>
          <w:szCs w:val="20"/>
        </w:rPr>
        <w:t xml:space="preserve"> </w:t>
      </w:r>
      <w:r w:rsidR="00BF525A" w:rsidRPr="00FD25B5">
        <w:rPr>
          <w:rFonts w:ascii="Barlow" w:eastAsia="Calibri" w:hAnsi="Barlow" w:cs="Arial"/>
          <w:sz w:val="20"/>
          <w:szCs w:val="20"/>
        </w:rPr>
        <w:t>Federativ</w:t>
      </w:r>
      <w:r w:rsidR="000D0DD7">
        <w:rPr>
          <w:rFonts w:ascii="Barlow" w:eastAsia="Calibri" w:hAnsi="Barlow" w:cs="Arial"/>
          <w:sz w:val="20"/>
          <w:szCs w:val="20"/>
        </w:rPr>
        <w:t>as, así como a sus respectivos E</w:t>
      </w:r>
      <w:r w:rsidR="00BF525A" w:rsidRPr="00FD25B5">
        <w:rPr>
          <w:rFonts w:ascii="Barlow" w:eastAsia="Calibri" w:hAnsi="Barlow" w:cs="Arial"/>
          <w:sz w:val="20"/>
          <w:szCs w:val="20"/>
        </w:rPr>
        <w:t xml:space="preserve">ntes </w:t>
      </w:r>
      <w:r w:rsidR="000D0DD7">
        <w:rPr>
          <w:rFonts w:ascii="Barlow" w:eastAsia="Calibri" w:hAnsi="Barlow" w:cs="Arial"/>
          <w:sz w:val="20"/>
          <w:szCs w:val="20"/>
        </w:rPr>
        <w:t>P</w:t>
      </w:r>
      <w:r w:rsidR="00BF525A" w:rsidRPr="00FD25B5">
        <w:rPr>
          <w:rFonts w:ascii="Barlow" w:eastAsia="Calibri" w:hAnsi="Barlow" w:cs="Arial"/>
          <w:sz w:val="20"/>
          <w:szCs w:val="20"/>
        </w:rPr>
        <w:t>úblicos, previstos en</w:t>
      </w:r>
      <w:r>
        <w:rPr>
          <w:rFonts w:ascii="Barlow" w:eastAsia="Calibri" w:hAnsi="Barlow" w:cs="Arial"/>
          <w:sz w:val="20"/>
          <w:szCs w:val="20"/>
        </w:rPr>
        <w:t xml:space="preserve"> </w:t>
      </w:r>
      <w:r w:rsidR="00BF525A" w:rsidRPr="00FD25B5">
        <w:rPr>
          <w:rFonts w:ascii="Barlow" w:eastAsia="Calibri" w:hAnsi="Barlow" w:cs="Arial"/>
          <w:sz w:val="20"/>
          <w:szCs w:val="20"/>
        </w:rPr>
        <w:t>la Ley de</w:t>
      </w:r>
      <w:r>
        <w:rPr>
          <w:rFonts w:ascii="Barlow" w:eastAsia="Calibri" w:hAnsi="Barlow" w:cs="Arial"/>
          <w:sz w:val="20"/>
          <w:szCs w:val="20"/>
        </w:rPr>
        <w:t xml:space="preserve"> D</w:t>
      </w:r>
      <w:r w:rsidR="00BF525A" w:rsidRPr="00FD25B5">
        <w:rPr>
          <w:rFonts w:ascii="Barlow" w:eastAsia="Calibri" w:hAnsi="Barlow" w:cs="Arial"/>
          <w:sz w:val="20"/>
          <w:szCs w:val="20"/>
        </w:rPr>
        <w:t>isciplina Financiera de las Entidades Federativas y</w:t>
      </w:r>
      <w:r>
        <w:rPr>
          <w:rFonts w:ascii="Barlow" w:eastAsia="Calibri" w:hAnsi="Barlow" w:cs="Arial"/>
          <w:sz w:val="20"/>
          <w:szCs w:val="20"/>
        </w:rPr>
        <w:t xml:space="preserve"> </w:t>
      </w:r>
      <w:r w:rsidR="00BF525A" w:rsidRPr="00FD25B5">
        <w:rPr>
          <w:rFonts w:ascii="Barlow" w:eastAsia="Calibri" w:hAnsi="Barlow" w:cs="Arial"/>
          <w:sz w:val="20"/>
          <w:szCs w:val="20"/>
        </w:rPr>
        <w:t>los</w:t>
      </w:r>
      <w:r>
        <w:rPr>
          <w:rFonts w:ascii="Barlow" w:eastAsia="Calibri" w:hAnsi="Barlow" w:cs="Arial"/>
          <w:sz w:val="20"/>
          <w:szCs w:val="20"/>
        </w:rPr>
        <w:t xml:space="preserve"> </w:t>
      </w:r>
      <w:r w:rsidR="00BF525A" w:rsidRPr="00FD25B5">
        <w:rPr>
          <w:rFonts w:ascii="Barlow" w:eastAsia="Calibri" w:hAnsi="Barlow" w:cs="Arial"/>
          <w:sz w:val="20"/>
          <w:szCs w:val="20"/>
        </w:rPr>
        <w:t xml:space="preserve">Municipios; los </w:t>
      </w:r>
      <w:r>
        <w:rPr>
          <w:rFonts w:ascii="Barlow" w:eastAsia="Calibri" w:hAnsi="Barlow" w:cs="Arial"/>
          <w:sz w:val="20"/>
          <w:szCs w:val="20"/>
        </w:rPr>
        <w:t>p</w:t>
      </w:r>
      <w:r w:rsidR="00BF525A" w:rsidRPr="00FD25B5">
        <w:rPr>
          <w:rFonts w:ascii="Barlow" w:eastAsia="Calibri" w:hAnsi="Barlow" w:cs="Arial"/>
          <w:sz w:val="20"/>
          <w:szCs w:val="20"/>
        </w:rPr>
        <w:t>rincipios para la programación, presupuestación, ejercicio, control y evaluación aplicables a los recursos</w:t>
      </w:r>
      <w:r>
        <w:rPr>
          <w:rFonts w:ascii="Barlow" w:eastAsia="Calibri" w:hAnsi="Barlow" w:cs="Arial"/>
          <w:sz w:val="20"/>
          <w:szCs w:val="20"/>
        </w:rPr>
        <w:t xml:space="preserve"> </w:t>
      </w:r>
      <w:r w:rsidR="00BF525A" w:rsidRPr="00FD25B5">
        <w:rPr>
          <w:rFonts w:ascii="Barlow" w:eastAsia="Calibri" w:hAnsi="Barlow" w:cs="Arial"/>
          <w:sz w:val="20"/>
          <w:szCs w:val="20"/>
        </w:rPr>
        <w:t>federales, previstos en la Ley Federal de Presupuesto y Responsabilidad Hacendaria y su Reglamento; las disposiciones en</w:t>
      </w:r>
      <w:r>
        <w:rPr>
          <w:rFonts w:ascii="Barlow" w:eastAsia="Calibri" w:hAnsi="Barlow" w:cs="Arial"/>
          <w:sz w:val="20"/>
          <w:szCs w:val="20"/>
        </w:rPr>
        <w:t xml:space="preserve"> </w:t>
      </w:r>
      <w:r w:rsidR="00BF525A" w:rsidRPr="00FD25B5">
        <w:rPr>
          <w:rFonts w:ascii="Barlow" w:eastAsia="Calibri" w:hAnsi="Barlow" w:cs="Arial"/>
          <w:sz w:val="20"/>
          <w:szCs w:val="20"/>
        </w:rPr>
        <w:t>materia de contratación y adquisición de bienes, servicios e infraestructura, así como para la administración y ejercicio, previstas</w:t>
      </w:r>
      <w:r>
        <w:rPr>
          <w:rFonts w:ascii="Barlow" w:eastAsia="Calibri" w:hAnsi="Barlow" w:cs="Arial"/>
          <w:sz w:val="20"/>
          <w:szCs w:val="20"/>
        </w:rPr>
        <w:t xml:space="preserve"> e</w:t>
      </w:r>
      <w:r w:rsidRPr="00FD25B5">
        <w:rPr>
          <w:rFonts w:ascii="Barlow" w:eastAsia="Calibri" w:hAnsi="Barlow" w:cs="Arial"/>
          <w:sz w:val="20"/>
          <w:szCs w:val="20"/>
        </w:rPr>
        <w:t>n</w:t>
      </w:r>
      <w:r>
        <w:rPr>
          <w:rFonts w:ascii="Barlow" w:eastAsia="Calibri" w:hAnsi="Barlow" w:cs="Arial"/>
          <w:sz w:val="20"/>
          <w:szCs w:val="20"/>
        </w:rPr>
        <w:t xml:space="preserve"> </w:t>
      </w:r>
      <w:r w:rsidR="00BF525A" w:rsidRPr="00FD25B5">
        <w:rPr>
          <w:rFonts w:ascii="Barlow" w:eastAsia="Calibri" w:hAnsi="Barlow" w:cs="Arial"/>
          <w:sz w:val="20"/>
          <w:szCs w:val="20"/>
        </w:rPr>
        <w:t>las leyes locales en lo que no se contrapongan a la legislación federal; los Acuerdos del Consejo Nacional de Seguridad Pública</w:t>
      </w:r>
      <w:r>
        <w:rPr>
          <w:rFonts w:ascii="Barlow" w:eastAsia="Calibri" w:hAnsi="Barlow" w:cs="Arial"/>
          <w:sz w:val="20"/>
          <w:szCs w:val="20"/>
        </w:rPr>
        <w:t xml:space="preserve"> </w:t>
      </w:r>
      <w:r w:rsidR="00BF525A" w:rsidRPr="00FD25B5">
        <w:rPr>
          <w:rFonts w:ascii="Barlow" w:eastAsia="Calibri" w:hAnsi="Barlow" w:cs="Arial"/>
          <w:sz w:val="20"/>
          <w:szCs w:val="20"/>
        </w:rPr>
        <w:t xml:space="preserve">y demás disposiciones aplicables a los recursos del </w:t>
      </w:r>
      <w:r w:rsidR="004A2419">
        <w:rPr>
          <w:rFonts w:ascii="Barlow" w:eastAsia="Calibri" w:hAnsi="Barlow" w:cs="Arial"/>
          <w:sz w:val="20"/>
          <w:szCs w:val="20"/>
        </w:rPr>
        <w:t>Fondo de Aportaciones para la Seguridad Pública</w:t>
      </w:r>
      <w:r w:rsidR="00BF525A" w:rsidRPr="00FD25B5">
        <w:rPr>
          <w:rFonts w:ascii="Barlow" w:eastAsia="Calibri" w:hAnsi="Barlow" w:cs="Arial"/>
          <w:sz w:val="20"/>
          <w:szCs w:val="20"/>
        </w:rPr>
        <w:t>.</w:t>
      </w:r>
    </w:p>
    <w:p w14:paraId="6948FD58" w14:textId="0648431D" w:rsidR="000D0DD7" w:rsidRDefault="00BF525A" w:rsidP="00BF525A">
      <w:pPr>
        <w:spacing w:after="200"/>
        <w:jc w:val="both"/>
        <w:rPr>
          <w:rFonts w:ascii="Barlow" w:eastAsia="Calibri" w:hAnsi="Barlow" w:cs="Arial"/>
          <w:sz w:val="20"/>
          <w:szCs w:val="20"/>
        </w:rPr>
      </w:pPr>
      <w:r w:rsidRPr="00FD25B5">
        <w:rPr>
          <w:rFonts w:ascii="Barlow" w:eastAsia="Calibri" w:hAnsi="Barlow" w:cs="Arial"/>
          <w:sz w:val="20"/>
          <w:szCs w:val="20"/>
        </w:rPr>
        <w:t xml:space="preserve">Con el </w:t>
      </w:r>
      <w:r w:rsidR="004A2419">
        <w:rPr>
          <w:rFonts w:ascii="Barlow" w:eastAsia="Calibri" w:hAnsi="Barlow" w:cs="Arial"/>
          <w:sz w:val="20"/>
          <w:szCs w:val="20"/>
        </w:rPr>
        <w:t>o</w:t>
      </w:r>
      <w:r w:rsidRPr="00FD25B5">
        <w:rPr>
          <w:rFonts w:ascii="Barlow" w:eastAsia="Calibri" w:hAnsi="Barlow" w:cs="Arial"/>
          <w:sz w:val="20"/>
          <w:szCs w:val="20"/>
        </w:rPr>
        <w:t>bjeto llevar a cabo la administración de los recursos del</w:t>
      </w:r>
      <w:r w:rsidR="004A2419" w:rsidRPr="00FD25B5">
        <w:rPr>
          <w:rFonts w:ascii="Barlow" w:eastAsia="Calibri" w:hAnsi="Barlow" w:cs="Arial"/>
          <w:sz w:val="20"/>
          <w:szCs w:val="20"/>
        </w:rPr>
        <w:t xml:space="preserve"> </w:t>
      </w:r>
      <w:r w:rsidR="004A2419">
        <w:rPr>
          <w:rFonts w:ascii="Barlow" w:eastAsia="Calibri" w:hAnsi="Barlow" w:cs="Arial"/>
          <w:sz w:val="20"/>
          <w:szCs w:val="20"/>
        </w:rPr>
        <w:t>Fondo de Aportaciones para la Seguridad Pública</w:t>
      </w:r>
      <w:r w:rsidRPr="00FD25B5">
        <w:rPr>
          <w:rFonts w:ascii="Barlow" w:eastAsia="Calibri" w:hAnsi="Barlow" w:cs="Arial"/>
          <w:sz w:val="20"/>
          <w:szCs w:val="20"/>
        </w:rPr>
        <w:t xml:space="preserve"> con eficiencia, eficacia, economía, transparencia y</w:t>
      </w:r>
      <w:r w:rsidR="004A2419">
        <w:rPr>
          <w:rFonts w:ascii="Barlow" w:eastAsia="Calibri" w:hAnsi="Barlow" w:cs="Arial"/>
          <w:sz w:val="20"/>
          <w:szCs w:val="20"/>
        </w:rPr>
        <w:t xml:space="preserve"> </w:t>
      </w:r>
      <w:r w:rsidRPr="00FD25B5">
        <w:rPr>
          <w:rFonts w:ascii="Barlow" w:eastAsia="Calibri" w:hAnsi="Barlow" w:cs="Arial"/>
          <w:sz w:val="20"/>
          <w:szCs w:val="20"/>
        </w:rPr>
        <w:t xml:space="preserve">honradez para satisfacer los objetivos a los que están destinados, </w:t>
      </w:r>
      <w:r w:rsidR="004A2419">
        <w:rPr>
          <w:rFonts w:ascii="Barlow" w:eastAsia="Calibri" w:hAnsi="Barlow" w:cs="Arial"/>
          <w:sz w:val="20"/>
          <w:szCs w:val="20"/>
        </w:rPr>
        <w:t>el Secretariado Ejecutivo del Sistema Nacional de Seguridad Pública</w:t>
      </w:r>
      <w:r w:rsidRPr="00FD25B5">
        <w:rPr>
          <w:rFonts w:ascii="Barlow" w:eastAsia="Calibri" w:hAnsi="Barlow" w:cs="Arial"/>
          <w:sz w:val="20"/>
          <w:szCs w:val="20"/>
        </w:rPr>
        <w:t xml:space="preserve"> </w:t>
      </w:r>
      <w:r w:rsidR="004A2419">
        <w:rPr>
          <w:rFonts w:ascii="Barlow" w:eastAsia="Calibri" w:hAnsi="Barlow" w:cs="Arial"/>
          <w:sz w:val="20"/>
          <w:szCs w:val="20"/>
        </w:rPr>
        <w:t>y</w:t>
      </w:r>
      <w:r w:rsidR="00883EF1">
        <w:rPr>
          <w:rFonts w:ascii="Barlow" w:eastAsia="Calibri" w:hAnsi="Barlow" w:cs="Arial"/>
          <w:sz w:val="20"/>
          <w:szCs w:val="20"/>
        </w:rPr>
        <w:t xml:space="preserve"> señalará al</w:t>
      </w:r>
      <w:r w:rsidR="004A2419">
        <w:rPr>
          <w:rFonts w:ascii="Barlow" w:eastAsia="Calibri" w:hAnsi="Barlow" w:cs="Arial"/>
          <w:sz w:val="20"/>
          <w:szCs w:val="20"/>
        </w:rPr>
        <w:t xml:space="preserve"> Estado de Yucatán </w:t>
      </w:r>
      <w:r w:rsidR="000D0DD7">
        <w:rPr>
          <w:rFonts w:ascii="Barlow" w:eastAsia="Calibri" w:hAnsi="Barlow" w:cs="Arial"/>
          <w:sz w:val="20"/>
          <w:szCs w:val="20"/>
        </w:rPr>
        <w:t>los bienes y servicios sujetos a adquirirse de manera consolidada.</w:t>
      </w:r>
    </w:p>
    <w:p w14:paraId="3A284D18" w14:textId="288ABEBC" w:rsidR="00BF525A" w:rsidRPr="00FD25B5" w:rsidRDefault="000D0DD7" w:rsidP="00BF525A">
      <w:pPr>
        <w:spacing w:after="200"/>
        <w:jc w:val="both"/>
        <w:rPr>
          <w:rFonts w:ascii="Barlow" w:eastAsia="Calibri" w:hAnsi="Barlow" w:cs="Arial"/>
          <w:sz w:val="20"/>
          <w:szCs w:val="20"/>
        </w:rPr>
      </w:pPr>
      <w:r>
        <w:rPr>
          <w:rFonts w:ascii="Barlow" w:eastAsia="Calibri" w:hAnsi="Barlow" w:cs="Arial"/>
          <w:sz w:val="20"/>
          <w:szCs w:val="20"/>
        </w:rPr>
        <w:t>Para</w:t>
      </w:r>
      <w:r w:rsidR="00883EF1">
        <w:rPr>
          <w:rFonts w:ascii="Barlow" w:eastAsia="Calibri" w:hAnsi="Barlow" w:cs="Arial"/>
          <w:sz w:val="20"/>
          <w:szCs w:val="20"/>
        </w:rPr>
        <w:t xml:space="preserve"> tal efecto el Estado</w:t>
      </w:r>
      <w:r>
        <w:rPr>
          <w:rFonts w:ascii="Barlow" w:eastAsia="Calibri" w:hAnsi="Barlow" w:cs="Arial"/>
          <w:sz w:val="20"/>
          <w:szCs w:val="20"/>
        </w:rPr>
        <w:t xml:space="preserve"> establecerá dentro del </w:t>
      </w:r>
      <w:r w:rsidR="00BF525A" w:rsidRPr="00FD25B5">
        <w:rPr>
          <w:rFonts w:ascii="Barlow" w:eastAsia="Calibri" w:hAnsi="Barlow" w:cs="Arial"/>
          <w:sz w:val="20"/>
          <w:szCs w:val="20"/>
        </w:rPr>
        <w:t xml:space="preserve">Anexo Técnico </w:t>
      </w:r>
      <w:r>
        <w:rPr>
          <w:rFonts w:ascii="Barlow" w:eastAsia="Calibri" w:hAnsi="Barlow" w:cs="Arial"/>
          <w:sz w:val="20"/>
          <w:szCs w:val="20"/>
        </w:rPr>
        <w:t xml:space="preserve">los conceptos </w:t>
      </w:r>
      <w:r w:rsidR="00BF525A" w:rsidRPr="00FD25B5">
        <w:rPr>
          <w:rFonts w:ascii="Barlow" w:eastAsia="Calibri" w:hAnsi="Barlow" w:cs="Arial"/>
          <w:sz w:val="20"/>
          <w:szCs w:val="20"/>
        </w:rPr>
        <w:t>que</w:t>
      </w:r>
      <w:r>
        <w:rPr>
          <w:rFonts w:ascii="Barlow" w:eastAsia="Calibri" w:hAnsi="Barlow" w:cs="Arial"/>
          <w:sz w:val="20"/>
          <w:szCs w:val="20"/>
        </w:rPr>
        <w:t xml:space="preserve"> habrán de formar</w:t>
      </w:r>
      <w:r w:rsidR="00BF525A" w:rsidRPr="00FD25B5">
        <w:rPr>
          <w:rFonts w:ascii="Barlow" w:eastAsia="Calibri" w:hAnsi="Barlow" w:cs="Arial"/>
          <w:sz w:val="20"/>
          <w:szCs w:val="20"/>
        </w:rPr>
        <w:t xml:space="preserve"> parte de</w:t>
      </w:r>
      <w:r>
        <w:rPr>
          <w:rFonts w:ascii="Barlow" w:eastAsia="Calibri" w:hAnsi="Barlow" w:cs="Arial"/>
          <w:sz w:val="20"/>
          <w:szCs w:val="20"/>
        </w:rPr>
        <w:t xml:space="preserve"> la consolidación conforme al procedimiento que emita el </w:t>
      </w:r>
      <w:r w:rsidR="00883EF1" w:rsidRPr="00803BD8">
        <w:rPr>
          <w:rFonts w:ascii="Barlow" w:eastAsia="Calibri" w:hAnsi="Barlow" w:cs="Arial"/>
          <w:sz w:val="20"/>
          <w:szCs w:val="20"/>
          <w:lang w:eastAsia="en-US"/>
        </w:rPr>
        <w:t>Secretariado Ejecutivo del Sistema Nacional de Seguridad Pública</w:t>
      </w:r>
      <w:r w:rsidR="00883EF1">
        <w:rPr>
          <w:rFonts w:ascii="Barlow" w:eastAsia="Calibri" w:hAnsi="Barlow" w:cs="Arial"/>
          <w:sz w:val="20"/>
          <w:szCs w:val="20"/>
          <w:lang w:eastAsia="en-US"/>
        </w:rPr>
        <w:t>,</w:t>
      </w:r>
      <w:r w:rsidR="00883EF1">
        <w:rPr>
          <w:rFonts w:ascii="Barlow" w:eastAsia="Calibri" w:hAnsi="Barlow" w:cs="Arial"/>
          <w:sz w:val="20"/>
          <w:szCs w:val="20"/>
        </w:rPr>
        <w:t xml:space="preserve"> siempre que se aseguren </w:t>
      </w:r>
      <w:r w:rsidR="00BF525A" w:rsidRPr="00FD25B5">
        <w:rPr>
          <w:rFonts w:ascii="Barlow" w:eastAsia="Calibri" w:hAnsi="Barlow" w:cs="Arial"/>
          <w:sz w:val="20"/>
          <w:szCs w:val="20"/>
        </w:rPr>
        <w:t>al Estado las</w:t>
      </w:r>
      <w:r w:rsidR="004A2419">
        <w:rPr>
          <w:rFonts w:ascii="Barlow" w:eastAsia="Calibri" w:hAnsi="Barlow" w:cs="Arial"/>
          <w:sz w:val="20"/>
          <w:szCs w:val="20"/>
        </w:rPr>
        <w:t xml:space="preserve"> </w:t>
      </w:r>
      <w:r w:rsidR="00BF525A" w:rsidRPr="00FD25B5">
        <w:rPr>
          <w:rFonts w:ascii="Barlow" w:eastAsia="Calibri" w:hAnsi="Barlow" w:cs="Arial"/>
          <w:sz w:val="20"/>
          <w:szCs w:val="20"/>
        </w:rPr>
        <w:t>mejores condiciones disponibles en cuanto a precio, calidad, financiamiento, oportunidad y demás circunstancias pertinentes,</w:t>
      </w:r>
      <w:r w:rsidR="004A2419">
        <w:rPr>
          <w:rFonts w:ascii="Barlow" w:eastAsia="Calibri" w:hAnsi="Barlow" w:cs="Arial"/>
          <w:sz w:val="20"/>
          <w:szCs w:val="20"/>
        </w:rPr>
        <w:t xml:space="preserve"> </w:t>
      </w:r>
      <w:r w:rsidR="00BF525A" w:rsidRPr="00FD25B5">
        <w:rPr>
          <w:rFonts w:ascii="Barlow" w:eastAsia="Calibri" w:hAnsi="Barlow" w:cs="Arial"/>
          <w:sz w:val="20"/>
          <w:szCs w:val="20"/>
        </w:rPr>
        <w:t xml:space="preserve">conforme a lo dispuesto en el artículo 134 de la Constitución Política de los </w:t>
      </w:r>
      <w:r w:rsidR="00BF525A" w:rsidRPr="00FD25B5">
        <w:rPr>
          <w:rFonts w:ascii="Barlow" w:eastAsia="Calibri" w:hAnsi="Barlow" w:cs="Arial"/>
          <w:sz w:val="20"/>
          <w:szCs w:val="20"/>
        </w:rPr>
        <w:lastRenderedPageBreak/>
        <w:t>Estados Unidos Mexicanos, las leyes locales en lo que</w:t>
      </w:r>
      <w:r w:rsidR="004A2419">
        <w:rPr>
          <w:rFonts w:ascii="Barlow" w:eastAsia="Calibri" w:hAnsi="Barlow" w:cs="Arial"/>
          <w:sz w:val="20"/>
          <w:szCs w:val="20"/>
        </w:rPr>
        <w:t xml:space="preserve"> n</w:t>
      </w:r>
      <w:r w:rsidR="00BF525A" w:rsidRPr="00FD25B5">
        <w:rPr>
          <w:rFonts w:ascii="Barlow" w:eastAsia="Calibri" w:hAnsi="Barlow" w:cs="Arial"/>
          <w:sz w:val="20"/>
          <w:szCs w:val="20"/>
        </w:rPr>
        <w:t xml:space="preserve">o se contrapongan a </w:t>
      </w:r>
      <w:r w:rsidR="004A2419">
        <w:rPr>
          <w:rFonts w:ascii="Barlow" w:eastAsia="Calibri" w:hAnsi="Barlow" w:cs="Arial"/>
          <w:sz w:val="20"/>
          <w:szCs w:val="20"/>
        </w:rPr>
        <w:t>l</w:t>
      </w:r>
      <w:r w:rsidR="00BF525A" w:rsidRPr="00FD25B5">
        <w:rPr>
          <w:rFonts w:ascii="Barlow" w:eastAsia="Calibri" w:hAnsi="Barlow" w:cs="Arial"/>
          <w:sz w:val="20"/>
          <w:szCs w:val="20"/>
        </w:rPr>
        <w:t>a</w:t>
      </w:r>
      <w:r w:rsidR="004A2419">
        <w:rPr>
          <w:rFonts w:ascii="Barlow" w:eastAsia="Calibri" w:hAnsi="Barlow" w:cs="Arial"/>
          <w:sz w:val="20"/>
          <w:szCs w:val="20"/>
        </w:rPr>
        <w:t xml:space="preserve"> </w:t>
      </w:r>
      <w:r w:rsidR="00BF525A" w:rsidRPr="00FD25B5">
        <w:rPr>
          <w:rFonts w:ascii="Barlow" w:eastAsia="Calibri" w:hAnsi="Barlow" w:cs="Arial"/>
          <w:sz w:val="20"/>
          <w:szCs w:val="20"/>
        </w:rPr>
        <w:t>legislación federal y demás normativa aplicable; para lo cual el Gobierno de</w:t>
      </w:r>
      <w:r w:rsidR="00AD7F6D">
        <w:rPr>
          <w:rFonts w:ascii="Barlow" w:eastAsia="Calibri" w:hAnsi="Barlow" w:cs="Arial"/>
          <w:sz w:val="20"/>
          <w:szCs w:val="20"/>
        </w:rPr>
        <w:t>l Estado de Yucatán</w:t>
      </w:r>
      <w:r w:rsidR="00BF525A" w:rsidRPr="00FD25B5">
        <w:rPr>
          <w:rFonts w:ascii="Barlow" w:eastAsia="Calibri" w:hAnsi="Barlow" w:cs="Arial"/>
          <w:sz w:val="20"/>
          <w:szCs w:val="20"/>
        </w:rPr>
        <w:t xml:space="preserve"> deberá proporcionar toda la  información que se requiera.</w:t>
      </w:r>
    </w:p>
    <w:bookmarkEnd w:id="14"/>
    <w:p w14:paraId="64F7F52B" w14:textId="23A1C9E6" w:rsidR="00D3760C" w:rsidRPr="00410493" w:rsidRDefault="00D3760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3.- Autorización e Historia</w:t>
      </w:r>
    </w:p>
    <w:p w14:paraId="178565B7" w14:textId="77777777" w:rsidR="00AD3205" w:rsidRPr="00410493" w:rsidRDefault="00AD3205" w:rsidP="00906A55">
      <w:pPr>
        <w:autoSpaceDE w:val="0"/>
        <w:autoSpaceDN w:val="0"/>
        <w:adjustRightInd w:val="0"/>
        <w:jc w:val="both"/>
        <w:rPr>
          <w:rFonts w:ascii="Barlow" w:hAnsi="Barlow" w:cs="Arial"/>
          <w:b/>
          <w:sz w:val="20"/>
          <w:szCs w:val="20"/>
        </w:rPr>
      </w:pPr>
    </w:p>
    <w:p w14:paraId="739BD0F4" w14:textId="77777777" w:rsidR="00D3760C" w:rsidRPr="00410493" w:rsidRDefault="00D3760C" w:rsidP="00906A55">
      <w:pPr>
        <w:numPr>
          <w:ilvl w:val="0"/>
          <w:numId w:val="17"/>
        </w:numPr>
        <w:autoSpaceDE w:val="0"/>
        <w:autoSpaceDN w:val="0"/>
        <w:adjustRightInd w:val="0"/>
        <w:jc w:val="both"/>
        <w:rPr>
          <w:rFonts w:ascii="Barlow" w:hAnsi="Barlow" w:cs="Arial"/>
          <w:b/>
          <w:sz w:val="20"/>
          <w:szCs w:val="20"/>
        </w:rPr>
      </w:pPr>
      <w:r w:rsidRPr="00410493">
        <w:rPr>
          <w:rFonts w:ascii="Barlow" w:hAnsi="Barlow" w:cs="Arial"/>
          <w:b/>
          <w:sz w:val="20"/>
          <w:szCs w:val="20"/>
        </w:rPr>
        <w:t xml:space="preserve">Fecha de creación del ente. </w:t>
      </w:r>
    </w:p>
    <w:p w14:paraId="3BAC18AD" w14:textId="77777777" w:rsidR="00230693" w:rsidRDefault="00230693" w:rsidP="00230693">
      <w:pPr>
        <w:autoSpaceDE w:val="0"/>
        <w:autoSpaceDN w:val="0"/>
        <w:adjustRightInd w:val="0"/>
        <w:jc w:val="both"/>
        <w:rPr>
          <w:rFonts w:ascii="Barlow" w:hAnsi="Barlow" w:cs="Arial"/>
          <w:sz w:val="20"/>
          <w:szCs w:val="20"/>
        </w:rPr>
      </w:pPr>
      <w:r w:rsidRPr="00906A55">
        <w:rPr>
          <w:rFonts w:ascii="Barlow" w:hAnsi="Barlow" w:cs="Arial"/>
          <w:sz w:val="20"/>
          <w:szCs w:val="20"/>
        </w:rPr>
        <w:t>Con base a las primeras nueve consideraciones del decreto Número 182 del Gobierno del Estado de Yucatán publicado el lunes 06 de Abril de 2009 en el Diario Oficial del Estado de Yucatán fue menester contar en el Estado de Yucatán con un órgano colegiado cuya función básica sea la de ejercer de manera responsable, eficiente y transparente los recursos establecidos en los artículos 25 fracción VII, 44 y 45 de la Ley de Coordinación Fiscal que permitan la instrumentación del Programa Estatal de Seguridad Pública, derivado del Programa Nacional de Seguridad Pública de acuerdo a la Ley General del Sistema Nacional de Seguridad Pública y la Ley de Seguridad Pública del Estado de Yucatán. En tal virtud fue preciso expedir el ordenamiento que otorgó vida jurídica al órgano colegiado antes señalado, así como el marco de referencia necesario para su organización y funcionamiento, a fin de propiciar con certeza la consecución de su objeto.</w:t>
      </w:r>
    </w:p>
    <w:p w14:paraId="543B7E63" w14:textId="77777777" w:rsidR="005E6003" w:rsidRPr="00906A55" w:rsidRDefault="005E6003" w:rsidP="00906A55">
      <w:pPr>
        <w:autoSpaceDE w:val="0"/>
        <w:autoSpaceDN w:val="0"/>
        <w:adjustRightInd w:val="0"/>
        <w:jc w:val="both"/>
        <w:rPr>
          <w:rFonts w:ascii="Barlow" w:hAnsi="Barlow" w:cs="Arial"/>
          <w:sz w:val="20"/>
          <w:szCs w:val="20"/>
        </w:rPr>
      </w:pPr>
      <w:r>
        <w:rPr>
          <w:rFonts w:ascii="Barlow" w:hAnsi="Barlow" w:cs="Arial"/>
          <w:sz w:val="20"/>
          <w:szCs w:val="20"/>
        </w:rPr>
        <w:t xml:space="preserve">Por todo lo expuesto y fundado en el párrafo anterior fue creado </w:t>
      </w:r>
      <w:r w:rsidRPr="00457469">
        <w:rPr>
          <w:rFonts w:ascii="Barlow" w:hAnsi="Barlow" w:cs="Arial"/>
          <w:sz w:val="20"/>
          <w:szCs w:val="20"/>
        </w:rPr>
        <w:t>El Fondo de Aportaciones Para la Seguridad Pública del Estado de Yucatán</w:t>
      </w:r>
      <w:r w:rsidR="0091551B">
        <w:rPr>
          <w:rFonts w:ascii="Barlow" w:hAnsi="Barlow" w:cs="Arial"/>
          <w:sz w:val="20"/>
          <w:szCs w:val="20"/>
        </w:rPr>
        <w:t xml:space="preserve"> a través del decreto Número 182.</w:t>
      </w:r>
    </w:p>
    <w:p w14:paraId="685C2EE8" w14:textId="77777777" w:rsidR="00410493" w:rsidRPr="00410493" w:rsidRDefault="00410493" w:rsidP="00906A55">
      <w:pPr>
        <w:autoSpaceDE w:val="0"/>
        <w:autoSpaceDN w:val="0"/>
        <w:adjustRightInd w:val="0"/>
        <w:jc w:val="both"/>
        <w:rPr>
          <w:rFonts w:ascii="Barlow" w:hAnsi="Barlow" w:cs="Arial"/>
          <w:sz w:val="20"/>
          <w:szCs w:val="20"/>
        </w:rPr>
      </w:pPr>
    </w:p>
    <w:p w14:paraId="0FC0576A" w14:textId="77777777" w:rsidR="00D3760C" w:rsidRPr="00410493" w:rsidRDefault="00D3760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4.- Organización y Objeto Social</w:t>
      </w:r>
    </w:p>
    <w:p w14:paraId="60E62D29" w14:textId="77777777" w:rsidR="00AD3205" w:rsidRPr="00410493" w:rsidRDefault="00AD3205" w:rsidP="00906A55">
      <w:pPr>
        <w:autoSpaceDE w:val="0"/>
        <w:autoSpaceDN w:val="0"/>
        <w:adjustRightInd w:val="0"/>
        <w:jc w:val="both"/>
        <w:rPr>
          <w:rFonts w:ascii="Barlow" w:hAnsi="Barlow" w:cs="Arial"/>
          <w:b/>
          <w:sz w:val="20"/>
          <w:szCs w:val="20"/>
        </w:rPr>
      </w:pPr>
    </w:p>
    <w:p w14:paraId="795F6BD0" w14:textId="77777777" w:rsidR="00D3760C" w:rsidRDefault="00D3760C" w:rsidP="00230693">
      <w:pPr>
        <w:numPr>
          <w:ilvl w:val="0"/>
          <w:numId w:val="18"/>
        </w:numPr>
        <w:tabs>
          <w:tab w:val="left" w:pos="1065"/>
        </w:tabs>
        <w:autoSpaceDE w:val="0"/>
        <w:autoSpaceDN w:val="0"/>
        <w:adjustRightInd w:val="0"/>
        <w:jc w:val="both"/>
        <w:rPr>
          <w:rFonts w:ascii="Barlow" w:hAnsi="Barlow" w:cs="Arial"/>
          <w:b/>
          <w:sz w:val="20"/>
          <w:szCs w:val="20"/>
        </w:rPr>
      </w:pPr>
      <w:r w:rsidRPr="00410493">
        <w:rPr>
          <w:rFonts w:ascii="Barlow" w:hAnsi="Barlow" w:cs="Arial"/>
          <w:b/>
          <w:sz w:val="20"/>
          <w:szCs w:val="20"/>
        </w:rPr>
        <w:t>Objeto social.</w:t>
      </w:r>
    </w:p>
    <w:p w14:paraId="5CB7F64F" w14:textId="77777777" w:rsidR="0091551B" w:rsidRDefault="0091551B" w:rsidP="00AD7F6D">
      <w:pPr>
        <w:spacing w:line="250" w:lineRule="exact"/>
        <w:jc w:val="both"/>
        <w:outlineLvl w:val="1"/>
        <w:rPr>
          <w:rFonts w:ascii="Barlow" w:hAnsi="Barlow" w:cs="Arial"/>
          <w:sz w:val="20"/>
          <w:szCs w:val="20"/>
        </w:rPr>
      </w:pPr>
      <w:r>
        <w:rPr>
          <w:rFonts w:ascii="Barlow" w:hAnsi="Barlow" w:cs="Arial"/>
          <w:sz w:val="20"/>
          <w:szCs w:val="20"/>
        </w:rPr>
        <w:t xml:space="preserve">El Fondo de Aportaciones Para la Seguridad </w:t>
      </w:r>
      <w:r w:rsidRPr="00457469">
        <w:rPr>
          <w:rFonts w:ascii="Barlow" w:hAnsi="Barlow" w:cs="Arial"/>
          <w:sz w:val="20"/>
          <w:szCs w:val="20"/>
        </w:rPr>
        <w:t>Pública del Estado de Yucatán tiene por objeto captar</w:t>
      </w:r>
      <w:r>
        <w:rPr>
          <w:rFonts w:ascii="Barlow" w:hAnsi="Barlow" w:cs="Arial"/>
          <w:sz w:val="20"/>
          <w:szCs w:val="20"/>
        </w:rPr>
        <w:t xml:space="preserve"> </w:t>
      </w:r>
      <w:r w:rsidRPr="00457469">
        <w:rPr>
          <w:rFonts w:ascii="Barlow" w:hAnsi="Barlow" w:cs="Arial"/>
          <w:sz w:val="20"/>
          <w:szCs w:val="20"/>
        </w:rPr>
        <w:t>los ingresos provenientes del Fondo de Aportaciones Para la Seguridad Pública de los Estados y del Distrito Federal, así como los que aporte el Poder Ejecutivo del Gobierno del Estado de Yucatán con cargo a su propio</w:t>
      </w:r>
      <w:r>
        <w:rPr>
          <w:rFonts w:ascii="Barlow" w:hAnsi="Barlow" w:cs="Arial"/>
          <w:sz w:val="20"/>
          <w:szCs w:val="20"/>
        </w:rPr>
        <w:t xml:space="preserve"> </w:t>
      </w:r>
      <w:r w:rsidRPr="00457469">
        <w:rPr>
          <w:rFonts w:ascii="Barlow" w:hAnsi="Barlow" w:cs="Arial"/>
          <w:sz w:val="20"/>
          <w:szCs w:val="20"/>
        </w:rPr>
        <w:t>presupuesto y los incrementos que realicen los Gobiernos Federal, Estatal y Municipales e Iniciativa Privada para fortalecer los Ejes, Estrategias y Acciones en el Marco del Sistema Nacional de Seguridad Pública de conformidad a lo establecido en el Convenio de Coordinación en Materia de Seguridad Pública celebrado por el Gobierno</w:t>
      </w:r>
      <w:r>
        <w:rPr>
          <w:rFonts w:ascii="Barlow" w:hAnsi="Barlow" w:cs="Arial"/>
          <w:sz w:val="20"/>
          <w:szCs w:val="20"/>
        </w:rPr>
        <w:t xml:space="preserve"> </w:t>
      </w:r>
      <w:r w:rsidRPr="00457469">
        <w:rPr>
          <w:rFonts w:ascii="Barlow" w:hAnsi="Barlow" w:cs="Arial"/>
          <w:sz w:val="20"/>
          <w:szCs w:val="20"/>
        </w:rPr>
        <w:t>Federal y el Poder Ejecutivo del Gobierno del Estado de Yucatán relativo al Año del Ejercicio de que se trate.</w:t>
      </w:r>
    </w:p>
    <w:p w14:paraId="18711655" w14:textId="77777777" w:rsidR="00AD7F6D" w:rsidRPr="00AD7F6D" w:rsidRDefault="00AD7F6D" w:rsidP="00AD7F6D">
      <w:pPr>
        <w:spacing w:line="250" w:lineRule="exact"/>
        <w:jc w:val="both"/>
        <w:outlineLvl w:val="1"/>
        <w:rPr>
          <w:rFonts w:ascii="Barlow" w:hAnsi="Barlow" w:cs="Arial"/>
          <w:sz w:val="8"/>
          <w:szCs w:val="20"/>
        </w:rPr>
      </w:pPr>
    </w:p>
    <w:p w14:paraId="4572885B" w14:textId="77777777" w:rsidR="0091551B" w:rsidRDefault="0091551B" w:rsidP="00AD7F6D">
      <w:pPr>
        <w:tabs>
          <w:tab w:val="left" w:pos="1065"/>
        </w:tabs>
        <w:autoSpaceDE w:val="0"/>
        <w:autoSpaceDN w:val="0"/>
        <w:adjustRightInd w:val="0"/>
        <w:jc w:val="both"/>
        <w:rPr>
          <w:rFonts w:ascii="Barlow" w:hAnsi="Barlow" w:cs="Arial"/>
          <w:sz w:val="20"/>
          <w:szCs w:val="20"/>
        </w:rPr>
      </w:pPr>
      <w:r>
        <w:rPr>
          <w:rFonts w:ascii="Barlow" w:hAnsi="Barlow" w:cs="Arial"/>
          <w:sz w:val="20"/>
          <w:szCs w:val="20"/>
        </w:rPr>
        <w:t xml:space="preserve">La administración, </w:t>
      </w:r>
      <w:r w:rsidRPr="00457469">
        <w:rPr>
          <w:rFonts w:ascii="Barlow" w:hAnsi="Barlow" w:cs="Arial"/>
          <w:sz w:val="20"/>
          <w:szCs w:val="20"/>
        </w:rPr>
        <w:t>operación y pago de los recursos del Fondo de Aportaciones</w:t>
      </w:r>
      <w:r>
        <w:rPr>
          <w:rFonts w:ascii="Barlow" w:hAnsi="Barlow" w:cs="Arial"/>
          <w:sz w:val="20"/>
          <w:szCs w:val="20"/>
        </w:rPr>
        <w:t xml:space="preserve"> </w:t>
      </w:r>
      <w:r w:rsidRPr="00457469">
        <w:rPr>
          <w:rFonts w:ascii="Barlow" w:hAnsi="Barlow" w:cs="Arial"/>
          <w:sz w:val="20"/>
          <w:szCs w:val="20"/>
        </w:rPr>
        <w:t>para la Seguridad Pública del Estado de Yucatán</w:t>
      </w:r>
      <w:r>
        <w:rPr>
          <w:rFonts w:ascii="Barlow" w:hAnsi="Barlow" w:cs="Arial"/>
          <w:sz w:val="20"/>
          <w:szCs w:val="20"/>
        </w:rPr>
        <w:t xml:space="preserve">, </w:t>
      </w:r>
      <w:r w:rsidRPr="00457469">
        <w:rPr>
          <w:rFonts w:ascii="Barlow" w:hAnsi="Barlow" w:cs="Arial"/>
          <w:sz w:val="20"/>
          <w:szCs w:val="20"/>
        </w:rPr>
        <w:t>estará a cargo de un Comité Técnico,</w:t>
      </w:r>
      <w:r>
        <w:rPr>
          <w:rFonts w:ascii="Barlow" w:hAnsi="Barlow" w:cs="Arial"/>
          <w:sz w:val="20"/>
          <w:szCs w:val="20"/>
        </w:rPr>
        <w:t xml:space="preserve"> </w:t>
      </w:r>
      <w:r w:rsidRPr="00457469">
        <w:rPr>
          <w:rFonts w:ascii="Barlow" w:hAnsi="Barlow" w:cs="Arial"/>
          <w:sz w:val="20"/>
          <w:szCs w:val="20"/>
        </w:rPr>
        <w:t>que contará con las atribuciones conferidas</w:t>
      </w:r>
      <w:r>
        <w:rPr>
          <w:rFonts w:ascii="Barlow" w:hAnsi="Barlow" w:cs="Arial"/>
          <w:sz w:val="20"/>
          <w:szCs w:val="20"/>
        </w:rPr>
        <w:t xml:space="preserve"> por el Decreto Número 182</w:t>
      </w:r>
    </w:p>
    <w:p w14:paraId="55E5DDDA" w14:textId="77777777" w:rsidR="0091551B" w:rsidRPr="00AD7F6D" w:rsidRDefault="0091551B" w:rsidP="00AD7F6D">
      <w:pPr>
        <w:tabs>
          <w:tab w:val="left" w:pos="1065"/>
        </w:tabs>
        <w:autoSpaceDE w:val="0"/>
        <w:autoSpaceDN w:val="0"/>
        <w:adjustRightInd w:val="0"/>
        <w:jc w:val="both"/>
        <w:rPr>
          <w:rFonts w:ascii="Barlow" w:hAnsi="Barlow" w:cs="Arial"/>
          <w:sz w:val="8"/>
          <w:szCs w:val="20"/>
        </w:rPr>
      </w:pPr>
    </w:p>
    <w:p w14:paraId="6E7CE961" w14:textId="77777777" w:rsidR="0091551B" w:rsidRPr="00906A55" w:rsidRDefault="0091551B" w:rsidP="00906A55">
      <w:pPr>
        <w:tabs>
          <w:tab w:val="left" w:pos="1065"/>
        </w:tabs>
        <w:autoSpaceDE w:val="0"/>
        <w:autoSpaceDN w:val="0"/>
        <w:adjustRightInd w:val="0"/>
        <w:jc w:val="both"/>
        <w:rPr>
          <w:rFonts w:ascii="Barlow" w:hAnsi="Barlow" w:cs="Arial"/>
          <w:sz w:val="20"/>
          <w:szCs w:val="20"/>
        </w:rPr>
      </w:pPr>
      <w:r>
        <w:rPr>
          <w:rFonts w:ascii="Barlow" w:hAnsi="Barlow" w:cs="Arial"/>
          <w:sz w:val="20"/>
          <w:szCs w:val="20"/>
        </w:rPr>
        <w:t xml:space="preserve">El Comité </w:t>
      </w:r>
      <w:r w:rsidRPr="00457469">
        <w:rPr>
          <w:rFonts w:ascii="Barlow" w:hAnsi="Barlow" w:cs="Arial"/>
          <w:sz w:val="20"/>
          <w:szCs w:val="20"/>
        </w:rPr>
        <w:t>Técnico se integra por los siguientes miembros propietarios quienes participan en las sesiones con derecho a voz y voto</w:t>
      </w:r>
      <w:r>
        <w:rPr>
          <w:rFonts w:ascii="Barlow" w:hAnsi="Barlow" w:cs="Arial"/>
          <w:sz w:val="20"/>
          <w:szCs w:val="20"/>
        </w:rPr>
        <w:t>:</w:t>
      </w:r>
    </w:p>
    <w:p w14:paraId="491231BD" w14:textId="77777777" w:rsidR="0091551B" w:rsidRPr="00AD7F6D" w:rsidRDefault="0091551B" w:rsidP="00AD7F6D">
      <w:pPr>
        <w:ind w:left="360"/>
        <w:jc w:val="both"/>
        <w:outlineLvl w:val="1"/>
        <w:rPr>
          <w:rFonts w:ascii="Barlow" w:hAnsi="Barlow" w:cs="Arial"/>
          <w:sz w:val="8"/>
          <w:szCs w:val="20"/>
        </w:rPr>
      </w:pPr>
    </w:p>
    <w:p w14:paraId="5A0AF11B"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t>- Un Presidente que será el Gobernador del Estado;</w:t>
      </w:r>
    </w:p>
    <w:p w14:paraId="70D083A7"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t>- El Secretario General de Gobierno, quien suplirá las ausencias del Presidente del Comité;</w:t>
      </w:r>
    </w:p>
    <w:p w14:paraId="0A579EA0"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t>- EI Subsecretario de Prevención y Seguridad Pública;</w:t>
      </w:r>
    </w:p>
    <w:p w14:paraId="5E6D0477"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lastRenderedPageBreak/>
        <w:t>- El Secretario de Administración y Finanzas;</w:t>
      </w:r>
    </w:p>
    <w:p w14:paraId="175126BE"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t>- EI Secretario de Obras Públicas;</w:t>
      </w:r>
    </w:p>
    <w:p w14:paraId="1F4814E0"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t>- El Secretario de Seguridad Pública;</w:t>
      </w:r>
    </w:p>
    <w:p w14:paraId="2B55A4A7"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t>- El Fiscal General del Estado;</w:t>
      </w:r>
    </w:p>
    <w:p w14:paraId="0F9A54E4" w14:textId="77777777" w:rsidR="0091551B" w:rsidRPr="00906A55" w:rsidRDefault="0091551B" w:rsidP="00906A55">
      <w:pPr>
        <w:ind w:left="360"/>
        <w:jc w:val="both"/>
        <w:outlineLvl w:val="1"/>
        <w:rPr>
          <w:rFonts w:ascii="Barlow" w:hAnsi="Barlow" w:cs="Arial"/>
          <w:sz w:val="20"/>
          <w:szCs w:val="20"/>
        </w:rPr>
      </w:pPr>
      <w:r w:rsidRPr="00906A55">
        <w:rPr>
          <w:rFonts w:ascii="Barlow" w:hAnsi="Barlow" w:cs="Arial"/>
          <w:sz w:val="20"/>
          <w:szCs w:val="20"/>
        </w:rPr>
        <w:t>- El Secretario de la Contraloría General del Estado, y</w:t>
      </w:r>
    </w:p>
    <w:p w14:paraId="2EB7677A" w14:textId="77777777" w:rsidR="0091551B" w:rsidRDefault="0091551B" w:rsidP="0091551B">
      <w:pPr>
        <w:ind w:left="360"/>
        <w:jc w:val="both"/>
        <w:outlineLvl w:val="1"/>
        <w:rPr>
          <w:rFonts w:ascii="Barlow" w:hAnsi="Barlow" w:cs="Arial"/>
          <w:sz w:val="20"/>
          <w:szCs w:val="20"/>
        </w:rPr>
      </w:pPr>
      <w:r w:rsidRPr="00906A55">
        <w:rPr>
          <w:rFonts w:ascii="Barlow" w:hAnsi="Barlow" w:cs="Arial"/>
          <w:sz w:val="20"/>
          <w:szCs w:val="20"/>
        </w:rPr>
        <w:t>- Un representante del Secretariado Ejecutivo del Consejo Estatal de Seguridad. Pública</w:t>
      </w:r>
    </w:p>
    <w:p w14:paraId="4D097315" w14:textId="4E56A194" w:rsidR="000A427F" w:rsidRDefault="000A427F" w:rsidP="00230693">
      <w:pPr>
        <w:autoSpaceDE w:val="0"/>
        <w:autoSpaceDN w:val="0"/>
        <w:adjustRightInd w:val="0"/>
        <w:jc w:val="both"/>
        <w:rPr>
          <w:rFonts w:ascii="Barlow" w:hAnsi="Barlow" w:cs="Arial"/>
          <w:sz w:val="20"/>
          <w:szCs w:val="20"/>
        </w:rPr>
      </w:pPr>
    </w:p>
    <w:p w14:paraId="7E90DC91" w14:textId="77777777" w:rsidR="000A427F" w:rsidRDefault="000A427F" w:rsidP="00230693">
      <w:pPr>
        <w:autoSpaceDE w:val="0"/>
        <w:autoSpaceDN w:val="0"/>
        <w:adjustRightInd w:val="0"/>
        <w:jc w:val="both"/>
        <w:rPr>
          <w:rFonts w:ascii="Barlow" w:hAnsi="Barlow" w:cs="Arial"/>
          <w:sz w:val="20"/>
          <w:szCs w:val="20"/>
        </w:rPr>
      </w:pPr>
      <w:r>
        <w:rPr>
          <w:rFonts w:ascii="Barlow" w:hAnsi="Barlow" w:cs="Arial"/>
          <w:sz w:val="20"/>
          <w:szCs w:val="20"/>
        </w:rPr>
        <w:t>Los cargos de los integrantes del Comité serán de carácter honorífico, por lo que sus miembros no percibirán retribución alguna por el desempeño de los mismos.</w:t>
      </w:r>
    </w:p>
    <w:p w14:paraId="166AB51E" w14:textId="77777777" w:rsidR="000A427F" w:rsidRPr="00410493" w:rsidRDefault="000A427F" w:rsidP="00906A55">
      <w:pPr>
        <w:autoSpaceDE w:val="0"/>
        <w:autoSpaceDN w:val="0"/>
        <w:adjustRightInd w:val="0"/>
        <w:jc w:val="both"/>
        <w:rPr>
          <w:rFonts w:ascii="Barlow" w:hAnsi="Barlow" w:cs="Arial"/>
          <w:sz w:val="20"/>
          <w:szCs w:val="20"/>
        </w:rPr>
      </w:pPr>
    </w:p>
    <w:p w14:paraId="16B2FEEA" w14:textId="77777777" w:rsidR="000F564F" w:rsidRDefault="00D3760C" w:rsidP="000F564F">
      <w:pPr>
        <w:numPr>
          <w:ilvl w:val="0"/>
          <w:numId w:val="18"/>
        </w:numPr>
        <w:tabs>
          <w:tab w:val="left" w:pos="1065"/>
        </w:tabs>
        <w:autoSpaceDE w:val="0"/>
        <w:autoSpaceDN w:val="0"/>
        <w:adjustRightInd w:val="0"/>
        <w:jc w:val="both"/>
        <w:rPr>
          <w:rFonts w:ascii="Barlow" w:hAnsi="Barlow" w:cs="Arial"/>
          <w:b/>
          <w:sz w:val="20"/>
          <w:szCs w:val="20"/>
        </w:rPr>
      </w:pPr>
      <w:r w:rsidRPr="00410493">
        <w:rPr>
          <w:rFonts w:ascii="Barlow" w:hAnsi="Barlow" w:cs="Arial"/>
          <w:b/>
          <w:sz w:val="20"/>
          <w:szCs w:val="20"/>
        </w:rPr>
        <w:t>Principal actividad</w:t>
      </w:r>
    </w:p>
    <w:p w14:paraId="6BEA27A1" w14:textId="77777777" w:rsidR="000F564F" w:rsidRDefault="000F564F" w:rsidP="000F564F">
      <w:pPr>
        <w:tabs>
          <w:tab w:val="left" w:pos="1065"/>
        </w:tabs>
        <w:autoSpaceDE w:val="0"/>
        <w:autoSpaceDN w:val="0"/>
        <w:adjustRightInd w:val="0"/>
        <w:jc w:val="both"/>
        <w:rPr>
          <w:rFonts w:ascii="Barlow" w:hAnsi="Barlow" w:cs="Arial"/>
          <w:b/>
          <w:sz w:val="20"/>
          <w:szCs w:val="20"/>
        </w:rPr>
      </w:pPr>
    </w:p>
    <w:p w14:paraId="10FF366A" w14:textId="77777777" w:rsidR="000F564F" w:rsidRPr="000F564F" w:rsidRDefault="000F564F" w:rsidP="000F564F">
      <w:pPr>
        <w:tabs>
          <w:tab w:val="left" w:pos="1065"/>
        </w:tabs>
        <w:autoSpaceDE w:val="0"/>
        <w:autoSpaceDN w:val="0"/>
        <w:adjustRightInd w:val="0"/>
        <w:jc w:val="both"/>
        <w:rPr>
          <w:rFonts w:ascii="Barlow" w:hAnsi="Barlow" w:cs="Arial"/>
          <w:sz w:val="20"/>
          <w:szCs w:val="20"/>
        </w:rPr>
      </w:pPr>
      <w:r>
        <w:rPr>
          <w:rFonts w:ascii="Barlow" w:hAnsi="Barlow" w:cs="Arial"/>
          <w:sz w:val="20"/>
          <w:szCs w:val="20"/>
        </w:rPr>
        <w:t>Los recursos del Fondo de Aportaciones para la Seguridad Pública tienen por objeto atender las políticas y estrategias establecidas en los Ejes Estratégicos del Sistema Nacional de Seguridad Pública</w:t>
      </w:r>
      <w:r w:rsidR="00CF3009">
        <w:rPr>
          <w:rFonts w:ascii="Barlow" w:hAnsi="Barlow" w:cs="Arial"/>
          <w:sz w:val="20"/>
          <w:szCs w:val="20"/>
        </w:rPr>
        <w:t>, los Programas con Prioridad Nacional y, en su caso, sus Subprogramas y demás acuerdos del Consejo Nacional de Seguridad Pública, con base en lo preceptuado por el párrafo décimo del artículo 21 de la Constitución Política de los Estados Unidos Mexicanos y los artículos 44 y 45 de la Ley de Coordinación Fiscal y demás normativa aplicable.</w:t>
      </w:r>
    </w:p>
    <w:p w14:paraId="29D73BC7" w14:textId="77777777" w:rsidR="000A427F" w:rsidRDefault="000A427F" w:rsidP="000A427F">
      <w:pPr>
        <w:tabs>
          <w:tab w:val="left" w:pos="1065"/>
        </w:tabs>
        <w:autoSpaceDE w:val="0"/>
        <w:autoSpaceDN w:val="0"/>
        <w:adjustRightInd w:val="0"/>
        <w:jc w:val="both"/>
        <w:rPr>
          <w:rFonts w:ascii="Barlow" w:hAnsi="Barlow" w:cs="Arial"/>
          <w:b/>
          <w:sz w:val="20"/>
          <w:szCs w:val="20"/>
        </w:rPr>
      </w:pPr>
    </w:p>
    <w:p w14:paraId="411D0EC5" w14:textId="77777777" w:rsidR="000A427F" w:rsidRPr="00457469" w:rsidRDefault="000A427F" w:rsidP="000A427F">
      <w:pPr>
        <w:spacing w:line="250" w:lineRule="exact"/>
        <w:jc w:val="both"/>
        <w:outlineLvl w:val="1"/>
        <w:rPr>
          <w:rFonts w:ascii="Barlow" w:hAnsi="Barlow" w:cs="Arial"/>
          <w:sz w:val="20"/>
          <w:szCs w:val="20"/>
        </w:rPr>
      </w:pPr>
      <w:r w:rsidRPr="00457469">
        <w:rPr>
          <w:rFonts w:ascii="Barlow" w:hAnsi="Barlow" w:cs="Arial"/>
          <w:sz w:val="20"/>
          <w:szCs w:val="20"/>
        </w:rPr>
        <w:t>El ejercicio de los recursos, por parte del Comité Técnico del Fondo de Aportaciones para la Seguridad Pública del Estado de Yucatán, estará dirigido en todo caso a cubrir el costo de las acciones previstas en el convenio de coordinación y en los anexos técnicos, que en materia de seguridad pública celebren, cada año el Gobierno Federal y el Poder Ejecutivo del Estado, con estricto apego a las leyes de la materia, mecánica operativa y demás normatividad aplicable, que permita la instrumentación del Programa Estatal de Seguridad derivado del Programa Nacional de Seguridad Pública. El Comité tendrá el carácter de permanente para el cumplimiento de su objeto, establecido en el Decreto Número 182.</w:t>
      </w:r>
    </w:p>
    <w:p w14:paraId="12CC6E5E" w14:textId="77777777" w:rsidR="000A427F" w:rsidRPr="00457469" w:rsidRDefault="000A427F" w:rsidP="000A427F">
      <w:pPr>
        <w:spacing w:before="80" w:after="240" w:line="250" w:lineRule="exact"/>
        <w:jc w:val="both"/>
        <w:outlineLvl w:val="1"/>
        <w:rPr>
          <w:rFonts w:ascii="Barlow" w:hAnsi="Barlow" w:cs="Arial"/>
          <w:sz w:val="20"/>
          <w:szCs w:val="20"/>
        </w:rPr>
      </w:pPr>
      <w:r w:rsidRPr="00457469">
        <w:rPr>
          <w:rFonts w:ascii="Barlow" w:hAnsi="Barlow" w:cs="Arial"/>
          <w:sz w:val="20"/>
          <w:szCs w:val="20"/>
        </w:rPr>
        <w:t>El Comité, en términos de lo establecido en el artículo 49 de la Ley de Coordinación Fiscal, administrará y ejercerá los recursos de la Cuenta Bancaria específica conforme a las leyes del Estado, bajo su estricta responsabilidad, y los registrará como ingresos propios destinados a los fines establecidos en el Convenio y en los Anexos Técnicos desde que son recibidos hasta su erogación total.</w:t>
      </w:r>
    </w:p>
    <w:p w14:paraId="47B2B49C" w14:textId="77777777" w:rsidR="000A427F" w:rsidRPr="00457469" w:rsidRDefault="000A427F" w:rsidP="000A427F">
      <w:pPr>
        <w:spacing w:before="80" w:after="240" w:line="250" w:lineRule="exact"/>
        <w:jc w:val="both"/>
        <w:outlineLvl w:val="1"/>
        <w:rPr>
          <w:rFonts w:ascii="Barlow" w:hAnsi="Barlow" w:cs="Arial"/>
          <w:sz w:val="20"/>
          <w:szCs w:val="20"/>
        </w:rPr>
      </w:pPr>
      <w:r w:rsidRPr="00457469">
        <w:rPr>
          <w:rFonts w:ascii="Barlow" w:hAnsi="Barlow" w:cs="Arial"/>
          <w:sz w:val="20"/>
          <w:szCs w:val="20"/>
        </w:rPr>
        <w:t>La operación, administración y pago de los recursos de la Cuenta Bancaria Específica quedará cargo del Comité y la supervisión de los mismos bajo responsabilidad de la Contraloría General del Estado.</w:t>
      </w:r>
    </w:p>
    <w:p w14:paraId="2DC7A1CF" w14:textId="77777777" w:rsidR="000A427F" w:rsidRPr="00457469" w:rsidRDefault="000A427F" w:rsidP="000A427F">
      <w:pPr>
        <w:spacing w:before="80" w:after="240" w:line="250" w:lineRule="exact"/>
        <w:jc w:val="both"/>
        <w:outlineLvl w:val="1"/>
        <w:rPr>
          <w:rFonts w:ascii="Barlow" w:hAnsi="Barlow" w:cs="Arial"/>
          <w:sz w:val="20"/>
          <w:szCs w:val="20"/>
        </w:rPr>
      </w:pPr>
      <w:r w:rsidRPr="00457469">
        <w:rPr>
          <w:rFonts w:ascii="Barlow" w:hAnsi="Barlow" w:cs="Arial"/>
          <w:sz w:val="20"/>
          <w:szCs w:val="20"/>
        </w:rPr>
        <w:t xml:space="preserve">Para el otorgamiento de los recursos de la cuenta Bancaria Específica, los beneficiarios deberán entregar por conducto de las instancias previstas en los Anexos Técnicos la documentación requerida en los mismos, así como aquella que con posterioridad determine el Comité, cabe aclarar que los beneficiarios </w:t>
      </w:r>
      <w:r w:rsidRPr="00457469">
        <w:rPr>
          <w:rFonts w:ascii="Barlow" w:hAnsi="Barlow" w:cs="Arial"/>
          <w:sz w:val="20"/>
          <w:szCs w:val="20"/>
        </w:rPr>
        <w:lastRenderedPageBreak/>
        <w:t xml:space="preserve">del Fondo de Aportaciones para la Seguridad Pública del Estado de Yucatán son las dependencias y entidades del Gobierno del Estado de Yucatán que determine el Comité Técnico del Fondo de Aportaciones para la Seguridad Pública del Estado de Yucatán que en razón de sus atribuciones, contribuyan directa o indirectamente a preservar la seguridad publica en el Estado de Yucatán </w:t>
      </w:r>
    </w:p>
    <w:p w14:paraId="5E975392" w14:textId="77777777" w:rsidR="000A427F" w:rsidRDefault="000A427F" w:rsidP="000A427F">
      <w:pPr>
        <w:autoSpaceDE w:val="0"/>
        <w:autoSpaceDN w:val="0"/>
        <w:adjustRightInd w:val="0"/>
        <w:jc w:val="both"/>
        <w:rPr>
          <w:rFonts w:ascii="Barlow" w:hAnsi="Barlow" w:cs="Arial"/>
          <w:sz w:val="20"/>
          <w:szCs w:val="20"/>
        </w:rPr>
      </w:pPr>
      <w:r w:rsidRPr="00410493">
        <w:rPr>
          <w:rFonts w:ascii="Barlow" w:hAnsi="Barlow" w:cs="Arial"/>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6E6DEBEA" w14:textId="77777777" w:rsidR="000A427F" w:rsidRDefault="000A427F" w:rsidP="000A427F">
      <w:pPr>
        <w:tabs>
          <w:tab w:val="left" w:pos="1065"/>
        </w:tabs>
        <w:autoSpaceDE w:val="0"/>
        <w:autoSpaceDN w:val="0"/>
        <w:adjustRightInd w:val="0"/>
        <w:jc w:val="both"/>
        <w:rPr>
          <w:rFonts w:ascii="Barlow" w:hAnsi="Barlow" w:cs="Arial"/>
          <w:b/>
          <w:sz w:val="20"/>
          <w:szCs w:val="20"/>
        </w:rPr>
      </w:pPr>
    </w:p>
    <w:p w14:paraId="3ABBF9D6" w14:textId="5AB1D858" w:rsidR="00D3760C" w:rsidRPr="00410493" w:rsidRDefault="00D3760C" w:rsidP="00906A55">
      <w:pPr>
        <w:numPr>
          <w:ilvl w:val="0"/>
          <w:numId w:val="18"/>
        </w:numPr>
        <w:tabs>
          <w:tab w:val="left" w:pos="1065"/>
        </w:tabs>
        <w:autoSpaceDE w:val="0"/>
        <w:autoSpaceDN w:val="0"/>
        <w:adjustRightInd w:val="0"/>
        <w:jc w:val="both"/>
        <w:rPr>
          <w:rFonts w:ascii="Barlow" w:hAnsi="Barlow" w:cs="Arial"/>
          <w:b/>
          <w:sz w:val="20"/>
          <w:szCs w:val="20"/>
        </w:rPr>
      </w:pPr>
      <w:r w:rsidRPr="00410493">
        <w:rPr>
          <w:rFonts w:ascii="Barlow" w:hAnsi="Barlow" w:cs="Arial"/>
          <w:b/>
          <w:sz w:val="20"/>
          <w:szCs w:val="20"/>
        </w:rPr>
        <w:t>Ejercicio Fiscal</w:t>
      </w:r>
      <w:r w:rsidR="00257165">
        <w:rPr>
          <w:rFonts w:ascii="Barlow" w:hAnsi="Barlow" w:cs="Arial"/>
          <w:b/>
          <w:sz w:val="20"/>
          <w:szCs w:val="20"/>
        </w:rPr>
        <w:t xml:space="preserve"> 202</w:t>
      </w:r>
      <w:r w:rsidR="003C1D54">
        <w:rPr>
          <w:rFonts w:ascii="Barlow" w:hAnsi="Barlow" w:cs="Arial"/>
          <w:b/>
          <w:sz w:val="20"/>
          <w:szCs w:val="20"/>
        </w:rPr>
        <w:t>1</w:t>
      </w:r>
    </w:p>
    <w:p w14:paraId="586C53C4" w14:textId="77777777" w:rsidR="000A427F" w:rsidRPr="00B3253A" w:rsidRDefault="000A427F" w:rsidP="00230693">
      <w:pPr>
        <w:autoSpaceDE w:val="0"/>
        <w:autoSpaceDN w:val="0"/>
        <w:adjustRightInd w:val="0"/>
        <w:jc w:val="both"/>
        <w:rPr>
          <w:rFonts w:ascii="Barlow" w:hAnsi="Barlow" w:cs="Arial"/>
          <w:sz w:val="8"/>
          <w:szCs w:val="20"/>
        </w:rPr>
      </w:pPr>
    </w:p>
    <w:p w14:paraId="4ED67BEA" w14:textId="6730C79B" w:rsidR="00222282" w:rsidRPr="00410493" w:rsidRDefault="00D3760C" w:rsidP="00906A55">
      <w:pPr>
        <w:autoSpaceDE w:val="0"/>
        <w:autoSpaceDN w:val="0"/>
        <w:adjustRightInd w:val="0"/>
        <w:jc w:val="both"/>
        <w:rPr>
          <w:rFonts w:ascii="Barlow" w:hAnsi="Barlow" w:cs="Arial"/>
          <w:sz w:val="20"/>
          <w:szCs w:val="20"/>
        </w:rPr>
      </w:pPr>
      <w:r w:rsidRPr="00410493">
        <w:rPr>
          <w:rFonts w:ascii="Barlow" w:hAnsi="Barlow" w:cs="Arial"/>
          <w:sz w:val="20"/>
          <w:szCs w:val="20"/>
        </w:rPr>
        <w:t xml:space="preserve">Las cifras contenidas en los Estados Financieros y que se mencionan en estas notas se </w:t>
      </w:r>
      <w:r w:rsidR="0091551B" w:rsidRPr="00410493">
        <w:rPr>
          <w:rFonts w:ascii="Barlow" w:hAnsi="Barlow" w:cs="Arial"/>
          <w:sz w:val="20"/>
          <w:szCs w:val="20"/>
        </w:rPr>
        <w:t>presentan al</w:t>
      </w:r>
      <w:r w:rsidRPr="00410493">
        <w:rPr>
          <w:rFonts w:ascii="Barlow" w:hAnsi="Barlow" w:cs="Arial"/>
          <w:sz w:val="20"/>
          <w:szCs w:val="20"/>
        </w:rPr>
        <w:t xml:space="preserve"> </w:t>
      </w:r>
      <w:bookmarkStart w:id="15" w:name="m17"/>
      <w:bookmarkEnd w:id="15"/>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9B69E8">
        <w:rPr>
          <w:rFonts w:ascii="Barlow" w:hAnsi="Barlow" w:cs="Arial"/>
          <w:sz w:val="20"/>
          <w:szCs w:val="20"/>
        </w:rPr>
        <w:t xml:space="preserve"> </w:t>
      </w:r>
      <w:r w:rsidR="00257165">
        <w:rPr>
          <w:rFonts w:ascii="Barlow" w:hAnsi="Barlow" w:cs="Arial"/>
          <w:sz w:val="20"/>
          <w:szCs w:val="20"/>
        </w:rPr>
        <w:t>del Ejercicio Fiscal 202</w:t>
      </w:r>
      <w:r w:rsidR="003C1D54">
        <w:rPr>
          <w:rFonts w:ascii="Barlow" w:hAnsi="Barlow" w:cs="Arial"/>
          <w:sz w:val="20"/>
          <w:szCs w:val="20"/>
        </w:rPr>
        <w:t>1</w:t>
      </w:r>
    </w:p>
    <w:p w14:paraId="4E710701" w14:textId="77777777" w:rsidR="005842AB" w:rsidRDefault="005842AB" w:rsidP="00906A55">
      <w:pPr>
        <w:autoSpaceDE w:val="0"/>
        <w:autoSpaceDN w:val="0"/>
        <w:adjustRightInd w:val="0"/>
        <w:jc w:val="both"/>
        <w:rPr>
          <w:rFonts w:ascii="Barlow" w:hAnsi="Barlow" w:cs="Arial"/>
          <w:b/>
          <w:sz w:val="20"/>
          <w:szCs w:val="20"/>
        </w:rPr>
      </w:pPr>
    </w:p>
    <w:p w14:paraId="19F529D0" w14:textId="77777777" w:rsidR="00D3760C" w:rsidRPr="00410493" w:rsidRDefault="00D3760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5.-</w:t>
      </w:r>
      <w:r w:rsidRPr="00410493">
        <w:rPr>
          <w:rFonts w:ascii="Barlow" w:hAnsi="Barlow" w:cs="Arial"/>
          <w:sz w:val="20"/>
          <w:szCs w:val="20"/>
        </w:rPr>
        <w:t xml:space="preserve"> </w:t>
      </w:r>
      <w:r w:rsidRPr="00410493">
        <w:rPr>
          <w:rFonts w:ascii="Barlow" w:hAnsi="Barlow" w:cs="Arial"/>
          <w:b/>
          <w:sz w:val="20"/>
          <w:szCs w:val="20"/>
        </w:rPr>
        <w:t>Bases para la Preparación de Estados Financieros.</w:t>
      </w:r>
    </w:p>
    <w:p w14:paraId="6D51D75E" w14:textId="77777777" w:rsidR="00D3760C" w:rsidRPr="00CD63AA" w:rsidRDefault="00D3760C" w:rsidP="00906A55">
      <w:pPr>
        <w:autoSpaceDE w:val="0"/>
        <w:autoSpaceDN w:val="0"/>
        <w:adjustRightInd w:val="0"/>
        <w:jc w:val="both"/>
        <w:rPr>
          <w:rFonts w:ascii="Barlow" w:hAnsi="Barlow" w:cs="Arial"/>
          <w:sz w:val="8"/>
          <w:szCs w:val="20"/>
        </w:rPr>
      </w:pPr>
    </w:p>
    <w:p w14:paraId="77C023EF" w14:textId="4270B6A3" w:rsidR="00D3760C" w:rsidRDefault="00C91D4B" w:rsidP="00230693">
      <w:pPr>
        <w:numPr>
          <w:ilvl w:val="0"/>
          <w:numId w:val="26"/>
        </w:numPr>
        <w:autoSpaceDE w:val="0"/>
        <w:autoSpaceDN w:val="0"/>
        <w:adjustRightInd w:val="0"/>
        <w:jc w:val="both"/>
        <w:rPr>
          <w:rFonts w:ascii="Barlow" w:hAnsi="Barlow" w:cs="Arial"/>
          <w:sz w:val="20"/>
          <w:szCs w:val="20"/>
        </w:rPr>
      </w:pPr>
      <w:r w:rsidRPr="00410493">
        <w:rPr>
          <w:rFonts w:ascii="Barlow" w:hAnsi="Barlow" w:cs="Arial"/>
          <w:sz w:val="20"/>
          <w:szCs w:val="20"/>
        </w:rPr>
        <w:t xml:space="preserve">En la preparación de los Estados Financieros del </w:t>
      </w:r>
      <w:r w:rsidR="00157A67">
        <w:rPr>
          <w:rFonts w:ascii="Barlow" w:hAnsi="Barlow" w:cs="Arial"/>
          <w:sz w:val="20"/>
          <w:szCs w:val="20"/>
        </w:rPr>
        <w:t>Fondo de Aportaciones para la Seguridad Pública</w:t>
      </w:r>
      <w:r w:rsidRPr="00410493">
        <w:rPr>
          <w:rFonts w:ascii="Barlow" w:hAnsi="Barlow" w:cs="Arial"/>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w:t>
      </w:r>
      <w:r w:rsidR="00157A67">
        <w:rPr>
          <w:rFonts w:ascii="Barlow" w:hAnsi="Barlow" w:cs="Arial"/>
          <w:sz w:val="20"/>
          <w:szCs w:val="20"/>
        </w:rPr>
        <w:t xml:space="preserve"> y realiza sus registros con base acumulativa </w:t>
      </w:r>
      <w:r w:rsidR="00157A67" w:rsidRPr="00457469">
        <w:rPr>
          <w:rFonts w:ascii="Barlow" w:hAnsi="Barlow" w:cs="Arial"/>
          <w:sz w:val="20"/>
          <w:szCs w:val="20"/>
        </w:rPr>
        <w:t>para facilitar el registro, transparencia, la rendición de cuentas y la</w:t>
      </w:r>
      <w:r w:rsidR="00157A67">
        <w:rPr>
          <w:rFonts w:ascii="Barlow" w:hAnsi="Barlow" w:cs="Arial"/>
          <w:sz w:val="20"/>
          <w:szCs w:val="20"/>
        </w:rPr>
        <w:t xml:space="preserve"> </w:t>
      </w:r>
      <w:r w:rsidR="00157A67" w:rsidRPr="00457469">
        <w:rPr>
          <w:rFonts w:ascii="Barlow" w:hAnsi="Barlow" w:cs="Arial"/>
          <w:sz w:val="20"/>
          <w:szCs w:val="20"/>
        </w:rPr>
        <w:t>fiscalización de los activos, pasivos, patrimonio, ingresos y gastos y, en general, contribuir a medir la eficacia, economía y eficiencia del gasto e ingresos</w:t>
      </w:r>
      <w:r w:rsidR="00157A67">
        <w:rPr>
          <w:rFonts w:ascii="Barlow" w:hAnsi="Barlow" w:cs="Arial"/>
          <w:sz w:val="20"/>
          <w:szCs w:val="20"/>
        </w:rPr>
        <w:t>.</w:t>
      </w:r>
    </w:p>
    <w:p w14:paraId="6A514DEE" w14:textId="77777777" w:rsidR="00D3760C" w:rsidRPr="00410493" w:rsidRDefault="00D3760C" w:rsidP="00906A55">
      <w:pPr>
        <w:numPr>
          <w:ilvl w:val="0"/>
          <w:numId w:val="26"/>
        </w:numPr>
        <w:autoSpaceDE w:val="0"/>
        <w:autoSpaceDN w:val="0"/>
        <w:adjustRightInd w:val="0"/>
        <w:jc w:val="both"/>
        <w:rPr>
          <w:rFonts w:ascii="Barlow" w:hAnsi="Barlow" w:cs="Arial"/>
          <w:sz w:val="20"/>
          <w:szCs w:val="20"/>
        </w:rPr>
      </w:pPr>
      <w:r w:rsidRPr="00410493">
        <w:rPr>
          <w:rFonts w:ascii="Barlow" w:hAnsi="Barlow" w:cs="Arial"/>
          <w:sz w:val="20"/>
          <w:szCs w:val="20"/>
        </w:rPr>
        <w:t>La base de medición utilizada en el registro de las operaciones para la elaboración de los Estados Financieros es a Costo histórico.</w:t>
      </w:r>
    </w:p>
    <w:p w14:paraId="4C27A204" w14:textId="77777777" w:rsidR="00D3760C" w:rsidRPr="00410493" w:rsidRDefault="00D3760C" w:rsidP="00906A55">
      <w:pPr>
        <w:numPr>
          <w:ilvl w:val="0"/>
          <w:numId w:val="26"/>
        </w:numPr>
        <w:autoSpaceDE w:val="0"/>
        <w:autoSpaceDN w:val="0"/>
        <w:adjustRightInd w:val="0"/>
        <w:jc w:val="both"/>
        <w:rPr>
          <w:rFonts w:ascii="Barlow" w:hAnsi="Barlow" w:cs="Arial"/>
          <w:sz w:val="20"/>
          <w:szCs w:val="20"/>
        </w:rPr>
      </w:pPr>
      <w:r w:rsidRPr="00410493">
        <w:rPr>
          <w:rFonts w:ascii="Barlow" w:hAnsi="Barlow" w:cs="Arial"/>
          <w:sz w:val="20"/>
          <w:szCs w:val="20"/>
        </w:rPr>
        <w:t>Postulados básicos de la Contabilidad gubernamental aprobados por la CONAC y Publicados en el Diario Oficial del Estado para su difusión.</w:t>
      </w:r>
    </w:p>
    <w:p w14:paraId="277F4547"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Sustancia Económica</w:t>
      </w:r>
    </w:p>
    <w:p w14:paraId="589175C1"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Entes Públicos</w:t>
      </w:r>
    </w:p>
    <w:p w14:paraId="5F5F5975"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Existencia Permanente</w:t>
      </w:r>
    </w:p>
    <w:p w14:paraId="67F7D05E"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Revelación Suficiente</w:t>
      </w:r>
    </w:p>
    <w:p w14:paraId="29019173"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Importancia Relativa</w:t>
      </w:r>
    </w:p>
    <w:p w14:paraId="3C35A073"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Registro e Integración Presupuestaria</w:t>
      </w:r>
    </w:p>
    <w:p w14:paraId="7059340A"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Consolidación de la Información Financiera</w:t>
      </w:r>
    </w:p>
    <w:p w14:paraId="292E62CA"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Devengo Contable</w:t>
      </w:r>
    </w:p>
    <w:p w14:paraId="73909C4C"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Valuación</w:t>
      </w:r>
    </w:p>
    <w:p w14:paraId="0DC9034D"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Dualidad Económica</w:t>
      </w:r>
    </w:p>
    <w:p w14:paraId="739065D4" w14:textId="77777777" w:rsidR="00D3760C" w:rsidRPr="00410493" w:rsidRDefault="00D3760C" w:rsidP="00906A55">
      <w:pPr>
        <w:numPr>
          <w:ilvl w:val="1"/>
          <w:numId w:val="26"/>
        </w:numPr>
        <w:autoSpaceDE w:val="0"/>
        <w:autoSpaceDN w:val="0"/>
        <w:adjustRightInd w:val="0"/>
        <w:jc w:val="both"/>
        <w:rPr>
          <w:rFonts w:ascii="Barlow" w:hAnsi="Barlow" w:cs="Arial"/>
          <w:sz w:val="20"/>
          <w:szCs w:val="20"/>
        </w:rPr>
      </w:pPr>
      <w:r w:rsidRPr="00410493">
        <w:rPr>
          <w:rFonts w:ascii="Barlow" w:hAnsi="Barlow" w:cs="Arial"/>
          <w:sz w:val="20"/>
          <w:szCs w:val="20"/>
        </w:rPr>
        <w:t>Consistencia</w:t>
      </w:r>
    </w:p>
    <w:p w14:paraId="059F7373" w14:textId="77777777" w:rsidR="00D3760C" w:rsidRPr="00410493" w:rsidRDefault="00D3760C" w:rsidP="00906A55">
      <w:pPr>
        <w:autoSpaceDE w:val="0"/>
        <w:autoSpaceDN w:val="0"/>
        <w:adjustRightInd w:val="0"/>
        <w:jc w:val="both"/>
        <w:rPr>
          <w:rFonts w:ascii="Barlow" w:hAnsi="Barlow" w:cs="Arial"/>
          <w:sz w:val="20"/>
          <w:szCs w:val="20"/>
        </w:rPr>
      </w:pPr>
    </w:p>
    <w:p w14:paraId="55578A0C" w14:textId="77777777" w:rsidR="00D3760C" w:rsidRPr="00410493" w:rsidRDefault="00D3760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lastRenderedPageBreak/>
        <w:t>6.- Políticas de Contabilidad Significativas.</w:t>
      </w:r>
    </w:p>
    <w:p w14:paraId="1A57D3D1" w14:textId="77777777" w:rsidR="00D3760C" w:rsidRPr="00D8106F" w:rsidRDefault="00D3760C" w:rsidP="00906A55">
      <w:pPr>
        <w:autoSpaceDE w:val="0"/>
        <w:autoSpaceDN w:val="0"/>
        <w:adjustRightInd w:val="0"/>
        <w:jc w:val="both"/>
        <w:rPr>
          <w:rFonts w:ascii="Barlow" w:hAnsi="Barlow" w:cs="Arial"/>
          <w:b/>
          <w:sz w:val="8"/>
          <w:szCs w:val="20"/>
        </w:rPr>
      </w:pPr>
    </w:p>
    <w:p w14:paraId="3665AA28" w14:textId="4B4BAE74" w:rsidR="00D3760C" w:rsidRPr="00410493" w:rsidRDefault="009B7816" w:rsidP="00906A55">
      <w:pPr>
        <w:numPr>
          <w:ilvl w:val="0"/>
          <w:numId w:val="28"/>
        </w:numPr>
        <w:autoSpaceDE w:val="0"/>
        <w:autoSpaceDN w:val="0"/>
        <w:adjustRightInd w:val="0"/>
        <w:jc w:val="both"/>
        <w:rPr>
          <w:rFonts w:ascii="Barlow" w:hAnsi="Barlow" w:cs="Arial"/>
          <w:sz w:val="20"/>
          <w:szCs w:val="20"/>
        </w:rPr>
      </w:pPr>
      <w:r w:rsidRPr="00410493">
        <w:rPr>
          <w:rFonts w:ascii="Barlow" w:hAnsi="Barlow" w:cs="Arial"/>
          <w:sz w:val="20"/>
          <w:szCs w:val="20"/>
        </w:rPr>
        <w:t xml:space="preserve">Los Estados Financieros del </w:t>
      </w:r>
      <w:r w:rsidR="00157A67">
        <w:rPr>
          <w:rFonts w:ascii="Barlow" w:hAnsi="Barlow" w:cs="Arial"/>
          <w:sz w:val="20"/>
          <w:szCs w:val="20"/>
        </w:rPr>
        <w:t>Fondo de Aportaciones para la Seguridad Pública</w:t>
      </w:r>
      <w:r w:rsidRPr="00410493">
        <w:rPr>
          <w:rFonts w:ascii="Barlow" w:hAnsi="Barlow" w:cs="Arial"/>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753D80F7" w14:textId="6C0FDE00" w:rsidR="00D3760C" w:rsidRPr="00410493" w:rsidRDefault="00D3760C" w:rsidP="00906A55">
      <w:pPr>
        <w:numPr>
          <w:ilvl w:val="0"/>
          <w:numId w:val="28"/>
        </w:numPr>
        <w:autoSpaceDE w:val="0"/>
        <w:autoSpaceDN w:val="0"/>
        <w:adjustRightInd w:val="0"/>
        <w:jc w:val="both"/>
        <w:rPr>
          <w:rFonts w:ascii="Barlow" w:hAnsi="Barlow" w:cs="Arial"/>
          <w:sz w:val="20"/>
          <w:szCs w:val="20"/>
        </w:rPr>
      </w:pPr>
      <w:r w:rsidRPr="00410493">
        <w:rPr>
          <w:rFonts w:ascii="Barlow" w:hAnsi="Barlow" w:cs="Arial"/>
          <w:sz w:val="20"/>
          <w:szCs w:val="20"/>
        </w:rPr>
        <w:t xml:space="preserve">El </w:t>
      </w:r>
      <w:r w:rsidR="00157A67">
        <w:rPr>
          <w:rFonts w:ascii="Barlow" w:hAnsi="Barlow" w:cs="Arial"/>
          <w:sz w:val="20"/>
          <w:szCs w:val="20"/>
        </w:rPr>
        <w:t xml:space="preserve">Fondo de Aportaciones para la Seguridad </w:t>
      </w:r>
      <w:r w:rsidR="00740B81">
        <w:rPr>
          <w:rFonts w:ascii="Barlow" w:hAnsi="Barlow" w:cs="Arial"/>
          <w:sz w:val="20"/>
          <w:szCs w:val="20"/>
        </w:rPr>
        <w:t>Pública</w:t>
      </w:r>
      <w:r w:rsidR="00740B81" w:rsidRPr="00410493">
        <w:rPr>
          <w:rFonts w:ascii="Barlow" w:hAnsi="Barlow" w:cs="Arial"/>
          <w:sz w:val="20"/>
          <w:szCs w:val="20"/>
        </w:rPr>
        <w:t>,</w:t>
      </w:r>
      <w:r w:rsidRPr="00410493">
        <w:rPr>
          <w:rFonts w:ascii="Barlow" w:hAnsi="Barlow" w:cs="Arial"/>
          <w:sz w:val="20"/>
          <w:szCs w:val="20"/>
        </w:rPr>
        <w:t xml:space="preserve"> no </w:t>
      </w:r>
      <w:r w:rsidR="00157A67" w:rsidRPr="00410493">
        <w:rPr>
          <w:rFonts w:ascii="Barlow" w:hAnsi="Barlow" w:cs="Arial"/>
          <w:sz w:val="20"/>
          <w:szCs w:val="20"/>
        </w:rPr>
        <w:t>realizó operaciones</w:t>
      </w:r>
      <w:r w:rsidRPr="00410493">
        <w:rPr>
          <w:rFonts w:ascii="Barlow" w:hAnsi="Barlow" w:cs="Arial"/>
          <w:sz w:val="20"/>
          <w:szCs w:val="20"/>
        </w:rPr>
        <w:t xml:space="preserve"> en el extranjero.</w:t>
      </w:r>
    </w:p>
    <w:p w14:paraId="5ECDAB9A" w14:textId="59228400" w:rsidR="00D3760C" w:rsidRPr="00410493" w:rsidRDefault="00157A67" w:rsidP="00906A55">
      <w:pPr>
        <w:numPr>
          <w:ilvl w:val="0"/>
          <w:numId w:val="28"/>
        </w:numPr>
        <w:autoSpaceDE w:val="0"/>
        <w:autoSpaceDN w:val="0"/>
        <w:adjustRightInd w:val="0"/>
        <w:jc w:val="both"/>
        <w:rPr>
          <w:rFonts w:ascii="Barlow" w:hAnsi="Barlow" w:cs="Arial"/>
          <w:sz w:val="20"/>
          <w:szCs w:val="20"/>
        </w:rPr>
      </w:pPr>
      <w:r w:rsidRPr="00410493">
        <w:rPr>
          <w:rFonts w:ascii="Barlow" w:hAnsi="Barlow" w:cs="Arial"/>
          <w:sz w:val="20"/>
          <w:szCs w:val="20"/>
        </w:rPr>
        <w:t xml:space="preserve">El </w:t>
      </w:r>
      <w:r>
        <w:rPr>
          <w:rFonts w:ascii="Barlow" w:hAnsi="Barlow" w:cs="Arial"/>
          <w:sz w:val="20"/>
          <w:szCs w:val="20"/>
        </w:rPr>
        <w:t>Fondo de Aportaciones para la Seguridad Pública</w:t>
      </w:r>
      <w:r w:rsidRPr="00410493">
        <w:rPr>
          <w:rFonts w:ascii="Barlow" w:hAnsi="Barlow" w:cs="Arial"/>
          <w:sz w:val="20"/>
          <w:szCs w:val="20"/>
        </w:rPr>
        <w:t xml:space="preserve"> </w:t>
      </w:r>
      <w:r>
        <w:rPr>
          <w:rFonts w:ascii="Barlow" w:hAnsi="Barlow" w:cs="Arial"/>
          <w:sz w:val="20"/>
          <w:szCs w:val="20"/>
        </w:rPr>
        <w:t xml:space="preserve">del Estado de Yucatán no cuenta con ningún tipo de Almacén 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B3253A">
        <w:rPr>
          <w:rFonts w:ascii="Barlow" w:hAnsi="Barlow" w:cs="Arial"/>
          <w:sz w:val="20"/>
          <w:szCs w:val="20"/>
        </w:rPr>
        <w:t xml:space="preserve"> de 2021.</w:t>
      </w:r>
    </w:p>
    <w:p w14:paraId="2B64C70F" w14:textId="77777777" w:rsidR="00D3760C" w:rsidRPr="00410493" w:rsidRDefault="00D3760C" w:rsidP="00906A55">
      <w:pPr>
        <w:numPr>
          <w:ilvl w:val="0"/>
          <w:numId w:val="28"/>
        </w:numPr>
        <w:autoSpaceDE w:val="0"/>
        <w:autoSpaceDN w:val="0"/>
        <w:adjustRightInd w:val="0"/>
        <w:jc w:val="both"/>
        <w:rPr>
          <w:rFonts w:ascii="Barlow" w:hAnsi="Barlow" w:cs="Arial"/>
          <w:sz w:val="20"/>
          <w:szCs w:val="20"/>
        </w:rPr>
      </w:pPr>
      <w:r w:rsidRPr="00410493">
        <w:rPr>
          <w:rFonts w:ascii="Barlow" w:hAnsi="Barlow" w:cs="Arial"/>
          <w:sz w:val="20"/>
          <w:szCs w:val="20"/>
        </w:rPr>
        <w:t>Los Estados financieros no presentan registros de reservas.</w:t>
      </w:r>
    </w:p>
    <w:p w14:paraId="543559DF" w14:textId="4F0DCF90" w:rsidR="00522850" w:rsidRPr="00410493" w:rsidRDefault="00522850" w:rsidP="00906A55">
      <w:pPr>
        <w:numPr>
          <w:ilvl w:val="0"/>
          <w:numId w:val="28"/>
        </w:numPr>
        <w:autoSpaceDE w:val="0"/>
        <w:autoSpaceDN w:val="0"/>
        <w:adjustRightInd w:val="0"/>
        <w:jc w:val="both"/>
        <w:rPr>
          <w:rFonts w:ascii="Barlow" w:hAnsi="Barlow" w:cs="Arial"/>
          <w:sz w:val="20"/>
          <w:szCs w:val="20"/>
        </w:rPr>
      </w:pPr>
      <w:r w:rsidRPr="00410493">
        <w:rPr>
          <w:rFonts w:ascii="Barlow" w:hAnsi="Barlow" w:cs="Arial"/>
          <w:sz w:val="20"/>
          <w:szCs w:val="20"/>
        </w:rPr>
        <w:t xml:space="preserve">No se realizaron cambios contables durante el </w:t>
      </w:r>
      <w:r w:rsidR="00157A67">
        <w:rPr>
          <w:rFonts w:ascii="Barlow" w:hAnsi="Barlow" w:cs="Arial"/>
          <w:sz w:val="20"/>
          <w:szCs w:val="20"/>
        </w:rPr>
        <w:t>período del 01</w:t>
      </w:r>
      <w:r w:rsidR="003C1D54">
        <w:rPr>
          <w:rFonts w:ascii="Barlow" w:hAnsi="Barlow" w:cs="Arial"/>
          <w:sz w:val="20"/>
          <w:szCs w:val="20"/>
        </w:rPr>
        <w:t xml:space="preserve"> </w:t>
      </w:r>
      <w:r w:rsidR="00157A67">
        <w:rPr>
          <w:rFonts w:ascii="Barlow" w:hAnsi="Barlow" w:cs="Arial"/>
          <w:sz w:val="20"/>
          <w:szCs w:val="20"/>
        </w:rPr>
        <w:t xml:space="preserve">de </w:t>
      </w:r>
      <w:r w:rsidR="00FB4A74">
        <w:rPr>
          <w:rFonts w:ascii="Barlow" w:hAnsi="Barlow" w:cs="Arial"/>
          <w:sz w:val="20"/>
          <w:szCs w:val="20"/>
        </w:rPr>
        <w:t>e</w:t>
      </w:r>
      <w:r w:rsidR="00157A67">
        <w:rPr>
          <w:rFonts w:ascii="Barlow" w:hAnsi="Barlow" w:cs="Arial"/>
          <w:sz w:val="20"/>
          <w:szCs w:val="20"/>
        </w:rPr>
        <w:t>nero</w:t>
      </w:r>
      <w:r w:rsidR="009B69E8">
        <w:rPr>
          <w:rFonts w:ascii="Barlow" w:hAnsi="Barlow" w:cs="Arial"/>
          <w:sz w:val="20"/>
          <w:szCs w:val="20"/>
        </w:rPr>
        <w:t xml:space="preserve"> al </w:t>
      </w:r>
      <w:r w:rsidR="00AD26E5">
        <w:rPr>
          <w:rFonts w:ascii="Barlow" w:hAnsi="Barlow" w:cs="Arial"/>
          <w:sz w:val="20"/>
          <w:szCs w:val="20"/>
        </w:rPr>
        <w:t>31</w:t>
      </w:r>
      <w:r w:rsidR="00AD26E5" w:rsidRPr="00852D69">
        <w:rPr>
          <w:rFonts w:ascii="Barlow" w:hAnsi="Barlow" w:cs="Arial"/>
          <w:sz w:val="20"/>
          <w:szCs w:val="20"/>
        </w:rPr>
        <w:t xml:space="preserve"> de </w:t>
      </w:r>
      <w:r w:rsidR="00AD26E5">
        <w:rPr>
          <w:rFonts w:ascii="Barlow" w:hAnsi="Barlow" w:cs="Arial"/>
          <w:sz w:val="20"/>
          <w:szCs w:val="20"/>
        </w:rPr>
        <w:t>marzo</w:t>
      </w:r>
      <w:r w:rsidR="00CD63AA">
        <w:rPr>
          <w:rFonts w:ascii="Barlow" w:hAnsi="Barlow" w:cs="Arial"/>
          <w:sz w:val="20"/>
          <w:szCs w:val="20"/>
        </w:rPr>
        <w:t xml:space="preserve"> </w:t>
      </w:r>
      <w:r w:rsidR="00852D69" w:rsidRPr="00852D69">
        <w:rPr>
          <w:rFonts w:ascii="Barlow" w:hAnsi="Barlow" w:cs="Arial"/>
          <w:sz w:val="20"/>
          <w:szCs w:val="20"/>
        </w:rPr>
        <w:t>de 202</w:t>
      </w:r>
      <w:r w:rsidR="003C1D54">
        <w:rPr>
          <w:rFonts w:ascii="Barlow" w:hAnsi="Barlow" w:cs="Arial"/>
          <w:sz w:val="20"/>
          <w:szCs w:val="20"/>
        </w:rPr>
        <w:t>1.</w:t>
      </w:r>
    </w:p>
    <w:p w14:paraId="1DC5AE89" w14:textId="77777777" w:rsidR="0093585E" w:rsidRPr="00410493" w:rsidRDefault="00522850" w:rsidP="00906A55">
      <w:pPr>
        <w:numPr>
          <w:ilvl w:val="0"/>
          <w:numId w:val="28"/>
        </w:numPr>
        <w:autoSpaceDE w:val="0"/>
        <w:autoSpaceDN w:val="0"/>
        <w:adjustRightInd w:val="0"/>
        <w:jc w:val="both"/>
        <w:rPr>
          <w:rFonts w:ascii="Barlow" w:hAnsi="Barlow" w:cs="Arial"/>
          <w:sz w:val="20"/>
          <w:szCs w:val="20"/>
        </w:rPr>
      </w:pPr>
      <w:r w:rsidRPr="00410493">
        <w:rPr>
          <w:rFonts w:ascii="Barlow" w:hAnsi="Barlow" w:cs="Arial"/>
          <w:sz w:val="20"/>
          <w:szCs w:val="20"/>
        </w:rPr>
        <w:t xml:space="preserve">Respecto a las correcciones de errores, reclasificaciones, depuración y cancelación de saldos, </w:t>
      </w:r>
      <w:r w:rsidR="00CF3009">
        <w:rPr>
          <w:rFonts w:ascii="Barlow" w:hAnsi="Barlow" w:cs="Arial"/>
          <w:sz w:val="20"/>
          <w:szCs w:val="20"/>
        </w:rPr>
        <w:t xml:space="preserve">si existieran, </w:t>
      </w:r>
      <w:r w:rsidRPr="00410493">
        <w:rPr>
          <w:rFonts w:ascii="Barlow" w:hAnsi="Barlow" w:cs="Arial"/>
          <w:sz w:val="20"/>
          <w:szCs w:val="20"/>
        </w:rPr>
        <w:t>estos se ven reflejados en la cuenta de Hacienda Pública.</w:t>
      </w:r>
    </w:p>
    <w:p w14:paraId="43C56E2C" w14:textId="77777777" w:rsidR="00257165" w:rsidRPr="00B3253A" w:rsidRDefault="00257165" w:rsidP="00257165">
      <w:pPr>
        <w:autoSpaceDE w:val="0"/>
        <w:autoSpaceDN w:val="0"/>
        <w:adjustRightInd w:val="0"/>
        <w:jc w:val="both"/>
        <w:rPr>
          <w:rFonts w:ascii="Barlow" w:hAnsi="Barlow" w:cs="Arial"/>
          <w:b/>
          <w:sz w:val="12"/>
          <w:szCs w:val="20"/>
        </w:rPr>
      </w:pPr>
    </w:p>
    <w:p w14:paraId="082074DD" w14:textId="77777777" w:rsidR="00D3760C" w:rsidRPr="00410493" w:rsidRDefault="00D3760C"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7.- Posición en Moneda Extranjera y Protección por Riesgo Cambiario.</w:t>
      </w:r>
    </w:p>
    <w:p w14:paraId="603004D2" w14:textId="77777777" w:rsidR="00F02290" w:rsidRPr="00906A55" w:rsidRDefault="00F02290" w:rsidP="00613430">
      <w:pPr>
        <w:autoSpaceDE w:val="0"/>
        <w:autoSpaceDN w:val="0"/>
        <w:adjustRightInd w:val="0"/>
        <w:jc w:val="both"/>
        <w:rPr>
          <w:rFonts w:ascii="Barlow" w:hAnsi="Barlow" w:cs="Arial"/>
          <w:sz w:val="8"/>
          <w:szCs w:val="20"/>
        </w:rPr>
      </w:pPr>
    </w:p>
    <w:p w14:paraId="2D35D185" w14:textId="77777777" w:rsidR="00613430" w:rsidRPr="00906A55" w:rsidRDefault="00613430">
      <w:pPr>
        <w:autoSpaceDE w:val="0"/>
        <w:autoSpaceDN w:val="0"/>
        <w:adjustRightInd w:val="0"/>
        <w:jc w:val="both"/>
        <w:rPr>
          <w:rFonts w:ascii="Barlow" w:hAnsi="Barlow" w:cs="Arial"/>
          <w:sz w:val="20"/>
          <w:szCs w:val="20"/>
        </w:rPr>
      </w:pPr>
      <w:r>
        <w:rPr>
          <w:rFonts w:ascii="Barlow" w:hAnsi="Barlow" w:cs="Arial"/>
          <w:sz w:val="20"/>
          <w:szCs w:val="20"/>
        </w:rPr>
        <w:t>El Fondo de Aportaciones para la Seguridad Pública del Estado de Yucatán no cuenta con ningún activo o pasivo en moneda extranjera.</w:t>
      </w:r>
    </w:p>
    <w:p w14:paraId="04B39E02" w14:textId="77777777" w:rsidR="00613430" w:rsidRPr="00B3253A" w:rsidRDefault="00613430">
      <w:pPr>
        <w:autoSpaceDE w:val="0"/>
        <w:autoSpaceDN w:val="0"/>
        <w:adjustRightInd w:val="0"/>
        <w:jc w:val="both"/>
        <w:rPr>
          <w:rFonts w:ascii="Barlow" w:hAnsi="Barlow" w:cs="Arial"/>
          <w:b/>
          <w:sz w:val="14"/>
          <w:szCs w:val="20"/>
        </w:rPr>
      </w:pPr>
    </w:p>
    <w:p w14:paraId="3613216C" w14:textId="77777777" w:rsidR="00D3760C" w:rsidRDefault="00D3760C" w:rsidP="00453E01">
      <w:pPr>
        <w:autoSpaceDE w:val="0"/>
        <w:autoSpaceDN w:val="0"/>
        <w:adjustRightInd w:val="0"/>
        <w:jc w:val="both"/>
        <w:rPr>
          <w:rFonts w:ascii="Barlow" w:hAnsi="Barlow" w:cs="Arial"/>
          <w:b/>
          <w:sz w:val="20"/>
          <w:szCs w:val="20"/>
        </w:rPr>
      </w:pPr>
      <w:r w:rsidRPr="00410493">
        <w:rPr>
          <w:rFonts w:ascii="Barlow" w:hAnsi="Barlow" w:cs="Arial"/>
          <w:b/>
          <w:sz w:val="20"/>
          <w:szCs w:val="20"/>
        </w:rPr>
        <w:t>8.- Reporte Analítico del Activo.</w:t>
      </w:r>
    </w:p>
    <w:p w14:paraId="16F5F30B" w14:textId="77777777" w:rsidR="00CF3009" w:rsidRPr="00B3253A" w:rsidRDefault="00CF3009" w:rsidP="00453E01">
      <w:pPr>
        <w:autoSpaceDE w:val="0"/>
        <w:autoSpaceDN w:val="0"/>
        <w:adjustRightInd w:val="0"/>
        <w:jc w:val="both"/>
        <w:rPr>
          <w:rFonts w:ascii="Barlow" w:hAnsi="Barlow" w:cs="Arial"/>
          <w:b/>
          <w:sz w:val="10"/>
          <w:szCs w:val="20"/>
        </w:rPr>
      </w:pPr>
    </w:p>
    <w:p w14:paraId="7479B96C" w14:textId="77777777" w:rsidR="00CF3009" w:rsidRPr="00906A55" w:rsidRDefault="00CF3009" w:rsidP="00906A55">
      <w:pPr>
        <w:autoSpaceDE w:val="0"/>
        <w:autoSpaceDN w:val="0"/>
        <w:adjustRightInd w:val="0"/>
        <w:jc w:val="both"/>
        <w:rPr>
          <w:rFonts w:ascii="Barlow" w:hAnsi="Barlow" w:cs="Arial"/>
          <w:sz w:val="20"/>
          <w:szCs w:val="20"/>
        </w:rPr>
      </w:pPr>
      <w:r w:rsidRPr="00906A55">
        <w:rPr>
          <w:rFonts w:ascii="Barlow" w:hAnsi="Barlow" w:cs="Arial"/>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7CCB488F" w14:textId="77777777" w:rsidR="00CF3009" w:rsidRPr="00906A55" w:rsidRDefault="00CF3009" w:rsidP="00906A55">
      <w:pPr>
        <w:autoSpaceDE w:val="0"/>
        <w:autoSpaceDN w:val="0"/>
        <w:adjustRightInd w:val="0"/>
        <w:jc w:val="both"/>
        <w:rPr>
          <w:rFonts w:ascii="Barlow" w:hAnsi="Barlow" w:cs="Arial"/>
          <w:sz w:val="20"/>
          <w:szCs w:val="20"/>
        </w:rPr>
      </w:pPr>
      <w:r w:rsidRPr="00906A55">
        <w:rPr>
          <w:rFonts w:ascii="Barlow" w:hAnsi="Barlow" w:cs="Arial"/>
          <w:sz w:val="20"/>
          <w:szCs w:val="20"/>
        </w:rPr>
        <w:t>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w:t>
      </w:r>
      <w:r w:rsidR="00476DB9">
        <w:rPr>
          <w:rFonts w:ascii="Barlow" w:hAnsi="Barlow" w:cs="Arial"/>
          <w:sz w:val="20"/>
          <w:szCs w:val="20"/>
        </w:rPr>
        <w:t xml:space="preserve"> y lo referente a la depreciación y vida útil</w:t>
      </w:r>
      <w:r w:rsidRPr="00906A55">
        <w:rPr>
          <w:rFonts w:ascii="Barlow" w:hAnsi="Barlow" w:cs="Arial"/>
          <w:sz w:val="20"/>
          <w:szCs w:val="20"/>
        </w:rPr>
        <w:t>, es de competencia de los Beneficiarios del Fondo de Aportaciones Para la Seguridad Pública del Estado de Yucatán (instancias ejecutoras).</w:t>
      </w:r>
    </w:p>
    <w:p w14:paraId="1DAB9E8C" w14:textId="77777777" w:rsidR="00CF3009" w:rsidRPr="00410493" w:rsidRDefault="00CF3009" w:rsidP="00453E01">
      <w:pPr>
        <w:autoSpaceDE w:val="0"/>
        <w:autoSpaceDN w:val="0"/>
        <w:adjustRightInd w:val="0"/>
        <w:jc w:val="both"/>
        <w:rPr>
          <w:rFonts w:ascii="Barlow" w:hAnsi="Barlow" w:cs="Arial"/>
          <w:b/>
          <w:sz w:val="20"/>
          <w:szCs w:val="20"/>
        </w:rPr>
      </w:pPr>
    </w:p>
    <w:p w14:paraId="56FDAE39" w14:textId="77777777" w:rsidR="00B3253A" w:rsidRDefault="00B3253A" w:rsidP="00906A55">
      <w:pPr>
        <w:autoSpaceDE w:val="0"/>
        <w:autoSpaceDN w:val="0"/>
        <w:adjustRightInd w:val="0"/>
        <w:jc w:val="both"/>
        <w:rPr>
          <w:rFonts w:ascii="Barlow" w:hAnsi="Barlow" w:cs="Arial"/>
          <w:b/>
          <w:sz w:val="20"/>
          <w:szCs w:val="20"/>
        </w:rPr>
      </w:pPr>
    </w:p>
    <w:p w14:paraId="5D11B093" w14:textId="77777777" w:rsidR="00B3253A" w:rsidRDefault="00B3253A" w:rsidP="00906A55">
      <w:pPr>
        <w:autoSpaceDE w:val="0"/>
        <w:autoSpaceDN w:val="0"/>
        <w:adjustRightInd w:val="0"/>
        <w:jc w:val="both"/>
        <w:rPr>
          <w:rFonts w:ascii="Barlow" w:hAnsi="Barlow" w:cs="Arial"/>
          <w:b/>
          <w:sz w:val="20"/>
          <w:szCs w:val="20"/>
        </w:rPr>
      </w:pPr>
    </w:p>
    <w:p w14:paraId="5BEE196E" w14:textId="77777777" w:rsidR="00DB5E38" w:rsidRPr="00410493" w:rsidRDefault="00DB5E38" w:rsidP="00906A55">
      <w:pPr>
        <w:autoSpaceDE w:val="0"/>
        <w:autoSpaceDN w:val="0"/>
        <w:adjustRightInd w:val="0"/>
        <w:jc w:val="both"/>
        <w:rPr>
          <w:rFonts w:ascii="Barlow" w:hAnsi="Barlow" w:cs="Arial"/>
          <w:b/>
          <w:sz w:val="20"/>
          <w:szCs w:val="20"/>
        </w:rPr>
      </w:pPr>
      <w:r w:rsidRPr="00410493">
        <w:rPr>
          <w:rFonts w:ascii="Barlow" w:hAnsi="Barlow" w:cs="Arial"/>
          <w:b/>
          <w:sz w:val="20"/>
          <w:szCs w:val="20"/>
        </w:rPr>
        <w:t xml:space="preserve">9.- Fideicomisos, Mandatos y </w:t>
      </w:r>
      <w:r w:rsidR="006E1089" w:rsidRPr="00410493">
        <w:rPr>
          <w:rFonts w:ascii="Barlow" w:hAnsi="Barlow" w:cs="Arial"/>
          <w:b/>
          <w:sz w:val="20"/>
          <w:szCs w:val="20"/>
        </w:rPr>
        <w:t>Análogos</w:t>
      </w:r>
    </w:p>
    <w:p w14:paraId="6DA422F6" w14:textId="77777777" w:rsidR="00476DB9" w:rsidRDefault="00476DB9" w:rsidP="00453E01">
      <w:pPr>
        <w:autoSpaceDE w:val="0"/>
        <w:autoSpaceDN w:val="0"/>
        <w:adjustRightInd w:val="0"/>
        <w:jc w:val="both"/>
        <w:rPr>
          <w:rFonts w:ascii="Barlow" w:hAnsi="Barlow" w:cs="Arial"/>
          <w:sz w:val="20"/>
          <w:szCs w:val="20"/>
        </w:rPr>
      </w:pPr>
      <w:r>
        <w:rPr>
          <w:rFonts w:ascii="Barlow" w:hAnsi="Barlow" w:cs="Arial"/>
          <w:sz w:val="20"/>
          <w:szCs w:val="20"/>
        </w:rPr>
        <w:t>Con el propósito de dar cumplimiento a los dispuesto por el artículo</w:t>
      </w:r>
      <w:r w:rsidR="00257165">
        <w:rPr>
          <w:rFonts w:ascii="Barlow" w:hAnsi="Barlow" w:cs="Arial"/>
          <w:sz w:val="20"/>
          <w:szCs w:val="20"/>
        </w:rPr>
        <w:t xml:space="preserve"> </w:t>
      </w:r>
      <w:r>
        <w:rPr>
          <w:rFonts w:ascii="Barlow" w:hAnsi="Barlow" w:cs="Arial"/>
          <w:sz w:val="20"/>
          <w:szCs w:val="20"/>
        </w:rPr>
        <w:t>19, fracción V de la Ley General de Contabilidad Gubernamental, se manifiesta que en el caso del Fondo de Aportaciones para la Seguridad Pública del Estado de Yucatán no cuenta con Fideicomisos, Mandatos y Análogos.</w:t>
      </w:r>
    </w:p>
    <w:p w14:paraId="4CDE1F11" w14:textId="77777777" w:rsidR="0084764A" w:rsidRPr="00410493" w:rsidRDefault="00476DB9" w:rsidP="00906A55">
      <w:pPr>
        <w:autoSpaceDE w:val="0"/>
        <w:autoSpaceDN w:val="0"/>
        <w:adjustRightInd w:val="0"/>
        <w:jc w:val="both"/>
        <w:rPr>
          <w:rFonts w:ascii="Barlow" w:hAnsi="Barlow" w:cs="Arial"/>
          <w:sz w:val="20"/>
          <w:szCs w:val="20"/>
        </w:rPr>
      </w:pPr>
      <w:r>
        <w:rPr>
          <w:rFonts w:ascii="Barlow" w:hAnsi="Barlow" w:cs="Arial"/>
          <w:sz w:val="20"/>
          <w:szCs w:val="20"/>
        </w:rPr>
        <w:lastRenderedPageBreak/>
        <w:t xml:space="preserve"> </w:t>
      </w:r>
    </w:p>
    <w:p w14:paraId="005AB801" w14:textId="77777777" w:rsidR="001105EC" w:rsidRDefault="001105EC" w:rsidP="00453E01">
      <w:pPr>
        <w:autoSpaceDE w:val="0"/>
        <w:autoSpaceDN w:val="0"/>
        <w:adjustRightInd w:val="0"/>
        <w:jc w:val="both"/>
        <w:rPr>
          <w:rFonts w:ascii="Barlow" w:hAnsi="Barlow" w:cs="Arial"/>
          <w:b/>
          <w:sz w:val="20"/>
          <w:szCs w:val="20"/>
        </w:rPr>
      </w:pPr>
      <w:r w:rsidRPr="00410493">
        <w:rPr>
          <w:rFonts w:ascii="Barlow" w:hAnsi="Barlow" w:cs="Arial"/>
          <w:b/>
          <w:sz w:val="20"/>
          <w:szCs w:val="20"/>
        </w:rPr>
        <w:t>10.- Reporte de la Recaudación.</w:t>
      </w:r>
    </w:p>
    <w:p w14:paraId="3351B643" w14:textId="77777777" w:rsidR="00453E01" w:rsidRPr="00D8106F" w:rsidRDefault="00453E01" w:rsidP="00453E01">
      <w:pPr>
        <w:autoSpaceDE w:val="0"/>
        <w:autoSpaceDN w:val="0"/>
        <w:adjustRightInd w:val="0"/>
        <w:jc w:val="both"/>
        <w:rPr>
          <w:rFonts w:ascii="Barlow" w:hAnsi="Barlow" w:cs="Arial"/>
          <w:sz w:val="8"/>
          <w:szCs w:val="20"/>
        </w:rPr>
      </w:pPr>
    </w:p>
    <w:p w14:paraId="60C9EF26" w14:textId="77777777" w:rsidR="00453E01" w:rsidRPr="00453E01" w:rsidRDefault="00453E01" w:rsidP="00453E01">
      <w:pPr>
        <w:autoSpaceDE w:val="0"/>
        <w:autoSpaceDN w:val="0"/>
        <w:adjustRightInd w:val="0"/>
        <w:jc w:val="both"/>
        <w:rPr>
          <w:rFonts w:ascii="Barlow" w:hAnsi="Barlow" w:cs="Arial"/>
          <w:sz w:val="20"/>
          <w:szCs w:val="20"/>
        </w:rPr>
      </w:pPr>
      <w:r>
        <w:rPr>
          <w:rFonts w:ascii="Barlow" w:hAnsi="Barlow" w:cs="Arial"/>
          <w:sz w:val="20"/>
          <w:szCs w:val="20"/>
        </w:rPr>
        <w:t>El Fondo de Aportaciones para la Seguridad Pública del Estado de Yucatán no es una entidad recaudadora de ningún tipo de impuesto o contribución.</w:t>
      </w:r>
    </w:p>
    <w:p w14:paraId="3DE85F9E" w14:textId="77777777" w:rsidR="00190D31" w:rsidRPr="00410493" w:rsidRDefault="00190D31" w:rsidP="00453E01">
      <w:pPr>
        <w:autoSpaceDE w:val="0"/>
        <w:autoSpaceDN w:val="0"/>
        <w:adjustRightInd w:val="0"/>
        <w:jc w:val="both"/>
        <w:rPr>
          <w:rFonts w:ascii="Barlow" w:hAnsi="Barlow" w:cs="Arial"/>
          <w:sz w:val="20"/>
          <w:szCs w:val="20"/>
          <w:highlight w:val="yellow"/>
        </w:rPr>
      </w:pPr>
    </w:p>
    <w:p w14:paraId="16A90FEF" w14:textId="77777777" w:rsidR="001105EC" w:rsidRDefault="001105EC" w:rsidP="00453E01">
      <w:pPr>
        <w:autoSpaceDE w:val="0"/>
        <w:autoSpaceDN w:val="0"/>
        <w:adjustRightInd w:val="0"/>
        <w:jc w:val="both"/>
        <w:rPr>
          <w:rFonts w:ascii="Barlow" w:hAnsi="Barlow" w:cs="Arial"/>
          <w:b/>
          <w:sz w:val="20"/>
          <w:szCs w:val="20"/>
        </w:rPr>
      </w:pPr>
      <w:r w:rsidRPr="00410493">
        <w:rPr>
          <w:rFonts w:ascii="Barlow" w:hAnsi="Barlow" w:cs="Arial"/>
          <w:b/>
          <w:sz w:val="20"/>
          <w:szCs w:val="20"/>
        </w:rPr>
        <w:t xml:space="preserve">11. Información sobre la Deuda y el Reporte </w:t>
      </w:r>
      <w:r w:rsidR="006E1089" w:rsidRPr="00410493">
        <w:rPr>
          <w:rFonts w:ascii="Barlow" w:hAnsi="Barlow" w:cs="Arial"/>
          <w:b/>
          <w:sz w:val="20"/>
          <w:szCs w:val="20"/>
        </w:rPr>
        <w:t>Analítico</w:t>
      </w:r>
      <w:r w:rsidRPr="00410493">
        <w:rPr>
          <w:rFonts w:ascii="Barlow" w:hAnsi="Barlow" w:cs="Arial"/>
          <w:b/>
          <w:sz w:val="20"/>
          <w:szCs w:val="20"/>
        </w:rPr>
        <w:t xml:space="preserve"> de la Deuda</w:t>
      </w:r>
    </w:p>
    <w:p w14:paraId="6ED50E00" w14:textId="77777777" w:rsidR="00453E01" w:rsidRPr="00D8106F" w:rsidRDefault="00453E01" w:rsidP="00453E01">
      <w:pPr>
        <w:autoSpaceDE w:val="0"/>
        <w:autoSpaceDN w:val="0"/>
        <w:adjustRightInd w:val="0"/>
        <w:jc w:val="both"/>
        <w:rPr>
          <w:rFonts w:ascii="Barlow" w:hAnsi="Barlow" w:cs="Arial"/>
          <w:sz w:val="8"/>
          <w:szCs w:val="20"/>
        </w:rPr>
      </w:pPr>
    </w:p>
    <w:p w14:paraId="7E870F75" w14:textId="77777777" w:rsidR="00453E01" w:rsidRPr="00453E01" w:rsidRDefault="00453E01" w:rsidP="00453E01">
      <w:pPr>
        <w:autoSpaceDE w:val="0"/>
        <w:autoSpaceDN w:val="0"/>
        <w:adjustRightInd w:val="0"/>
        <w:jc w:val="both"/>
        <w:rPr>
          <w:rFonts w:ascii="Barlow" w:hAnsi="Barlow" w:cs="Arial"/>
          <w:sz w:val="20"/>
          <w:szCs w:val="20"/>
        </w:rPr>
      </w:pPr>
      <w:r>
        <w:rPr>
          <w:rFonts w:ascii="Barlow" w:hAnsi="Barlow" w:cs="Arial"/>
          <w:sz w:val="20"/>
          <w:szCs w:val="20"/>
        </w:rPr>
        <w:t>El Fondo de Aportaciones para la Seguridad Pública del Estado de Yucatán a la fecha no tiene contraído ningún tipo de Deuda Pública.</w:t>
      </w:r>
    </w:p>
    <w:p w14:paraId="1E68E647" w14:textId="77777777" w:rsidR="00DF06E0" w:rsidRPr="00D8106F" w:rsidRDefault="00DF06E0" w:rsidP="00453E01">
      <w:pPr>
        <w:jc w:val="both"/>
        <w:rPr>
          <w:rFonts w:ascii="Barlow" w:hAnsi="Barlow" w:cs="Arial"/>
          <w:b/>
          <w:bCs/>
          <w:sz w:val="14"/>
          <w:szCs w:val="20"/>
        </w:rPr>
      </w:pPr>
    </w:p>
    <w:p w14:paraId="3957057D" w14:textId="77777777" w:rsidR="00D3760C" w:rsidRDefault="009C4317" w:rsidP="00453E01">
      <w:pPr>
        <w:autoSpaceDE w:val="0"/>
        <w:autoSpaceDN w:val="0"/>
        <w:adjustRightInd w:val="0"/>
        <w:jc w:val="both"/>
        <w:rPr>
          <w:rFonts w:ascii="Barlow" w:hAnsi="Barlow" w:cs="Arial"/>
          <w:b/>
          <w:sz w:val="20"/>
          <w:szCs w:val="20"/>
        </w:rPr>
      </w:pPr>
      <w:r w:rsidRPr="00410493">
        <w:rPr>
          <w:rFonts w:ascii="Barlow" w:hAnsi="Barlow" w:cs="Arial"/>
          <w:b/>
          <w:sz w:val="20"/>
          <w:szCs w:val="20"/>
        </w:rPr>
        <w:t>12</w:t>
      </w:r>
      <w:r w:rsidR="00D3760C" w:rsidRPr="00410493">
        <w:rPr>
          <w:rFonts w:ascii="Barlow" w:hAnsi="Barlow" w:cs="Arial"/>
          <w:b/>
          <w:sz w:val="20"/>
          <w:szCs w:val="20"/>
        </w:rPr>
        <w:t>.- Calificaciones Otorgadas.</w:t>
      </w:r>
    </w:p>
    <w:p w14:paraId="5A7A6220" w14:textId="77777777" w:rsidR="00453E01" w:rsidRPr="00D8106F" w:rsidRDefault="00453E01" w:rsidP="00453E01">
      <w:pPr>
        <w:autoSpaceDE w:val="0"/>
        <w:autoSpaceDN w:val="0"/>
        <w:adjustRightInd w:val="0"/>
        <w:jc w:val="both"/>
        <w:rPr>
          <w:rFonts w:ascii="Barlow" w:hAnsi="Barlow" w:cs="Arial"/>
          <w:sz w:val="8"/>
          <w:szCs w:val="20"/>
        </w:rPr>
      </w:pPr>
    </w:p>
    <w:p w14:paraId="24135E09" w14:textId="77777777" w:rsidR="00453E01" w:rsidRPr="00453E01" w:rsidRDefault="00453E01" w:rsidP="00453E01">
      <w:pPr>
        <w:autoSpaceDE w:val="0"/>
        <w:autoSpaceDN w:val="0"/>
        <w:adjustRightInd w:val="0"/>
        <w:jc w:val="both"/>
        <w:rPr>
          <w:rFonts w:ascii="Barlow" w:hAnsi="Barlow" w:cs="Arial"/>
          <w:sz w:val="20"/>
          <w:szCs w:val="20"/>
        </w:rPr>
      </w:pPr>
      <w:r>
        <w:rPr>
          <w:rFonts w:ascii="Barlow" w:hAnsi="Barlow" w:cs="Arial"/>
          <w:sz w:val="20"/>
          <w:szCs w:val="20"/>
        </w:rPr>
        <w:t>El Fondo de Aportaciones para la Seguridad Pública del Estado de Yucatán a la fecha no ha realizado ninguna transacción que haya sido sujeta a una calificación crediticia.</w:t>
      </w:r>
    </w:p>
    <w:p w14:paraId="160B5524" w14:textId="77777777" w:rsidR="00453E01" w:rsidRPr="00D8106F" w:rsidRDefault="00453E01" w:rsidP="00453E01">
      <w:pPr>
        <w:autoSpaceDE w:val="0"/>
        <w:autoSpaceDN w:val="0"/>
        <w:adjustRightInd w:val="0"/>
        <w:jc w:val="both"/>
        <w:rPr>
          <w:rFonts w:ascii="Barlow" w:hAnsi="Barlow" w:cs="Arial"/>
          <w:b/>
          <w:sz w:val="14"/>
          <w:szCs w:val="20"/>
        </w:rPr>
      </w:pPr>
    </w:p>
    <w:p w14:paraId="4BCDFFB3" w14:textId="77777777" w:rsidR="009C4317" w:rsidRPr="00410493" w:rsidRDefault="009C4317" w:rsidP="00453E01">
      <w:pPr>
        <w:autoSpaceDE w:val="0"/>
        <w:autoSpaceDN w:val="0"/>
        <w:adjustRightInd w:val="0"/>
        <w:jc w:val="both"/>
        <w:rPr>
          <w:rFonts w:ascii="Barlow" w:hAnsi="Barlow" w:cs="Arial"/>
          <w:b/>
          <w:sz w:val="20"/>
          <w:szCs w:val="20"/>
        </w:rPr>
      </w:pPr>
      <w:r w:rsidRPr="00410493">
        <w:rPr>
          <w:rFonts w:ascii="Barlow" w:hAnsi="Barlow" w:cs="Arial"/>
          <w:b/>
          <w:sz w:val="20"/>
          <w:szCs w:val="20"/>
        </w:rPr>
        <w:t xml:space="preserve">13.- </w:t>
      </w:r>
      <w:r w:rsidR="008A76C8" w:rsidRPr="00410493">
        <w:rPr>
          <w:rFonts w:ascii="Barlow" w:hAnsi="Barlow" w:cs="Arial"/>
          <w:b/>
          <w:sz w:val="20"/>
          <w:szCs w:val="20"/>
        </w:rPr>
        <w:t>Proceso de Mejora</w:t>
      </w:r>
    </w:p>
    <w:p w14:paraId="38D743A7" w14:textId="77777777" w:rsidR="00453E01" w:rsidRPr="00D8106F" w:rsidRDefault="00453E01" w:rsidP="00453E01">
      <w:pPr>
        <w:autoSpaceDE w:val="0"/>
        <w:autoSpaceDN w:val="0"/>
        <w:adjustRightInd w:val="0"/>
        <w:jc w:val="both"/>
        <w:rPr>
          <w:rFonts w:ascii="Barlow" w:hAnsi="Barlow" w:cs="Arial"/>
          <w:sz w:val="8"/>
          <w:szCs w:val="20"/>
        </w:rPr>
      </w:pPr>
    </w:p>
    <w:p w14:paraId="354B3E67" w14:textId="77777777" w:rsidR="008A76C8" w:rsidRDefault="00453E01" w:rsidP="00453E01">
      <w:pPr>
        <w:autoSpaceDE w:val="0"/>
        <w:autoSpaceDN w:val="0"/>
        <w:adjustRightInd w:val="0"/>
        <w:jc w:val="both"/>
        <w:rPr>
          <w:rFonts w:ascii="Barlow" w:hAnsi="Barlow" w:cs="Arial"/>
          <w:sz w:val="20"/>
          <w:szCs w:val="20"/>
        </w:rPr>
      </w:pPr>
      <w:r>
        <w:rPr>
          <w:rFonts w:ascii="Barlow" w:hAnsi="Barlow" w:cs="Arial"/>
          <w:sz w:val="20"/>
          <w:szCs w:val="20"/>
        </w:rPr>
        <w:t xml:space="preserve">El Fondo de Aportaciones para la Seguridad Pública del Estado de Yucatán </w:t>
      </w:r>
      <w:r w:rsidR="001C6AD4" w:rsidRPr="00410493">
        <w:rPr>
          <w:rFonts w:ascii="Barlow" w:hAnsi="Barlow" w:cs="Arial"/>
          <w:sz w:val="20"/>
          <w:szCs w:val="20"/>
        </w:rPr>
        <w:t>se encuentra generando diversos mecanismos de control a efecto de fortalecer los ya existentes o implementar en aquellos casos que son necesarios</w:t>
      </w:r>
      <w:r>
        <w:rPr>
          <w:rFonts w:ascii="Barlow" w:hAnsi="Barlow" w:cs="Arial"/>
          <w:sz w:val="20"/>
          <w:szCs w:val="20"/>
        </w:rPr>
        <w:t>.</w:t>
      </w:r>
    </w:p>
    <w:p w14:paraId="22A5BC01" w14:textId="77777777" w:rsidR="00453E01" w:rsidRPr="00410493" w:rsidRDefault="00453E01" w:rsidP="00453E01">
      <w:pPr>
        <w:autoSpaceDE w:val="0"/>
        <w:autoSpaceDN w:val="0"/>
        <w:adjustRightInd w:val="0"/>
        <w:jc w:val="both"/>
        <w:rPr>
          <w:rFonts w:ascii="Barlow" w:hAnsi="Barlow" w:cs="Arial"/>
          <w:sz w:val="20"/>
          <w:szCs w:val="20"/>
          <w:highlight w:val="yellow"/>
        </w:rPr>
      </w:pPr>
    </w:p>
    <w:p w14:paraId="4B2A29E3" w14:textId="77777777" w:rsidR="009C4317" w:rsidRPr="00410493" w:rsidRDefault="008A76C8" w:rsidP="00453E01">
      <w:pPr>
        <w:autoSpaceDE w:val="0"/>
        <w:autoSpaceDN w:val="0"/>
        <w:adjustRightInd w:val="0"/>
        <w:jc w:val="both"/>
        <w:rPr>
          <w:rFonts w:ascii="Barlow" w:hAnsi="Barlow" w:cs="Arial"/>
          <w:b/>
          <w:sz w:val="20"/>
          <w:szCs w:val="20"/>
        </w:rPr>
      </w:pPr>
      <w:r w:rsidRPr="00410493">
        <w:rPr>
          <w:rFonts w:ascii="Barlow" w:hAnsi="Barlow" w:cs="Arial"/>
          <w:b/>
          <w:sz w:val="20"/>
          <w:szCs w:val="20"/>
        </w:rPr>
        <w:t xml:space="preserve">14. Información por Segmentos, </w:t>
      </w:r>
      <w:r w:rsidRPr="00410493">
        <w:rPr>
          <w:rFonts w:ascii="Barlow" w:hAnsi="Barlow" w:cs="Arial"/>
          <w:sz w:val="20"/>
          <w:szCs w:val="20"/>
        </w:rPr>
        <w:t xml:space="preserve">No aplica </w:t>
      </w:r>
      <w:r w:rsidRPr="00410493">
        <w:rPr>
          <w:rFonts w:ascii="Barlow" w:hAnsi="Barlow" w:cs="Arial"/>
          <w:b/>
          <w:sz w:val="20"/>
          <w:szCs w:val="20"/>
        </w:rPr>
        <w:t xml:space="preserve">  </w:t>
      </w:r>
    </w:p>
    <w:p w14:paraId="2B95B3CC" w14:textId="77777777" w:rsidR="009C4317" w:rsidRPr="00D8106F" w:rsidRDefault="009C4317" w:rsidP="00453E01">
      <w:pPr>
        <w:autoSpaceDE w:val="0"/>
        <w:autoSpaceDN w:val="0"/>
        <w:adjustRightInd w:val="0"/>
        <w:jc w:val="both"/>
        <w:rPr>
          <w:rFonts w:ascii="Barlow" w:hAnsi="Barlow" w:cs="Arial"/>
          <w:sz w:val="8"/>
          <w:szCs w:val="20"/>
        </w:rPr>
      </w:pPr>
    </w:p>
    <w:p w14:paraId="291F53C8" w14:textId="77777777" w:rsidR="00512E42" w:rsidRPr="00410493" w:rsidRDefault="00512E42" w:rsidP="00453E01">
      <w:pPr>
        <w:autoSpaceDE w:val="0"/>
        <w:autoSpaceDN w:val="0"/>
        <w:adjustRightInd w:val="0"/>
        <w:jc w:val="both"/>
        <w:rPr>
          <w:rFonts w:ascii="Barlow" w:hAnsi="Barlow" w:cs="Arial"/>
          <w:b/>
          <w:sz w:val="20"/>
          <w:szCs w:val="20"/>
        </w:rPr>
      </w:pPr>
      <w:r w:rsidRPr="00410493">
        <w:rPr>
          <w:rFonts w:ascii="Barlow" w:hAnsi="Barlow" w:cs="Arial"/>
          <w:b/>
          <w:sz w:val="20"/>
          <w:szCs w:val="20"/>
        </w:rPr>
        <w:t>15.- Eventos Posteriores.</w:t>
      </w:r>
      <w:r w:rsidR="00E25EFA" w:rsidRPr="00410493">
        <w:rPr>
          <w:rFonts w:ascii="Barlow" w:hAnsi="Barlow" w:cs="Arial"/>
          <w:b/>
          <w:sz w:val="20"/>
          <w:szCs w:val="20"/>
        </w:rPr>
        <w:t xml:space="preserve"> </w:t>
      </w:r>
      <w:r w:rsidR="00E25EFA" w:rsidRPr="00410493">
        <w:rPr>
          <w:rFonts w:ascii="Barlow" w:hAnsi="Barlow" w:cs="Arial"/>
          <w:sz w:val="20"/>
          <w:szCs w:val="20"/>
        </w:rPr>
        <w:t>No aplica</w:t>
      </w:r>
    </w:p>
    <w:p w14:paraId="31DDDBC0" w14:textId="77777777" w:rsidR="00512E42" w:rsidRPr="00D8106F" w:rsidRDefault="00512E42" w:rsidP="00453E01">
      <w:pPr>
        <w:autoSpaceDE w:val="0"/>
        <w:autoSpaceDN w:val="0"/>
        <w:adjustRightInd w:val="0"/>
        <w:jc w:val="both"/>
        <w:rPr>
          <w:rFonts w:ascii="Barlow" w:hAnsi="Barlow" w:cs="Arial"/>
          <w:sz w:val="8"/>
          <w:szCs w:val="20"/>
        </w:rPr>
      </w:pPr>
    </w:p>
    <w:p w14:paraId="27442227" w14:textId="41C85841" w:rsidR="009C4317" w:rsidRDefault="00512E42" w:rsidP="00453E01">
      <w:pPr>
        <w:autoSpaceDE w:val="0"/>
        <w:autoSpaceDN w:val="0"/>
        <w:adjustRightInd w:val="0"/>
        <w:jc w:val="both"/>
        <w:rPr>
          <w:rFonts w:ascii="Barlow" w:hAnsi="Barlow" w:cs="Arial"/>
          <w:sz w:val="20"/>
          <w:szCs w:val="20"/>
        </w:rPr>
      </w:pPr>
      <w:r w:rsidRPr="00410493">
        <w:rPr>
          <w:rFonts w:ascii="Barlow" w:hAnsi="Barlow" w:cs="Arial"/>
          <w:b/>
          <w:sz w:val="20"/>
          <w:szCs w:val="20"/>
        </w:rPr>
        <w:t>16.- Partes Relacionadas</w:t>
      </w:r>
      <w:r w:rsidR="00E605B4" w:rsidRPr="00410493">
        <w:rPr>
          <w:rFonts w:ascii="Barlow" w:hAnsi="Barlow" w:cs="Arial"/>
          <w:b/>
          <w:sz w:val="20"/>
          <w:szCs w:val="20"/>
        </w:rPr>
        <w:t xml:space="preserve">, </w:t>
      </w:r>
      <w:r w:rsidR="00E605B4" w:rsidRPr="00410493">
        <w:rPr>
          <w:rFonts w:ascii="Barlow" w:hAnsi="Barlow" w:cs="Arial"/>
          <w:sz w:val="20"/>
          <w:szCs w:val="20"/>
        </w:rPr>
        <w:t>No aplica</w:t>
      </w:r>
      <w:r w:rsidRPr="00410493">
        <w:rPr>
          <w:rFonts w:ascii="Barlow" w:hAnsi="Barlow" w:cs="Arial"/>
          <w:sz w:val="20"/>
          <w:szCs w:val="20"/>
        </w:rPr>
        <w:t>.</w:t>
      </w:r>
    </w:p>
    <w:p w14:paraId="3DEE84AA" w14:textId="02643971" w:rsidR="0019420F" w:rsidRDefault="0019420F" w:rsidP="00453E01">
      <w:pPr>
        <w:autoSpaceDE w:val="0"/>
        <w:autoSpaceDN w:val="0"/>
        <w:adjustRightInd w:val="0"/>
        <w:jc w:val="both"/>
        <w:rPr>
          <w:rFonts w:ascii="Barlow" w:hAnsi="Barlow" w:cs="Arial"/>
          <w:sz w:val="20"/>
          <w:szCs w:val="20"/>
        </w:rPr>
      </w:pPr>
    </w:p>
    <w:p w14:paraId="59FC42B2" w14:textId="3D978BAC" w:rsidR="0019420F" w:rsidRDefault="0019420F" w:rsidP="00453E01">
      <w:pPr>
        <w:autoSpaceDE w:val="0"/>
        <w:autoSpaceDN w:val="0"/>
        <w:adjustRightInd w:val="0"/>
        <w:jc w:val="both"/>
        <w:rPr>
          <w:rFonts w:ascii="Barlow" w:hAnsi="Barlow" w:cs="Arial"/>
          <w:sz w:val="20"/>
          <w:szCs w:val="20"/>
        </w:rPr>
      </w:pPr>
    </w:p>
    <w:p w14:paraId="79D60A44" w14:textId="2354C92B" w:rsidR="0019420F" w:rsidRDefault="0019420F" w:rsidP="00453E01">
      <w:pPr>
        <w:autoSpaceDE w:val="0"/>
        <w:autoSpaceDN w:val="0"/>
        <w:adjustRightInd w:val="0"/>
        <w:jc w:val="both"/>
        <w:rPr>
          <w:rFonts w:ascii="Barlow" w:hAnsi="Barlow" w:cs="Arial"/>
          <w:sz w:val="20"/>
          <w:szCs w:val="20"/>
        </w:rPr>
      </w:pPr>
      <w:bookmarkStart w:id="16" w:name="_GoBack"/>
      <w:bookmarkEnd w:id="16"/>
    </w:p>
    <w:p w14:paraId="06B630D8" w14:textId="167C871E" w:rsidR="0019420F" w:rsidRDefault="0019420F" w:rsidP="00453E01">
      <w:pPr>
        <w:autoSpaceDE w:val="0"/>
        <w:autoSpaceDN w:val="0"/>
        <w:adjustRightInd w:val="0"/>
        <w:jc w:val="both"/>
        <w:rPr>
          <w:rFonts w:ascii="Barlow" w:hAnsi="Barlow" w:cs="Arial"/>
          <w:sz w:val="20"/>
          <w:szCs w:val="20"/>
        </w:rPr>
      </w:pPr>
    </w:p>
    <w:p w14:paraId="425849AA" w14:textId="77777777" w:rsidR="0019420F" w:rsidRPr="00410493" w:rsidRDefault="0019420F" w:rsidP="00453E01">
      <w:pPr>
        <w:autoSpaceDE w:val="0"/>
        <w:autoSpaceDN w:val="0"/>
        <w:adjustRightInd w:val="0"/>
        <w:jc w:val="both"/>
        <w:rPr>
          <w:rFonts w:ascii="Barlow" w:hAnsi="Barlow" w:cs="Arial"/>
          <w:sz w:val="20"/>
          <w:szCs w:val="20"/>
        </w:rPr>
      </w:pPr>
    </w:p>
    <w:p w14:paraId="7BDEFDFE" w14:textId="77777777" w:rsidR="0023705C" w:rsidRPr="00410493" w:rsidRDefault="0023705C" w:rsidP="00453E01">
      <w:pPr>
        <w:jc w:val="both"/>
        <w:rPr>
          <w:rFonts w:ascii="Barlow" w:hAnsi="Barlow" w:cs="Arial"/>
          <w:color w:val="000000"/>
          <w:sz w:val="20"/>
          <w:szCs w:val="20"/>
          <w:lang w:eastAsia="es-MX"/>
        </w:rPr>
      </w:pPr>
    </w:p>
    <w:p w14:paraId="34C2F295" w14:textId="77777777" w:rsidR="00A17B33" w:rsidRDefault="00D20015" w:rsidP="00453E01">
      <w:pPr>
        <w:jc w:val="both"/>
        <w:rPr>
          <w:rFonts w:ascii="Barlow" w:hAnsi="Barlow" w:cs="Arial"/>
          <w:b/>
          <w:sz w:val="20"/>
          <w:szCs w:val="20"/>
        </w:rPr>
      </w:pPr>
      <w:r w:rsidRPr="00410493">
        <w:rPr>
          <w:rFonts w:ascii="Barlow" w:hAnsi="Barlow" w:cs="Arial"/>
          <w:color w:val="000000"/>
          <w:sz w:val="20"/>
          <w:szCs w:val="20"/>
          <w:lang w:eastAsia="es-MX"/>
        </w:rPr>
        <w:t>Bajo protesta de decir verdad declaramos que los Estados Financieros y sus Notas son razonablemente correctos y responsabilidad del emisor.</w:t>
      </w:r>
      <w:r w:rsidR="00055DF3" w:rsidRPr="00410493">
        <w:rPr>
          <w:rFonts w:ascii="Barlow" w:hAnsi="Barlow" w:cs="Arial"/>
          <w:b/>
          <w:sz w:val="20"/>
          <w:szCs w:val="20"/>
        </w:rPr>
        <w:t xml:space="preserve"> </w:t>
      </w:r>
    </w:p>
    <w:p w14:paraId="22921C47" w14:textId="77777777" w:rsidR="00B02C77" w:rsidRPr="00410493" w:rsidRDefault="00B02C77" w:rsidP="00453E01">
      <w:pPr>
        <w:jc w:val="both"/>
        <w:rPr>
          <w:rFonts w:ascii="Barlow" w:hAnsi="Barlow" w:cs="Arial"/>
          <w:b/>
          <w:sz w:val="20"/>
          <w:szCs w:val="20"/>
        </w:rPr>
      </w:pPr>
    </w:p>
    <w:sectPr w:rsidR="00B02C77" w:rsidRPr="00410493" w:rsidSect="0019420F">
      <w:headerReference w:type="default" r:id="rId24"/>
      <w:footerReference w:type="even" r:id="rId25"/>
      <w:footerReference w:type="default" r:id="rId26"/>
      <w:pgSz w:w="15840" w:h="12240" w:orient="landscape" w:code="1"/>
      <w:pgMar w:top="2835" w:right="1134" w:bottom="1701"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5D691" w14:textId="77777777" w:rsidR="004D266B" w:rsidRDefault="004D266B" w:rsidP="00DA679B">
      <w:r>
        <w:separator/>
      </w:r>
    </w:p>
  </w:endnote>
  <w:endnote w:type="continuationSeparator" w:id="0">
    <w:p w14:paraId="403832E3" w14:textId="77777777" w:rsidR="004D266B" w:rsidRDefault="004D266B"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Calibri"/>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3823D6" w:rsidRDefault="003823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3823D6" w:rsidRDefault="003823D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3823D6" w:rsidRDefault="003823D6"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2E9F" w14:textId="77777777" w:rsidR="004D266B" w:rsidRDefault="004D266B" w:rsidP="00DA679B">
      <w:r>
        <w:separator/>
      </w:r>
    </w:p>
  </w:footnote>
  <w:footnote w:type="continuationSeparator" w:id="0">
    <w:p w14:paraId="14E872C0" w14:textId="77777777" w:rsidR="004D266B" w:rsidRDefault="004D266B"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A374" w14:textId="77777777" w:rsidR="003823D6" w:rsidRPr="004458D8" w:rsidRDefault="003823D6" w:rsidP="005E29D9">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278133C"/>
    <w:multiLevelType w:val="hybridMultilevel"/>
    <w:tmpl w:val="4CFA871E"/>
    <w:lvl w:ilvl="0" w:tplc="527A9D3A">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D14695F"/>
    <w:multiLevelType w:val="hybridMultilevel"/>
    <w:tmpl w:val="557016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31"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C810226"/>
    <w:multiLevelType w:val="hybridMultilevel"/>
    <w:tmpl w:val="58AE65B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6" w15:restartNumberingAfterBreak="0">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9" w15:restartNumberingAfterBreak="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4" w15:restartNumberingAfterBreak="0">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6"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6"/>
  </w:num>
  <w:num w:numId="4">
    <w:abstractNumId w:val="39"/>
  </w:num>
  <w:num w:numId="5">
    <w:abstractNumId w:val="40"/>
  </w:num>
  <w:num w:numId="6">
    <w:abstractNumId w:val="1"/>
  </w:num>
  <w:num w:numId="7">
    <w:abstractNumId w:val="10"/>
  </w:num>
  <w:num w:numId="8">
    <w:abstractNumId w:val="33"/>
  </w:num>
  <w:num w:numId="9">
    <w:abstractNumId w:val="9"/>
  </w:num>
  <w:num w:numId="10">
    <w:abstractNumId w:val="42"/>
  </w:num>
  <w:num w:numId="11">
    <w:abstractNumId w:val="35"/>
  </w:num>
  <w:num w:numId="12">
    <w:abstractNumId w:val="27"/>
  </w:num>
  <w:num w:numId="13">
    <w:abstractNumId w:val="3"/>
  </w:num>
  <w:num w:numId="14">
    <w:abstractNumId w:val="0"/>
  </w:num>
  <w:num w:numId="15">
    <w:abstractNumId w:val="37"/>
  </w:num>
  <w:num w:numId="16">
    <w:abstractNumId w:val="43"/>
  </w:num>
  <w:num w:numId="17">
    <w:abstractNumId w:val="20"/>
  </w:num>
  <w:num w:numId="18">
    <w:abstractNumId w:val="22"/>
  </w:num>
  <w:num w:numId="19">
    <w:abstractNumId w:val="5"/>
  </w:num>
  <w:num w:numId="20">
    <w:abstractNumId w:val="28"/>
  </w:num>
  <w:num w:numId="21">
    <w:abstractNumId w:val="29"/>
  </w:num>
  <w:num w:numId="22">
    <w:abstractNumId w:val="24"/>
  </w:num>
  <w:num w:numId="23">
    <w:abstractNumId w:val="26"/>
  </w:num>
  <w:num w:numId="24">
    <w:abstractNumId w:val="46"/>
  </w:num>
  <w:num w:numId="25">
    <w:abstractNumId w:val="15"/>
  </w:num>
  <w:num w:numId="26">
    <w:abstractNumId w:val="31"/>
  </w:num>
  <w:num w:numId="27">
    <w:abstractNumId w:val="8"/>
  </w:num>
  <w:num w:numId="28">
    <w:abstractNumId w:val="41"/>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2"/>
  </w:num>
  <w:num w:numId="35">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0"/>
  </w:num>
  <w:num w:numId="38">
    <w:abstractNumId w:val="25"/>
  </w:num>
  <w:num w:numId="39">
    <w:abstractNumId w:val="19"/>
  </w:num>
  <w:num w:numId="40">
    <w:abstractNumId w:val="21"/>
  </w:num>
  <w:num w:numId="41">
    <w:abstractNumId w:val="36"/>
  </w:num>
  <w:num w:numId="42">
    <w:abstractNumId w:val="18"/>
  </w:num>
  <w:num w:numId="43">
    <w:abstractNumId w:val="17"/>
  </w:num>
  <w:num w:numId="44">
    <w:abstractNumId w:val="44"/>
  </w:num>
  <w:num w:numId="45">
    <w:abstractNumId w:val="14"/>
  </w:num>
  <w:num w:numId="46">
    <w:abstractNumId w:val="45"/>
  </w:num>
  <w:num w:numId="47">
    <w:abstractNumId w:val="6"/>
  </w:num>
  <w:num w:numId="48">
    <w:abstractNumId w:val="34"/>
  </w:num>
  <w:num w:numId="49">
    <w:abstractNumId w:val="1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5ABB"/>
    <w:rsid w:val="000064EA"/>
    <w:rsid w:val="000109BC"/>
    <w:rsid w:val="0001315A"/>
    <w:rsid w:val="0001378A"/>
    <w:rsid w:val="000144F5"/>
    <w:rsid w:val="00016AF8"/>
    <w:rsid w:val="0001792B"/>
    <w:rsid w:val="00020429"/>
    <w:rsid w:val="00026DF4"/>
    <w:rsid w:val="000320C2"/>
    <w:rsid w:val="000336F3"/>
    <w:rsid w:val="0003650E"/>
    <w:rsid w:val="00040F2F"/>
    <w:rsid w:val="0004371F"/>
    <w:rsid w:val="00051C2B"/>
    <w:rsid w:val="00052C47"/>
    <w:rsid w:val="00055DF3"/>
    <w:rsid w:val="000630C9"/>
    <w:rsid w:val="00064C4F"/>
    <w:rsid w:val="0007023B"/>
    <w:rsid w:val="00082456"/>
    <w:rsid w:val="000831D9"/>
    <w:rsid w:val="00084CEB"/>
    <w:rsid w:val="00087D4B"/>
    <w:rsid w:val="00093686"/>
    <w:rsid w:val="00096F24"/>
    <w:rsid w:val="000A1C1B"/>
    <w:rsid w:val="000A302E"/>
    <w:rsid w:val="000A427F"/>
    <w:rsid w:val="000A53B7"/>
    <w:rsid w:val="000A578A"/>
    <w:rsid w:val="000B1288"/>
    <w:rsid w:val="000B3057"/>
    <w:rsid w:val="000B73EE"/>
    <w:rsid w:val="000C0FBD"/>
    <w:rsid w:val="000C4DE4"/>
    <w:rsid w:val="000D0DD7"/>
    <w:rsid w:val="000D16E3"/>
    <w:rsid w:val="000D61D6"/>
    <w:rsid w:val="000D691D"/>
    <w:rsid w:val="000E294F"/>
    <w:rsid w:val="000E45CD"/>
    <w:rsid w:val="000E4FB8"/>
    <w:rsid w:val="000E5AAA"/>
    <w:rsid w:val="000E654E"/>
    <w:rsid w:val="000F1D87"/>
    <w:rsid w:val="000F564F"/>
    <w:rsid w:val="001100EC"/>
    <w:rsid w:val="001105EC"/>
    <w:rsid w:val="00110B2A"/>
    <w:rsid w:val="00112D72"/>
    <w:rsid w:val="001160EF"/>
    <w:rsid w:val="001161A5"/>
    <w:rsid w:val="00121CEB"/>
    <w:rsid w:val="001238F2"/>
    <w:rsid w:val="00124DC2"/>
    <w:rsid w:val="001320CB"/>
    <w:rsid w:val="0014716A"/>
    <w:rsid w:val="00147CEC"/>
    <w:rsid w:val="00150FE4"/>
    <w:rsid w:val="00155916"/>
    <w:rsid w:val="00157A67"/>
    <w:rsid w:val="00164BDE"/>
    <w:rsid w:val="00167B72"/>
    <w:rsid w:val="0017605A"/>
    <w:rsid w:val="00184B9D"/>
    <w:rsid w:val="00185700"/>
    <w:rsid w:val="00185FB7"/>
    <w:rsid w:val="00190D31"/>
    <w:rsid w:val="00192C39"/>
    <w:rsid w:val="0019420F"/>
    <w:rsid w:val="00196319"/>
    <w:rsid w:val="00197818"/>
    <w:rsid w:val="001A31D3"/>
    <w:rsid w:val="001B320E"/>
    <w:rsid w:val="001B4122"/>
    <w:rsid w:val="001B698E"/>
    <w:rsid w:val="001C466C"/>
    <w:rsid w:val="001C652E"/>
    <w:rsid w:val="001C6AD4"/>
    <w:rsid w:val="001E0215"/>
    <w:rsid w:val="001E1596"/>
    <w:rsid w:val="001E163C"/>
    <w:rsid w:val="001E2682"/>
    <w:rsid w:val="001E6396"/>
    <w:rsid w:val="001F1975"/>
    <w:rsid w:val="00204084"/>
    <w:rsid w:val="00206C6B"/>
    <w:rsid w:val="00213CFF"/>
    <w:rsid w:val="00216493"/>
    <w:rsid w:val="00216AAE"/>
    <w:rsid w:val="00216AF8"/>
    <w:rsid w:val="00222282"/>
    <w:rsid w:val="002225C3"/>
    <w:rsid w:val="00230693"/>
    <w:rsid w:val="00234B5D"/>
    <w:rsid w:val="00235DDB"/>
    <w:rsid w:val="00235F55"/>
    <w:rsid w:val="0023705C"/>
    <w:rsid w:val="00240562"/>
    <w:rsid w:val="00240C3B"/>
    <w:rsid w:val="002458BE"/>
    <w:rsid w:val="00245CFB"/>
    <w:rsid w:val="002512C8"/>
    <w:rsid w:val="00251A08"/>
    <w:rsid w:val="00252CC4"/>
    <w:rsid w:val="00253AED"/>
    <w:rsid w:val="002563E6"/>
    <w:rsid w:val="00257165"/>
    <w:rsid w:val="002679A0"/>
    <w:rsid w:val="0029084C"/>
    <w:rsid w:val="00290ED6"/>
    <w:rsid w:val="00291770"/>
    <w:rsid w:val="002920B2"/>
    <w:rsid w:val="002940B3"/>
    <w:rsid w:val="002A6A34"/>
    <w:rsid w:val="002B4062"/>
    <w:rsid w:val="002B4C8F"/>
    <w:rsid w:val="002B4F5C"/>
    <w:rsid w:val="002C1A37"/>
    <w:rsid w:val="002C2D08"/>
    <w:rsid w:val="002C663F"/>
    <w:rsid w:val="002D2B5B"/>
    <w:rsid w:val="002D3464"/>
    <w:rsid w:val="002D41C8"/>
    <w:rsid w:val="002D4AD6"/>
    <w:rsid w:val="002D7C5C"/>
    <w:rsid w:val="002E6169"/>
    <w:rsid w:val="002F14F7"/>
    <w:rsid w:val="002F58BA"/>
    <w:rsid w:val="003047DD"/>
    <w:rsid w:val="003049F3"/>
    <w:rsid w:val="00306BEA"/>
    <w:rsid w:val="003105B5"/>
    <w:rsid w:val="00313196"/>
    <w:rsid w:val="00314C97"/>
    <w:rsid w:val="003153C1"/>
    <w:rsid w:val="003301EC"/>
    <w:rsid w:val="003327BB"/>
    <w:rsid w:val="00334967"/>
    <w:rsid w:val="00335CAE"/>
    <w:rsid w:val="003368F6"/>
    <w:rsid w:val="00342161"/>
    <w:rsid w:val="0034445C"/>
    <w:rsid w:val="0035079D"/>
    <w:rsid w:val="0036136E"/>
    <w:rsid w:val="003661A9"/>
    <w:rsid w:val="00373189"/>
    <w:rsid w:val="00373A1D"/>
    <w:rsid w:val="003756FA"/>
    <w:rsid w:val="00381AA1"/>
    <w:rsid w:val="003823D6"/>
    <w:rsid w:val="00383F3D"/>
    <w:rsid w:val="00387981"/>
    <w:rsid w:val="003931EB"/>
    <w:rsid w:val="00393442"/>
    <w:rsid w:val="003947A5"/>
    <w:rsid w:val="00397A3F"/>
    <w:rsid w:val="003A2BC1"/>
    <w:rsid w:val="003A2D42"/>
    <w:rsid w:val="003A2D4F"/>
    <w:rsid w:val="003A6427"/>
    <w:rsid w:val="003A6B9E"/>
    <w:rsid w:val="003A7680"/>
    <w:rsid w:val="003B1778"/>
    <w:rsid w:val="003B5D3C"/>
    <w:rsid w:val="003B60CA"/>
    <w:rsid w:val="003C1D54"/>
    <w:rsid w:val="003D33E2"/>
    <w:rsid w:val="003D61D4"/>
    <w:rsid w:val="003D7C6A"/>
    <w:rsid w:val="003E4E9A"/>
    <w:rsid w:val="003F40BF"/>
    <w:rsid w:val="0040153B"/>
    <w:rsid w:val="00401FD4"/>
    <w:rsid w:val="00410493"/>
    <w:rsid w:val="0042723A"/>
    <w:rsid w:val="00434BB8"/>
    <w:rsid w:val="0043560D"/>
    <w:rsid w:val="004451A9"/>
    <w:rsid w:val="00453B11"/>
    <w:rsid w:val="00453E01"/>
    <w:rsid w:val="00454BA9"/>
    <w:rsid w:val="00455288"/>
    <w:rsid w:val="004568A1"/>
    <w:rsid w:val="004658EE"/>
    <w:rsid w:val="00471335"/>
    <w:rsid w:val="0047465B"/>
    <w:rsid w:val="00476DB9"/>
    <w:rsid w:val="00481155"/>
    <w:rsid w:val="00482399"/>
    <w:rsid w:val="00482B0C"/>
    <w:rsid w:val="004832E5"/>
    <w:rsid w:val="0048331C"/>
    <w:rsid w:val="00485542"/>
    <w:rsid w:val="00490849"/>
    <w:rsid w:val="004A2419"/>
    <w:rsid w:val="004B0334"/>
    <w:rsid w:val="004B6928"/>
    <w:rsid w:val="004C1C8B"/>
    <w:rsid w:val="004D258E"/>
    <w:rsid w:val="004D266B"/>
    <w:rsid w:val="004E7F0F"/>
    <w:rsid w:val="004F22A7"/>
    <w:rsid w:val="005026A0"/>
    <w:rsid w:val="005108BB"/>
    <w:rsid w:val="00512E42"/>
    <w:rsid w:val="00522850"/>
    <w:rsid w:val="00524FEF"/>
    <w:rsid w:val="005321F9"/>
    <w:rsid w:val="005351F8"/>
    <w:rsid w:val="00543730"/>
    <w:rsid w:val="00550847"/>
    <w:rsid w:val="0056330B"/>
    <w:rsid w:val="00565897"/>
    <w:rsid w:val="005720ED"/>
    <w:rsid w:val="0057368F"/>
    <w:rsid w:val="00575261"/>
    <w:rsid w:val="005842AB"/>
    <w:rsid w:val="005848A4"/>
    <w:rsid w:val="00585774"/>
    <w:rsid w:val="00590F35"/>
    <w:rsid w:val="005A0960"/>
    <w:rsid w:val="005A2D1D"/>
    <w:rsid w:val="005A3DE1"/>
    <w:rsid w:val="005A4A11"/>
    <w:rsid w:val="005A4A75"/>
    <w:rsid w:val="005B0A62"/>
    <w:rsid w:val="005B17D0"/>
    <w:rsid w:val="005B5581"/>
    <w:rsid w:val="005C28A8"/>
    <w:rsid w:val="005C534E"/>
    <w:rsid w:val="005D6501"/>
    <w:rsid w:val="005E29D9"/>
    <w:rsid w:val="005E6003"/>
    <w:rsid w:val="005F3621"/>
    <w:rsid w:val="005F5D0B"/>
    <w:rsid w:val="005F603F"/>
    <w:rsid w:val="00600CF0"/>
    <w:rsid w:val="006036B8"/>
    <w:rsid w:val="00613430"/>
    <w:rsid w:val="0062340E"/>
    <w:rsid w:val="00630DA9"/>
    <w:rsid w:val="006329D5"/>
    <w:rsid w:val="0063397B"/>
    <w:rsid w:val="006373FF"/>
    <w:rsid w:val="00662428"/>
    <w:rsid w:val="006659F7"/>
    <w:rsid w:val="00671B20"/>
    <w:rsid w:val="006720EF"/>
    <w:rsid w:val="00672BB0"/>
    <w:rsid w:val="00672CB0"/>
    <w:rsid w:val="00673B01"/>
    <w:rsid w:val="00675509"/>
    <w:rsid w:val="0067650C"/>
    <w:rsid w:val="00683597"/>
    <w:rsid w:val="00683F90"/>
    <w:rsid w:val="00686872"/>
    <w:rsid w:val="006933D0"/>
    <w:rsid w:val="00694603"/>
    <w:rsid w:val="006954A4"/>
    <w:rsid w:val="00696718"/>
    <w:rsid w:val="006967F4"/>
    <w:rsid w:val="006A0BB0"/>
    <w:rsid w:val="006A26B5"/>
    <w:rsid w:val="006A6D32"/>
    <w:rsid w:val="006B117A"/>
    <w:rsid w:val="006B1A44"/>
    <w:rsid w:val="006B248C"/>
    <w:rsid w:val="006B65F8"/>
    <w:rsid w:val="006B75D9"/>
    <w:rsid w:val="006B77E6"/>
    <w:rsid w:val="006C4D57"/>
    <w:rsid w:val="006C73FB"/>
    <w:rsid w:val="006D7A04"/>
    <w:rsid w:val="006E1089"/>
    <w:rsid w:val="006E3356"/>
    <w:rsid w:val="006F0767"/>
    <w:rsid w:val="006F631C"/>
    <w:rsid w:val="006F6703"/>
    <w:rsid w:val="006F7510"/>
    <w:rsid w:val="00705583"/>
    <w:rsid w:val="007064CB"/>
    <w:rsid w:val="00706E8B"/>
    <w:rsid w:val="0071143C"/>
    <w:rsid w:val="00713F85"/>
    <w:rsid w:val="007161F2"/>
    <w:rsid w:val="00717B86"/>
    <w:rsid w:val="0072194E"/>
    <w:rsid w:val="00721A11"/>
    <w:rsid w:val="00723D9B"/>
    <w:rsid w:val="00725A48"/>
    <w:rsid w:val="007277F4"/>
    <w:rsid w:val="00727A0D"/>
    <w:rsid w:val="00731788"/>
    <w:rsid w:val="007321A5"/>
    <w:rsid w:val="00733A68"/>
    <w:rsid w:val="007345D7"/>
    <w:rsid w:val="00734839"/>
    <w:rsid w:val="007401F7"/>
    <w:rsid w:val="00740B81"/>
    <w:rsid w:val="00740FB7"/>
    <w:rsid w:val="00754336"/>
    <w:rsid w:val="0076163D"/>
    <w:rsid w:val="00765652"/>
    <w:rsid w:val="0076668A"/>
    <w:rsid w:val="00771C84"/>
    <w:rsid w:val="00773C5F"/>
    <w:rsid w:val="00775193"/>
    <w:rsid w:val="00780474"/>
    <w:rsid w:val="00785D65"/>
    <w:rsid w:val="007900C8"/>
    <w:rsid w:val="00790F0E"/>
    <w:rsid w:val="007944A4"/>
    <w:rsid w:val="00795A81"/>
    <w:rsid w:val="007A230C"/>
    <w:rsid w:val="007A4E92"/>
    <w:rsid w:val="007A7DD6"/>
    <w:rsid w:val="007B0620"/>
    <w:rsid w:val="007C2BB7"/>
    <w:rsid w:val="007C5B18"/>
    <w:rsid w:val="007C789A"/>
    <w:rsid w:val="007D06BB"/>
    <w:rsid w:val="007D0F52"/>
    <w:rsid w:val="007D1AC9"/>
    <w:rsid w:val="007E47C6"/>
    <w:rsid w:val="007E5CED"/>
    <w:rsid w:val="007F050E"/>
    <w:rsid w:val="007F1C9E"/>
    <w:rsid w:val="007F2F3B"/>
    <w:rsid w:val="00803BD8"/>
    <w:rsid w:val="00804593"/>
    <w:rsid w:val="00812110"/>
    <w:rsid w:val="00812E20"/>
    <w:rsid w:val="008177BB"/>
    <w:rsid w:val="00820F2E"/>
    <w:rsid w:val="00823027"/>
    <w:rsid w:val="0082734A"/>
    <w:rsid w:val="008273DF"/>
    <w:rsid w:val="00842987"/>
    <w:rsid w:val="00847294"/>
    <w:rsid w:val="0084764A"/>
    <w:rsid w:val="008515B8"/>
    <w:rsid w:val="00852D69"/>
    <w:rsid w:val="0086191D"/>
    <w:rsid w:val="00872E71"/>
    <w:rsid w:val="00883EF1"/>
    <w:rsid w:val="008861E4"/>
    <w:rsid w:val="00886595"/>
    <w:rsid w:val="00897CF9"/>
    <w:rsid w:val="008A0458"/>
    <w:rsid w:val="008A065E"/>
    <w:rsid w:val="008A1B61"/>
    <w:rsid w:val="008A304E"/>
    <w:rsid w:val="008A76C8"/>
    <w:rsid w:val="008B1A84"/>
    <w:rsid w:val="008B620B"/>
    <w:rsid w:val="008B6E6D"/>
    <w:rsid w:val="008C7EDD"/>
    <w:rsid w:val="008D1226"/>
    <w:rsid w:val="008E456C"/>
    <w:rsid w:val="008E48E4"/>
    <w:rsid w:val="008E5D0C"/>
    <w:rsid w:val="008E6222"/>
    <w:rsid w:val="008F6E97"/>
    <w:rsid w:val="00906A55"/>
    <w:rsid w:val="0091551B"/>
    <w:rsid w:val="0091567C"/>
    <w:rsid w:val="00915960"/>
    <w:rsid w:val="0093585E"/>
    <w:rsid w:val="00944EAC"/>
    <w:rsid w:val="00945B9F"/>
    <w:rsid w:val="00954DFF"/>
    <w:rsid w:val="009571C1"/>
    <w:rsid w:val="00961E03"/>
    <w:rsid w:val="00962E2B"/>
    <w:rsid w:val="0096557A"/>
    <w:rsid w:val="00972AF0"/>
    <w:rsid w:val="0098050B"/>
    <w:rsid w:val="009902A8"/>
    <w:rsid w:val="00991EFD"/>
    <w:rsid w:val="009A1145"/>
    <w:rsid w:val="009B2088"/>
    <w:rsid w:val="009B25EF"/>
    <w:rsid w:val="009B69E8"/>
    <w:rsid w:val="009B7816"/>
    <w:rsid w:val="009B7A20"/>
    <w:rsid w:val="009C148A"/>
    <w:rsid w:val="009C3FBD"/>
    <w:rsid w:val="009C4317"/>
    <w:rsid w:val="009C4FA9"/>
    <w:rsid w:val="009C77EE"/>
    <w:rsid w:val="009D290F"/>
    <w:rsid w:val="009D3345"/>
    <w:rsid w:val="009F176D"/>
    <w:rsid w:val="009F268A"/>
    <w:rsid w:val="00A01402"/>
    <w:rsid w:val="00A01697"/>
    <w:rsid w:val="00A02EF3"/>
    <w:rsid w:val="00A042CB"/>
    <w:rsid w:val="00A056CF"/>
    <w:rsid w:val="00A160E8"/>
    <w:rsid w:val="00A17B33"/>
    <w:rsid w:val="00A35F8B"/>
    <w:rsid w:val="00A537B4"/>
    <w:rsid w:val="00A563A1"/>
    <w:rsid w:val="00A56D65"/>
    <w:rsid w:val="00A573B9"/>
    <w:rsid w:val="00A6204D"/>
    <w:rsid w:val="00A66BFF"/>
    <w:rsid w:val="00A67FAE"/>
    <w:rsid w:val="00A70892"/>
    <w:rsid w:val="00A72851"/>
    <w:rsid w:val="00A77C6D"/>
    <w:rsid w:val="00A92B97"/>
    <w:rsid w:val="00A9325D"/>
    <w:rsid w:val="00AA3BB3"/>
    <w:rsid w:val="00AA55FA"/>
    <w:rsid w:val="00AA7F21"/>
    <w:rsid w:val="00AB046A"/>
    <w:rsid w:val="00AB0980"/>
    <w:rsid w:val="00AC6FFC"/>
    <w:rsid w:val="00AC79B9"/>
    <w:rsid w:val="00AD04A4"/>
    <w:rsid w:val="00AD04E7"/>
    <w:rsid w:val="00AD26E5"/>
    <w:rsid w:val="00AD3205"/>
    <w:rsid w:val="00AD7F6D"/>
    <w:rsid w:val="00AE5989"/>
    <w:rsid w:val="00AF0D82"/>
    <w:rsid w:val="00B01C82"/>
    <w:rsid w:val="00B02C77"/>
    <w:rsid w:val="00B03829"/>
    <w:rsid w:val="00B05B00"/>
    <w:rsid w:val="00B3253A"/>
    <w:rsid w:val="00B36F69"/>
    <w:rsid w:val="00B37AE5"/>
    <w:rsid w:val="00B419D7"/>
    <w:rsid w:val="00B43200"/>
    <w:rsid w:val="00B65305"/>
    <w:rsid w:val="00B71F24"/>
    <w:rsid w:val="00B76817"/>
    <w:rsid w:val="00B8021D"/>
    <w:rsid w:val="00B81BA7"/>
    <w:rsid w:val="00B81E09"/>
    <w:rsid w:val="00B83254"/>
    <w:rsid w:val="00B85591"/>
    <w:rsid w:val="00B85B4E"/>
    <w:rsid w:val="00B85C58"/>
    <w:rsid w:val="00B86B8A"/>
    <w:rsid w:val="00B93DE4"/>
    <w:rsid w:val="00BA2A87"/>
    <w:rsid w:val="00BA6327"/>
    <w:rsid w:val="00BA6774"/>
    <w:rsid w:val="00BB33BA"/>
    <w:rsid w:val="00BB42BE"/>
    <w:rsid w:val="00BC6C2B"/>
    <w:rsid w:val="00BC78D6"/>
    <w:rsid w:val="00BD63EC"/>
    <w:rsid w:val="00BD70FC"/>
    <w:rsid w:val="00BE03B2"/>
    <w:rsid w:val="00BE4BE2"/>
    <w:rsid w:val="00BF33E6"/>
    <w:rsid w:val="00BF44AD"/>
    <w:rsid w:val="00BF458F"/>
    <w:rsid w:val="00BF525A"/>
    <w:rsid w:val="00BF6CAF"/>
    <w:rsid w:val="00C003CF"/>
    <w:rsid w:val="00C1115B"/>
    <w:rsid w:val="00C3082A"/>
    <w:rsid w:val="00C32258"/>
    <w:rsid w:val="00C332FB"/>
    <w:rsid w:val="00C401ED"/>
    <w:rsid w:val="00C40954"/>
    <w:rsid w:val="00C4137E"/>
    <w:rsid w:val="00C4584A"/>
    <w:rsid w:val="00C509FF"/>
    <w:rsid w:val="00C62654"/>
    <w:rsid w:val="00C66E9A"/>
    <w:rsid w:val="00C81604"/>
    <w:rsid w:val="00C81D32"/>
    <w:rsid w:val="00C85063"/>
    <w:rsid w:val="00C850B8"/>
    <w:rsid w:val="00C86740"/>
    <w:rsid w:val="00C90CF3"/>
    <w:rsid w:val="00C91C14"/>
    <w:rsid w:val="00C91D4B"/>
    <w:rsid w:val="00C955D7"/>
    <w:rsid w:val="00CA36B1"/>
    <w:rsid w:val="00CA7800"/>
    <w:rsid w:val="00CB7A0D"/>
    <w:rsid w:val="00CC3AF1"/>
    <w:rsid w:val="00CC6C37"/>
    <w:rsid w:val="00CD30AC"/>
    <w:rsid w:val="00CD63AA"/>
    <w:rsid w:val="00CE0174"/>
    <w:rsid w:val="00CE25C8"/>
    <w:rsid w:val="00CE3092"/>
    <w:rsid w:val="00CE62D1"/>
    <w:rsid w:val="00CF3009"/>
    <w:rsid w:val="00CF4B48"/>
    <w:rsid w:val="00CF5765"/>
    <w:rsid w:val="00CF5EFE"/>
    <w:rsid w:val="00CF6FAB"/>
    <w:rsid w:val="00D01A42"/>
    <w:rsid w:val="00D02723"/>
    <w:rsid w:val="00D110DD"/>
    <w:rsid w:val="00D20015"/>
    <w:rsid w:val="00D2382F"/>
    <w:rsid w:val="00D258C6"/>
    <w:rsid w:val="00D265A1"/>
    <w:rsid w:val="00D27415"/>
    <w:rsid w:val="00D30E1D"/>
    <w:rsid w:val="00D32281"/>
    <w:rsid w:val="00D35180"/>
    <w:rsid w:val="00D3693E"/>
    <w:rsid w:val="00D3760C"/>
    <w:rsid w:val="00D42613"/>
    <w:rsid w:val="00D433EA"/>
    <w:rsid w:val="00D45902"/>
    <w:rsid w:val="00D4661A"/>
    <w:rsid w:val="00D46C51"/>
    <w:rsid w:val="00D55B9F"/>
    <w:rsid w:val="00D62038"/>
    <w:rsid w:val="00D632AD"/>
    <w:rsid w:val="00D65C1D"/>
    <w:rsid w:val="00D747BF"/>
    <w:rsid w:val="00D8106F"/>
    <w:rsid w:val="00D83798"/>
    <w:rsid w:val="00D84843"/>
    <w:rsid w:val="00D9176F"/>
    <w:rsid w:val="00D952BE"/>
    <w:rsid w:val="00D95E65"/>
    <w:rsid w:val="00D9618F"/>
    <w:rsid w:val="00D961E1"/>
    <w:rsid w:val="00DA1519"/>
    <w:rsid w:val="00DA1E17"/>
    <w:rsid w:val="00DA679B"/>
    <w:rsid w:val="00DB25FF"/>
    <w:rsid w:val="00DB2B36"/>
    <w:rsid w:val="00DB2FEB"/>
    <w:rsid w:val="00DB5E38"/>
    <w:rsid w:val="00DB6BFE"/>
    <w:rsid w:val="00DC5194"/>
    <w:rsid w:val="00DC6566"/>
    <w:rsid w:val="00DD3BD4"/>
    <w:rsid w:val="00DD643F"/>
    <w:rsid w:val="00DD6AD1"/>
    <w:rsid w:val="00DE3218"/>
    <w:rsid w:val="00DE5C93"/>
    <w:rsid w:val="00DF06E0"/>
    <w:rsid w:val="00DF308F"/>
    <w:rsid w:val="00DF5487"/>
    <w:rsid w:val="00DF5A50"/>
    <w:rsid w:val="00DF7D5B"/>
    <w:rsid w:val="00E02187"/>
    <w:rsid w:val="00E045F8"/>
    <w:rsid w:val="00E047C9"/>
    <w:rsid w:val="00E069DF"/>
    <w:rsid w:val="00E06E3B"/>
    <w:rsid w:val="00E1436E"/>
    <w:rsid w:val="00E17AD4"/>
    <w:rsid w:val="00E17E25"/>
    <w:rsid w:val="00E20254"/>
    <w:rsid w:val="00E20BDB"/>
    <w:rsid w:val="00E24F8E"/>
    <w:rsid w:val="00E25EFA"/>
    <w:rsid w:val="00E330AD"/>
    <w:rsid w:val="00E34064"/>
    <w:rsid w:val="00E351D8"/>
    <w:rsid w:val="00E35F67"/>
    <w:rsid w:val="00E3652B"/>
    <w:rsid w:val="00E3678C"/>
    <w:rsid w:val="00E37615"/>
    <w:rsid w:val="00E37B27"/>
    <w:rsid w:val="00E42A29"/>
    <w:rsid w:val="00E55617"/>
    <w:rsid w:val="00E5714B"/>
    <w:rsid w:val="00E605B4"/>
    <w:rsid w:val="00E91FB0"/>
    <w:rsid w:val="00EB30EA"/>
    <w:rsid w:val="00EB3BC3"/>
    <w:rsid w:val="00EC3D8E"/>
    <w:rsid w:val="00EC517C"/>
    <w:rsid w:val="00EC51B0"/>
    <w:rsid w:val="00EC5EA4"/>
    <w:rsid w:val="00ED15E1"/>
    <w:rsid w:val="00ED7F4D"/>
    <w:rsid w:val="00EE0DE5"/>
    <w:rsid w:val="00EE1544"/>
    <w:rsid w:val="00EE4C9A"/>
    <w:rsid w:val="00EE4D62"/>
    <w:rsid w:val="00EE7D38"/>
    <w:rsid w:val="00EF15F0"/>
    <w:rsid w:val="00EF24C7"/>
    <w:rsid w:val="00EF6745"/>
    <w:rsid w:val="00F02290"/>
    <w:rsid w:val="00F13098"/>
    <w:rsid w:val="00F14D6A"/>
    <w:rsid w:val="00F22AF0"/>
    <w:rsid w:val="00F2495B"/>
    <w:rsid w:val="00F25530"/>
    <w:rsid w:val="00F27E6E"/>
    <w:rsid w:val="00F31A47"/>
    <w:rsid w:val="00F34865"/>
    <w:rsid w:val="00F40DE1"/>
    <w:rsid w:val="00F439F8"/>
    <w:rsid w:val="00F43A15"/>
    <w:rsid w:val="00F5643D"/>
    <w:rsid w:val="00F56712"/>
    <w:rsid w:val="00F57CBB"/>
    <w:rsid w:val="00F62E25"/>
    <w:rsid w:val="00F67407"/>
    <w:rsid w:val="00F67ABD"/>
    <w:rsid w:val="00F7130B"/>
    <w:rsid w:val="00F7773E"/>
    <w:rsid w:val="00F915B2"/>
    <w:rsid w:val="00F95B60"/>
    <w:rsid w:val="00F97100"/>
    <w:rsid w:val="00FA104C"/>
    <w:rsid w:val="00FA5917"/>
    <w:rsid w:val="00FA798C"/>
    <w:rsid w:val="00FB03FA"/>
    <w:rsid w:val="00FB4A74"/>
    <w:rsid w:val="00FD032C"/>
    <w:rsid w:val="00FD35D2"/>
    <w:rsid w:val="00FD4A95"/>
    <w:rsid w:val="00FD6E2C"/>
    <w:rsid w:val="00FE045F"/>
    <w:rsid w:val="00FE47D1"/>
    <w:rsid w:val="00FE4BDF"/>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6703601">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package" Target="embeddings/Hoja_de_c_lculo_de_Microsoft_Excel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4.xlsx"/><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23" Type="http://schemas.openxmlformats.org/officeDocument/2006/relationships/package" Target="embeddings/Hoja_de_c_lculo_de_Microsoft_Excel7.xlsx"/><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Hoja_de_c_lculo_de_Microsoft_Excel5.xlsx"/><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BA3A-9F20-41D9-B9E4-6239DF45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4471</Words>
  <Characters>24595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2019-04-27T15:17:00Z</cp:lastPrinted>
  <dcterms:created xsi:type="dcterms:W3CDTF">2021-05-04T18:04:00Z</dcterms:created>
  <dcterms:modified xsi:type="dcterms:W3CDTF">2021-05-04T18:04:00Z</dcterms:modified>
</cp:coreProperties>
</file>