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BE7" w:rsidRPr="009C1E47" w:rsidRDefault="00B33BE7" w:rsidP="00B33BE7">
      <w:pPr>
        <w:jc w:val="center"/>
        <w:rPr>
          <w:rFonts w:ascii="Barlow" w:hAnsi="Barlow" w:cs="Arial"/>
          <w:b/>
          <w:sz w:val="20"/>
          <w:szCs w:val="20"/>
        </w:rPr>
      </w:pPr>
      <w:r w:rsidRPr="009C1E47">
        <w:rPr>
          <w:rFonts w:ascii="Barlow" w:hAnsi="Barlow" w:cs="Arial"/>
          <w:b/>
          <w:sz w:val="20"/>
          <w:szCs w:val="20"/>
        </w:rPr>
        <w:t>Cuenta Pública 2020</w:t>
      </w:r>
    </w:p>
    <w:p w:rsidR="00B33BE7" w:rsidRPr="009C1E47" w:rsidRDefault="00B33BE7" w:rsidP="00B33BE7">
      <w:pPr>
        <w:jc w:val="center"/>
        <w:rPr>
          <w:rFonts w:ascii="Barlow" w:hAnsi="Barlow" w:cs="Arial"/>
          <w:b/>
          <w:sz w:val="20"/>
          <w:szCs w:val="20"/>
        </w:rPr>
      </w:pPr>
      <w:r w:rsidRPr="009C1E47">
        <w:rPr>
          <w:rFonts w:ascii="Barlow" w:hAnsi="Barlow" w:cs="Arial"/>
          <w:b/>
          <w:sz w:val="20"/>
          <w:szCs w:val="20"/>
        </w:rPr>
        <w:t>Indicadores de Resultados</w:t>
      </w:r>
    </w:p>
    <w:p w:rsidR="00B33BE7" w:rsidRPr="009C1E47" w:rsidRDefault="00B33BE7" w:rsidP="00B33BE7">
      <w:pPr>
        <w:jc w:val="center"/>
        <w:rPr>
          <w:rFonts w:ascii="Barlow" w:hAnsi="Barlow" w:cs="Arial"/>
          <w:b/>
          <w:sz w:val="20"/>
          <w:szCs w:val="20"/>
        </w:rPr>
      </w:pPr>
      <w:r w:rsidRPr="009C1E47">
        <w:rPr>
          <w:rFonts w:ascii="Barlow" w:hAnsi="Barlow" w:cs="Arial"/>
          <w:b/>
          <w:sz w:val="20"/>
          <w:szCs w:val="20"/>
        </w:rPr>
        <w:t>Al 31 de Marzo de 2020</w:t>
      </w:r>
    </w:p>
    <w:p w:rsidR="00B33BE7" w:rsidRPr="009C1E47" w:rsidRDefault="00B33BE7" w:rsidP="00B33BE7">
      <w:pPr>
        <w:jc w:val="center"/>
        <w:rPr>
          <w:rFonts w:ascii="Barlow" w:hAnsi="Barlow" w:cs="Arial"/>
          <w:b/>
          <w:sz w:val="20"/>
          <w:szCs w:val="20"/>
        </w:rPr>
      </w:pPr>
      <w:r w:rsidRPr="009C1E47">
        <w:rPr>
          <w:rFonts w:ascii="Barlow" w:hAnsi="Barlow" w:cs="Arial"/>
          <w:b/>
          <w:sz w:val="20"/>
          <w:szCs w:val="20"/>
        </w:rPr>
        <w:t>(Pesos)</w:t>
      </w:r>
    </w:p>
    <w:p w:rsidR="00B33BE7" w:rsidRPr="009C1E47" w:rsidRDefault="00B33BE7" w:rsidP="00B33BE7">
      <w:pPr>
        <w:jc w:val="center"/>
        <w:rPr>
          <w:rFonts w:ascii="Barlow" w:hAnsi="Barlow" w:cs="Arial"/>
          <w:b/>
          <w:sz w:val="20"/>
          <w:szCs w:val="20"/>
        </w:rPr>
      </w:pPr>
    </w:p>
    <w:p w:rsidR="00B33BE7" w:rsidRDefault="00B33BE7" w:rsidP="00B33BE7">
      <w:pPr>
        <w:rPr>
          <w:rFonts w:ascii="Barlow" w:hAnsi="Barlow" w:cs="Arial"/>
          <w:b/>
          <w:sz w:val="20"/>
          <w:szCs w:val="20"/>
        </w:rPr>
      </w:pPr>
      <w:r w:rsidRPr="009C1E47">
        <w:rPr>
          <w:rFonts w:ascii="Barlow" w:hAnsi="Barlow" w:cs="Arial"/>
          <w:b/>
          <w:sz w:val="20"/>
          <w:szCs w:val="20"/>
        </w:rPr>
        <w:t xml:space="preserve">Ente Público: TRIBUNAL DE JUSTICIA ADMINISTRATIVA DEL ESTADO DE YUCATÁN </w:t>
      </w:r>
    </w:p>
    <w:p w:rsidR="009C1E47" w:rsidRPr="009C1E47" w:rsidRDefault="009C1E47" w:rsidP="00B33BE7">
      <w:pPr>
        <w:rPr>
          <w:rFonts w:ascii="Barlow" w:hAnsi="Barlow" w:cs="Arial"/>
          <w:b/>
          <w:sz w:val="20"/>
          <w:szCs w:val="20"/>
        </w:rPr>
      </w:pPr>
      <w:bookmarkStart w:id="0" w:name="_GoBack"/>
      <w:bookmarkEnd w:id="0"/>
    </w:p>
    <w:tbl>
      <w:tblPr>
        <w:tblStyle w:val="Tablaconcuadrcula"/>
        <w:tblpPr w:leftFromText="141" w:rightFromText="141" w:vertAnchor="text" w:horzAnchor="margin" w:tblpXSpec="center" w:tblpY="847"/>
        <w:tblW w:w="0" w:type="auto"/>
        <w:tblLook w:val="04A0" w:firstRow="1" w:lastRow="0" w:firstColumn="1" w:lastColumn="0" w:noHBand="0" w:noVBand="1"/>
      </w:tblPr>
      <w:tblGrid>
        <w:gridCol w:w="3936"/>
        <w:gridCol w:w="1249"/>
        <w:gridCol w:w="1249"/>
        <w:gridCol w:w="2578"/>
        <w:gridCol w:w="2941"/>
      </w:tblGrid>
      <w:tr w:rsidR="00B33BE7" w:rsidRPr="009C1E47" w:rsidTr="00907F95">
        <w:trPr>
          <w:trHeight w:val="558"/>
        </w:trPr>
        <w:tc>
          <w:tcPr>
            <w:tcW w:w="3936" w:type="dxa"/>
            <w:noWrap/>
            <w:hideMark/>
          </w:tcPr>
          <w:p w:rsidR="00B33BE7" w:rsidRPr="009C1E47" w:rsidRDefault="00B33BE7" w:rsidP="00396573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9C1E47">
              <w:rPr>
                <w:rFonts w:ascii="Barlow" w:hAnsi="Barlow"/>
                <w:b/>
                <w:bCs/>
                <w:sz w:val="20"/>
                <w:szCs w:val="20"/>
              </w:rPr>
              <w:t>Nombre del Indicador</w:t>
            </w:r>
          </w:p>
        </w:tc>
        <w:tc>
          <w:tcPr>
            <w:tcW w:w="1249" w:type="dxa"/>
          </w:tcPr>
          <w:p w:rsidR="00B33BE7" w:rsidRPr="009C1E47" w:rsidRDefault="00B33BE7" w:rsidP="00396573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</w:p>
        </w:tc>
        <w:tc>
          <w:tcPr>
            <w:tcW w:w="1249" w:type="dxa"/>
            <w:noWrap/>
            <w:hideMark/>
          </w:tcPr>
          <w:p w:rsidR="00B33BE7" w:rsidRPr="009C1E47" w:rsidRDefault="00B33BE7" w:rsidP="00396573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9C1E47">
              <w:rPr>
                <w:rFonts w:ascii="Barlow" w:hAnsi="Barlow"/>
                <w:b/>
                <w:bCs/>
                <w:sz w:val="20"/>
                <w:szCs w:val="20"/>
              </w:rPr>
              <w:t>Meta Anual</w:t>
            </w:r>
          </w:p>
        </w:tc>
        <w:tc>
          <w:tcPr>
            <w:tcW w:w="2578" w:type="dxa"/>
            <w:hideMark/>
          </w:tcPr>
          <w:p w:rsidR="00B33BE7" w:rsidRPr="009C1E47" w:rsidRDefault="00B33BE7" w:rsidP="00396573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9C1E47">
              <w:rPr>
                <w:rFonts w:ascii="Barlow" w:hAnsi="Barlow"/>
                <w:b/>
                <w:bCs/>
                <w:sz w:val="20"/>
                <w:szCs w:val="20"/>
              </w:rPr>
              <w:t>Avance del 1 de enero al 31 de marzo de 2019</w:t>
            </w:r>
          </w:p>
        </w:tc>
        <w:tc>
          <w:tcPr>
            <w:tcW w:w="2941" w:type="dxa"/>
            <w:hideMark/>
          </w:tcPr>
          <w:p w:rsidR="00B33BE7" w:rsidRPr="009C1E47" w:rsidRDefault="00B33BE7" w:rsidP="00396573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9C1E47">
              <w:rPr>
                <w:rFonts w:ascii="Barlow" w:hAnsi="Barlow"/>
                <w:b/>
                <w:bCs/>
                <w:sz w:val="20"/>
                <w:szCs w:val="20"/>
              </w:rPr>
              <w:t>% de avance en relación a las metas anuales</w:t>
            </w:r>
          </w:p>
        </w:tc>
      </w:tr>
      <w:tr w:rsidR="00B33BE7" w:rsidRPr="009C1E47" w:rsidTr="00907F95">
        <w:trPr>
          <w:trHeight w:val="557"/>
        </w:trPr>
        <w:tc>
          <w:tcPr>
            <w:tcW w:w="3936" w:type="dxa"/>
            <w:hideMark/>
          </w:tcPr>
          <w:p w:rsidR="00B33BE7" w:rsidRPr="009C1E47" w:rsidRDefault="00B33BE7" w:rsidP="00B33BE7">
            <w:pPr>
              <w:rPr>
                <w:rFonts w:ascii="Barlow" w:hAnsi="Barlow"/>
                <w:sz w:val="20"/>
                <w:szCs w:val="20"/>
              </w:rPr>
            </w:pPr>
            <w:r w:rsidRPr="009C1E47">
              <w:rPr>
                <w:rFonts w:ascii="Barlow" w:hAnsi="Barlow"/>
                <w:sz w:val="20"/>
                <w:szCs w:val="20"/>
              </w:rPr>
              <w:t>Demandas recibidas en materia contenciosa administrativa</w:t>
            </w:r>
          </w:p>
        </w:tc>
        <w:tc>
          <w:tcPr>
            <w:tcW w:w="1249" w:type="dxa"/>
          </w:tcPr>
          <w:p w:rsidR="00B33BE7" w:rsidRPr="009C1E47" w:rsidRDefault="00B33BE7" w:rsidP="00B33BE7">
            <w:pPr>
              <w:jc w:val="center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249" w:type="dxa"/>
            <w:noWrap/>
            <w:hideMark/>
          </w:tcPr>
          <w:p w:rsidR="00B33BE7" w:rsidRPr="009C1E47" w:rsidRDefault="00B33BE7" w:rsidP="00B33BE7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9C1E47">
              <w:rPr>
                <w:rFonts w:ascii="Barlow" w:hAnsi="Barlow"/>
                <w:sz w:val="20"/>
                <w:szCs w:val="20"/>
              </w:rPr>
              <w:t>220</w:t>
            </w:r>
          </w:p>
        </w:tc>
        <w:tc>
          <w:tcPr>
            <w:tcW w:w="2578" w:type="dxa"/>
            <w:noWrap/>
            <w:hideMark/>
          </w:tcPr>
          <w:p w:rsidR="00B33BE7" w:rsidRPr="009C1E47" w:rsidRDefault="00B33BE7" w:rsidP="00B33BE7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9C1E47">
              <w:rPr>
                <w:rFonts w:ascii="Barlow" w:hAnsi="Barlow"/>
                <w:sz w:val="20"/>
                <w:szCs w:val="20"/>
              </w:rPr>
              <w:t>168</w:t>
            </w:r>
          </w:p>
        </w:tc>
        <w:tc>
          <w:tcPr>
            <w:tcW w:w="2941" w:type="dxa"/>
            <w:noWrap/>
            <w:hideMark/>
          </w:tcPr>
          <w:p w:rsidR="00B33BE7" w:rsidRPr="009C1E47" w:rsidRDefault="00B33BE7" w:rsidP="00B33BE7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9C1E47">
              <w:rPr>
                <w:rFonts w:ascii="Barlow" w:hAnsi="Barlow"/>
                <w:sz w:val="20"/>
                <w:szCs w:val="20"/>
              </w:rPr>
              <w:t>76%</w:t>
            </w:r>
          </w:p>
        </w:tc>
      </w:tr>
      <w:tr w:rsidR="00B33BE7" w:rsidRPr="009C1E47" w:rsidTr="00907F95">
        <w:trPr>
          <w:trHeight w:val="694"/>
        </w:trPr>
        <w:tc>
          <w:tcPr>
            <w:tcW w:w="3936" w:type="dxa"/>
            <w:hideMark/>
          </w:tcPr>
          <w:p w:rsidR="00B33BE7" w:rsidRPr="009C1E47" w:rsidRDefault="00B33BE7" w:rsidP="00B33BE7">
            <w:pPr>
              <w:rPr>
                <w:rFonts w:ascii="Barlow" w:hAnsi="Barlow"/>
                <w:sz w:val="20"/>
                <w:szCs w:val="20"/>
              </w:rPr>
            </w:pPr>
            <w:r w:rsidRPr="009C1E47">
              <w:rPr>
                <w:rFonts w:ascii="Barlow" w:hAnsi="Barlow"/>
                <w:sz w:val="20"/>
                <w:szCs w:val="20"/>
              </w:rPr>
              <w:t>Demandas recibidas en materia de responsabilidades administrativas</w:t>
            </w:r>
          </w:p>
        </w:tc>
        <w:tc>
          <w:tcPr>
            <w:tcW w:w="1249" w:type="dxa"/>
          </w:tcPr>
          <w:p w:rsidR="00B33BE7" w:rsidRPr="009C1E47" w:rsidRDefault="00B33BE7" w:rsidP="00B33BE7">
            <w:pPr>
              <w:jc w:val="center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249" w:type="dxa"/>
            <w:noWrap/>
            <w:hideMark/>
          </w:tcPr>
          <w:p w:rsidR="00B33BE7" w:rsidRPr="009C1E47" w:rsidRDefault="00B33BE7" w:rsidP="00B33BE7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9C1E47">
              <w:rPr>
                <w:rFonts w:ascii="Barlow" w:hAnsi="Barlow"/>
                <w:sz w:val="20"/>
                <w:szCs w:val="20"/>
              </w:rPr>
              <w:t>50</w:t>
            </w:r>
          </w:p>
        </w:tc>
        <w:tc>
          <w:tcPr>
            <w:tcW w:w="2578" w:type="dxa"/>
            <w:noWrap/>
            <w:hideMark/>
          </w:tcPr>
          <w:p w:rsidR="00B33BE7" w:rsidRPr="009C1E47" w:rsidRDefault="00B33BE7" w:rsidP="00B33BE7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9C1E47">
              <w:rPr>
                <w:rFonts w:ascii="Barlow" w:hAnsi="Barlow"/>
                <w:sz w:val="20"/>
                <w:szCs w:val="20"/>
              </w:rPr>
              <w:t>6</w:t>
            </w:r>
          </w:p>
        </w:tc>
        <w:tc>
          <w:tcPr>
            <w:tcW w:w="2941" w:type="dxa"/>
            <w:noWrap/>
            <w:hideMark/>
          </w:tcPr>
          <w:p w:rsidR="00B33BE7" w:rsidRPr="009C1E47" w:rsidRDefault="00B33BE7" w:rsidP="00B33BE7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9C1E47">
              <w:rPr>
                <w:rFonts w:ascii="Barlow" w:hAnsi="Barlow"/>
                <w:sz w:val="20"/>
                <w:szCs w:val="20"/>
              </w:rPr>
              <w:t>12%</w:t>
            </w:r>
          </w:p>
        </w:tc>
      </w:tr>
      <w:tr w:rsidR="00B33BE7" w:rsidRPr="009C1E47" w:rsidTr="00907F95">
        <w:trPr>
          <w:trHeight w:val="549"/>
        </w:trPr>
        <w:tc>
          <w:tcPr>
            <w:tcW w:w="3936" w:type="dxa"/>
            <w:hideMark/>
          </w:tcPr>
          <w:p w:rsidR="00B33BE7" w:rsidRPr="009C1E47" w:rsidRDefault="00B33BE7" w:rsidP="00B33BE7">
            <w:pPr>
              <w:rPr>
                <w:rFonts w:ascii="Barlow" w:hAnsi="Barlow"/>
                <w:sz w:val="20"/>
                <w:szCs w:val="20"/>
              </w:rPr>
            </w:pPr>
            <w:r w:rsidRPr="009C1E47">
              <w:rPr>
                <w:rFonts w:ascii="Barlow" w:hAnsi="Barlow"/>
                <w:sz w:val="20"/>
                <w:szCs w:val="20"/>
              </w:rPr>
              <w:t>Resoluciones de asuntos en materia contenciosa administrativa emitidas</w:t>
            </w:r>
          </w:p>
        </w:tc>
        <w:tc>
          <w:tcPr>
            <w:tcW w:w="1249" w:type="dxa"/>
          </w:tcPr>
          <w:p w:rsidR="00B33BE7" w:rsidRPr="009C1E47" w:rsidRDefault="00B33BE7" w:rsidP="00B33BE7">
            <w:pPr>
              <w:jc w:val="center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249" w:type="dxa"/>
            <w:noWrap/>
            <w:hideMark/>
          </w:tcPr>
          <w:p w:rsidR="00B33BE7" w:rsidRPr="009C1E47" w:rsidRDefault="00B33BE7" w:rsidP="00B33BE7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9C1E47">
              <w:rPr>
                <w:rFonts w:ascii="Barlow" w:hAnsi="Barlow"/>
                <w:sz w:val="20"/>
                <w:szCs w:val="20"/>
              </w:rPr>
              <w:t>220</w:t>
            </w:r>
          </w:p>
        </w:tc>
        <w:tc>
          <w:tcPr>
            <w:tcW w:w="2578" w:type="dxa"/>
            <w:noWrap/>
            <w:hideMark/>
          </w:tcPr>
          <w:p w:rsidR="00B33BE7" w:rsidRPr="009C1E47" w:rsidRDefault="00B33BE7" w:rsidP="00B33BE7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9C1E47">
              <w:rPr>
                <w:rFonts w:ascii="Barlow" w:hAnsi="Barlow"/>
                <w:sz w:val="20"/>
                <w:szCs w:val="20"/>
              </w:rPr>
              <w:t>64</w:t>
            </w:r>
          </w:p>
        </w:tc>
        <w:tc>
          <w:tcPr>
            <w:tcW w:w="2941" w:type="dxa"/>
            <w:noWrap/>
            <w:hideMark/>
          </w:tcPr>
          <w:p w:rsidR="00B33BE7" w:rsidRPr="009C1E47" w:rsidRDefault="00B33BE7" w:rsidP="00B33BE7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9C1E47">
              <w:rPr>
                <w:rFonts w:ascii="Barlow" w:hAnsi="Barlow"/>
                <w:sz w:val="20"/>
                <w:szCs w:val="20"/>
              </w:rPr>
              <w:t>29%</w:t>
            </w:r>
          </w:p>
        </w:tc>
      </w:tr>
      <w:tr w:rsidR="00B33BE7" w:rsidRPr="009C1E47" w:rsidTr="00907F95">
        <w:trPr>
          <w:trHeight w:val="560"/>
        </w:trPr>
        <w:tc>
          <w:tcPr>
            <w:tcW w:w="3936" w:type="dxa"/>
            <w:hideMark/>
          </w:tcPr>
          <w:p w:rsidR="00B33BE7" w:rsidRPr="009C1E47" w:rsidRDefault="00B33BE7" w:rsidP="00B33BE7">
            <w:pPr>
              <w:rPr>
                <w:rFonts w:ascii="Barlow" w:hAnsi="Barlow"/>
                <w:sz w:val="20"/>
                <w:szCs w:val="20"/>
              </w:rPr>
            </w:pPr>
            <w:r w:rsidRPr="009C1E47">
              <w:rPr>
                <w:rFonts w:ascii="Barlow" w:hAnsi="Barlow"/>
                <w:sz w:val="20"/>
                <w:szCs w:val="20"/>
              </w:rPr>
              <w:t>Resoluciones de asuntos en materia de responsabilidades administrativa emitidas</w:t>
            </w:r>
          </w:p>
        </w:tc>
        <w:tc>
          <w:tcPr>
            <w:tcW w:w="1249" w:type="dxa"/>
          </w:tcPr>
          <w:p w:rsidR="00B33BE7" w:rsidRPr="009C1E47" w:rsidRDefault="00B33BE7" w:rsidP="00B33BE7">
            <w:pPr>
              <w:jc w:val="center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249" w:type="dxa"/>
            <w:noWrap/>
            <w:hideMark/>
          </w:tcPr>
          <w:p w:rsidR="00B33BE7" w:rsidRPr="009C1E47" w:rsidRDefault="00B33BE7" w:rsidP="00B33BE7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9C1E47">
              <w:rPr>
                <w:rFonts w:ascii="Barlow" w:hAnsi="Barlow"/>
                <w:sz w:val="20"/>
                <w:szCs w:val="20"/>
              </w:rPr>
              <w:t>50</w:t>
            </w:r>
          </w:p>
        </w:tc>
        <w:tc>
          <w:tcPr>
            <w:tcW w:w="2578" w:type="dxa"/>
            <w:noWrap/>
            <w:hideMark/>
          </w:tcPr>
          <w:p w:rsidR="00B33BE7" w:rsidRPr="009C1E47" w:rsidRDefault="00B33BE7" w:rsidP="00B33BE7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9C1E47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2941" w:type="dxa"/>
            <w:noWrap/>
            <w:hideMark/>
          </w:tcPr>
          <w:p w:rsidR="00B33BE7" w:rsidRPr="009C1E47" w:rsidRDefault="00B33BE7" w:rsidP="00B33BE7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9C1E47">
              <w:rPr>
                <w:rFonts w:ascii="Barlow" w:hAnsi="Barlow"/>
                <w:sz w:val="20"/>
                <w:szCs w:val="20"/>
              </w:rPr>
              <w:t>0%</w:t>
            </w:r>
          </w:p>
        </w:tc>
      </w:tr>
      <w:tr w:rsidR="00B33BE7" w:rsidRPr="009C1E47" w:rsidTr="00907F95">
        <w:trPr>
          <w:trHeight w:val="319"/>
        </w:trPr>
        <w:tc>
          <w:tcPr>
            <w:tcW w:w="3936" w:type="dxa"/>
            <w:hideMark/>
          </w:tcPr>
          <w:p w:rsidR="00B33BE7" w:rsidRPr="009C1E47" w:rsidRDefault="00B33BE7" w:rsidP="00B33BE7">
            <w:pPr>
              <w:rPr>
                <w:rFonts w:ascii="Barlow" w:hAnsi="Barlow"/>
                <w:sz w:val="20"/>
                <w:szCs w:val="20"/>
              </w:rPr>
            </w:pPr>
            <w:r w:rsidRPr="009C1E47">
              <w:rPr>
                <w:rFonts w:ascii="Barlow" w:hAnsi="Barlow"/>
                <w:sz w:val="20"/>
                <w:szCs w:val="20"/>
              </w:rPr>
              <w:t>Notificaciones realizadas</w:t>
            </w:r>
          </w:p>
        </w:tc>
        <w:tc>
          <w:tcPr>
            <w:tcW w:w="1249" w:type="dxa"/>
          </w:tcPr>
          <w:p w:rsidR="00B33BE7" w:rsidRPr="009C1E47" w:rsidRDefault="00B33BE7" w:rsidP="00B33BE7">
            <w:pPr>
              <w:jc w:val="center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249" w:type="dxa"/>
            <w:noWrap/>
            <w:hideMark/>
          </w:tcPr>
          <w:p w:rsidR="00B33BE7" w:rsidRPr="009C1E47" w:rsidRDefault="00B33BE7" w:rsidP="00B33BE7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9C1E47">
              <w:rPr>
                <w:rFonts w:ascii="Barlow" w:hAnsi="Barlow"/>
                <w:sz w:val="20"/>
                <w:szCs w:val="20"/>
              </w:rPr>
              <w:t>350</w:t>
            </w:r>
          </w:p>
        </w:tc>
        <w:tc>
          <w:tcPr>
            <w:tcW w:w="2578" w:type="dxa"/>
            <w:noWrap/>
            <w:hideMark/>
          </w:tcPr>
          <w:p w:rsidR="00B33BE7" w:rsidRPr="009C1E47" w:rsidRDefault="00B33BE7" w:rsidP="00B33BE7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9C1E47">
              <w:rPr>
                <w:rFonts w:ascii="Barlow" w:hAnsi="Barlow"/>
                <w:sz w:val="20"/>
                <w:szCs w:val="20"/>
              </w:rPr>
              <w:t>846</w:t>
            </w:r>
          </w:p>
        </w:tc>
        <w:tc>
          <w:tcPr>
            <w:tcW w:w="2941" w:type="dxa"/>
            <w:noWrap/>
            <w:hideMark/>
          </w:tcPr>
          <w:p w:rsidR="00B33BE7" w:rsidRPr="009C1E47" w:rsidRDefault="00B33BE7" w:rsidP="00B33BE7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9C1E47">
              <w:rPr>
                <w:rFonts w:ascii="Barlow" w:hAnsi="Barlow"/>
                <w:sz w:val="20"/>
                <w:szCs w:val="20"/>
              </w:rPr>
              <w:t>242%</w:t>
            </w:r>
          </w:p>
        </w:tc>
      </w:tr>
    </w:tbl>
    <w:p w:rsidR="00B33BE7" w:rsidRPr="009C1E47" w:rsidRDefault="00B33BE7" w:rsidP="00B33BE7">
      <w:pPr>
        <w:ind w:right="814" w:firstLine="708"/>
        <w:jc w:val="both"/>
        <w:rPr>
          <w:rFonts w:ascii="Barlow" w:hAnsi="Barlow"/>
          <w:sz w:val="20"/>
          <w:szCs w:val="20"/>
        </w:rPr>
      </w:pPr>
      <w:r w:rsidRPr="009C1E47">
        <w:rPr>
          <w:rFonts w:ascii="Barlow" w:hAnsi="Barlow"/>
          <w:sz w:val="20"/>
          <w:szCs w:val="20"/>
        </w:rPr>
        <w:t>Avance de las metas establecidas en el Programa Operativo Anual respecto a la impartición de justicia en materia contenciosa administrativa y de responsabilidades administrativas en el Estado de Yucatán por el período correspondiente del 01 de enero al 31 de marzo de 2020. (Información trimestral</w:t>
      </w:r>
      <w:r w:rsidR="00A5536A" w:rsidRPr="009C1E47">
        <w:rPr>
          <w:rFonts w:ascii="Barlow" w:hAnsi="Barlow"/>
          <w:sz w:val="20"/>
          <w:szCs w:val="20"/>
        </w:rPr>
        <w:t>)</w:t>
      </w:r>
      <w:r w:rsidRPr="009C1E47">
        <w:rPr>
          <w:rFonts w:ascii="Barlow" w:hAnsi="Barlow"/>
          <w:sz w:val="20"/>
          <w:szCs w:val="20"/>
        </w:rPr>
        <w:t>.</w:t>
      </w:r>
    </w:p>
    <w:p w:rsidR="00B33BE7" w:rsidRPr="009C1E47" w:rsidRDefault="00B33BE7" w:rsidP="00B33BE7">
      <w:pPr>
        <w:rPr>
          <w:rFonts w:ascii="Barlow" w:hAnsi="Barlow" w:cs="Arial"/>
          <w:sz w:val="20"/>
          <w:szCs w:val="20"/>
        </w:rPr>
      </w:pPr>
    </w:p>
    <w:p w:rsidR="00B33BE7" w:rsidRPr="009C1E47" w:rsidRDefault="00B33BE7" w:rsidP="00B33BE7">
      <w:pPr>
        <w:rPr>
          <w:rFonts w:ascii="Barlow" w:hAnsi="Barlow" w:cs="Arial"/>
          <w:sz w:val="20"/>
          <w:szCs w:val="20"/>
        </w:rPr>
      </w:pPr>
    </w:p>
    <w:p w:rsidR="00B33BE7" w:rsidRPr="009C1E47" w:rsidRDefault="00B33BE7" w:rsidP="00B33BE7">
      <w:pPr>
        <w:rPr>
          <w:rFonts w:ascii="Barlow" w:hAnsi="Barlow" w:cs="Arial"/>
          <w:sz w:val="20"/>
          <w:szCs w:val="20"/>
        </w:rPr>
      </w:pPr>
    </w:p>
    <w:p w:rsidR="00B33BE7" w:rsidRPr="009C1E47" w:rsidRDefault="00B33BE7" w:rsidP="00B33BE7">
      <w:pPr>
        <w:rPr>
          <w:rFonts w:ascii="Barlow" w:hAnsi="Barlow" w:cs="Arial"/>
          <w:sz w:val="20"/>
          <w:szCs w:val="20"/>
        </w:rPr>
      </w:pPr>
    </w:p>
    <w:p w:rsidR="00B33BE7" w:rsidRPr="009C1E47" w:rsidRDefault="00B33BE7" w:rsidP="00B33BE7">
      <w:pPr>
        <w:rPr>
          <w:rFonts w:ascii="Barlow" w:hAnsi="Barlow" w:cs="Arial"/>
          <w:sz w:val="20"/>
          <w:szCs w:val="20"/>
        </w:rPr>
      </w:pPr>
    </w:p>
    <w:p w:rsidR="00B33BE7" w:rsidRPr="009C1E47" w:rsidRDefault="00B33BE7" w:rsidP="00B33BE7">
      <w:pPr>
        <w:rPr>
          <w:rFonts w:ascii="Barlow" w:hAnsi="Barlow" w:cs="Arial"/>
          <w:sz w:val="20"/>
          <w:szCs w:val="20"/>
        </w:rPr>
      </w:pPr>
    </w:p>
    <w:p w:rsidR="00B33BE7" w:rsidRPr="009C1E47" w:rsidRDefault="00B33BE7" w:rsidP="00B33BE7">
      <w:pPr>
        <w:rPr>
          <w:rFonts w:ascii="Barlow" w:hAnsi="Barlow" w:cs="Arial"/>
          <w:sz w:val="20"/>
          <w:szCs w:val="20"/>
        </w:rPr>
      </w:pPr>
    </w:p>
    <w:p w:rsidR="00B33BE7" w:rsidRPr="009C1E47" w:rsidRDefault="00B33BE7" w:rsidP="00B33BE7">
      <w:pPr>
        <w:rPr>
          <w:rFonts w:ascii="Barlow" w:hAnsi="Barlow" w:cs="Arial"/>
          <w:sz w:val="20"/>
          <w:szCs w:val="20"/>
        </w:rPr>
      </w:pPr>
    </w:p>
    <w:p w:rsidR="00B33BE7" w:rsidRPr="009C1E47" w:rsidRDefault="00B33BE7" w:rsidP="00B33BE7">
      <w:pPr>
        <w:rPr>
          <w:rFonts w:ascii="Barlow" w:hAnsi="Barlow" w:cs="Arial"/>
          <w:sz w:val="20"/>
          <w:szCs w:val="20"/>
        </w:rPr>
      </w:pPr>
    </w:p>
    <w:p w:rsidR="00B33BE7" w:rsidRPr="009C1E47" w:rsidRDefault="00B33BE7" w:rsidP="00B33BE7">
      <w:pPr>
        <w:rPr>
          <w:rFonts w:ascii="Barlow" w:hAnsi="Barlow" w:cs="Arial"/>
          <w:sz w:val="20"/>
          <w:szCs w:val="20"/>
        </w:rPr>
      </w:pPr>
    </w:p>
    <w:p w:rsidR="00B33BE7" w:rsidRPr="009C1E47" w:rsidRDefault="00B33BE7" w:rsidP="00B33BE7">
      <w:pPr>
        <w:rPr>
          <w:rFonts w:ascii="Barlow" w:hAnsi="Barlow" w:cs="Arial"/>
          <w:sz w:val="20"/>
          <w:szCs w:val="20"/>
        </w:rPr>
      </w:pPr>
    </w:p>
    <w:p w:rsidR="00B33BE7" w:rsidRPr="009C1E47" w:rsidRDefault="00B33BE7" w:rsidP="00B33BE7">
      <w:pPr>
        <w:rPr>
          <w:rFonts w:ascii="Barlow" w:hAnsi="Barlow" w:cs="Arial"/>
          <w:sz w:val="20"/>
          <w:szCs w:val="20"/>
        </w:rPr>
      </w:pPr>
    </w:p>
    <w:p w:rsidR="00B33BE7" w:rsidRPr="009C1E47" w:rsidRDefault="00B33BE7" w:rsidP="00B33BE7">
      <w:pPr>
        <w:rPr>
          <w:rFonts w:ascii="Barlow" w:hAnsi="Barlow" w:cs="Arial"/>
          <w:sz w:val="20"/>
          <w:szCs w:val="20"/>
        </w:rPr>
      </w:pPr>
    </w:p>
    <w:p w:rsidR="00B33BE7" w:rsidRPr="009C1E47" w:rsidRDefault="00B33BE7" w:rsidP="00B33BE7">
      <w:pPr>
        <w:rPr>
          <w:rFonts w:ascii="Barlow" w:hAnsi="Barlow" w:cs="Arial"/>
          <w:sz w:val="20"/>
          <w:szCs w:val="20"/>
        </w:rPr>
      </w:pPr>
    </w:p>
    <w:p w:rsidR="00B33BE7" w:rsidRPr="009C1E47" w:rsidRDefault="00B33BE7" w:rsidP="00B33BE7">
      <w:pPr>
        <w:rPr>
          <w:rFonts w:ascii="Barlow" w:hAnsi="Barlow" w:cs="Arial"/>
          <w:sz w:val="20"/>
          <w:szCs w:val="20"/>
        </w:rPr>
      </w:pPr>
    </w:p>
    <w:p w:rsidR="00B33BE7" w:rsidRPr="009C1E47" w:rsidRDefault="00B33BE7" w:rsidP="00B33BE7">
      <w:pPr>
        <w:rPr>
          <w:rFonts w:ascii="Barlow" w:hAnsi="Barlow" w:cs="Arial"/>
          <w:sz w:val="20"/>
          <w:szCs w:val="20"/>
        </w:rPr>
      </w:pPr>
    </w:p>
    <w:p w:rsidR="009C1E47" w:rsidRDefault="009C1E47" w:rsidP="00B33BE7">
      <w:pPr>
        <w:rPr>
          <w:rFonts w:ascii="Barlow" w:hAnsi="Barlow" w:cs="Arial"/>
          <w:sz w:val="20"/>
          <w:szCs w:val="20"/>
        </w:rPr>
      </w:pPr>
    </w:p>
    <w:p w:rsidR="00B33BE7" w:rsidRPr="009C1E47" w:rsidRDefault="00B33BE7" w:rsidP="00B33BE7">
      <w:pPr>
        <w:rPr>
          <w:rFonts w:ascii="Barlow" w:hAnsi="Barlow" w:cs="Arial"/>
          <w:sz w:val="20"/>
          <w:szCs w:val="20"/>
        </w:rPr>
      </w:pPr>
      <w:r w:rsidRPr="009C1E47">
        <w:rPr>
          <w:rFonts w:ascii="Barlow" w:hAnsi="Barlow" w:cs="Arial"/>
          <w:sz w:val="20"/>
          <w:szCs w:val="20"/>
        </w:rPr>
        <w:t>Bajo protesta de decir verdad declaramos que los Estados Financieros y sus notas son razonablemente correctos y responsabilidad del emisor.</w:t>
      </w:r>
    </w:p>
    <w:p w:rsidR="00A24260" w:rsidRPr="009C1E47" w:rsidRDefault="009C1E47" w:rsidP="00B33BE7">
      <w:pPr>
        <w:rPr>
          <w:rFonts w:ascii="Barlow" w:hAnsi="Barlow"/>
          <w:sz w:val="20"/>
          <w:szCs w:val="20"/>
        </w:rPr>
      </w:pPr>
    </w:p>
    <w:sectPr w:rsidR="00A24260" w:rsidRPr="009C1E47" w:rsidSect="009C1E47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32129E"/>
    <w:multiLevelType w:val="hybridMultilevel"/>
    <w:tmpl w:val="FAFEAACE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BE7"/>
    <w:rsid w:val="00145425"/>
    <w:rsid w:val="00781BBE"/>
    <w:rsid w:val="009C1E47"/>
    <w:rsid w:val="00A5536A"/>
    <w:rsid w:val="00AD604B"/>
    <w:rsid w:val="00B3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B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33BE7"/>
    <w:pPr>
      <w:ind w:left="720"/>
    </w:pPr>
    <w:rPr>
      <w:rFonts w:ascii="Calibri" w:hAnsi="Calibri"/>
      <w:lang w:val="es-MX" w:eastAsia="es-MX"/>
    </w:rPr>
  </w:style>
  <w:style w:type="table" w:styleId="Tablaconcuadrcula">
    <w:name w:val="Table Grid"/>
    <w:basedOn w:val="Tablanormal"/>
    <w:rsid w:val="00B33B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MX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B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33BE7"/>
    <w:pPr>
      <w:ind w:left="720"/>
    </w:pPr>
    <w:rPr>
      <w:rFonts w:ascii="Calibri" w:hAnsi="Calibri"/>
      <w:lang w:val="es-MX" w:eastAsia="es-MX"/>
    </w:rPr>
  </w:style>
  <w:style w:type="table" w:styleId="Tablaconcuadrcula">
    <w:name w:val="Table Grid"/>
    <w:basedOn w:val="Tablanormal"/>
    <w:rsid w:val="00B33B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MX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Itzel Cutz</dc:creator>
  <cp:lastModifiedBy>Alvar Ricardo Cachón Pérez</cp:lastModifiedBy>
  <cp:revision>2</cp:revision>
  <cp:lastPrinted>2020-04-06T18:03:00Z</cp:lastPrinted>
  <dcterms:created xsi:type="dcterms:W3CDTF">2020-05-26T23:27:00Z</dcterms:created>
  <dcterms:modified xsi:type="dcterms:W3CDTF">2020-05-26T23:27:00Z</dcterms:modified>
</cp:coreProperties>
</file>