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D8" w:rsidRPr="005071A2" w:rsidRDefault="006F3019" w:rsidP="006F3019">
      <w:pPr>
        <w:spacing w:line="240" w:lineRule="auto"/>
        <w:jc w:val="center"/>
        <w:rPr>
          <w:rFonts w:ascii="Barlow" w:hAnsi="Barlow" w:cs="Arial"/>
          <w:b/>
          <w:sz w:val="20"/>
          <w:szCs w:val="20"/>
        </w:rPr>
      </w:pPr>
      <w:r w:rsidRPr="005071A2">
        <w:rPr>
          <w:rFonts w:ascii="Barlow" w:hAnsi="Barlow" w:cs="Arial"/>
          <w:b/>
          <w:sz w:val="20"/>
          <w:szCs w:val="20"/>
        </w:rPr>
        <w:t>Cuenta Pública</w:t>
      </w:r>
      <w:r w:rsidR="00F177B9">
        <w:rPr>
          <w:rFonts w:ascii="Barlow" w:hAnsi="Barlow" w:cs="Arial"/>
          <w:b/>
          <w:sz w:val="20"/>
          <w:szCs w:val="20"/>
        </w:rPr>
        <w:t xml:space="preserve"> 2020</w:t>
      </w:r>
    </w:p>
    <w:p w:rsidR="006F3019" w:rsidRPr="005071A2" w:rsidRDefault="00DF0DD1" w:rsidP="006F3019">
      <w:pPr>
        <w:spacing w:line="240" w:lineRule="auto"/>
        <w:jc w:val="center"/>
        <w:rPr>
          <w:rFonts w:ascii="Barlow" w:hAnsi="Barlow" w:cs="Arial"/>
          <w:b/>
          <w:sz w:val="20"/>
          <w:szCs w:val="20"/>
        </w:rPr>
      </w:pPr>
      <w:r>
        <w:rPr>
          <w:rFonts w:ascii="Barlow" w:hAnsi="Barlow" w:cs="Arial"/>
          <w:b/>
          <w:sz w:val="20"/>
          <w:szCs w:val="20"/>
        </w:rPr>
        <w:t xml:space="preserve">Informe Sobre </w:t>
      </w:r>
      <w:r w:rsidR="006F3019" w:rsidRPr="005071A2">
        <w:rPr>
          <w:rFonts w:ascii="Barlow" w:hAnsi="Barlow" w:cs="Arial"/>
          <w:b/>
          <w:sz w:val="20"/>
          <w:szCs w:val="20"/>
        </w:rPr>
        <w:t xml:space="preserve"> Pasivos Contingentes</w:t>
      </w:r>
    </w:p>
    <w:p w:rsidR="006F3019" w:rsidRPr="005071A2" w:rsidRDefault="002B0C2A" w:rsidP="006F3019">
      <w:pPr>
        <w:spacing w:line="240" w:lineRule="auto"/>
        <w:jc w:val="center"/>
        <w:rPr>
          <w:rFonts w:ascii="Barlow" w:hAnsi="Barlow" w:cs="Arial"/>
          <w:b/>
          <w:sz w:val="20"/>
          <w:szCs w:val="20"/>
        </w:rPr>
      </w:pPr>
      <w:bookmarkStart w:id="0" w:name="_GoBack"/>
      <w:bookmarkEnd w:id="0"/>
      <w:r w:rsidRPr="005071A2">
        <w:rPr>
          <w:rFonts w:ascii="Barlow" w:hAnsi="Barlow" w:cs="Arial"/>
          <w:b/>
          <w:sz w:val="20"/>
          <w:szCs w:val="20"/>
        </w:rPr>
        <w:t>A</w:t>
      </w:r>
      <w:r w:rsidR="00F177B9">
        <w:rPr>
          <w:rFonts w:ascii="Barlow" w:hAnsi="Barlow" w:cs="Arial"/>
          <w:b/>
          <w:sz w:val="20"/>
          <w:szCs w:val="20"/>
        </w:rPr>
        <w:t>l 31 de Marzo</w:t>
      </w:r>
      <w:r w:rsidR="00630236" w:rsidRPr="005071A2">
        <w:rPr>
          <w:rFonts w:ascii="Barlow" w:hAnsi="Barlow" w:cs="Arial"/>
          <w:b/>
          <w:sz w:val="20"/>
          <w:szCs w:val="20"/>
        </w:rPr>
        <w:t xml:space="preserve"> </w:t>
      </w:r>
      <w:r w:rsidR="00F177B9">
        <w:rPr>
          <w:rFonts w:ascii="Barlow" w:hAnsi="Barlow" w:cs="Arial"/>
          <w:b/>
          <w:sz w:val="20"/>
          <w:szCs w:val="20"/>
        </w:rPr>
        <w:t>de 2020</w:t>
      </w:r>
    </w:p>
    <w:p w:rsidR="006F3019" w:rsidRPr="005071A2" w:rsidRDefault="006F3019" w:rsidP="006F3019">
      <w:pPr>
        <w:spacing w:line="240" w:lineRule="auto"/>
        <w:jc w:val="center"/>
        <w:rPr>
          <w:rFonts w:ascii="Barlow" w:hAnsi="Barlow" w:cs="Arial"/>
          <w:b/>
          <w:sz w:val="20"/>
          <w:szCs w:val="20"/>
        </w:rPr>
      </w:pPr>
      <w:r w:rsidRPr="005071A2">
        <w:rPr>
          <w:rFonts w:ascii="Barlow" w:hAnsi="Barlow" w:cs="Arial"/>
          <w:b/>
          <w:sz w:val="20"/>
          <w:szCs w:val="20"/>
        </w:rPr>
        <w:t>(Pesos)</w:t>
      </w:r>
    </w:p>
    <w:p w:rsidR="006F3019" w:rsidRPr="005071A2" w:rsidRDefault="006F3019" w:rsidP="006F3019">
      <w:pPr>
        <w:spacing w:line="240" w:lineRule="auto"/>
        <w:jc w:val="center"/>
        <w:rPr>
          <w:rFonts w:ascii="Barlow" w:hAnsi="Barlow" w:cs="Arial"/>
          <w:b/>
          <w:sz w:val="20"/>
          <w:szCs w:val="20"/>
        </w:rPr>
      </w:pPr>
    </w:p>
    <w:p w:rsidR="006F3019" w:rsidRPr="00C4079B" w:rsidRDefault="00F8003E" w:rsidP="006F3019">
      <w:pPr>
        <w:spacing w:line="240" w:lineRule="auto"/>
        <w:rPr>
          <w:rFonts w:ascii="Barlow" w:hAnsi="Barlow" w:cs="Arial"/>
          <w:b/>
          <w:sz w:val="20"/>
          <w:szCs w:val="20"/>
        </w:rPr>
      </w:pPr>
      <w:r w:rsidRPr="005071A2">
        <w:rPr>
          <w:rFonts w:ascii="Barlow" w:hAnsi="Barlow" w:cs="Arial"/>
          <w:b/>
          <w:sz w:val="20"/>
          <w:szCs w:val="20"/>
        </w:rPr>
        <w:t>Ente Público</w:t>
      </w:r>
      <w:proofErr w:type="gramStart"/>
      <w:r w:rsidRPr="005071A2">
        <w:rPr>
          <w:rFonts w:ascii="Barlow" w:hAnsi="Barlow" w:cs="Arial"/>
          <w:b/>
          <w:sz w:val="20"/>
          <w:szCs w:val="20"/>
        </w:rPr>
        <w:t xml:space="preserve">:  </w:t>
      </w:r>
      <w:r w:rsidR="00573B11" w:rsidRPr="005071A2">
        <w:rPr>
          <w:rFonts w:ascii="Barlow" w:hAnsi="Barlow" w:cs="Arial"/>
          <w:b/>
          <w:sz w:val="20"/>
          <w:szCs w:val="20"/>
        </w:rPr>
        <w:t>AUDITORÍA</w:t>
      </w:r>
      <w:proofErr w:type="gramEnd"/>
      <w:r w:rsidR="00573B11" w:rsidRPr="005071A2">
        <w:rPr>
          <w:rFonts w:ascii="Barlow" w:hAnsi="Barlow" w:cs="Arial"/>
          <w:b/>
          <w:sz w:val="20"/>
          <w:szCs w:val="20"/>
        </w:rPr>
        <w:t xml:space="preserve"> SUPERIOR DEL ESTADO DE YUCATÁN</w:t>
      </w:r>
    </w:p>
    <w:p w:rsidR="00F177B9" w:rsidRPr="00F177B9" w:rsidRDefault="00F177B9" w:rsidP="00F177B9">
      <w:pPr>
        <w:spacing w:line="240" w:lineRule="auto"/>
        <w:rPr>
          <w:rFonts w:ascii="Barlow" w:hAnsi="Barlow"/>
          <w:bCs/>
          <w:sz w:val="20"/>
          <w:szCs w:val="20"/>
        </w:rPr>
      </w:pPr>
      <w:r w:rsidRPr="00F177B9">
        <w:rPr>
          <w:rFonts w:ascii="Barlow" w:hAnsi="Barlow"/>
          <w:bCs/>
          <w:sz w:val="20"/>
          <w:szCs w:val="20"/>
        </w:rPr>
        <w:t>Para dar cumplimiento a la recomendación  contenida en el Dictamen a los Estados Financieros del Ejercicio Fiscal 2016 emitido por el Despacho de Auditoría Externa y de acuerdo a lo establecido en la NIF D-3 “Beneficios a los Empleados“; al 31 de Marzo del 2020 el saldo de la cuenta “Provisión para Contingencias a Largo Plazo” incluye la provisión de pasivos por obligaciones laborales. Estas provisiones representan obligaciones presentes de eventos pasados en las que es probable la salida de recursos económicos. Las provisiones se han registrado contablemente bajo la mejor estimación razonable efectuada por la Administración.</w:t>
      </w:r>
    </w:p>
    <w:p w:rsidR="00F177B9" w:rsidRPr="00F177B9" w:rsidRDefault="00F177B9" w:rsidP="00F177B9">
      <w:pPr>
        <w:spacing w:line="240" w:lineRule="auto"/>
        <w:jc w:val="both"/>
        <w:rPr>
          <w:rFonts w:ascii="Barlow" w:hAnsi="Barlow"/>
          <w:bCs/>
          <w:sz w:val="20"/>
          <w:szCs w:val="20"/>
        </w:rPr>
      </w:pPr>
      <w:r w:rsidRPr="00F177B9">
        <w:rPr>
          <w:rFonts w:ascii="Barlow" w:hAnsi="Barlow"/>
          <w:bCs/>
          <w:sz w:val="20"/>
          <w:szCs w:val="20"/>
        </w:rPr>
        <w:t xml:space="preserve">Al 31 de Marzo del 2020, la Auditoria Superior del Estado  cuenta con un saldo de </w:t>
      </w:r>
      <w:r w:rsidRPr="00F177B9">
        <w:rPr>
          <w:rFonts w:ascii="Barlow" w:hAnsi="Barlow"/>
          <w:b/>
          <w:bCs/>
          <w:sz w:val="20"/>
          <w:szCs w:val="20"/>
        </w:rPr>
        <w:t>$ 1, 202,011.68</w:t>
      </w:r>
      <w:r w:rsidRPr="00F177B9">
        <w:rPr>
          <w:rFonts w:ascii="Barlow" w:hAnsi="Barlow"/>
          <w:bCs/>
          <w:sz w:val="20"/>
          <w:szCs w:val="20"/>
        </w:rPr>
        <w:t xml:space="preserve"> (son: Un millón doscientos dos mil once pesos 68/100 m.n.) en pasivos contingentes. </w:t>
      </w:r>
    </w:p>
    <w:p w:rsidR="00F177B9" w:rsidRPr="00F177B9" w:rsidRDefault="00F177B9" w:rsidP="00F177B9">
      <w:pPr>
        <w:spacing w:line="240" w:lineRule="auto"/>
        <w:jc w:val="both"/>
        <w:rPr>
          <w:rFonts w:ascii="Barlow" w:hAnsi="Barlow"/>
          <w:bCs/>
          <w:sz w:val="20"/>
          <w:szCs w:val="20"/>
        </w:rPr>
      </w:pPr>
      <w:r w:rsidRPr="00F177B9">
        <w:rPr>
          <w:rFonts w:ascii="Barlow" w:hAnsi="Barlow"/>
          <w:bCs/>
          <w:sz w:val="20"/>
          <w:szCs w:val="20"/>
        </w:rPr>
        <w:t>Se tiene un juicio laboral en proceso en el Tribunal de los Trabajadores del Estado y Municipio de Yucatán con No. de Exp.  226/2017.</w:t>
      </w:r>
    </w:p>
    <w:p w:rsidR="00F177B9" w:rsidRPr="00F177B9" w:rsidRDefault="00F177B9" w:rsidP="00F177B9">
      <w:pPr>
        <w:spacing w:line="240" w:lineRule="auto"/>
        <w:jc w:val="both"/>
        <w:rPr>
          <w:rFonts w:ascii="Barlow" w:hAnsi="Barlow"/>
          <w:bCs/>
          <w:sz w:val="20"/>
          <w:szCs w:val="20"/>
        </w:rPr>
      </w:pPr>
      <w:r w:rsidRPr="00F177B9">
        <w:rPr>
          <w:rFonts w:ascii="Barlow" w:hAnsi="Barlow"/>
          <w:bCs/>
          <w:sz w:val="20"/>
          <w:szCs w:val="20"/>
        </w:rPr>
        <w:t>De conformidad con lo establecido en el capítulo VII, numeral II, inciso H) del Manual de Contabilidad Gubernamental emitido por el CONAC, el cual establece en términos generales que:</w:t>
      </w:r>
    </w:p>
    <w:p w:rsidR="00F177B9" w:rsidRPr="00F177B9" w:rsidRDefault="00F177B9" w:rsidP="00F177B9">
      <w:pPr>
        <w:spacing w:before="80" w:after="0" w:line="250" w:lineRule="exact"/>
        <w:jc w:val="both"/>
        <w:rPr>
          <w:rFonts w:ascii="Barlow" w:eastAsia="Times New Roman" w:hAnsi="Barlow"/>
          <w:sz w:val="20"/>
          <w:szCs w:val="20"/>
          <w:lang w:eastAsia="es-ES"/>
        </w:rPr>
      </w:pPr>
      <w:r w:rsidRPr="00F177B9">
        <w:rPr>
          <w:rFonts w:ascii="Barlow" w:hAnsi="Barlow"/>
          <w:bCs/>
          <w:sz w:val="20"/>
          <w:szCs w:val="20"/>
        </w:rPr>
        <w:t>“Los pasivos contingentes son obligaciones que tienen su origen en hechos específicos e independientes del pasado que en el futuro pueden ocurrir o no y, de acuerdo con lo que acontezca, desaparecen o se convierten en pasivos reales por ejemplo, juicios, garantías, avales, costos de planes de pensiones, jubilaciones, etc.”.</w:t>
      </w:r>
    </w:p>
    <w:p w:rsidR="0015541C" w:rsidRDefault="0015541C" w:rsidP="00462E33">
      <w:pPr>
        <w:spacing w:line="240" w:lineRule="auto"/>
        <w:rPr>
          <w:rFonts w:ascii="Barlow" w:hAnsi="Barlow" w:cs="Arial"/>
          <w:sz w:val="20"/>
          <w:szCs w:val="20"/>
        </w:rPr>
      </w:pPr>
    </w:p>
    <w:p w:rsidR="00462E33" w:rsidRPr="00866938" w:rsidRDefault="00E859E7" w:rsidP="00462E33">
      <w:pPr>
        <w:spacing w:line="240" w:lineRule="auto"/>
        <w:rPr>
          <w:rFonts w:cs="Arial"/>
          <w:sz w:val="20"/>
          <w:szCs w:val="20"/>
        </w:rPr>
      </w:pPr>
      <w:r w:rsidRPr="005071A2">
        <w:rPr>
          <w:rFonts w:ascii="Barlow" w:hAnsi="Barlow" w:cs="Arial"/>
          <w:sz w:val="20"/>
          <w:szCs w:val="20"/>
        </w:rPr>
        <w:t>Bajo protesta de decir</w:t>
      </w:r>
      <w:r w:rsidR="00462E33" w:rsidRPr="005071A2">
        <w:rPr>
          <w:rFonts w:ascii="Barlow" w:hAnsi="Barlow" w:cs="Arial"/>
          <w:sz w:val="20"/>
          <w:szCs w:val="20"/>
        </w:rPr>
        <w:t xml:space="preserve"> verdad declaramos que</w:t>
      </w:r>
      <w:r w:rsidR="00A940E3" w:rsidRPr="005071A2">
        <w:rPr>
          <w:rFonts w:ascii="Barlow" w:hAnsi="Barlow" w:cs="Arial"/>
          <w:sz w:val="20"/>
          <w:szCs w:val="20"/>
        </w:rPr>
        <w:t xml:space="preserve"> los Estados Financieros y sus N</w:t>
      </w:r>
      <w:r w:rsidR="00462E33" w:rsidRPr="005071A2">
        <w:rPr>
          <w:rFonts w:ascii="Barlow" w:hAnsi="Barlow" w:cs="Arial"/>
          <w:sz w:val="20"/>
          <w:szCs w:val="20"/>
        </w:rPr>
        <w:t>otas son razonablemente correctos y responsabilidad del emisor.</w:t>
      </w:r>
    </w:p>
    <w:sectPr w:rsidR="00462E33" w:rsidRPr="00866938" w:rsidSect="00846107">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04A19"/>
    <w:rsid w:val="000A2800"/>
    <w:rsid w:val="000E1882"/>
    <w:rsid w:val="00106D48"/>
    <w:rsid w:val="0015541C"/>
    <w:rsid w:val="00250458"/>
    <w:rsid w:val="002B0C2A"/>
    <w:rsid w:val="003129FF"/>
    <w:rsid w:val="00442E26"/>
    <w:rsid w:val="00457893"/>
    <w:rsid w:val="00462E33"/>
    <w:rsid w:val="005071A2"/>
    <w:rsid w:val="00573B11"/>
    <w:rsid w:val="00613577"/>
    <w:rsid w:val="00630236"/>
    <w:rsid w:val="006C3FD2"/>
    <w:rsid w:val="006F3019"/>
    <w:rsid w:val="00710C54"/>
    <w:rsid w:val="007A4C91"/>
    <w:rsid w:val="0080613B"/>
    <w:rsid w:val="00846107"/>
    <w:rsid w:val="00866938"/>
    <w:rsid w:val="009472B6"/>
    <w:rsid w:val="00972EB5"/>
    <w:rsid w:val="009F0748"/>
    <w:rsid w:val="00A940E3"/>
    <w:rsid w:val="00AE55B9"/>
    <w:rsid w:val="00B90463"/>
    <w:rsid w:val="00BF6CAF"/>
    <w:rsid w:val="00C0724B"/>
    <w:rsid w:val="00C14A2E"/>
    <w:rsid w:val="00C4079B"/>
    <w:rsid w:val="00C94435"/>
    <w:rsid w:val="00D47CF8"/>
    <w:rsid w:val="00D77E3C"/>
    <w:rsid w:val="00D83798"/>
    <w:rsid w:val="00DF0DD1"/>
    <w:rsid w:val="00E859E7"/>
    <w:rsid w:val="00F11442"/>
    <w:rsid w:val="00F177B9"/>
    <w:rsid w:val="00F8003E"/>
    <w:rsid w:val="00FC5CC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245">
      <w:bodyDiv w:val="1"/>
      <w:marLeft w:val="0"/>
      <w:marRight w:val="0"/>
      <w:marTop w:val="0"/>
      <w:marBottom w:val="0"/>
      <w:divBdr>
        <w:top w:val="none" w:sz="0" w:space="0" w:color="auto"/>
        <w:left w:val="none" w:sz="0" w:space="0" w:color="auto"/>
        <w:bottom w:val="none" w:sz="0" w:space="0" w:color="auto"/>
        <w:right w:val="none" w:sz="0" w:space="0" w:color="auto"/>
      </w:divBdr>
    </w:div>
    <w:div w:id="78136466">
      <w:bodyDiv w:val="1"/>
      <w:marLeft w:val="0"/>
      <w:marRight w:val="0"/>
      <w:marTop w:val="0"/>
      <w:marBottom w:val="0"/>
      <w:divBdr>
        <w:top w:val="none" w:sz="0" w:space="0" w:color="auto"/>
        <w:left w:val="none" w:sz="0" w:space="0" w:color="auto"/>
        <w:bottom w:val="none" w:sz="0" w:space="0" w:color="auto"/>
        <w:right w:val="none" w:sz="0" w:space="0" w:color="auto"/>
      </w:divBdr>
    </w:div>
    <w:div w:id="63780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268</Words>
  <Characters>1478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Sharon Y. Lara Medrano</cp:lastModifiedBy>
  <cp:revision>26</cp:revision>
  <cp:lastPrinted>2016-02-12T19:56:00Z</cp:lastPrinted>
  <dcterms:created xsi:type="dcterms:W3CDTF">2016-01-27T20:26:00Z</dcterms:created>
  <dcterms:modified xsi:type="dcterms:W3CDTF">2020-05-29T20:33:00Z</dcterms:modified>
</cp:coreProperties>
</file>