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EDE" w:rsidRPr="00842AEC" w:rsidRDefault="00842AEC" w:rsidP="006F3019">
      <w:pPr>
        <w:spacing w:line="240" w:lineRule="auto"/>
        <w:jc w:val="center"/>
        <w:rPr>
          <w:rFonts w:ascii="Barlow" w:hAnsi="Barlow" w:cs="Arial"/>
          <w:b/>
          <w:sz w:val="20"/>
          <w:szCs w:val="20"/>
        </w:rPr>
      </w:pPr>
      <w:r w:rsidRPr="00842AEC">
        <w:rPr>
          <w:rFonts w:ascii="Barlow" w:hAnsi="Barlow" w:cs="Arial"/>
          <w:b/>
          <w:sz w:val="20"/>
          <w:szCs w:val="20"/>
        </w:rPr>
        <w:t>Cuenta Pública 2019</w:t>
      </w:r>
    </w:p>
    <w:p w:rsidR="00253EDE" w:rsidRPr="00842AEC" w:rsidRDefault="00253EDE" w:rsidP="006F3019">
      <w:pPr>
        <w:spacing w:line="240" w:lineRule="auto"/>
        <w:jc w:val="center"/>
        <w:rPr>
          <w:rFonts w:ascii="Barlow" w:hAnsi="Barlow" w:cs="Arial"/>
          <w:b/>
          <w:sz w:val="20"/>
          <w:szCs w:val="20"/>
        </w:rPr>
      </w:pPr>
      <w:r w:rsidRPr="00842AEC">
        <w:rPr>
          <w:rFonts w:ascii="Barlow" w:hAnsi="Barlow" w:cs="Arial"/>
          <w:b/>
          <w:sz w:val="20"/>
          <w:szCs w:val="20"/>
        </w:rPr>
        <w:t>Notas a los Estados Financieros</w:t>
      </w:r>
    </w:p>
    <w:p w:rsidR="00253EDE" w:rsidRPr="00842AEC" w:rsidRDefault="008D6CEA" w:rsidP="00F82F7B">
      <w:pPr>
        <w:spacing w:line="240" w:lineRule="auto"/>
        <w:jc w:val="center"/>
        <w:rPr>
          <w:rFonts w:ascii="Barlow" w:hAnsi="Barlow" w:cs="Arial"/>
          <w:b/>
          <w:sz w:val="20"/>
          <w:szCs w:val="20"/>
        </w:rPr>
      </w:pPr>
      <w:r w:rsidRPr="00842AEC">
        <w:rPr>
          <w:rFonts w:ascii="Barlow" w:hAnsi="Barlow" w:cs="Arial"/>
          <w:b/>
          <w:sz w:val="20"/>
          <w:szCs w:val="20"/>
        </w:rPr>
        <w:t>Al 3</w:t>
      </w:r>
      <w:r w:rsidR="00842AEC" w:rsidRPr="00842AEC">
        <w:rPr>
          <w:rFonts w:ascii="Barlow" w:hAnsi="Barlow" w:cs="Arial"/>
          <w:b/>
          <w:sz w:val="20"/>
          <w:szCs w:val="20"/>
        </w:rPr>
        <w:t>1 de Marzo de 2019</w:t>
      </w:r>
    </w:p>
    <w:p w:rsidR="00253EDE" w:rsidRPr="00842AEC" w:rsidRDefault="00253EDE" w:rsidP="006F3019">
      <w:pPr>
        <w:spacing w:line="240" w:lineRule="auto"/>
        <w:jc w:val="center"/>
        <w:rPr>
          <w:rFonts w:ascii="Barlow" w:hAnsi="Barlow" w:cs="Arial"/>
          <w:b/>
          <w:sz w:val="20"/>
          <w:szCs w:val="20"/>
        </w:rPr>
      </w:pPr>
      <w:r w:rsidRPr="00842AEC">
        <w:rPr>
          <w:rFonts w:ascii="Barlow" w:hAnsi="Barlow" w:cs="Arial"/>
          <w:b/>
          <w:sz w:val="20"/>
          <w:szCs w:val="20"/>
        </w:rPr>
        <w:t>(Pesos)</w:t>
      </w:r>
    </w:p>
    <w:p w:rsidR="00253EDE" w:rsidRPr="00842AEC" w:rsidRDefault="00253EDE" w:rsidP="006F3019">
      <w:pPr>
        <w:spacing w:line="240" w:lineRule="auto"/>
        <w:jc w:val="center"/>
        <w:rPr>
          <w:rFonts w:ascii="Barlow" w:hAnsi="Barlow" w:cs="Arial"/>
          <w:b/>
          <w:sz w:val="20"/>
          <w:szCs w:val="20"/>
        </w:rPr>
      </w:pPr>
    </w:p>
    <w:p w:rsidR="00253EDE" w:rsidRPr="00842AEC" w:rsidRDefault="00FA3603" w:rsidP="006F3019">
      <w:pPr>
        <w:spacing w:line="240" w:lineRule="auto"/>
        <w:rPr>
          <w:rFonts w:ascii="Barlow" w:hAnsi="Barlow" w:cs="Arial"/>
          <w:b/>
          <w:sz w:val="20"/>
          <w:szCs w:val="20"/>
        </w:rPr>
      </w:pPr>
      <w:r w:rsidRPr="00842AEC">
        <w:rPr>
          <w:rFonts w:ascii="Barlow" w:hAnsi="Barlow" w:cs="Arial"/>
          <w:b/>
          <w:sz w:val="20"/>
          <w:szCs w:val="20"/>
        </w:rPr>
        <w:t>Ente Público</w:t>
      </w:r>
      <w:proofErr w:type="gramStart"/>
      <w:r w:rsidRPr="00842AEC">
        <w:rPr>
          <w:rFonts w:ascii="Barlow" w:hAnsi="Barlow" w:cs="Arial"/>
          <w:b/>
          <w:sz w:val="20"/>
          <w:szCs w:val="20"/>
        </w:rPr>
        <w:t xml:space="preserve">:  </w:t>
      </w:r>
      <w:r w:rsidR="00253EDE" w:rsidRPr="00842AEC">
        <w:rPr>
          <w:rFonts w:ascii="Barlow" w:hAnsi="Barlow" w:cs="Arial"/>
          <w:b/>
          <w:sz w:val="20"/>
          <w:szCs w:val="20"/>
        </w:rPr>
        <w:t>COMISIÓN</w:t>
      </w:r>
      <w:proofErr w:type="gramEnd"/>
      <w:r w:rsidR="00253EDE" w:rsidRPr="00842AEC">
        <w:rPr>
          <w:rFonts w:ascii="Barlow" w:hAnsi="Barlow" w:cs="Arial"/>
          <w:b/>
          <w:sz w:val="20"/>
          <w:szCs w:val="20"/>
        </w:rPr>
        <w:t xml:space="preserve"> DE LOS DERECHOS HUMANOS DEL ESTADO DE YUCATÁN</w:t>
      </w:r>
    </w:p>
    <w:p w:rsidR="00842AEC" w:rsidRPr="00842AEC" w:rsidRDefault="00C650AD" w:rsidP="00842AEC">
      <w:pPr>
        <w:spacing w:line="240" w:lineRule="auto"/>
        <w:rPr>
          <w:rFonts w:ascii="Barlow" w:hAnsi="Barlow" w:cs="Arial"/>
          <w:b/>
          <w:sz w:val="20"/>
          <w:szCs w:val="20"/>
        </w:rPr>
      </w:pPr>
      <w:r w:rsidRPr="00842AEC">
        <w:rPr>
          <w:rFonts w:ascii="Barlow" w:hAnsi="Barlow" w:cs="Arial"/>
          <w:b/>
          <w:sz w:val="20"/>
          <w:szCs w:val="20"/>
        </w:rPr>
        <w:tab/>
      </w:r>
      <w:r w:rsidR="00842AEC" w:rsidRPr="00842AEC">
        <w:rPr>
          <w:rFonts w:ascii="Barlow" w:hAnsi="Barlow" w:cs="Arial"/>
          <w:b/>
          <w:sz w:val="20"/>
          <w:szCs w:val="20"/>
        </w:rPr>
        <w:t>NOTAS DE DESGLOSE</w:t>
      </w:r>
    </w:p>
    <w:p w:rsidR="00842AEC" w:rsidRPr="00842AEC" w:rsidRDefault="00842AEC" w:rsidP="00842AEC">
      <w:pPr>
        <w:spacing w:after="0" w:line="240" w:lineRule="auto"/>
        <w:jc w:val="both"/>
        <w:rPr>
          <w:rFonts w:ascii="Barlow" w:hAnsi="Barlow" w:cs="Calibri"/>
          <w:b/>
          <w:bCs/>
          <w:color w:val="000000"/>
          <w:sz w:val="20"/>
          <w:szCs w:val="20"/>
        </w:rPr>
      </w:pPr>
      <w:r w:rsidRPr="00842AEC">
        <w:rPr>
          <w:rFonts w:ascii="Barlow" w:hAnsi="Barlow" w:cs="Calibri"/>
          <w:b/>
          <w:bCs/>
          <w:color w:val="000000"/>
          <w:sz w:val="20"/>
          <w:szCs w:val="20"/>
        </w:rPr>
        <w:t>I) NOTAS AL ESTADO DE SITUACION FINANCIERA</w:t>
      </w:r>
    </w:p>
    <w:p w:rsidR="00842AEC" w:rsidRPr="00842AEC" w:rsidRDefault="00842AEC" w:rsidP="00842AEC">
      <w:pPr>
        <w:spacing w:after="0" w:line="240" w:lineRule="auto"/>
        <w:jc w:val="both"/>
        <w:rPr>
          <w:rFonts w:ascii="Barlow" w:hAnsi="Barlow" w:cs="Calibri"/>
          <w:color w:val="000000"/>
          <w:sz w:val="20"/>
          <w:szCs w:val="20"/>
        </w:rPr>
      </w:pPr>
    </w:p>
    <w:p w:rsidR="00842AEC" w:rsidRPr="00842AEC" w:rsidRDefault="00842AEC" w:rsidP="00842AEC">
      <w:pPr>
        <w:spacing w:after="0" w:line="240" w:lineRule="auto"/>
        <w:jc w:val="both"/>
        <w:rPr>
          <w:rFonts w:ascii="Barlow" w:hAnsi="Barlow" w:cs="Calibri"/>
          <w:b/>
          <w:bCs/>
          <w:color w:val="000000"/>
          <w:sz w:val="20"/>
          <w:szCs w:val="20"/>
          <w:u w:val="single"/>
        </w:rPr>
      </w:pPr>
      <w:r w:rsidRPr="00842AEC">
        <w:rPr>
          <w:rFonts w:ascii="Barlow" w:hAnsi="Barlow" w:cs="Calibri"/>
          <w:b/>
          <w:bCs/>
          <w:color w:val="000000"/>
          <w:sz w:val="20"/>
          <w:szCs w:val="20"/>
          <w:u w:val="single"/>
        </w:rPr>
        <w:t>ACTIVO</w:t>
      </w:r>
    </w:p>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 xml:space="preserve">EFECTIVO Y EQUIVALENTES </w:t>
      </w:r>
    </w:p>
    <w:p w:rsidR="00842AEC" w:rsidRPr="00842AEC" w:rsidRDefault="00842AEC" w:rsidP="00842AEC">
      <w:pPr>
        <w:pStyle w:val="Prrafodelista"/>
        <w:numPr>
          <w:ilvl w:val="0"/>
          <w:numId w:val="3"/>
        </w:numPr>
        <w:spacing w:after="0" w:line="240" w:lineRule="auto"/>
        <w:jc w:val="both"/>
        <w:rPr>
          <w:rFonts w:ascii="Barlow" w:eastAsia="Times New Roman" w:hAnsi="Barlow" w:cs="Calibri"/>
          <w:color w:val="000000"/>
          <w:sz w:val="20"/>
          <w:szCs w:val="20"/>
          <w:lang w:eastAsia="es-MX"/>
        </w:rPr>
      </w:pPr>
      <w:r w:rsidRPr="00842AEC">
        <w:rPr>
          <w:rFonts w:ascii="Barlow" w:eastAsia="Times New Roman" w:hAnsi="Barlow" w:cs="Calibri"/>
          <w:color w:val="000000"/>
          <w:sz w:val="20"/>
          <w:szCs w:val="20"/>
          <w:lang w:eastAsia="es-MX"/>
        </w:rPr>
        <w:t>NO APLICA</w:t>
      </w:r>
    </w:p>
    <w:p w:rsidR="00842AEC" w:rsidRPr="00842AEC" w:rsidRDefault="00842AEC" w:rsidP="00842AEC">
      <w:pPr>
        <w:spacing w:after="0" w:line="240" w:lineRule="auto"/>
        <w:jc w:val="both"/>
        <w:rPr>
          <w:rFonts w:ascii="Barlow" w:hAnsi="Barlow" w:cs="Calibri"/>
          <w:color w:val="000000"/>
          <w:sz w:val="20"/>
          <w:szCs w:val="20"/>
        </w:rPr>
      </w:pPr>
    </w:p>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DERECHOS A RECIBIR EFECTIVO Y EQUIVALENTES Y BIENES O SERVICIOS A RECIBIR</w:t>
      </w:r>
    </w:p>
    <w:p w:rsidR="00842AEC" w:rsidRPr="00842AEC" w:rsidRDefault="00842AEC" w:rsidP="00842AEC">
      <w:pPr>
        <w:spacing w:after="0" w:line="240" w:lineRule="auto"/>
        <w:jc w:val="both"/>
        <w:rPr>
          <w:rFonts w:ascii="Barlow" w:hAnsi="Barlow" w:cs="Calibri"/>
          <w:color w:val="000000"/>
          <w:sz w:val="20"/>
          <w:szCs w:val="20"/>
        </w:rPr>
      </w:pPr>
    </w:p>
    <w:p w:rsidR="00842AEC" w:rsidRPr="00842AEC" w:rsidRDefault="00842AEC" w:rsidP="00842AEC">
      <w:pPr>
        <w:spacing w:after="0" w:line="240" w:lineRule="auto"/>
        <w:jc w:val="both"/>
        <w:rPr>
          <w:rFonts w:ascii="Barlow" w:hAnsi="Barlow" w:cs="Calibri"/>
          <w:color w:val="000000"/>
          <w:sz w:val="20"/>
          <w:szCs w:val="20"/>
          <w:u w:val="single"/>
        </w:rPr>
      </w:pPr>
      <w:r w:rsidRPr="00842AEC">
        <w:rPr>
          <w:rFonts w:ascii="Barlow" w:hAnsi="Barlow" w:cs="Calibri"/>
          <w:color w:val="000000"/>
          <w:sz w:val="20"/>
          <w:szCs w:val="20"/>
          <w:u w:val="single"/>
        </w:rPr>
        <w:t xml:space="preserve"> 2.- MONTO PENDIENTE DE RECUPERAR EN MENOS DE UN 365 DÍAS </w:t>
      </w:r>
    </w:p>
    <w:p w:rsidR="00842AEC" w:rsidRPr="00842AEC" w:rsidRDefault="00842AEC" w:rsidP="00842AEC">
      <w:pPr>
        <w:spacing w:after="0" w:line="240" w:lineRule="auto"/>
        <w:jc w:val="both"/>
        <w:rPr>
          <w:rFonts w:ascii="Barlow" w:hAnsi="Barlow" w:cs="Calibri"/>
          <w:color w:val="000000"/>
          <w:sz w:val="20"/>
          <w:szCs w:val="20"/>
        </w:rPr>
      </w:pPr>
    </w:p>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DEUDORES DIV X COB                                                                     $ 278,688.78</w:t>
      </w:r>
    </w:p>
    <w:p w:rsidR="00842AEC" w:rsidRPr="00842AEC" w:rsidRDefault="00842AEC" w:rsidP="00842AEC">
      <w:pPr>
        <w:spacing w:after="0" w:line="240" w:lineRule="auto"/>
        <w:jc w:val="both"/>
        <w:rPr>
          <w:rFonts w:ascii="Barlow" w:hAnsi="Barlow" w:cs="Calibri"/>
          <w:color w:val="000000"/>
          <w:sz w:val="20"/>
          <w:szCs w:val="20"/>
        </w:rPr>
      </w:pPr>
    </w:p>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 xml:space="preserve">(DE LOS CUALES  $255,878.50 SON DE LA SECRETARIA DE ADMINISTRACION Y </w:t>
      </w:r>
    </w:p>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FINANZAS PENDIENTE DE DEPOSITAR CORRESPONDIENTE AL EJERCICIO FISCAL 2012.</w:t>
      </w:r>
    </w:p>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 xml:space="preserve"> </w:t>
      </w:r>
    </w:p>
    <w:p w:rsidR="00842AEC" w:rsidRPr="00842AEC" w:rsidRDefault="00842AEC" w:rsidP="00842AEC">
      <w:pPr>
        <w:spacing w:after="0" w:line="240" w:lineRule="auto"/>
        <w:jc w:val="both"/>
        <w:rPr>
          <w:rFonts w:ascii="Barlow" w:hAnsi="Barlow" w:cs="Calibri"/>
          <w:color w:val="000000"/>
          <w:sz w:val="20"/>
          <w:szCs w:val="20"/>
          <w:u w:val="single"/>
        </w:rPr>
      </w:pPr>
      <w:r w:rsidRPr="00842AEC">
        <w:rPr>
          <w:rFonts w:ascii="Barlow" w:hAnsi="Barlow" w:cs="Calibri"/>
          <w:color w:val="000000"/>
          <w:sz w:val="20"/>
          <w:szCs w:val="20"/>
          <w:u w:val="single"/>
        </w:rPr>
        <w:t xml:space="preserve">3.- DERECHOS A RECIBIR EFECTIVO Y EQUIVALENTES </w:t>
      </w:r>
    </w:p>
    <w:p w:rsidR="00842AEC" w:rsidRPr="00842AEC" w:rsidRDefault="00842AEC" w:rsidP="00842AEC">
      <w:pPr>
        <w:spacing w:after="0" w:line="240" w:lineRule="auto"/>
        <w:jc w:val="both"/>
        <w:rPr>
          <w:rFonts w:ascii="Barlow" w:hAnsi="Barlow" w:cs="Calibri"/>
          <w:color w:val="000000"/>
          <w:sz w:val="20"/>
          <w:szCs w:val="20"/>
        </w:rPr>
      </w:pPr>
    </w:p>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PRESTAMOS OTORGADOS A CORTO PLAZO (MENOR A 365 DÍAS)                              $ 120,417.80</w:t>
      </w:r>
    </w:p>
    <w:p w:rsidR="00842AEC" w:rsidRPr="00842AEC" w:rsidRDefault="00842AEC" w:rsidP="00842AEC">
      <w:pPr>
        <w:spacing w:after="0" w:line="240" w:lineRule="auto"/>
        <w:jc w:val="both"/>
        <w:rPr>
          <w:rFonts w:ascii="Barlow" w:hAnsi="Barlow" w:cs="Calibri"/>
          <w:color w:val="000000"/>
          <w:sz w:val="20"/>
          <w:szCs w:val="20"/>
        </w:rPr>
      </w:pPr>
    </w:p>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lastRenderedPageBreak/>
        <w:t>MONTO PENDIENTE POR RECUPERAR MAS DE UN AÑO</w:t>
      </w:r>
    </w:p>
    <w:p w:rsidR="00842AEC" w:rsidRPr="00842AEC" w:rsidRDefault="00842AEC" w:rsidP="00842AEC">
      <w:pPr>
        <w:spacing w:after="0" w:line="240" w:lineRule="auto"/>
        <w:jc w:val="both"/>
        <w:rPr>
          <w:rFonts w:ascii="Barlow" w:hAnsi="Barlow" w:cs="Calibri"/>
          <w:color w:val="000000"/>
          <w:sz w:val="20"/>
          <w:szCs w:val="20"/>
        </w:rPr>
      </w:pPr>
    </w:p>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PRESTAMOS OTORGADOS A LARGO PLAZO (MAYOR A 365 DÍAS)                               $ 4,114.72</w:t>
      </w:r>
    </w:p>
    <w:p w:rsidR="00842AEC" w:rsidRPr="00842AEC" w:rsidRDefault="00842AEC" w:rsidP="00842AEC">
      <w:pPr>
        <w:spacing w:after="0" w:line="240" w:lineRule="auto"/>
        <w:jc w:val="both"/>
        <w:rPr>
          <w:rFonts w:ascii="Barlow" w:hAnsi="Barlow" w:cs="Calibri"/>
          <w:color w:val="000000"/>
          <w:sz w:val="20"/>
          <w:szCs w:val="20"/>
        </w:rPr>
      </w:pPr>
    </w:p>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4.- NO APLICA</w:t>
      </w:r>
    </w:p>
    <w:p w:rsidR="00842AEC" w:rsidRPr="00842AEC" w:rsidRDefault="00842AEC" w:rsidP="00842AEC">
      <w:pPr>
        <w:spacing w:after="0" w:line="240" w:lineRule="auto"/>
        <w:jc w:val="both"/>
        <w:rPr>
          <w:rFonts w:ascii="Barlow" w:hAnsi="Barlow" w:cs="Calibri"/>
          <w:color w:val="000000"/>
          <w:sz w:val="20"/>
          <w:szCs w:val="20"/>
        </w:rPr>
      </w:pPr>
    </w:p>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5.-NO APLICA</w:t>
      </w:r>
    </w:p>
    <w:p w:rsidR="00842AEC" w:rsidRPr="00842AEC" w:rsidRDefault="00842AEC" w:rsidP="00842AEC">
      <w:pPr>
        <w:spacing w:after="0" w:line="240" w:lineRule="auto"/>
        <w:jc w:val="both"/>
        <w:rPr>
          <w:rFonts w:ascii="Barlow" w:hAnsi="Barlow" w:cs="Calibri"/>
          <w:color w:val="000000"/>
          <w:sz w:val="20"/>
          <w:szCs w:val="20"/>
        </w:rPr>
      </w:pPr>
    </w:p>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6.-NO APLICA</w:t>
      </w:r>
    </w:p>
    <w:p w:rsidR="00842AEC" w:rsidRPr="00842AEC" w:rsidRDefault="00842AEC" w:rsidP="00842AEC">
      <w:pPr>
        <w:spacing w:after="0" w:line="240" w:lineRule="auto"/>
        <w:jc w:val="both"/>
        <w:rPr>
          <w:rFonts w:ascii="Barlow" w:hAnsi="Barlow" w:cs="Calibri"/>
          <w:color w:val="000000"/>
          <w:sz w:val="20"/>
          <w:szCs w:val="20"/>
        </w:rPr>
      </w:pPr>
    </w:p>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7.-NO APLICA</w:t>
      </w:r>
    </w:p>
    <w:p w:rsidR="00842AEC" w:rsidRPr="00842AEC" w:rsidRDefault="00842AEC" w:rsidP="00842AEC">
      <w:pPr>
        <w:spacing w:after="0" w:line="240" w:lineRule="auto"/>
        <w:jc w:val="both"/>
        <w:rPr>
          <w:rFonts w:ascii="Barlow" w:hAnsi="Barlow" w:cs="Calibri"/>
          <w:color w:val="000000"/>
          <w:sz w:val="20"/>
          <w:szCs w:val="20"/>
          <w:u w:val="single"/>
        </w:rPr>
      </w:pPr>
    </w:p>
    <w:p w:rsidR="00842AEC" w:rsidRPr="00842AEC" w:rsidRDefault="00842AEC" w:rsidP="00842AEC">
      <w:pPr>
        <w:spacing w:after="0" w:line="240" w:lineRule="auto"/>
        <w:jc w:val="both"/>
        <w:rPr>
          <w:rFonts w:ascii="Barlow" w:hAnsi="Barlow" w:cs="Calibri"/>
          <w:color w:val="000000"/>
          <w:sz w:val="20"/>
          <w:szCs w:val="20"/>
          <w:u w:val="single"/>
        </w:rPr>
      </w:pPr>
      <w:r w:rsidRPr="00842AEC">
        <w:rPr>
          <w:rFonts w:ascii="Barlow" w:hAnsi="Barlow" w:cs="Calibri"/>
          <w:color w:val="000000"/>
          <w:sz w:val="20"/>
          <w:szCs w:val="20"/>
          <w:u w:val="single"/>
        </w:rPr>
        <w:t>8.-EL DESGLOSE DE LOS BIENES MUEBLES, ASI COMO SU DEPRECIACIÓN ACUMULADA, METODOS Y TASAS APLICADAS SON:</w:t>
      </w:r>
    </w:p>
    <w:p w:rsidR="00842AEC" w:rsidRPr="00842AEC" w:rsidRDefault="00842AEC" w:rsidP="00842AEC">
      <w:pPr>
        <w:spacing w:after="0" w:line="240" w:lineRule="auto"/>
        <w:jc w:val="both"/>
        <w:rPr>
          <w:rFonts w:ascii="Barlow" w:hAnsi="Barlow" w:cs="Calibri"/>
          <w:color w:val="000000"/>
          <w:sz w:val="20"/>
          <w:szCs w:val="20"/>
        </w:rPr>
      </w:pPr>
    </w:p>
    <w:p w:rsidR="00842AEC" w:rsidRPr="00842AEC" w:rsidRDefault="00842AEC" w:rsidP="00842AEC">
      <w:pPr>
        <w:spacing w:after="0" w:line="240" w:lineRule="auto"/>
        <w:jc w:val="both"/>
        <w:rPr>
          <w:rFonts w:ascii="Barlow" w:hAnsi="Barlow" w:cs="Calibri"/>
          <w:color w:val="000000"/>
          <w:sz w:val="20"/>
          <w:szCs w:val="20"/>
        </w:rPr>
      </w:pPr>
    </w:p>
    <w:tbl>
      <w:tblPr>
        <w:tblW w:w="13096" w:type="dxa"/>
        <w:tblCellMar>
          <w:left w:w="70" w:type="dxa"/>
          <w:right w:w="70" w:type="dxa"/>
        </w:tblCellMar>
        <w:tblLook w:val="04A0" w:firstRow="1" w:lastRow="0" w:firstColumn="1" w:lastColumn="0" w:noHBand="0" w:noVBand="1"/>
      </w:tblPr>
      <w:tblGrid>
        <w:gridCol w:w="3604"/>
        <w:gridCol w:w="2486"/>
        <w:gridCol w:w="2249"/>
        <w:gridCol w:w="1760"/>
        <w:gridCol w:w="1579"/>
        <w:gridCol w:w="817"/>
        <w:gridCol w:w="174"/>
        <w:gridCol w:w="161"/>
        <w:gridCol w:w="266"/>
      </w:tblGrid>
      <w:tr w:rsidR="00842AEC" w:rsidRPr="00842AEC" w:rsidTr="00842AEC">
        <w:trPr>
          <w:trHeight w:val="300"/>
        </w:trPr>
        <w:tc>
          <w:tcPr>
            <w:tcW w:w="36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2AEC" w:rsidRPr="00842AEC" w:rsidRDefault="00842AEC" w:rsidP="00842AEC">
            <w:pPr>
              <w:spacing w:after="0" w:line="240" w:lineRule="auto"/>
              <w:jc w:val="both"/>
              <w:rPr>
                <w:rFonts w:ascii="Barlow" w:hAnsi="Barlow" w:cs="Calibri"/>
                <w:b/>
                <w:bCs/>
                <w:color w:val="000000"/>
                <w:sz w:val="20"/>
                <w:szCs w:val="20"/>
              </w:rPr>
            </w:pPr>
            <w:r w:rsidRPr="00842AEC">
              <w:rPr>
                <w:rFonts w:ascii="Barlow" w:hAnsi="Barlow" w:cs="Calibri"/>
                <w:b/>
                <w:bCs/>
                <w:color w:val="000000"/>
                <w:sz w:val="20"/>
                <w:szCs w:val="20"/>
              </w:rPr>
              <w:t xml:space="preserve">BIENES MUEBLES </w:t>
            </w:r>
          </w:p>
        </w:tc>
        <w:tc>
          <w:tcPr>
            <w:tcW w:w="2486" w:type="dxa"/>
            <w:tcBorders>
              <w:top w:val="single" w:sz="4" w:space="0" w:color="auto"/>
              <w:left w:val="nil"/>
              <w:bottom w:val="single" w:sz="4" w:space="0" w:color="auto"/>
              <w:right w:val="single" w:sz="4" w:space="0" w:color="auto"/>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b/>
                <w:bCs/>
                <w:color w:val="000000"/>
                <w:sz w:val="20"/>
                <w:szCs w:val="20"/>
              </w:rPr>
              <w:t>MONTO AL 31 de  MARZO  2019</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2AEC" w:rsidRPr="00842AEC" w:rsidRDefault="00842AEC" w:rsidP="00842AEC">
            <w:pPr>
              <w:spacing w:after="0" w:line="240" w:lineRule="auto"/>
              <w:jc w:val="both"/>
              <w:rPr>
                <w:rFonts w:ascii="Barlow" w:hAnsi="Barlow" w:cs="Calibri"/>
                <w:b/>
                <w:bCs/>
                <w:color w:val="000000"/>
                <w:sz w:val="20"/>
                <w:szCs w:val="20"/>
              </w:rPr>
            </w:pPr>
            <w:r w:rsidRPr="00842AEC">
              <w:rPr>
                <w:rFonts w:ascii="Barlow" w:hAnsi="Barlow" w:cs="Calibri"/>
                <w:b/>
                <w:bCs/>
                <w:color w:val="000000"/>
                <w:sz w:val="20"/>
                <w:szCs w:val="20"/>
              </w:rPr>
              <w:t>MONTO DEP ACUMUL</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842AEC" w:rsidRPr="00842AEC" w:rsidRDefault="00842AEC" w:rsidP="00842AEC">
            <w:pPr>
              <w:spacing w:after="0" w:line="240" w:lineRule="auto"/>
              <w:jc w:val="both"/>
              <w:rPr>
                <w:rFonts w:ascii="Barlow" w:hAnsi="Barlow" w:cs="Calibri"/>
                <w:b/>
                <w:bCs/>
                <w:color w:val="000000"/>
                <w:sz w:val="20"/>
                <w:szCs w:val="20"/>
              </w:rPr>
            </w:pPr>
            <w:r w:rsidRPr="00842AEC">
              <w:rPr>
                <w:rFonts w:ascii="Barlow" w:hAnsi="Barlow" w:cs="Calibri"/>
                <w:b/>
                <w:bCs/>
                <w:color w:val="000000"/>
                <w:sz w:val="20"/>
                <w:szCs w:val="20"/>
              </w:rPr>
              <w:t>METODO DEP</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842AEC" w:rsidRPr="00842AEC" w:rsidRDefault="00842AEC" w:rsidP="00842AEC">
            <w:pPr>
              <w:spacing w:after="0" w:line="240" w:lineRule="auto"/>
              <w:jc w:val="both"/>
              <w:rPr>
                <w:rFonts w:ascii="Barlow" w:hAnsi="Barlow" w:cs="Calibri"/>
                <w:b/>
                <w:bCs/>
                <w:color w:val="000000"/>
                <w:sz w:val="20"/>
                <w:szCs w:val="20"/>
              </w:rPr>
            </w:pPr>
            <w:r w:rsidRPr="00842AEC">
              <w:rPr>
                <w:rFonts w:ascii="Barlow" w:hAnsi="Barlow" w:cs="Calibri"/>
                <w:b/>
                <w:bCs/>
                <w:color w:val="000000"/>
                <w:sz w:val="20"/>
                <w:szCs w:val="20"/>
              </w:rPr>
              <w:t>TASAS APLICADAS</w:t>
            </w:r>
          </w:p>
        </w:tc>
        <w:tc>
          <w:tcPr>
            <w:tcW w:w="1418" w:type="dxa"/>
            <w:gridSpan w:val="4"/>
            <w:tcBorders>
              <w:top w:val="single" w:sz="4" w:space="0" w:color="auto"/>
              <w:left w:val="nil"/>
              <w:bottom w:val="single" w:sz="4" w:space="0" w:color="auto"/>
              <w:right w:val="single" w:sz="4" w:space="0" w:color="auto"/>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b/>
                <w:bCs/>
                <w:color w:val="000000"/>
                <w:sz w:val="20"/>
                <w:szCs w:val="20"/>
              </w:rPr>
              <w:t>ESTADO DE LOS BIENES</w:t>
            </w:r>
          </w:p>
        </w:tc>
      </w:tr>
      <w:tr w:rsidR="00842AEC" w:rsidRPr="00842AEC" w:rsidTr="00842AEC">
        <w:trPr>
          <w:trHeight w:val="300"/>
        </w:trPr>
        <w:tc>
          <w:tcPr>
            <w:tcW w:w="3604"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MOBILIARIO DE OFICINA Y ESTANTERIA</w:t>
            </w:r>
          </w:p>
        </w:tc>
        <w:tc>
          <w:tcPr>
            <w:tcW w:w="2486" w:type="dxa"/>
            <w:tcBorders>
              <w:top w:val="single" w:sz="4" w:space="0" w:color="auto"/>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$787,857.32</w:t>
            </w:r>
          </w:p>
        </w:tc>
        <w:tc>
          <w:tcPr>
            <w:tcW w:w="2249"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$624,742.35</w:t>
            </w:r>
          </w:p>
        </w:tc>
        <w:tc>
          <w:tcPr>
            <w:tcW w:w="1760"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PORCENTAJE FIJO</w:t>
            </w:r>
          </w:p>
        </w:tc>
        <w:tc>
          <w:tcPr>
            <w:tcW w:w="1579"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10%</w:t>
            </w:r>
          </w:p>
        </w:tc>
        <w:tc>
          <w:tcPr>
            <w:tcW w:w="817"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BUENO</w:t>
            </w:r>
          </w:p>
        </w:tc>
        <w:tc>
          <w:tcPr>
            <w:tcW w:w="174"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c>
          <w:tcPr>
            <w:tcW w:w="161"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c>
          <w:tcPr>
            <w:tcW w:w="266"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r>
      <w:tr w:rsidR="00842AEC" w:rsidRPr="00842AEC" w:rsidTr="00842AEC">
        <w:trPr>
          <w:trHeight w:val="300"/>
        </w:trPr>
        <w:tc>
          <w:tcPr>
            <w:tcW w:w="3604"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 xml:space="preserve">BIENES DE COMPUTO Y TECNOLG </w:t>
            </w:r>
          </w:p>
        </w:tc>
        <w:tc>
          <w:tcPr>
            <w:tcW w:w="2486"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$1’220,702.81</w:t>
            </w:r>
          </w:p>
        </w:tc>
        <w:tc>
          <w:tcPr>
            <w:tcW w:w="2249"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$1´081,160.05</w:t>
            </w:r>
          </w:p>
        </w:tc>
        <w:tc>
          <w:tcPr>
            <w:tcW w:w="1760"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PORCENTAJE FIJO</w:t>
            </w:r>
          </w:p>
        </w:tc>
        <w:tc>
          <w:tcPr>
            <w:tcW w:w="1579"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33%</w:t>
            </w:r>
          </w:p>
        </w:tc>
        <w:tc>
          <w:tcPr>
            <w:tcW w:w="817"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BUENO</w:t>
            </w:r>
          </w:p>
        </w:tc>
        <w:tc>
          <w:tcPr>
            <w:tcW w:w="174"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c>
          <w:tcPr>
            <w:tcW w:w="161"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c>
          <w:tcPr>
            <w:tcW w:w="266"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r>
      <w:tr w:rsidR="00842AEC" w:rsidRPr="00842AEC" w:rsidTr="00842AEC">
        <w:trPr>
          <w:trHeight w:val="300"/>
        </w:trPr>
        <w:tc>
          <w:tcPr>
            <w:tcW w:w="3604" w:type="dxa"/>
            <w:tcBorders>
              <w:top w:val="nil"/>
              <w:left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OTROS MUEBLES Y EQ. ADMINISTRACION.</w:t>
            </w:r>
          </w:p>
        </w:tc>
        <w:tc>
          <w:tcPr>
            <w:tcW w:w="2486" w:type="dxa"/>
            <w:tcBorders>
              <w:top w:val="nil"/>
              <w:left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$503,631.08</w:t>
            </w:r>
          </w:p>
        </w:tc>
        <w:tc>
          <w:tcPr>
            <w:tcW w:w="2249" w:type="dxa"/>
            <w:tcBorders>
              <w:top w:val="nil"/>
              <w:left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$368,530.55</w:t>
            </w:r>
          </w:p>
        </w:tc>
        <w:tc>
          <w:tcPr>
            <w:tcW w:w="1760" w:type="dxa"/>
            <w:tcBorders>
              <w:top w:val="nil"/>
              <w:left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PORCENTAJE FIJO</w:t>
            </w:r>
          </w:p>
        </w:tc>
        <w:tc>
          <w:tcPr>
            <w:tcW w:w="1579" w:type="dxa"/>
            <w:tcBorders>
              <w:top w:val="nil"/>
              <w:left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10%</w:t>
            </w:r>
          </w:p>
        </w:tc>
        <w:tc>
          <w:tcPr>
            <w:tcW w:w="817" w:type="dxa"/>
            <w:tcBorders>
              <w:top w:val="nil"/>
              <w:left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BUENO</w:t>
            </w:r>
          </w:p>
        </w:tc>
        <w:tc>
          <w:tcPr>
            <w:tcW w:w="174" w:type="dxa"/>
            <w:tcBorders>
              <w:top w:val="nil"/>
              <w:left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c>
          <w:tcPr>
            <w:tcW w:w="161" w:type="dxa"/>
            <w:tcBorders>
              <w:top w:val="nil"/>
              <w:left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c>
          <w:tcPr>
            <w:tcW w:w="266" w:type="dxa"/>
            <w:tcBorders>
              <w:top w:val="nil"/>
              <w:left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r>
      <w:tr w:rsidR="00842AEC" w:rsidRPr="00842AEC" w:rsidTr="00842AEC">
        <w:trPr>
          <w:trHeight w:val="300"/>
        </w:trPr>
        <w:tc>
          <w:tcPr>
            <w:tcW w:w="3604"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SISTEMAS DE AIRE ACONDICIONADO</w:t>
            </w:r>
          </w:p>
        </w:tc>
        <w:tc>
          <w:tcPr>
            <w:tcW w:w="2486"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$111,856.10</w:t>
            </w:r>
          </w:p>
        </w:tc>
        <w:tc>
          <w:tcPr>
            <w:tcW w:w="2249"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$10,991.76</w:t>
            </w:r>
          </w:p>
        </w:tc>
        <w:tc>
          <w:tcPr>
            <w:tcW w:w="1760"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PORCENTAJE FIJO</w:t>
            </w:r>
          </w:p>
        </w:tc>
        <w:tc>
          <w:tcPr>
            <w:tcW w:w="1579"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10%</w:t>
            </w:r>
          </w:p>
        </w:tc>
        <w:tc>
          <w:tcPr>
            <w:tcW w:w="817"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BUENO</w:t>
            </w:r>
          </w:p>
        </w:tc>
        <w:tc>
          <w:tcPr>
            <w:tcW w:w="174"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c>
          <w:tcPr>
            <w:tcW w:w="161"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c>
          <w:tcPr>
            <w:tcW w:w="266"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r>
      <w:tr w:rsidR="00842AEC" w:rsidRPr="00842AEC" w:rsidTr="00842AEC">
        <w:trPr>
          <w:trHeight w:val="300"/>
        </w:trPr>
        <w:tc>
          <w:tcPr>
            <w:tcW w:w="3604"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MAQUINARIA Y OTROS EQUIPOS</w:t>
            </w:r>
          </w:p>
        </w:tc>
        <w:tc>
          <w:tcPr>
            <w:tcW w:w="2486"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$11,948.00</w:t>
            </w:r>
          </w:p>
        </w:tc>
        <w:tc>
          <w:tcPr>
            <w:tcW w:w="2249"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$ 1,595.00</w:t>
            </w:r>
          </w:p>
        </w:tc>
        <w:tc>
          <w:tcPr>
            <w:tcW w:w="1760"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PORCENTAJE FIJO</w:t>
            </w:r>
          </w:p>
        </w:tc>
        <w:tc>
          <w:tcPr>
            <w:tcW w:w="1579"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33.3%</w:t>
            </w:r>
          </w:p>
        </w:tc>
        <w:tc>
          <w:tcPr>
            <w:tcW w:w="817"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BUENO</w:t>
            </w:r>
          </w:p>
        </w:tc>
        <w:tc>
          <w:tcPr>
            <w:tcW w:w="174"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c>
          <w:tcPr>
            <w:tcW w:w="161"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c>
          <w:tcPr>
            <w:tcW w:w="266"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r>
      <w:tr w:rsidR="00842AEC" w:rsidRPr="00842AEC" w:rsidTr="00842AEC">
        <w:trPr>
          <w:trHeight w:val="300"/>
        </w:trPr>
        <w:tc>
          <w:tcPr>
            <w:tcW w:w="3604"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MUEBLES EXCEPTO DE OFICINA Y EST.</w:t>
            </w:r>
          </w:p>
        </w:tc>
        <w:tc>
          <w:tcPr>
            <w:tcW w:w="2486"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$8,006.64</w:t>
            </w:r>
          </w:p>
        </w:tc>
        <w:tc>
          <w:tcPr>
            <w:tcW w:w="2249"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 xml:space="preserve"> $  1,134.27</w:t>
            </w:r>
          </w:p>
        </w:tc>
        <w:tc>
          <w:tcPr>
            <w:tcW w:w="1760"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PORCENTAJE FIJO</w:t>
            </w:r>
          </w:p>
        </w:tc>
        <w:tc>
          <w:tcPr>
            <w:tcW w:w="1579"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10%</w:t>
            </w:r>
          </w:p>
        </w:tc>
        <w:tc>
          <w:tcPr>
            <w:tcW w:w="817"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BUENO</w:t>
            </w:r>
          </w:p>
        </w:tc>
        <w:tc>
          <w:tcPr>
            <w:tcW w:w="174"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c>
          <w:tcPr>
            <w:tcW w:w="161"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c>
          <w:tcPr>
            <w:tcW w:w="266"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r>
      <w:tr w:rsidR="00842AEC" w:rsidRPr="00842AEC" w:rsidTr="00842AEC">
        <w:trPr>
          <w:trHeight w:val="300"/>
        </w:trPr>
        <w:tc>
          <w:tcPr>
            <w:tcW w:w="3604"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EQUIPO DE COMUNICACIÓN Y TELECOM</w:t>
            </w:r>
          </w:p>
        </w:tc>
        <w:tc>
          <w:tcPr>
            <w:tcW w:w="2486"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$114,172.93</w:t>
            </w:r>
          </w:p>
        </w:tc>
        <w:tc>
          <w:tcPr>
            <w:tcW w:w="2249"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$ 33,908.91</w:t>
            </w:r>
          </w:p>
        </w:tc>
        <w:tc>
          <w:tcPr>
            <w:tcW w:w="1760"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PORCENTAJE FIJO</w:t>
            </w:r>
          </w:p>
        </w:tc>
        <w:tc>
          <w:tcPr>
            <w:tcW w:w="1579"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10%</w:t>
            </w:r>
          </w:p>
        </w:tc>
        <w:tc>
          <w:tcPr>
            <w:tcW w:w="817"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BUENO</w:t>
            </w:r>
          </w:p>
        </w:tc>
        <w:tc>
          <w:tcPr>
            <w:tcW w:w="174"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p>
        </w:tc>
        <w:tc>
          <w:tcPr>
            <w:tcW w:w="161"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p>
        </w:tc>
        <w:tc>
          <w:tcPr>
            <w:tcW w:w="266"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p>
        </w:tc>
      </w:tr>
      <w:tr w:rsidR="00842AEC" w:rsidRPr="00842AEC" w:rsidTr="00842AEC">
        <w:trPr>
          <w:trHeight w:val="300"/>
        </w:trPr>
        <w:tc>
          <w:tcPr>
            <w:tcW w:w="3604" w:type="dxa"/>
            <w:tcBorders>
              <w:top w:val="nil"/>
              <w:left w:val="nil"/>
              <w:bottom w:val="single" w:sz="4" w:space="0" w:color="auto"/>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lastRenderedPageBreak/>
              <w:t>EQUIPO DE TRANSPORTE</w:t>
            </w:r>
          </w:p>
        </w:tc>
        <w:tc>
          <w:tcPr>
            <w:tcW w:w="2486" w:type="dxa"/>
            <w:tcBorders>
              <w:top w:val="nil"/>
              <w:left w:val="nil"/>
              <w:bottom w:val="single" w:sz="4" w:space="0" w:color="auto"/>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$1,564,328.00</w:t>
            </w:r>
          </w:p>
        </w:tc>
        <w:tc>
          <w:tcPr>
            <w:tcW w:w="2249" w:type="dxa"/>
            <w:tcBorders>
              <w:top w:val="nil"/>
              <w:left w:val="nil"/>
              <w:bottom w:val="single" w:sz="4" w:space="0" w:color="auto"/>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$1,564,328.00</w:t>
            </w:r>
          </w:p>
        </w:tc>
        <w:tc>
          <w:tcPr>
            <w:tcW w:w="1760" w:type="dxa"/>
            <w:tcBorders>
              <w:top w:val="nil"/>
              <w:left w:val="nil"/>
              <w:bottom w:val="single" w:sz="4" w:space="0" w:color="auto"/>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PORCENTAJE FIJO</w:t>
            </w:r>
          </w:p>
        </w:tc>
        <w:tc>
          <w:tcPr>
            <w:tcW w:w="1579" w:type="dxa"/>
            <w:tcBorders>
              <w:top w:val="nil"/>
              <w:left w:val="nil"/>
              <w:bottom w:val="single" w:sz="4" w:space="0" w:color="auto"/>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20%</w:t>
            </w:r>
          </w:p>
        </w:tc>
        <w:tc>
          <w:tcPr>
            <w:tcW w:w="817" w:type="dxa"/>
            <w:tcBorders>
              <w:top w:val="nil"/>
              <w:left w:val="nil"/>
              <w:bottom w:val="single" w:sz="4" w:space="0" w:color="auto"/>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BUENO</w:t>
            </w:r>
          </w:p>
        </w:tc>
        <w:tc>
          <w:tcPr>
            <w:tcW w:w="174" w:type="dxa"/>
            <w:tcBorders>
              <w:top w:val="nil"/>
              <w:left w:val="nil"/>
              <w:bottom w:val="single" w:sz="4" w:space="0" w:color="auto"/>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c>
          <w:tcPr>
            <w:tcW w:w="161" w:type="dxa"/>
            <w:tcBorders>
              <w:top w:val="nil"/>
              <w:left w:val="nil"/>
              <w:bottom w:val="single" w:sz="4" w:space="0" w:color="auto"/>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c>
          <w:tcPr>
            <w:tcW w:w="266" w:type="dxa"/>
            <w:tcBorders>
              <w:top w:val="nil"/>
              <w:left w:val="nil"/>
              <w:bottom w:val="single" w:sz="4" w:space="0" w:color="auto"/>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r>
      <w:tr w:rsidR="00842AEC" w:rsidRPr="00842AEC" w:rsidTr="00842AEC">
        <w:trPr>
          <w:trHeight w:val="385"/>
        </w:trPr>
        <w:tc>
          <w:tcPr>
            <w:tcW w:w="3604" w:type="dxa"/>
            <w:tcBorders>
              <w:top w:val="single" w:sz="4" w:space="0" w:color="auto"/>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c>
          <w:tcPr>
            <w:tcW w:w="2486" w:type="dxa"/>
            <w:tcBorders>
              <w:top w:val="single" w:sz="4" w:space="0" w:color="auto"/>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$4´322,502.88</w:t>
            </w:r>
          </w:p>
        </w:tc>
        <w:tc>
          <w:tcPr>
            <w:tcW w:w="2249" w:type="dxa"/>
            <w:tcBorders>
              <w:top w:val="single" w:sz="4" w:space="0" w:color="auto"/>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$ 3,686,390.89</w:t>
            </w:r>
          </w:p>
        </w:tc>
        <w:tc>
          <w:tcPr>
            <w:tcW w:w="1760" w:type="dxa"/>
            <w:tcBorders>
              <w:top w:val="single" w:sz="4" w:space="0" w:color="auto"/>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c>
          <w:tcPr>
            <w:tcW w:w="1579" w:type="dxa"/>
            <w:tcBorders>
              <w:top w:val="single" w:sz="4" w:space="0" w:color="auto"/>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c>
          <w:tcPr>
            <w:tcW w:w="817" w:type="dxa"/>
            <w:tcBorders>
              <w:top w:val="single" w:sz="4" w:space="0" w:color="auto"/>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c>
          <w:tcPr>
            <w:tcW w:w="174" w:type="dxa"/>
            <w:tcBorders>
              <w:top w:val="single" w:sz="4" w:space="0" w:color="auto"/>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c>
          <w:tcPr>
            <w:tcW w:w="161" w:type="dxa"/>
            <w:tcBorders>
              <w:top w:val="single" w:sz="4" w:space="0" w:color="auto"/>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c>
          <w:tcPr>
            <w:tcW w:w="266" w:type="dxa"/>
            <w:tcBorders>
              <w:top w:val="single" w:sz="4" w:space="0" w:color="auto"/>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r>
    </w:tbl>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 xml:space="preserve"> LA DEPRECIACIÓN SEGÚN LA NORMATIVIDAD EMITIDA POR EL CONAC. </w:t>
      </w:r>
    </w:p>
    <w:p w:rsidR="00842AEC" w:rsidRPr="00842AEC" w:rsidRDefault="00842AEC" w:rsidP="00842AEC">
      <w:pPr>
        <w:spacing w:after="0" w:line="240" w:lineRule="auto"/>
        <w:jc w:val="both"/>
        <w:rPr>
          <w:rFonts w:ascii="Barlow" w:hAnsi="Barlow" w:cs="Calibri"/>
          <w:color w:val="000000"/>
          <w:sz w:val="20"/>
          <w:szCs w:val="20"/>
        </w:rPr>
      </w:pPr>
    </w:p>
    <w:p w:rsidR="00842AEC" w:rsidRPr="00842AEC" w:rsidRDefault="00842AEC" w:rsidP="00842AEC">
      <w:pPr>
        <w:spacing w:after="0" w:line="240" w:lineRule="auto"/>
        <w:jc w:val="both"/>
        <w:rPr>
          <w:rFonts w:ascii="Barlow" w:hAnsi="Barlow" w:cs="Calibri"/>
          <w:color w:val="000000"/>
          <w:sz w:val="20"/>
          <w:szCs w:val="20"/>
          <w:u w:val="single"/>
        </w:rPr>
      </w:pPr>
      <w:r w:rsidRPr="00842AEC">
        <w:rPr>
          <w:rFonts w:ascii="Barlow" w:hAnsi="Barlow" w:cs="Calibri"/>
          <w:color w:val="000000"/>
          <w:sz w:val="20"/>
          <w:szCs w:val="20"/>
          <w:u w:val="single"/>
        </w:rPr>
        <w:t xml:space="preserve">9.-BIENES  INTANGIBLES </w:t>
      </w:r>
    </w:p>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METODO AMORTIZACION:</w:t>
      </w:r>
    </w:p>
    <w:p w:rsidR="00842AEC" w:rsidRPr="00842AEC" w:rsidRDefault="00842AEC" w:rsidP="00842AEC">
      <w:pPr>
        <w:spacing w:after="0" w:line="240" w:lineRule="auto"/>
        <w:jc w:val="both"/>
        <w:rPr>
          <w:rFonts w:ascii="Barlow" w:hAnsi="Barlow" w:cs="Calibri"/>
          <w:color w:val="000000"/>
          <w:sz w:val="20"/>
          <w:szCs w:val="20"/>
        </w:rPr>
      </w:pPr>
    </w:p>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SE DIVIDE EL MONTO ORIGINAL DE INVERSIÓN ENTRE EL N. DE AÑOS POR LOS CUALES SE OTORGÓ LA CONSESION, EL COCIENTE SE MULTIPLICA X 100 Y EL PRODUCTO SE EXPRESARA POR CIENTO.</w:t>
      </w:r>
    </w:p>
    <w:p w:rsidR="00842AEC" w:rsidRPr="00842AEC" w:rsidRDefault="00842AEC" w:rsidP="00842AEC">
      <w:pPr>
        <w:spacing w:after="0" w:line="240" w:lineRule="auto"/>
        <w:jc w:val="both"/>
        <w:rPr>
          <w:rFonts w:ascii="Barlow" w:hAnsi="Barlow" w:cs="Calibri"/>
          <w:color w:val="000000"/>
          <w:sz w:val="20"/>
          <w:szCs w:val="20"/>
        </w:rPr>
      </w:pPr>
    </w:p>
    <w:tbl>
      <w:tblPr>
        <w:tblW w:w="12934" w:type="dxa"/>
        <w:tblCellMar>
          <w:left w:w="70" w:type="dxa"/>
          <w:right w:w="70" w:type="dxa"/>
        </w:tblCellMar>
        <w:tblLook w:val="04A0" w:firstRow="1" w:lastRow="0" w:firstColumn="1" w:lastColumn="0" w:noHBand="0" w:noVBand="1"/>
      </w:tblPr>
      <w:tblGrid>
        <w:gridCol w:w="3632"/>
        <w:gridCol w:w="2507"/>
        <w:gridCol w:w="2268"/>
        <w:gridCol w:w="1775"/>
        <w:gridCol w:w="1591"/>
        <w:gridCol w:w="999"/>
        <w:gridCol w:w="162"/>
      </w:tblGrid>
      <w:tr w:rsidR="00842AEC" w:rsidRPr="00842AEC" w:rsidTr="00842AEC">
        <w:trPr>
          <w:trHeight w:val="300"/>
        </w:trPr>
        <w:tc>
          <w:tcPr>
            <w:tcW w:w="3632"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c>
          <w:tcPr>
            <w:tcW w:w="2507"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c>
          <w:tcPr>
            <w:tcW w:w="2268"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c>
          <w:tcPr>
            <w:tcW w:w="1775"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c>
          <w:tcPr>
            <w:tcW w:w="1591"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c>
          <w:tcPr>
            <w:tcW w:w="999"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c>
          <w:tcPr>
            <w:tcW w:w="162"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r>
      <w:tr w:rsidR="00842AEC" w:rsidRPr="00842AEC" w:rsidTr="00842AEC">
        <w:trPr>
          <w:trHeight w:val="300"/>
        </w:trPr>
        <w:tc>
          <w:tcPr>
            <w:tcW w:w="3632"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BIENES INTANGIBLES</w:t>
            </w:r>
          </w:p>
        </w:tc>
        <w:tc>
          <w:tcPr>
            <w:tcW w:w="2507"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MONTO AL 31 DE  MARZO 2019</w:t>
            </w:r>
          </w:p>
        </w:tc>
        <w:tc>
          <w:tcPr>
            <w:tcW w:w="4043" w:type="dxa"/>
            <w:gridSpan w:val="2"/>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 xml:space="preserve">     AMORTIZACION ACUMULADA</w:t>
            </w:r>
          </w:p>
        </w:tc>
        <w:tc>
          <w:tcPr>
            <w:tcW w:w="1591"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c>
          <w:tcPr>
            <w:tcW w:w="999"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c>
          <w:tcPr>
            <w:tcW w:w="162"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r>
      <w:tr w:rsidR="00842AEC" w:rsidRPr="00842AEC" w:rsidTr="00842AEC">
        <w:trPr>
          <w:trHeight w:val="300"/>
        </w:trPr>
        <w:tc>
          <w:tcPr>
            <w:tcW w:w="3632"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c>
          <w:tcPr>
            <w:tcW w:w="2507"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p w:rsidR="00842AEC" w:rsidRPr="00842AEC" w:rsidRDefault="00842AEC" w:rsidP="00842AEC">
            <w:pPr>
              <w:spacing w:after="0" w:line="240" w:lineRule="auto"/>
              <w:jc w:val="both"/>
              <w:rPr>
                <w:rFonts w:ascii="Barlow" w:hAnsi="Barlow" w:cs="Calibri"/>
                <w:color w:val="000000"/>
                <w:sz w:val="20"/>
                <w:szCs w:val="20"/>
              </w:rPr>
            </w:pPr>
          </w:p>
        </w:tc>
        <w:tc>
          <w:tcPr>
            <w:tcW w:w="2268"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c>
          <w:tcPr>
            <w:tcW w:w="1775"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c>
          <w:tcPr>
            <w:tcW w:w="1591"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c>
          <w:tcPr>
            <w:tcW w:w="999"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c>
          <w:tcPr>
            <w:tcW w:w="162"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r>
      <w:tr w:rsidR="00842AEC" w:rsidRPr="00842AEC" w:rsidTr="00842AEC">
        <w:trPr>
          <w:trHeight w:val="300"/>
        </w:trPr>
        <w:tc>
          <w:tcPr>
            <w:tcW w:w="3632"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LICENCIAS</w:t>
            </w:r>
          </w:p>
        </w:tc>
        <w:tc>
          <w:tcPr>
            <w:tcW w:w="2507"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$320,503.31</w:t>
            </w:r>
          </w:p>
        </w:tc>
        <w:tc>
          <w:tcPr>
            <w:tcW w:w="2268"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84,114.53</w:t>
            </w:r>
          </w:p>
        </w:tc>
        <w:tc>
          <w:tcPr>
            <w:tcW w:w="1775"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p>
        </w:tc>
        <w:tc>
          <w:tcPr>
            <w:tcW w:w="1591"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p>
        </w:tc>
        <w:tc>
          <w:tcPr>
            <w:tcW w:w="999"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p>
        </w:tc>
        <w:tc>
          <w:tcPr>
            <w:tcW w:w="162"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p>
        </w:tc>
      </w:tr>
      <w:tr w:rsidR="00842AEC" w:rsidRPr="00842AEC" w:rsidTr="00842AEC">
        <w:trPr>
          <w:trHeight w:val="300"/>
        </w:trPr>
        <w:tc>
          <w:tcPr>
            <w:tcW w:w="3632"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SOFTWARE</w:t>
            </w:r>
          </w:p>
        </w:tc>
        <w:tc>
          <w:tcPr>
            <w:tcW w:w="2507"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$ 114,458.75</w:t>
            </w:r>
          </w:p>
        </w:tc>
        <w:tc>
          <w:tcPr>
            <w:tcW w:w="2268"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169,475.70</w:t>
            </w:r>
          </w:p>
        </w:tc>
        <w:tc>
          <w:tcPr>
            <w:tcW w:w="1775"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p>
        </w:tc>
        <w:tc>
          <w:tcPr>
            <w:tcW w:w="1591"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p>
        </w:tc>
        <w:tc>
          <w:tcPr>
            <w:tcW w:w="999"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p>
        </w:tc>
        <w:tc>
          <w:tcPr>
            <w:tcW w:w="162"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p>
        </w:tc>
      </w:tr>
      <w:tr w:rsidR="00842AEC" w:rsidRPr="00842AEC" w:rsidTr="00842AEC">
        <w:trPr>
          <w:trHeight w:val="300"/>
        </w:trPr>
        <w:tc>
          <w:tcPr>
            <w:tcW w:w="3632"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CONCESIONES</w:t>
            </w:r>
          </w:p>
        </w:tc>
        <w:tc>
          <w:tcPr>
            <w:tcW w:w="2507"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$ 5,300.03</w:t>
            </w:r>
          </w:p>
        </w:tc>
        <w:tc>
          <w:tcPr>
            <w:tcW w:w="2268"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2,120.02</w:t>
            </w:r>
          </w:p>
        </w:tc>
        <w:tc>
          <w:tcPr>
            <w:tcW w:w="1775"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p>
        </w:tc>
        <w:tc>
          <w:tcPr>
            <w:tcW w:w="1591"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p>
        </w:tc>
        <w:tc>
          <w:tcPr>
            <w:tcW w:w="999"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p>
        </w:tc>
        <w:tc>
          <w:tcPr>
            <w:tcW w:w="162"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p>
        </w:tc>
      </w:tr>
      <w:tr w:rsidR="00842AEC" w:rsidRPr="00842AEC" w:rsidTr="00842AEC">
        <w:trPr>
          <w:trHeight w:val="300"/>
        </w:trPr>
        <w:tc>
          <w:tcPr>
            <w:tcW w:w="3632"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p>
        </w:tc>
        <w:tc>
          <w:tcPr>
            <w:tcW w:w="2507"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p>
        </w:tc>
        <w:tc>
          <w:tcPr>
            <w:tcW w:w="2268"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p>
        </w:tc>
        <w:tc>
          <w:tcPr>
            <w:tcW w:w="1775"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p>
        </w:tc>
        <w:tc>
          <w:tcPr>
            <w:tcW w:w="1591"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p>
        </w:tc>
        <w:tc>
          <w:tcPr>
            <w:tcW w:w="999"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p>
        </w:tc>
        <w:tc>
          <w:tcPr>
            <w:tcW w:w="162"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p>
        </w:tc>
      </w:tr>
      <w:tr w:rsidR="00842AEC" w:rsidRPr="00842AEC" w:rsidTr="00842AEC">
        <w:trPr>
          <w:trHeight w:val="300"/>
        </w:trPr>
        <w:tc>
          <w:tcPr>
            <w:tcW w:w="3632"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c>
          <w:tcPr>
            <w:tcW w:w="2507"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c>
          <w:tcPr>
            <w:tcW w:w="2268"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c>
          <w:tcPr>
            <w:tcW w:w="1775"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c>
          <w:tcPr>
            <w:tcW w:w="1591"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c>
          <w:tcPr>
            <w:tcW w:w="999"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c>
          <w:tcPr>
            <w:tcW w:w="162"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r>
    </w:tbl>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10.-NO APLICA</w:t>
      </w:r>
    </w:p>
    <w:p w:rsidR="00842AEC" w:rsidRPr="00842AEC" w:rsidRDefault="00842AEC" w:rsidP="00842AEC">
      <w:pPr>
        <w:spacing w:after="0" w:line="240" w:lineRule="auto"/>
        <w:jc w:val="both"/>
        <w:rPr>
          <w:rFonts w:ascii="Barlow" w:hAnsi="Barlow" w:cs="Calibri"/>
          <w:color w:val="000000"/>
          <w:sz w:val="20"/>
          <w:szCs w:val="20"/>
        </w:rPr>
      </w:pPr>
    </w:p>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 xml:space="preserve">11.-NO APLICA </w:t>
      </w:r>
    </w:p>
    <w:p w:rsidR="00842AEC" w:rsidRPr="00842AEC" w:rsidRDefault="00842AEC" w:rsidP="00842AEC">
      <w:pPr>
        <w:spacing w:after="0" w:line="240" w:lineRule="auto"/>
        <w:jc w:val="both"/>
        <w:rPr>
          <w:rFonts w:ascii="Barlow" w:hAnsi="Barlow" w:cs="Calibri"/>
          <w:color w:val="000000"/>
          <w:sz w:val="20"/>
          <w:szCs w:val="20"/>
        </w:rPr>
      </w:pPr>
    </w:p>
    <w:p w:rsidR="00842AEC" w:rsidRDefault="00842AEC" w:rsidP="00842AEC">
      <w:pPr>
        <w:spacing w:after="0" w:line="240" w:lineRule="auto"/>
        <w:jc w:val="both"/>
        <w:rPr>
          <w:rFonts w:ascii="Barlow" w:hAnsi="Barlow" w:cs="Calibri"/>
          <w:color w:val="000000"/>
          <w:sz w:val="20"/>
          <w:szCs w:val="20"/>
        </w:rPr>
      </w:pPr>
    </w:p>
    <w:p w:rsidR="00842AEC" w:rsidRDefault="00842AEC" w:rsidP="00842AEC">
      <w:pPr>
        <w:spacing w:after="0" w:line="240" w:lineRule="auto"/>
        <w:jc w:val="both"/>
        <w:rPr>
          <w:rFonts w:ascii="Barlow" w:hAnsi="Barlow" w:cs="Calibri"/>
          <w:color w:val="000000"/>
          <w:sz w:val="20"/>
          <w:szCs w:val="20"/>
        </w:rPr>
      </w:pPr>
    </w:p>
    <w:p w:rsidR="00842AEC" w:rsidRDefault="00842AEC" w:rsidP="00842AEC">
      <w:pPr>
        <w:spacing w:after="0" w:line="240" w:lineRule="auto"/>
        <w:jc w:val="both"/>
        <w:rPr>
          <w:rFonts w:ascii="Barlow" w:hAnsi="Barlow" w:cs="Calibri"/>
          <w:color w:val="000000"/>
          <w:sz w:val="20"/>
          <w:szCs w:val="20"/>
        </w:rPr>
      </w:pPr>
    </w:p>
    <w:p w:rsidR="00842AEC" w:rsidRPr="00842AEC" w:rsidRDefault="00842AEC" w:rsidP="00842AEC">
      <w:pPr>
        <w:spacing w:after="0" w:line="240" w:lineRule="auto"/>
        <w:jc w:val="both"/>
        <w:rPr>
          <w:rFonts w:ascii="Barlow" w:hAnsi="Barlow" w:cs="Calibri"/>
          <w:color w:val="000000"/>
          <w:sz w:val="20"/>
          <w:szCs w:val="20"/>
        </w:rPr>
      </w:pPr>
    </w:p>
    <w:p w:rsidR="00842AEC" w:rsidRPr="00842AEC" w:rsidRDefault="00842AEC" w:rsidP="00842AEC">
      <w:pPr>
        <w:spacing w:after="0" w:line="240" w:lineRule="auto"/>
        <w:jc w:val="both"/>
        <w:rPr>
          <w:rFonts w:ascii="Barlow" w:hAnsi="Barlow" w:cs="Calibri"/>
          <w:b/>
          <w:bCs/>
          <w:color w:val="000000"/>
          <w:sz w:val="20"/>
          <w:szCs w:val="20"/>
          <w:u w:val="single"/>
        </w:rPr>
      </w:pPr>
      <w:r w:rsidRPr="00842AEC">
        <w:rPr>
          <w:rFonts w:ascii="Barlow" w:hAnsi="Barlow" w:cs="Calibri"/>
          <w:b/>
          <w:bCs/>
          <w:color w:val="000000"/>
          <w:sz w:val="20"/>
          <w:szCs w:val="20"/>
          <w:u w:val="single"/>
        </w:rPr>
        <w:lastRenderedPageBreak/>
        <w:t>PASIVO</w:t>
      </w:r>
    </w:p>
    <w:p w:rsidR="00842AEC" w:rsidRPr="00842AEC" w:rsidRDefault="00842AEC" w:rsidP="00842AEC">
      <w:pPr>
        <w:spacing w:after="0" w:line="240" w:lineRule="auto"/>
        <w:jc w:val="both"/>
        <w:rPr>
          <w:rFonts w:ascii="Barlow" w:hAnsi="Barlow" w:cs="Calibri"/>
          <w:color w:val="000000"/>
          <w:sz w:val="20"/>
          <w:szCs w:val="20"/>
        </w:rPr>
      </w:pPr>
    </w:p>
    <w:p w:rsidR="00842AEC" w:rsidRPr="00842AEC" w:rsidRDefault="00842AEC" w:rsidP="00842AEC">
      <w:pPr>
        <w:spacing w:after="0" w:line="240" w:lineRule="auto"/>
        <w:jc w:val="both"/>
        <w:rPr>
          <w:rFonts w:ascii="Barlow" w:hAnsi="Barlow" w:cs="Calibri"/>
          <w:b/>
          <w:bCs/>
          <w:color w:val="000000"/>
          <w:sz w:val="20"/>
          <w:szCs w:val="20"/>
        </w:rPr>
      </w:pPr>
      <w:r w:rsidRPr="00842AEC">
        <w:rPr>
          <w:rFonts w:ascii="Barlow" w:hAnsi="Barlow" w:cs="Calibri"/>
          <w:b/>
          <w:bCs/>
          <w:color w:val="000000"/>
          <w:sz w:val="20"/>
          <w:szCs w:val="20"/>
        </w:rPr>
        <w:t>1.-CUENTAS POR PAGAR MENOR A 365 DIAS</w:t>
      </w:r>
    </w:p>
    <w:p w:rsidR="00842AEC" w:rsidRPr="00842AEC" w:rsidRDefault="00842AEC" w:rsidP="00842AEC">
      <w:pPr>
        <w:spacing w:after="0" w:line="240" w:lineRule="auto"/>
        <w:jc w:val="both"/>
        <w:rPr>
          <w:rFonts w:ascii="Barlow" w:hAnsi="Barlow" w:cs="Calibri"/>
          <w:color w:val="000000"/>
          <w:sz w:val="20"/>
          <w:szCs w:val="20"/>
        </w:rPr>
      </w:pPr>
    </w:p>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PROVEEDORES                                                                    $ 56,601.26</w:t>
      </w:r>
    </w:p>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 xml:space="preserve">  </w:t>
      </w:r>
    </w:p>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 xml:space="preserve">ESTOS PAGOS SE REALIZARÁN EN MENOS DE 90 DÍAS </w:t>
      </w:r>
    </w:p>
    <w:p w:rsidR="00842AEC" w:rsidRPr="00842AEC" w:rsidRDefault="00842AEC" w:rsidP="00842AEC">
      <w:pPr>
        <w:spacing w:after="0" w:line="240" w:lineRule="auto"/>
        <w:jc w:val="both"/>
        <w:rPr>
          <w:rFonts w:ascii="Barlow" w:hAnsi="Barlow" w:cs="Calibri"/>
          <w:color w:val="000000"/>
          <w:sz w:val="20"/>
          <w:szCs w:val="20"/>
        </w:rPr>
      </w:pPr>
    </w:p>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RETENCIONES Y CONTRIBUCIONES                                   $ 894,169.84</w:t>
      </w:r>
    </w:p>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ESTOS PAGOS SE REALIZARÁN EN MENOS DE 90 DÍAS</w:t>
      </w:r>
    </w:p>
    <w:p w:rsidR="00842AEC" w:rsidRPr="00842AEC" w:rsidRDefault="00842AEC" w:rsidP="00842AEC">
      <w:pPr>
        <w:spacing w:after="0" w:line="240" w:lineRule="auto"/>
        <w:jc w:val="both"/>
        <w:rPr>
          <w:rFonts w:ascii="Barlow" w:hAnsi="Barlow" w:cs="Calibri"/>
          <w:color w:val="000000"/>
          <w:sz w:val="20"/>
          <w:szCs w:val="20"/>
        </w:rPr>
      </w:pPr>
    </w:p>
    <w:p w:rsidR="00842AEC" w:rsidRPr="00842AEC" w:rsidRDefault="00842AEC" w:rsidP="00842AEC">
      <w:pPr>
        <w:spacing w:after="0" w:line="240" w:lineRule="auto"/>
        <w:jc w:val="both"/>
        <w:rPr>
          <w:rFonts w:ascii="Barlow" w:hAnsi="Barlow" w:cs="Calibri"/>
          <w:color w:val="000000"/>
          <w:sz w:val="20"/>
          <w:szCs w:val="20"/>
        </w:rPr>
      </w:pPr>
    </w:p>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OTRAS CUENTAS POR PAGAR                                                $ 200,431.16</w:t>
      </w:r>
    </w:p>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ESTOS PAGOS SE REALIZARÁN HASTA EN 90 DÍAS</w:t>
      </w:r>
    </w:p>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EN ESTE RUBRO SE REFLEJA UN  MONTO DE 199,650.09 PENDIENTE DE PAGAR DELA SEGUNDA QUINCENA DE AGOSTO AL ISSTEY.</w:t>
      </w:r>
    </w:p>
    <w:p w:rsidR="00842AEC" w:rsidRPr="00842AEC" w:rsidRDefault="00842AEC" w:rsidP="00842AEC">
      <w:pPr>
        <w:spacing w:after="0" w:line="240" w:lineRule="auto"/>
        <w:jc w:val="both"/>
        <w:rPr>
          <w:rFonts w:ascii="Barlow" w:hAnsi="Barlow" w:cs="Calibri"/>
          <w:color w:val="000000"/>
          <w:sz w:val="20"/>
          <w:szCs w:val="20"/>
        </w:rPr>
      </w:pPr>
    </w:p>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ESTA INSTITUCIÓN NO CUENTA CON CUENTAS POR PAGAR A LARGO PLAZO</w:t>
      </w:r>
    </w:p>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2.- NO APLICA</w:t>
      </w:r>
    </w:p>
    <w:p w:rsidR="00842AEC" w:rsidRPr="00842AEC" w:rsidRDefault="00842AEC" w:rsidP="00842AEC">
      <w:pPr>
        <w:spacing w:after="0" w:line="240" w:lineRule="auto"/>
        <w:jc w:val="both"/>
        <w:rPr>
          <w:rFonts w:ascii="Barlow" w:hAnsi="Barlow"/>
          <w:color w:val="000000"/>
          <w:sz w:val="20"/>
          <w:szCs w:val="20"/>
        </w:rPr>
      </w:pPr>
    </w:p>
    <w:p w:rsidR="00842AEC" w:rsidRPr="00842AEC" w:rsidRDefault="00842AEC" w:rsidP="00842AEC">
      <w:pPr>
        <w:spacing w:line="240" w:lineRule="auto"/>
        <w:rPr>
          <w:rFonts w:ascii="Barlow" w:hAnsi="Barlow" w:cs="Arial"/>
          <w:b/>
          <w:sz w:val="20"/>
          <w:szCs w:val="20"/>
        </w:rPr>
      </w:pPr>
      <w:r w:rsidRPr="00842AEC">
        <w:rPr>
          <w:rFonts w:ascii="Barlow" w:hAnsi="Barlow" w:cs="Arial"/>
          <w:sz w:val="20"/>
          <w:szCs w:val="20"/>
        </w:rPr>
        <w:t>3.-</w:t>
      </w:r>
      <w:r w:rsidRPr="00842AEC">
        <w:rPr>
          <w:rFonts w:ascii="Barlow" w:hAnsi="Barlow" w:cs="Arial"/>
          <w:b/>
          <w:sz w:val="20"/>
          <w:szCs w:val="20"/>
        </w:rPr>
        <w:t xml:space="preserve"> </w:t>
      </w:r>
      <w:r w:rsidRPr="00842AEC">
        <w:rPr>
          <w:rFonts w:ascii="Barlow" w:hAnsi="Barlow" w:cs="Calibri"/>
          <w:color w:val="000000"/>
          <w:sz w:val="20"/>
          <w:szCs w:val="20"/>
        </w:rPr>
        <w:t>NO APLICA</w:t>
      </w:r>
    </w:p>
    <w:p w:rsidR="00842AEC" w:rsidRPr="00842AEC" w:rsidRDefault="00842AEC" w:rsidP="00842AEC">
      <w:pPr>
        <w:spacing w:after="0" w:line="240" w:lineRule="auto"/>
        <w:jc w:val="both"/>
        <w:rPr>
          <w:rFonts w:ascii="Barlow" w:hAnsi="Barlow" w:cs="Calibri"/>
          <w:b/>
          <w:bCs/>
          <w:color w:val="000000"/>
          <w:sz w:val="20"/>
          <w:szCs w:val="20"/>
        </w:rPr>
      </w:pPr>
      <w:r w:rsidRPr="00842AEC">
        <w:rPr>
          <w:rFonts w:ascii="Barlow" w:hAnsi="Barlow" w:cs="Calibri"/>
          <w:b/>
          <w:bCs/>
          <w:color w:val="000000"/>
          <w:sz w:val="20"/>
          <w:szCs w:val="20"/>
        </w:rPr>
        <w:t>II) NOTAS AL ESTADO DE ACTIVIDAD</w:t>
      </w:r>
    </w:p>
    <w:p w:rsidR="00842AEC" w:rsidRPr="00842AEC" w:rsidRDefault="00842AEC" w:rsidP="00842AEC">
      <w:pPr>
        <w:spacing w:after="0" w:line="240" w:lineRule="auto"/>
        <w:jc w:val="both"/>
        <w:rPr>
          <w:rFonts w:ascii="Barlow" w:hAnsi="Barlow" w:cs="Calibri"/>
          <w:b/>
          <w:bCs/>
          <w:color w:val="000000"/>
          <w:sz w:val="20"/>
          <w:szCs w:val="20"/>
        </w:rPr>
      </w:pPr>
    </w:p>
    <w:p w:rsidR="00842AEC" w:rsidRPr="00842AEC" w:rsidRDefault="00842AEC" w:rsidP="00842AEC">
      <w:pPr>
        <w:spacing w:after="0" w:line="240" w:lineRule="auto"/>
        <w:jc w:val="both"/>
        <w:rPr>
          <w:rFonts w:ascii="Barlow" w:hAnsi="Barlow" w:cs="Calibri"/>
          <w:b/>
          <w:bCs/>
          <w:color w:val="000000"/>
          <w:sz w:val="20"/>
          <w:szCs w:val="20"/>
        </w:rPr>
      </w:pPr>
    </w:p>
    <w:p w:rsidR="00842AEC" w:rsidRPr="00842AEC" w:rsidRDefault="00842AEC" w:rsidP="00842AEC">
      <w:pPr>
        <w:spacing w:after="0" w:line="240" w:lineRule="auto"/>
        <w:jc w:val="both"/>
        <w:rPr>
          <w:rFonts w:ascii="Barlow" w:hAnsi="Barlow" w:cs="Calibri"/>
          <w:b/>
          <w:bCs/>
          <w:color w:val="000000"/>
          <w:sz w:val="20"/>
          <w:szCs w:val="20"/>
        </w:rPr>
      </w:pPr>
      <w:r w:rsidRPr="00842AEC">
        <w:rPr>
          <w:rFonts w:ascii="Barlow" w:hAnsi="Barlow" w:cs="Calibri"/>
          <w:b/>
          <w:bCs/>
          <w:color w:val="000000"/>
          <w:sz w:val="20"/>
          <w:szCs w:val="20"/>
        </w:rPr>
        <w:t>INGRESOS DE GESTION</w:t>
      </w:r>
    </w:p>
    <w:p w:rsidR="00842AEC" w:rsidRPr="00842AEC" w:rsidRDefault="00842AEC" w:rsidP="00842AEC">
      <w:pPr>
        <w:spacing w:after="0" w:line="240" w:lineRule="auto"/>
        <w:jc w:val="both"/>
        <w:rPr>
          <w:rFonts w:ascii="Barlow" w:hAnsi="Barlow" w:cs="Calibri"/>
          <w:b/>
          <w:bCs/>
          <w:color w:val="000000"/>
          <w:sz w:val="20"/>
          <w:szCs w:val="20"/>
        </w:rPr>
      </w:pPr>
      <w:r w:rsidRPr="00842AEC">
        <w:rPr>
          <w:rFonts w:ascii="Barlow" w:hAnsi="Barlow" w:cs="Calibri"/>
          <w:color w:val="000000"/>
          <w:sz w:val="20"/>
          <w:szCs w:val="20"/>
        </w:rPr>
        <w:t>1.- INGRESOS POR TRANSFERENCIAS, ASIGNACIONES Y SUBSIDIOS</w:t>
      </w:r>
    </w:p>
    <w:p w:rsidR="00842AEC" w:rsidRPr="00842AEC" w:rsidRDefault="00842AEC" w:rsidP="00842AEC">
      <w:pPr>
        <w:spacing w:after="0" w:line="240" w:lineRule="auto"/>
        <w:jc w:val="both"/>
        <w:rPr>
          <w:rFonts w:ascii="Barlow" w:hAnsi="Barlow" w:cs="Calibri"/>
          <w:color w:val="000000"/>
          <w:sz w:val="20"/>
          <w:szCs w:val="20"/>
        </w:rPr>
      </w:pPr>
    </w:p>
    <w:p w:rsidR="00842AEC" w:rsidRPr="00842AEC" w:rsidRDefault="00842AEC" w:rsidP="00842AEC">
      <w:pPr>
        <w:spacing w:after="0" w:line="240" w:lineRule="auto"/>
        <w:jc w:val="both"/>
        <w:rPr>
          <w:rFonts w:ascii="Barlow" w:hAnsi="Barlow" w:cs="Calibri"/>
          <w:sz w:val="20"/>
          <w:szCs w:val="20"/>
        </w:rPr>
      </w:pPr>
      <w:r w:rsidRPr="00842AEC">
        <w:rPr>
          <w:rFonts w:ascii="Barlow" w:hAnsi="Barlow" w:cs="Calibri"/>
          <w:color w:val="000000"/>
          <w:sz w:val="20"/>
          <w:szCs w:val="20"/>
        </w:rPr>
        <w:t xml:space="preserve">MONTO TOTAL AL  31 de MARZO 2019                       </w:t>
      </w:r>
      <w:r w:rsidRPr="00842AEC">
        <w:rPr>
          <w:rFonts w:ascii="Barlow" w:hAnsi="Barlow" w:cs="Calibri"/>
          <w:sz w:val="20"/>
          <w:szCs w:val="20"/>
        </w:rPr>
        <w:t>$  8</w:t>
      </w:r>
      <w:proofErr w:type="gramStart"/>
      <w:r w:rsidRPr="00842AEC">
        <w:rPr>
          <w:rFonts w:ascii="Barlow" w:hAnsi="Barlow" w:cs="Calibri"/>
          <w:sz w:val="20"/>
          <w:szCs w:val="20"/>
        </w:rPr>
        <w:t>,505,487.00</w:t>
      </w:r>
      <w:proofErr w:type="gramEnd"/>
    </w:p>
    <w:p w:rsidR="00842AEC" w:rsidRPr="00842AEC" w:rsidRDefault="00842AEC" w:rsidP="00842AEC">
      <w:pPr>
        <w:spacing w:after="0" w:line="240" w:lineRule="auto"/>
        <w:jc w:val="both"/>
        <w:rPr>
          <w:rFonts w:ascii="Barlow" w:hAnsi="Barlow" w:cs="Calibri"/>
          <w:b/>
          <w:color w:val="FF0000"/>
          <w:sz w:val="20"/>
          <w:szCs w:val="20"/>
        </w:rPr>
      </w:pPr>
    </w:p>
    <w:p w:rsidR="00842AEC" w:rsidRPr="00842AEC" w:rsidRDefault="00842AEC" w:rsidP="00842AEC">
      <w:pPr>
        <w:spacing w:after="0" w:line="240" w:lineRule="auto"/>
        <w:jc w:val="both"/>
        <w:rPr>
          <w:rFonts w:ascii="Barlow" w:hAnsi="Barlow" w:cs="Calibri"/>
          <w:color w:val="000000"/>
          <w:sz w:val="20"/>
          <w:szCs w:val="20"/>
        </w:rPr>
      </w:pPr>
    </w:p>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UNICOS INGRESOS CON LOS QUE CUENTA LA ENTIDAD.</w:t>
      </w:r>
    </w:p>
    <w:p w:rsidR="00842AEC" w:rsidRPr="00842AEC" w:rsidRDefault="00842AEC" w:rsidP="00842AEC">
      <w:pPr>
        <w:spacing w:after="0" w:line="240" w:lineRule="auto"/>
        <w:jc w:val="both"/>
        <w:rPr>
          <w:rFonts w:ascii="Barlow" w:hAnsi="Barlow" w:cs="Calibri"/>
          <w:color w:val="000000"/>
          <w:sz w:val="20"/>
          <w:szCs w:val="20"/>
        </w:rPr>
      </w:pPr>
    </w:p>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lastRenderedPageBreak/>
        <w:t>2.- NO APLICA</w:t>
      </w:r>
    </w:p>
    <w:p w:rsidR="00842AEC" w:rsidRPr="00842AEC" w:rsidRDefault="00842AEC" w:rsidP="00842AEC">
      <w:pPr>
        <w:spacing w:after="0" w:line="240" w:lineRule="auto"/>
        <w:jc w:val="both"/>
        <w:rPr>
          <w:rFonts w:ascii="Barlow" w:hAnsi="Barlow" w:cs="Calibri"/>
          <w:b/>
          <w:color w:val="000000"/>
          <w:sz w:val="20"/>
          <w:szCs w:val="20"/>
        </w:rPr>
      </w:pPr>
    </w:p>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3.- LA CUENTA DE OTROS INGRESOS SE CONFORMA COMO SIGUE:</w:t>
      </w:r>
    </w:p>
    <w:p w:rsidR="00842AEC" w:rsidRPr="00842AEC" w:rsidRDefault="00842AEC" w:rsidP="00842AEC">
      <w:pPr>
        <w:spacing w:after="0" w:line="240" w:lineRule="auto"/>
        <w:jc w:val="both"/>
        <w:rPr>
          <w:rFonts w:ascii="Barlow" w:hAnsi="Barlow" w:cs="Calibri"/>
          <w:sz w:val="20"/>
          <w:szCs w:val="20"/>
        </w:rPr>
      </w:pPr>
    </w:p>
    <w:p w:rsidR="00842AEC" w:rsidRPr="00842AEC" w:rsidRDefault="00842AEC" w:rsidP="00842AEC">
      <w:pPr>
        <w:spacing w:after="0" w:line="240" w:lineRule="auto"/>
        <w:jc w:val="both"/>
        <w:rPr>
          <w:rFonts w:ascii="Barlow" w:hAnsi="Barlow" w:cs="Calibri"/>
          <w:sz w:val="20"/>
          <w:szCs w:val="20"/>
        </w:rPr>
      </w:pPr>
      <w:r w:rsidRPr="00842AEC">
        <w:rPr>
          <w:rFonts w:ascii="Barlow" w:hAnsi="Barlow" w:cs="Calibri"/>
          <w:sz w:val="20"/>
          <w:szCs w:val="20"/>
        </w:rPr>
        <w:t>INGRESOS FINANCIEROS     $ 40.97</w:t>
      </w:r>
    </w:p>
    <w:p w:rsidR="00842AEC" w:rsidRPr="00842AEC" w:rsidRDefault="00842AEC" w:rsidP="00842AEC">
      <w:pPr>
        <w:spacing w:after="0" w:line="240" w:lineRule="auto"/>
        <w:jc w:val="both"/>
        <w:rPr>
          <w:rFonts w:ascii="Barlow" w:hAnsi="Barlow" w:cs="Calibri"/>
          <w:sz w:val="20"/>
          <w:szCs w:val="20"/>
        </w:rPr>
      </w:pPr>
    </w:p>
    <w:p w:rsidR="00842AEC" w:rsidRPr="00842AEC" w:rsidRDefault="00842AEC" w:rsidP="00842AEC">
      <w:pPr>
        <w:spacing w:after="0" w:line="240" w:lineRule="auto"/>
        <w:jc w:val="both"/>
        <w:rPr>
          <w:rFonts w:ascii="Barlow" w:hAnsi="Barlow" w:cs="Calibri"/>
          <w:sz w:val="20"/>
          <w:szCs w:val="20"/>
        </w:rPr>
      </w:pPr>
    </w:p>
    <w:p w:rsidR="00842AEC" w:rsidRPr="00842AEC" w:rsidRDefault="00842AEC" w:rsidP="00842AEC">
      <w:pPr>
        <w:spacing w:after="0" w:line="240" w:lineRule="auto"/>
        <w:jc w:val="both"/>
        <w:rPr>
          <w:rFonts w:ascii="Barlow" w:hAnsi="Barlow" w:cs="Calibri"/>
          <w:bCs/>
          <w:sz w:val="20"/>
          <w:szCs w:val="20"/>
        </w:rPr>
      </w:pPr>
      <w:r w:rsidRPr="00842AEC">
        <w:rPr>
          <w:rFonts w:ascii="Barlow" w:hAnsi="Barlow" w:cs="Calibri"/>
          <w:bCs/>
          <w:sz w:val="20"/>
          <w:szCs w:val="20"/>
        </w:rPr>
        <w:t>GASTOS Y OTRAS PÉRDIDAS</w:t>
      </w:r>
    </w:p>
    <w:p w:rsidR="00842AEC" w:rsidRPr="00842AEC" w:rsidRDefault="00842AEC" w:rsidP="00842AEC">
      <w:pPr>
        <w:spacing w:after="0" w:line="240" w:lineRule="auto"/>
        <w:jc w:val="both"/>
        <w:rPr>
          <w:rFonts w:ascii="Barlow" w:hAnsi="Barlow" w:cs="Calibri"/>
          <w:sz w:val="20"/>
          <w:szCs w:val="20"/>
        </w:rPr>
      </w:pPr>
    </w:p>
    <w:p w:rsidR="00842AEC" w:rsidRPr="00842AEC" w:rsidRDefault="00842AEC" w:rsidP="00842AEC">
      <w:pPr>
        <w:spacing w:after="0" w:line="240" w:lineRule="auto"/>
        <w:jc w:val="both"/>
        <w:rPr>
          <w:rFonts w:ascii="Barlow" w:hAnsi="Barlow" w:cs="Calibri"/>
          <w:sz w:val="20"/>
          <w:szCs w:val="20"/>
        </w:rPr>
      </w:pPr>
      <w:r w:rsidRPr="00842AEC">
        <w:rPr>
          <w:rFonts w:ascii="Barlow" w:hAnsi="Barlow" w:cs="Calibri"/>
          <w:sz w:val="20"/>
          <w:szCs w:val="20"/>
        </w:rPr>
        <w:t>1.-  LOS CONCEPTOS DE SERVICOS PERSONALES  SUELDOS DEL AÑO REPRESENTAN EL 59.80%  DEL GASTO PRESUPUESTAL AL 31 DE MARZO DE 2019</w:t>
      </w:r>
    </w:p>
    <w:p w:rsidR="00842AEC" w:rsidRPr="00842AEC" w:rsidRDefault="00842AEC" w:rsidP="00842AEC">
      <w:pPr>
        <w:spacing w:after="0" w:line="240" w:lineRule="auto"/>
        <w:jc w:val="both"/>
        <w:rPr>
          <w:rFonts w:ascii="Barlow" w:hAnsi="Barlow" w:cs="Calibri"/>
          <w:sz w:val="20"/>
          <w:szCs w:val="20"/>
        </w:rPr>
      </w:pPr>
      <w:r w:rsidRPr="00842AEC">
        <w:rPr>
          <w:rFonts w:ascii="Barlow" w:hAnsi="Barlow" w:cs="Calibri"/>
          <w:sz w:val="20"/>
          <w:szCs w:val="20"/>
        </w:rPr>
        <w:t>SERVICIOS PERSONALES          $ 7</w:t>
      </w:r>
      <w:proofErr w:type="gramStart"/>
      <w:r w:rsidRPr="00842AEC">
        <w:rPr>
          <w:rFonts w:ascii="Barlow" w:hAnsi="Barlow" w:cs="Calibri"/>
          <w:sz w:val="20"/>
          <w:szCs w:val="20"/>
        </w:rPr>
        <w:t>,380,213.00</w:t>
      </w:r>
      <w:proofErr w:type="gramEnd"/>
    </w:p>
    <w:p w:rsidR="00842AEC" w:rsidRPr="00842AEC" w:rsidRDefault="00842AEC" w:rsidP="00842AEC">
      <w:pPr>
        <w:spacing w:after="0" w:line="240" w:lineRule="auto"/>
        <w:jc w:val="both"/>
        <w:rPr>
          <w:rFonts w:ascii="Barlow" w:hAnsi="Barlow" w:cs="Calibri"/>
          <w:color w:val="000000"/>
          <w:sz w:val="20"/>
          <w:szCs w:val="20"/>
        </w:rPr>
      </w:pPr>
    </w:p>
    <w:p w:rsidR="00842AEC" w:rsidRPr="00842AEC" w:rsidRDefault="00842AEC" w:rsidP="00842AEC">
      <w:pPr>
        <w:spacing w:after="0" w:line="240" w:lineRule="auto"/>
        <w:jc w:val="both"/>
        <w:rPr>
          <w:rFonts w:ascii="Barlow" w:hAnsi="Barlow" w:cs="Calibri"/>
          <w:b/>
          <w:bCs/>
          <w:color w:val="000000"/>
          <w:sz w:val="20"/>
          <w:szCs w:val="20"/>
        </w:rPr>
      </w:pPr>
      <w:r w:rsidRPr="00842AEC">
        <w:rPr>
          <w:rFonts w:ascii="Barlow" w:hAnsi="Barlow" w:cs="Calibri"/>
          <w:b/>
          <w:bCs/>
          <w:color w:val="000000"/>
          <w:sz w:val="20"/>
          <w:szCs w:val="20"/>
        </w:rPr>
        <w:t>III) NOTAS AL ESTADO DE VARIACION EN LA HACIENDA PÚBLICA</w:t>
      </w:r>
    </w:p>
    <w:p w:rsidR="00842AEC" w:rsidRPr="00842AEC" w:rsidRDefault="00842AEC" w:rsidP="00842AEC">
      <w:pPr>
        <w:spacing w:after="0" w:line="240" w:lineRule="auto"/>
        <w:jc w:val="both"/>
        <w:rPr>
          <w:rFonts w:ascii="Barlow" w:hAnsi="Barlow" w:cs="Calibri"/>
          <w:color w:val="000000"/>
          <w:sz w:val="20"/>
          <w:szCs w:val="20"/>
        </w:rPr>
      </w:pPr>
    </w:p>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1.- SALDO AL 31 MARZO 2019 PATRIMONIO CONTRIBUIDO         $ .43</w:t>
      </w:r>
    </w:p>
    <w:p w:rsidR="00842AEC" w:rsidRPr="00842AEC" w:rsidRDefault="00842AEC" w:rsidP="00842AEC">
      <w:pPr>
        <w:spacing w:after="0" w:line="240" w:lineRule="auto"/>
        <w:jc w:val="both"/>
        <w:rPr>
          <w:rFonts w:ascii="Barlow" w:hAnsi="Barlow" w:cs="Calibri"/>
          <w:color w:val="000000"/>
          <w:sz w:val="20"/>
          <w:szCs w:val="20"/>
        </w:rPr>
      </w:pPr>
    </w:p>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PATRIMONIO CONTRIBUIDO ES EQUIPO DE TRASPORTE DONADO EL CUAL YA SE ENCUENTRA  DEPRECIADO CASI EN SU TOTALIDAD Y SE REFLEJA COMO PARTE DEL MOBILIARIO (EQ. TRANSPORTE)</w:t>
      </w:r>
    </w:p>
    <w:p w:rsidR="00842AEC" w:rsidRPr="00842AEC" w:rsidRDefault="00842AEC" w:rsidP="00842AEC">
      <w:pPr>
        <w:spacing w:after="0" w:line="240" w:lineRule="auto"/>
        <w:jc w:val="both"/>
        <w:rPr>
          <w:rFonts w:ascii="Barlow" w:hAnsi="Barlow" w:cs="Calibri"/>
          <w:color w:val="000000"/>
          <w:sz w:val="20"/>
          <w:szCs w:val="20"/>
        </w:rPr>
      </w:pPr>
    </w:p>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2.- RECURSOS QUE MODIFICAN AL PATRIMONIO GENERADO A MARZO 2019</w:t>
      </w:r>
    </w:p>
    <w:p w:rsidR="00842AEC" w:rsidRPr="00842AEC" w:rsidRDefault="00842AEC" w:rsidP="00842AEC">
      <w:pPr>
        <w:spacing w:after="0" w:line="240" w:lineRule="auto"/>
        <w:jc w:val="both"/>
        <w:rPr>
          <w:rFonts w:ascii="Barlow" w:hAnsi="Barlow" w:cs="Calibri"/>
          <w:bCs/>
          <w:color w:val="000000"/>
          <w:sz w:val="20"/>
          <w:szCs w:val="20"/>
        </w:rPr>
      </w:pPr>
      <w:r w:rsidRPr="00842AEC">
        <w:rPr>
          <w:rFonts w:ascii="Barlow" w:hAnsi="Barlow" w:cs="Calibri"/>
          <w:bCs/>
          <w:color w:val="000000"/>
          <w:sz w:val="20"/>
          <w:szCs w:val="20"/>
        </w:rPr>
        <w:t xml:space="preserve">PATRIMONIO GENERADO:  </w:t>
      </w:r>
    </w:p>
    <w:p w:rsidR="00842AEC" w:rsidRPr="00842AEC" w:rsidRDefault="00842AEC" w:rsidP="00842AEC">
      <w:pPr>
        <w:spacing w:after="0" w:line="240" w:lineRule="auto"/>
        <w:jc w:val="both"/>
        <w:rPr>
          <w:rFonts w:ascii="Barlow" w:hAnsi="Barlow" w:cs="Calibri"/>
          <w:color w:val="000000"/>
          <w:sz w:val="20"/>
          <w:szCs w:val="20"/>
        </w:rPr>
      </w:pPr>
    </w:p>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RESULTADO DEL EJERCICIO (AHORRO)                                         $ -534642.69</w:t>
      </w:r>
    </w:p>
    <w:p w:rsidR="00842AEC" w:rsidRPr="00842AEC" w:rsidRDefault="00842AEC" w:rsidP="00842AEC">
      <w:pPr>
        <w:spacing w:after="0" w:line="240" w:lineRule="auto"/>
        <w:jc w:val="both"/>
        <w:rPr>
          <w:rFonts w:ascii="Barlow" w:hAnsi="Barlow" w:cs="Calibri"/>
          <w:sz w:val="20"/>
          <w:szCs w:val="20"/>
        </w:rPr>
      </w:pPr>
    </w:p>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RESULTADO DE EJERCICIOS ANTERIORES                                     $ 682,551.22</w:t>
      </w:r>
    </w:p>
    <w:p w:rsidR="00842AEC" w:rsidRPr="00842AEC" w:rsidRDefault="00842AEC" w:rsidP="00842AEC">
      <w:pPr>
        <w:spacing w:after="0" w:line="240" w:lineRule="auto"/>
        <w:jc w:val="both"/>
        <w:rPr>
          <w:rFonts w:ascii="Barlow" w:hAnsi="Barlow" w:cs="Calibri"/>
          <w:color w:val="000000"/>
          <w:sz w:val="20"/>
          <w:szCs w:val="20"/>
        </w:rPr>
      </w:pPr>
    </w:p>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RECTIFICACION DE RESULTADO DE EJERCICIOS ANTERIORES        $ 400036.22</w:t>
      </w:r>
    </w:p>
    <w:p w:rsidR="00842AEC" w:rsidRDefault="00842AEC" w:rsidP="00842AEC">
      <w:pPr>
        <w:spacing w:after="0" w:line="240" w:lineRule="auto"/>
        <w:jc w:val="both"/>
        <w:rPr>
          <w:rFonts w:ascii="Barlow" w:hAnsi="Barlow" w:cs="Calibri"/>
          <w:color w:val="000000"/>
          <w:sz w:val="20"/>
          <w:szCs w:val="20"/>
        </w:rPr>
      </w:pPr>
    </w:p>
    <w:p w:rsidR="00842AEC" w:rsidRDefault="00842AEC" w:rsidP="00842AEC">
      <w:pPr>
        <w:spacing w:after="0" w:line="240" w:lineRule="auto"/>
        <w:jc w:val="both"/>
        <w:rPr>
          <w:rFonts w:ascii="Barlow" w:hAnsi="Barlow" w:cs="Calibri"/>
          <w:color w:val="000000"/>
          <w:sz w:val="20"/>
          <w:szCs w:val="20"/>
        </w:rPr>
      </w:pPr>
    </w:p>
    <w:p w:rsidR="00842AEC" w:rsidRDefault="00842AEC" w:rsidP="00842AEC">
      <w:pPr>
        <w:spacing w:after="0" w:line="240" w:lineRule="auto"/>
        <w:jc w:val="both"/>
        <w:rPr>
          <w:rFonts w:ascii="Barlow" w:hAnsi="Barlow" w:cs="Calibri"/>
          <w:color w:val="000000"/>
          <w:sz w:val="20"/>
          <w:szCs w:val="20"/>
        </w:rPr>
      </w:pPr>
    </w:p>
    <w:p w:rsidR="00842AEC" w:rsidRDefault="00842AEC" w:rsidP="00842AEC">
      <w:pPr>
        <w:spacing w:after="0" w:line="240" w:lineRule="auto"/>
        <w:jc w:val="both"/>
        <w:rPr>
          <w:rFonts w:ascii="Barlow" w:hAnsi="Barlow" w:cs="Calibri"/>
          <w:color w:val="000000"/>
          <w:sz w:val="20"/>
          <w:szCs w:val="20"/>
        </w:rPr>
      </w:pPr>
    </w:p>
    <w:p w:rsidR="00842AEC" w:rsidRPr="00842AEC" w:rsidRDefault="00842AEC" w:rsidP="00842AEC">
      <w:pPr>
        <w:spacing w:after="0" w:line="240" w:lineRule="auto"/>
        <w:jc w:val="both"/>
        <w:rPr>
          <w:rFonts w:ascii="Barlow" w:hAnsi="Barlow" w:cs="Calibri"/>
          <w:color w:val="000000"/>
          <w:sz w:val="20"/>
          <w:szCs w:val="20"/>
        </w:rPr>
      </w:pPr>
    </w:p>
    <w:p w:rsidR="00842AEC" w:rsidRPr="00842AEC" w:rsidRDefault="00842AEC" w:rsidP="00842AEC">
      <w:pPr>
        <w:spacing w:after="0" w:line="240" w:lineRule="auto"/>
        <w:jc w:val="both"/>
        <w:rPr>
          <w:rFonts w:ascii="Barlow" w:hAnsi="Barlow" w:cs="Calibri"/>
          <w:b/>
          <w:bCs/>
          <w:color w:val="000000"/>
          <w:sz w:val="20"/>
          <w:szCs w:val="20"/>
        </w:rPr>
      </w:pPr>
      <w:r w:rsidRPr="00842AEC">
        <w:rPr>
          <w:rFonts w:ascii="Barlow" w:hAnsi="Barlow" w:cs="Calibri"/>
          <w:b/>
          <w:bCs/>
          <w:color w:val="000000"/>
          <w:sz w:val="20"/>
          <w:szCs w:val="20"/>
        </w:rPr>
        <w:lastRenderedPageBreak/>
        <w:t>IV) NOTAS AL ESTADO DE FLUJOS DE EFECTIVO</w:t>
      </w:r>
    </w:p>
    <w:p w:rsidR="00842AEC" w:rsidRPr="00842AEC" w:rsidRDefault="00842AEC" w:rsidP="00842AEC">
      <w:pPr>
        <w:spacing w:after="0" w:line="240" w:lineRule="auto"/>
        <w:jc w:val="both"/>
        <w:rPr>
          <w:rFonts w:ascii="Barlow" w:hAnsi="Barlow" w:cs="Calibri"/>
          <w:color w:val="000000"/>
          <w:sz w:val="20"/>
          <w:szCs w:val="20"/>
        </w:rPr>
      </w:pPr>
    </w:p>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EFECTIVO Y EQUIVALENTES</w:t>
      </w:r>
    </w:p>
    <w:p w:rsidR="00842AEC" w:rsidRPr="00842AEC" w:rsidRDefault="00842AEC" w:rsidP="00842AEC">
      <w:pPr>
        <w:spacing w:after="0" w:line="240" w:lineRule="auto"/>
        <w:jc w:val="both"/>
        <w:rPr>
          <w:rFonts w:ascii="Barlow" w:hAnsi="Barlow" w:cs="Calibri"/>
          <w:color w:val="000000"/>
          <w:sz w:val="20"/>
          <w:szCs w:val="20"/>
        </w:rPr>
      </w:pPr>
    </w:p>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1.- EL ANÁLISIS DE LOS SALDOS INICIAL Y FINAL QUE FIGURAN EN LA ÚLTIMA PARTE DEL ESTADO DE FLUJO DE EFECTIVO EN LA CUENTA DE EFECTIVO Y EQUIVALENTES QUEDAN COMO  A CONTINUACIÓN SE RELACIONAN:</w:t>
      </w:r>
    </w:p>
    <w:p w:rsidR="00842AEC" w:rsidRPr="00842AEC" w:rsidRDefault="00842AEC" w:rsidP="00842AEC">
      <w:pPr>
        <w:spacing w:after="0" w:line="240" w:lineRule="auto"/>
        <w:jc w:val="both"/>
        <w:rPr>
          <w:rFonts w:ascii="Barlow" w:hAnsi="Barlow" w:cs="Calibri"/>
          <w:color w:val="000000"/>
          <w:sz w:val="20"/>
          <w:szCs w:val="20"/>
        </w:rPr>
      </w:pPr>
    </w:p>
    <w:tbl>
      <w:tblPr>
        <w:tblW w:w="13096" w:type="dxa"/>
        <w:jc w:val="center"/>
        <w:tblCellMar>
          <w:left w:w="70" w:type="dxa"/>
          <w:right w:w="70" w:type="dxa"/>
        </w:tblCellMar>
        <w:tblLook w:val="04A0" w:firstRow="1" w:lastRow="0" w:firstColumn="1" w:lastColumn="0" w:noHBand="0" w:noVBand="1"/>
      </w:tblPr>
      <w:tblGrid>
        <w:gridCol w:w="4672"/>
        <w:gridCol w:w="3224"/>
        <w:gridCol w:w="2917"/>
        <w:gridCol w:w="2283"/>
      </w:tblGrid>
      <w:tr w:rsidR="00842AEC" w:rsidRPr="00842AEC" w:rsidTr="00842AEC">
        <w:trPr>
          <w:trHeight w:val="300"/>
          <w:jc w:val="center"/>
        </w:trPr>
        <w:tc>
          <w:tcPr>
            <w:tcW w:w="3588" w:type="dxa"/>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 </w:t>
            </w:r>
          </w:p>
        </w:tc>
        <w:tc>
          <w:tcPr>
            <w:tcW w:w="2476" w:type="dxa"/>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 </w:t>
            </w:r>
          </w:p>
        </w:tc>
        <w:tc>
          <w:tcPr>
            <w:tcW w:w="2240" w:type="dxa"/>
            <w:shd w:val="clear" w:color="auto" w:fill="auto"/>
            <w:noWrap/>
            <w:vAlign w:val="bottom"/>
            <w:hideMark/>
          </w:tcPr>
          <w:p w:rsidR="00842AEC" w:rsidRPr="00842AEC" w:rsidRDefault="00842AEC" w:rsidP="00842AEC">
            <w:pPr>
              <w:spacing w:after="0" w:line="240" w:lineRule="auto"/>
              <w:jc w:val="both"/>
              <w:rPr>
                <w:rFonts w:ascii="Barlow" w:hAnsi="Barlow" w:cs="Calibri"/>
                <w:b/>
                <w:bCs/>
                <w:color w:val="000000"/>
                <w:sz w:val="20"/>
                <w:szCs w:val="20"/>
              </w:rPr>
            </w:pPr>
            <w:r w:rsidRPr="00842AEC">
              <w:rPr>
                <w:rFonts w:ascii="Barlow" w:hAnsi="Barlow" w:cs="Calibri"/>
                <w:b/>
                <w:bCs/>
                <w:color w:val="000000"/>
                <w:sz w:val="20"/>
                <w:szCs w:val="20"/>
              </w:rPr>
              <w:t>2019</w:t>
            </w:r>
          </w:p>
        </w:tc>
        <w:tc>
          <w:tcPr>
            <w:tcW w:w="1753" w:type="dxa"/>
            <w:shd w:val="clear" w:color="auto" w:fill="auto"/>
            <w:noWrap/>
            <w:vAlign w:val="bottom"/>
            <w:hideMark/>
          </w:tcPr>
          <w:p w:rsidR="00842AEC" w:rsidRPr="00842AEC" w:rsidRDefault="00842AEC" w:rsidP="00842AEC">
            <w:pPr>
              <w:spacing w:after="0" w:line="240" w:lineRule="auto"/>
              <w:jc w:val="both"/>
              <w:rPr>
                <w:rFonts w:ascii="Barlow" w:hAnsi="Barlow" w:cs="Calibri"/>
                <w:b/>
                <w:bCs/>
                <w:color w:val="000000"/>
                <w:sz w:val="20"/>
                <w:szCs w:val="20"/>
              </w:rPr>
            </w:pPr>
            <w:r w:rsidRPr="00842AEC">
              <w:rPr>
                <w:rFonts w:ascii="Barlow" w:hAnsi="Barlow" w:cs="Calibri"/>
                <w:b/>
                <w:bCs/>
                <w:color w:val="000000"/>
                <w:sz w:val="20"/>
                <w:szCs w:val="20"/>
              </w:rPr>
              <w:t>2018</w:t>
            </w:r>
          </w:p>
        </w:tc>
      </w:tr>
      <w:tr w:rsidR="00842AEC" w:rsidRPr="00842AEC" w:rsidTr="00842AEC">
        <w:trPr>
          <w:trHeight w:val="300"/>
          <w:jc w:val="center"/>
        </w:trPr>
        <w:tc>
          <w:tcPr>
            <w:tcW w:w="3588" w:type="dxa"/>
            <w:tcBorders>
              <w:top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EFECTIVO EN BANCOS- TESORERIA</w:t>
            </w:r>
          </w:p>
        </w:tc>
        <w:tc>
          <w:tcPr>
            <w:tcW w:w="2476" w:type="dxa"/>
            <w:tcBorders>
              <w:top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 </w:t>
            </w:r>
          </w:p>
        </w:tc>
        <w:tc>
          <w:tcPr>
            <w:tcW w:w="2240" w:type="dxa"/>
            <w:tcBorders>
              <w:top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$ 805,499.31</w:t>
            </w:r>
          </w:p>
        </w:tc>
        <w:tc>
          <w:tcPr>
            <w:tcW w:w="1753" w:type="dxa"/>
            <w:tcBorders>
              <w:top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$ 1,302,189.59</w:t>
            </w:r>
          </w:p>
        </w:tc>
      </w:tr>
      <w:tr w:rsidR="00842AEC" w:rsidRPr="00842AEC" w:rsidTr="00842AEC">
        <w:trPr>
          <w:trHeight w:val="300"/>
          <w:jc w:val="center"/>
        </w:trPr>
        <w:tc>
          <w:tcPr>
            <w:tcW w:w="3588" w:type="dxa"/>
            <w:tcBorders>
              <w:top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EFECTIVO EN BANCOS -DEPENDENCIAS</w:t>
            </w:r>
          </w:p>
        </w:tc>
        <w:tc>
          <w:tcPr>
            <w:tcW w:w="2476" w:type="dxa"/>
            <w:tcBorders>
              <w:top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 </w:t>
            </w:r>
          </w:p>
        </w:tc>
        <w:tc>
          <w:tcPr>
            <w:tcW w:w="2240" w:type="dxa"/>
            <w:tcBorders>
              <w:top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0</w:t>
            </w:r>
          </w:p>
        </w:tc>
        <w:tc>
          <w:tcPr>
            <w:tcW w:w="1753" w:type="dxa"/>
            <w:tcBorders>
              <w:top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0</w:t>
            </w:r>
          </w:p>
        </w:tc>
      </w:tr>
      <w:tr w:rsidR="00842AEC" w:rsidRPr="00842AEC" w:rsidTr="00842AEC">
        <w:trPr>
          <w:trHeight w:val="300"/>
          <w:jc w:val="center"/>
        </w:trPr>
        <w:tc>
          <w:tcPr>
            <w:tcW w:w="3588" w:type="dxa"/>
            <w:tcBorders>
              <w:top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INVERSIONES TEMPORALES( Hasta 3 meses)</w:t>
            </w:r>
          </w:p>
        </w:tc>
        <w:tc>
          <w:tcPr>
            <w:tcW w:w="2476" w:type="dxa"/>
            <w:tcBorders>
              <w:top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 </w:t>
            </w:r>
          </w:p>
        </w:tc>
        <w:tc>
          <w:tcPr>
            <w:tcW w:w="2240" w:type="dxa"/>
            <w:tcBorders>
              <w:top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0</w:t>
            </w:r>
          </w:p>
        </w:tc>
        <w:tc>
          <w:tcPr>
            <w:tcW w:w="1753" w:type="dxa"/>
            <w:tcBorders>
              <w:top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0</w:t>
            </w:r>
          </w:p>
        </w:tc>
      </w:tr>
      <w:tr w:rsidR="00842AEC" w:rsidRPr="00842AEC" w:rsidTr="00842AEC">
        <w:trPr>
          <w:trHeight w:val="300"/>
          <w:jc w:val="center"/>
        </w:trPr>
        <w:tc>
          <w:tcPr>
            <w:tcW w:w="3588" w:type="dxa"/>
            <w:tcBorders>
              <w:top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FONDOS CON AFECTACION ESPECIFICA</w:t>
            </w:r>
          </w:p>
        </w:tc>
        <w:tc>
          <w:tcPr>
            <w:tcW w:w="2476" w:type="dxa"/>
            <w:tcBorders>
              <w:top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 </w:t>
            </w:r>
          </w:p>
        </w:tc>
        <w:tc>
          <w:tcPr>
            <w:tcW w:w="2240" w:type="dxa"/>
            <w:tcBorders>
              <w:top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0</w:t>
            </w:r>
          </w:p>
        </w:tc>
        <w:tc>
          <w:tcPr>
            <w:tcW w:w="1753" w:type="dxa"/>
            <w:tcBorders>
              <w:top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0</w:t>
            </w:r>
          </w:p>
        </w:tc>
      </w:tr>
      <w:tr w:rsidR="00842AEC" w:rsidRPr="00842AEC" w:rsidTr="00842AEC">
        <w:trPr>
          <w:trHeight w:val="300"/>
          <w:jc w:val="center"/>
        </w:trPr>
        <w:tc>
          <w:tcPr>
            <w:tcW w:w="3588" w:type="dxa"/>
            <w:tcBorders>
              <w:top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DEPOSITOS DE FONDOS DE TERCEROS</w:t>
            </w:r>
          </w:p>
        </w:tc>
        <w:tc>
          <w:tcPr>
            <w:tcW w:w="2476" w:type="dxa"/>
            <w:tcBorders>
              <w:top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 </w:t>
            </w:r>
          </w:p>
        </w:tc>
        <w:tc>
          <w:tcPr>
            <w:tcW w:w="2240" w:type="dxa"/>
            <w:tcBorders>
              <w:top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0</w:t>
            </w:r>
          </w:p>
        </w:tc>
        <w:tc>
          <w:tcPr>
            <w:tcW w:w="1753" w:type="dxa"/>
            <w:tcBorders>
              <w:top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0</w:t>
            </w:r>
          </w:p>
        </w:tc>
      </w:tr>
      <w:tr w:rsidR="00842AEC" w:rsidRPr="00842AEC" w:rsidTr="00842AEC">
        <w:trPr>
          <w:trHeight w:val="300"/>
          <w:jc w:val="center"/>
        </w:trPr>
        <w:tc>
          <w:tcPr>
            <w:tcW w:w="3588" w:type="dxa"/>
            <w:tcBorders>
              <w:top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b/>
                <w:color w:val="000000"/>
                <w:sz w:val="20"/>
                <w:szCs w:val="20"/>
              </w:rPr>
            </w:pPr>
            <w:r w:rsidRPr="00842AEC">
              <w:rPr>
                <w:rFonts w:ascii="Barlow" w:hAnsi="Barlow" w:cs="Calibri"/>
                <w:b/>
                <w:color w:val="000000"/>
                <w:sz w:val="20"/>
                <w:szCs w:val="20"/>
              </w:rPr>
              <w:t>TOTAL DE EFECTIVO Y EQUIVALENTES</w:t>
            </w:r>
          </w:p>
        </w:tc>
        <w:tc>
          <w:tcPr>
            <w:tcW w:w="2476" w:type="dxa"/>
            <w:tcBorders>
              <w:top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b/>
                <w:color w:val="000000"/>
                <w:sz w:val="20"/>
                <w:szCs w:val="20"/>
              </w:rPr>
            </w:pPr>
          </w:p>
        </w:tc>
        <w:tc>
          <w:tcPr>
            <w:tcW w:w="2240" w:type="dxa"/>
            <w:tcBorders>
              <w:top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b/>
                <w:color w:val="000000"/>
                <w:sz w:val="20"/>
                <w:szCs w:val="20"/>
              </w:rPr>
            </w:pPr>
            <w:r w:rsidRPr="00842AEC">
              <w:rPr>
                <w:rFonts w:ascii="Barlow" w:hAnsi="Barlow" w:cs="Calibri"/>
                <w:b/>
                <w:color w:val="000000"/>
                <w:sz w:val="20"/>
                <w:szCs w:val="20"/>
              </w:rPr>
              <w:t>$ 805,499.31</w:t>
            </w:r>
          </w:p>
        </w:tc>
        <w:tc>
          <w:tcPr>
            <w:tcW w:w="1753" w:type="dxa"/>
            <w:tcBorders>
              <w:top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b/>
                <w:color w:val="000000"/>
                <w:sz w:val="20"/>
                <w:szCs w:val="20"/>
              </w:rPr>
            </w:pPr>
            <w:r w:rsidRPr="00842AEC">
              <w:rPr>
                <w:rFonts w:ascii="Barlow" w:hAnsi="Barlow" w:cs="Calibri"/>
                <w:b/>
                <w:color w:val="000000"/>
                <w:sz w:val="20"/>
                <w:szCs w:val="20"/>
              </w:rPr>
              <w:t>$ 1,302,189.59</w:t>
            </w:r>
          </w:p>
        </w:tc>
      </w:tr>
    </w:tbl>
    <w:p w:rsidR="00842AEC" w:rsidRPr="00842AEC" w:rsidRDefault="00842AEC" w:rsidP="00842AEC">
      <w:pPr>
        <w:spacing w:after="0" w:line="240" w:lineRule="auto"/>
        <w:jc w:val="both"/>
        <w:rPr>
          <w:rFonts w:ascii="Barlow" w:hAnsi="Barlow" w:cs="Calibri"/>
          <w:b/>
          <w:color w:val="000000"/>
          <w:sz w:val="20"/>
          <w:szCs w:val="20"/>
        </w:rPr>
      </w:pPr>
    </w:p>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2.-EL IMPORTE DE LOS BIENES MUEBLES SE RELACIONAN EN LA NOTA 8 DEL ESTADO DE SITUACIÓN FINANCIERA NINGUNA ADQUISICIÓN FUE REALIZADA MEDIANTE SUBSIDIOS DE CAPITAL DEL SECTOR CENTRAL.</w:t>
      </w:r>
    </w:p>
    <w:p w:rsidR="00842AEC" w:rsidRPr="00842AEC" w:rsidRDefault="00842AEC" w:rsidP="00842AEC">
      <w:pPr>
        <w:spacing w:after="0" w:line="240" w:lineRule="auto"/>
        <w:jc w:val="both"/>
        <w:rPr>
          <w:rFonts w:ascii="Barlow" w:hAnsi="Barlow" w:cs="Calibri"/>
          <w:color w:val="000000"/>
          <w:sz w:val="20"/>
          <w:szCs w:val="20"/>
        </w:rPr>
      </w:pPr>
    </w:p>
    <w:p w:rsidR="00842AEC" w:rsidRPr="00842AEC" w:rsidRDefault="00842AEC" w:rsidP="00842AEC">
      <w:pPr>
        <w:spacing w:after="0" w:line="240" w:lineRule="auto"/>
        <w:jc w:val="both"/>
        <w:rPr>
          <w:rFonts w:ascii="Barlow" w:hAnsi="Barlow" w:cs="Calibri"/>
          <w:color w:val="000000"/>
          <w:sz w:val="20"/>
          <w:szCs w:val="20"/>
        </w:rPr>
      </w:pPr>
    </w:p>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3.-CONCILIACION DE LOS FLUJOS DE EFECTIVO NETOS DE LAS ACTIVIDADES DE OPERACIÓN Y LA CUENTA DE AHORRO DESAHORRO ANTES DE RUBROS EXTRAORDINARIOS.</w:t>
      </w:r>
    </w:p>
    <w:p w:rsidR="00842AEC" w:rsidRPr="00842AEC" w:rsidRDefault="00842AEC" w:rsidP="00842AEC">
      <w:pPr>
        <w:spacing w:after="0" w:line="240" w:lineRule="auto"/>
        <w:jc w:val="both"/>
        <w:rPr>
          <w:rFonts w:ascii="Barlow" w:hAnsi="Barlow" w:cs="Calibri"/>
          <w:color w:val="000000"/>
          <w:sz w:val="20"/>
          <w:szCs w:val="20"/>
        </w:rPr>
      </w:pPr>
    </w:p>
    <w:tbl>
      <w:tblPr>
        <w:tblW w:w="13096" w:type="dxa"/>
        <w:jc w:val="center"/>
        <w:tblCellMar>
          <w:left w:w="70" w:type="dxa"/>
          <w:right w:w="70" w:type="dxa"/>
        </w:tblCellMar>
        <w:tblLook w:val="04A0" w:firstRow="1" w:lastRow="0" w:firstColumn="1" w:lastColumn="0" w:noHBand="0" w:noVBand="1"/>
      </w:tblPr>
      <w:tblGrid>
        <w:gridCol w:w="4041"/>
        <w:gridCol w:w="2788"/>
        <w:gridCol w:w="2523"/>
        <w:gridCol w:w="1974"/>
        <w:gridCol w:w="1770"/>
      </w:tblGrid>
      <w:tr w:rsidR="00842AEC" w:rsidRPr="00842AEC" w:rsidTr="00842AEC">
        <w:trPr>
          <w:trHeight w:val="300"/>
          <w:jc w:val="center"/>
        </w:trPr>
        <w:tc>
          <w:tcPr>
            <w:tcW w:w="6064" w:type="dxa"/>
            <w:gridSpan w:val="2"/>
            <w:shd w:val="clear" w:color="auto" w:fill="auto"/>
            <w:noWrap/>
            <w:vAlign w:val="bottom"/>
            <w:hideMark/>
          </w:tcPr>
          <w:p w:rsidR="00842AEC" w:rsidRPr="00842AEC" w:rsidRDefault="00842AEC" w:rsidP="00842AEC">
            <w:pPr>
              <w:spacing w:after="0" w:line="240" w:lineRule="auto"/>
              <w:jc w:val="both"/>
              <w:rPr>
                <w:rFonts w:ascii="Barlow" w:hAnsi="Barlow" w:cs="Calibri"/>
                <w:b/>
                <w:bCs/>
                <w:color w:val="000000"/>
                <w:sz w:val="20"/>
                <w:szCs w:val="20"/>
              </w:rPr>
            </w:pPr>
          </w:p>
          <w:p w:rsidR="00F2067F" w:rsidRDefault="00F2067F" w:rsidP="00842AEC">
            <w:pPr>
              <w:spacing w:after="0" w:line="240" w:lineRule="auto"/>
              <w:jc w:val="both"/>
              <w:rPr>
                <w:rFonts w:ascii="Barlow" w:hAnsi="Barlow" w:cs="Calibri"/>
                <w:b/>
                <w:bCs/>
                <w:color w:val="000000"/>
                <w:sz w:val="20"/>
                <w:szCs w:val="20"/>
              </w:rPr>
            </w:pPr>
          </w:p>
          <w:p w:rsidR="00842AEC" w:rsidRPr="00842AEC" w:rsidRDefault="00842AEC" w:rsidP="00842AEC">
            <w:pPr>
              <w:spacing w:after="0" w:line="240" w:lineRule="auto"/>
              <w:jc w:val="both"/>
              <w:rPr>
                <w:rFonts w:ascii="Barlow" w:hAnsi="Barlow" w:cs="Calibri"/>
                <w:b/>
                <w:bCs/>
                <w:color w:val="000000"/>
                <w:sz w:val="20"/>
                <w:szCs w:val="20"/>
              </w:rPr>
            </w:pPr>
            <w:r w:rsidRPr="00842AEC">
              <w:rPr>
                <w:rFonts w:ascii="Barlow" w:hAnsi="Barlow" w:cs="Calibri"/>
                <w:b/>
                <w:bCs/>
                <w:color w:val="000000"/>
                <w:sz w:val="20"/>
                <w:szCs w:val="20"/>
              </w:rPr>
              <w:t>AHORRO DESAHORRO ANTES DE RUBROS EXTRAORDINARIOS</w:t>
            </w:r>
          </w:p>
        </w:tc>
        <w:tc>
          <w:tcPr>
            <w:tcW w:w="2240" w:type="dxa"/>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 xml:space="preserve">     </w:t>
            </w:r>
          </w:p>
          <w:p w:rsidR="00842AEC" w:rsidRPr="00842AEC" w:rsidRDefault="00842AEC" w:rsidP="00842AEC">
            <w:pPr>
              <w:spacing w:after="0" w:line="240" w:lineRule="auto"/>
              <w:jc w:val="both"/>
              <w:rPr>
                <w:rFonts w:ascii="Barlow" w:hAnsi="Barlow" w:cs="Calibri"/>
                <w:color w:val="000000"/>
                <w:sz w:val="20"/>
                <w:szCs w:val="20"/>
              </w:rPr>
            </w:pPr>
          </w:p>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 xml:space="preserve">   </w:t>
            </w:r>
            <w:r w:rsidRPr="00842AEC">
              <w:rPr>
                <w:rFonts w:ascii="Barlow" w:hAnsi="Barlow" w:cs="Calibri"/>
                <w:b/>
                <w:bCs/>
                <w:color w:val="000000"/>
                <w:sz w:val="20"/>
                <w:szCs w:val="20"/>
              </w:rPr>
              <w:t>2019</w:t>
            </w:r>
          </w:p>
        </w:tc>
        <w:tc>
          <w:tcPr>
            <w:tcW w:w="1753" w:type="dxa"/>
            <w:shd w:val="clear" w:color="auto" w:fill="auto"/>
            <w:noWrap/>
            <w:vAlign w:val="bottom"/>
            <w:hideMark/>
          </w:tcPr>
          <w:p w:rsidR="00842AEC" w:rsidRPr="00842AEC" w:rsidRDefault="00842AEC" w:rsidP="00842AEC">
            <w:pPr>
              <w:spacing w:after="0" w:line="240" w:lineRule="auto"/>
              <w:jc w:val="both"/>
              <w:rPr>
                <w:rFonts w:ascii="Barlow" w:hAnsi="Barlow" w:cs="Calibri"/>
                <w:b/>
                <w:bCs/>
                <w:color w:val="000000"/>
                <w:sz w:val="20"/>
                <w:szCs w:val="20"/>
              </w:rPr>
            </w:pPr>
          </w:p>
          <w:p w:rsidR="00842AEC" w:rsidRPr="00842AEC" w:rsidRDefault="00842AEC" w:rsidP="00842AEC">
            <w:pPr>
              <w:spacing w:after="0" w:line="240" w:lineRule="auto"/>
              <w:jc w:val="both"/>
              <w:rPr>
                <w:rFonts w:ascii="Barlow" w:hAnsi="Barlow" w:cs="Calibri"/>
                <w:b/>
                <w:bCs/>
                <w:color w:val="000000"/>
                <w:sz w:val="20"/>
                <w:szCs w:val="20"/>
              </w:rPr>
            </w:pPr>
            <w:r w:rsidRPr="00842AEC">
              <w:rPr>
                <w:rFonts w:ascii="Barlow" w:hAnsi="Barlow" w:cs="Calibri"/>
                <w:b/>
                <w:bCs/>
                <w:color w:val="000000"/>
                <w:sz w:val="20"/>
                <w:szCs w:val="20"/>
              </w:rPr>
              <w:t>2018</w:t>
            </w:r>
          </w:p>
        </w:tc>
        <w:tc>
          <w:tcPr>
            <w:tcW w:w="1572" w:type="dxa"/>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r>
      <w:tr w:rsidR="00842AEC" w:rsidRPr="00842AEC" w:rsidTr="00842AEC">
        <w:trPr>
          <w:trHeight w:val="300"/>
          <w:jc w:val="center"/>
        </w:trPr>
        <w:tc>
          <w:tcPr>
            <w:tcW w:w="3588" w:type="dxa"/>
            <w:tcBorders>
              <w:top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c>
          <w:tcPr>
            <w:tcW w:w="2476" w:type="dxa"/>
            <w:tcBorders>
              <w:top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 </w:t>
            </w:r>
          </w:p>
        </w:tc>
        <w:tc>
          <w:tcPr>
            <w:tcW w:w="2240" w:type="dxa"/>
            <w:tcBorders>
              <w:top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 </w:t>
            </w:r>
          </w:p>
        </w:tc>
        <w:tc>
          <w:tcPr>
            <w:tcW w:w="1753" w:type="dxa"/>
            <w:tcBorders>
              <w:top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 </w:t>
            </w:r>
          </w:p>
        </w:tc>
        <w:tc>
          <w:tcPr>
            <w:tcW w:w="1572" w:type="dxa"/>
            <w:tcBorders>
              <w:top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r>
      <w:tr w:rsidR="00842AEC" w:rsidRPr="00842AEC" w:rsidTr="00842AEC">
        <w:trPr>
          <w:trHeight w:val="300"/>
          <w:jc w:val="center"/>
        </w:trPr>
        <w:tc>
          <w:tcPr>
            <w:tcW w:w="6064" w:type="dxa"/>
            <w:gridSpan w:val="2"/>
            <w:tcBorders>
              <w:top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MOVIMIENTOS DE PARTIDA Q NO AFECTAN EFECTIVO</w:t>
            </w:r>
          </w:p>
        </w:tc>
        <w:tc>
          <w:tcPr>
            <w:tcW w:w="2240" w:type="dxa"/>
            <w:tcBorders>
              <w:top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 </w:t>
            </w:r>
          </w:p>
        </w:tc>
        <w:tc>
          <w:tcPr>
            <w:tcW w:w="1753" w:type="dxa"/>
            <w:tcBorders>
              <w:top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 </w:t>
            </w:r>
          </w:p>
        </w:tc>
        <w:tc>
          <w:tcPr>
            <w:tcW w:w="1572" w:type="dxa"/>
            <w:tcBorders>
              <w:top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r>
      <w:tr w:rsidR="00842AEC" w:rsidRPr="00842AEC" w:rsidTr="00842AEC">
        <w:trPr>
          <w:trHeight w:val="300"/>
          <w:jc w:val="center"/>
        </w:trPr>
        <w:tc>
          <w:tcPr>
            <w:tcW w:w="3588" w:type="dxa"/>
            <w:tcBorders>
              <w:top w:val="nil"/>
              <w:bottom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DEPRECIACION</w:t>
            </w:r>
          </w:p>
        </w:tc>
        <w:tc>
          <w:tcPr>
            <w:tcW w:w="2476" w:type="dxa"/>
            <w:tcBorders>
              <w:top w:val="nil"/>
              <w:bottom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 </w:t>
            </w:r>
          </w:p>
        </w:tc>
        <w:tc>
          <w:tcPr>
            <w:tcW w:w="2240" w:type="dxa"/>
            <w:tcBorders>
              <w:top w:val="nil"/>
              <w:bottom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-3`686,390.89</w:t>
            </w:r>
          </w:p>
        </w:tc>
        <w:tc>
          <w:tcPr>
            <w:tcW w:w="1753" w:type="dxa"/>
            <w:tcBorders>
              <w:top w:val="nil"/>
              <w:bottom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-3`686,390.89</w:t>
            </w:r>
          </w:p>
        </w:tc>
        <w:tc>
          <w:tcPr>
            <w:tcW w:w="1572" w:type="dxa"/>
            <w:tcBorders>
              <w:top w:val="nil"/>
              <w:bottom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r>
      <w:tr w:rsidR="00842AEC" w:rsidRPr="00842AEC" w:rsidTr="00842AEC">
        <w:trPr>
          <w:trHeight w:val="300"/>
          <w:jc w:val="center"/>
        </w:trPr>
        <w:tc>
          <w:tcPr>
            <w:tcW w:w="3588" w:type="dxa"/>
            <w:tcBorders>
              <w:top w:val="nil"/>
              <w:bottom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lastRenderedPageBreak/>
              <w:t>AMORTIZACION</w:t>
            </w:r>
          </w:p>
        </w:tc>
        <w:tc>
          <w:tcPr>
            <w:tcW w:w="2476" w:type="dxa"/>
            <w:tcBorders>
              <w:top w:val="nil"/>
              <w:bottom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 </w:t>
            </w:r>
          </w:p>
        </w:tc>
        <w:tc>
          <w:tcPr>
            <w:tcW w:w="2240" w:type="dxa"/>
            <w:tcBorders>
              <w:top w:val="nil"/>
              <w:bottom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-255,710.25</w:t>
            </w:r>
          </w:p>
        </w:tc>
        <w:tc>
          <w:tcPr>
            <w:tcW w:w="1753" w:type="dxa"/>
            <w:tcBorders>
              <w:top w:val="nil"/>
              <w:bottom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-257,710.25</w:t>
            </w:r>
          </w:p>
        </w:tc>
        <w:tc>
          <w:tcPr>
            <w:tcW w:w="1572" w:type="dxa"/>
            <w:tcBorders>
              <w:top w:val="nil"/>
              <w:bottom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r>
      <w:tr w:rsidR="00842AEC" w:rsidRPr="00842AEC" w:rsidTr="00842AEC">
        <w:trPr>
          <w:trHeight w:val="300"/>
          <w:jc w:val="center"/>
        </w:trPr>
        <w:tc>
          <w:tcPr>
            <w:tcW w:w="3588" w:type="dxa"/>
            <w:tcBorders>
              <w:top w:val="nil"/>
              <w:bottom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INCREMENTOS EN LAS PROVISIONES</w:t>
            </w:r>
          </w:p>
        </w:tc>
        <w:tc>
          <w:tcPr>
            <w:tcW w:w="2476" w:type="dxa"/>
            <w:tcBorders>
              <w:top w:val="nil"/>
              <w:bottom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c>
          <w:tcPr>
            <w:tcW w:w="2240" w:type="dxa"/>
            <w:tcBorders>
              <w:top w:val="nil"/>
              <w:bottom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0</w:t>
            </w:r>
          </w:p>
        </w:tc>
        <w:tc>
          <w:tcPr>
            <w:tcW w:w="1753" w:type="dxa"/>
            <w:tcBorders>
              <w:top w:val="nil"/>
              <w:bottom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0</w:t>
            </w:r>
          </w:p>
        </w:tc>
        <w:tc>
          <w:tcPr>
            <w:tcW w:w="1572" w:type="dxa"/>
            <w:tcBorders>
              <w:top w:val="nil"/>
              <w:bottom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r>
      <w:tr w:rsidR="00842AEC" w:rsidRPr="00842AEC" w:rsidTr="00842AEC">
        <w:trPr>
          <w:trHeight w:val="300"/>
          <w:jc w:val="center"/>
        </w:trPr>
        <w:tc>
          <w:tcPr>
            <w:tcW w:w="6064" w:type="dxa"/>
            <w:gridSpan w:val="2"/>
            <w:tcBorders>
              <w:top w:val="nil"/>
              <w:bottom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INCREMENTO EN INVERSIONES PRODUCIDO POR REVALUACIÓN</w:t>
            </w:r>
          </w:p>
        </w:tc>
        <w:tc>
          <w:tcPr>
            <w:tcW w:w="2240" w:type="dxa"/>
            <w:tcBorders>
              <w:top w:val="nil"/>
              <w:bottom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0</w:t>
            </w:r>
          </w:p>
        </w:tc>
        <w:tc>
          <w:tcPr>
            <w:tcW w:w="1753" w:type="dxa"/>
            <w:tcBorders>
              <w:top w:val="nil"/>
              <w:bottom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0</w:t>
            </w:r>
          </w:p>
        </w:tc>
        <w:tc>
          <w:tcPr>
            <w:tcW w:w="1572" w:type="dxa"/>
            <w:tcBorders>
              <w:top w:val="nil"/>
              <w:bottom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r>
      <w:tr w:rsidR="00842AEC" w:rsidRPr="00842AEC" w:rsidTr="00842AEC">
        <w:trPr>
          <w:trHeight w:val="300"/>
          <w:jc w:val="center"/>
        </w:trPr>
        <w:tc>
          <w:tcPr>
            <w:tcW w:w="6064" w:type="dxa"/>
            <w:gridSpan w:val="2"/>
            <w:tcBorders>
              <w:top w:val="nil"/>
              <w:bottom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GANACIA/PERDIDA EN VENTA DE PROPIEDAD PLANTA Y EQ.</w:t>
            </w:r>
          </w:p>
        </w:tc>
        <w:tc>
          <w:tcPr>
            <w:tcW w:w="2240" w:type="dxa"/>
            <w:tcBorders>
              <w:top w:val="nil"/>
              <w:bottom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 xml:space="preserve">0  </w:t>
            </w:r>
          </w:p>
        </w:tc>
        <w:tc>
          <w:tcPr>
            <w:tcW w:w="1753" w:type="dxa"/>
            <w:tcBorders>
              <w:top w:val="nil"/>
              <w:bottom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0</w:t>
            </w:r>
          </w:p>
        </w:tc>
        <w:tc>
          <w:tcPr>
            <w:tcW w:w="1572" w:type="dxa"/>
            <w:tcBorders>
              <w:top w:val="nil"/>
              <w:bottom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r>
      <w:tr w:rsidR="00842AEC" w:rsidRPr="00842AEC" w:rsidTr="00842AEC">
        <w:trPr>
          <w:trHeight w:val="300"/>
          <w:jc w:val="center"/>
        </w:trPr>
        <w:tc>
          <w:tcPr>
            <w:tcW w:w="3588" w:type="dxa"/>
            <w:tcBorders>
              <w:top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INCREMENTO EN CUENTAS POR COB</w:t>
            </w:r>
          </w:p>
        </w:tc>
        <w:tc>
          <w:tcPr>
            <w:tcW w:w="2476" w:type="dxa"/>
            <w:tcBorders>
              <w:top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 </w:t>
            </w:r>
          </w:p>
        </w:tc>
        <w:tc>
          <w:tcPr>
            <w:tcW w:w="2240" w:type="dxa"/>
            <w:tcBorders>
              <w:top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0</w:t>
            </w:r>
          </w:p>
        </w:tc>
        <w:tc>
          <w:tcPr>
            <w:tcW w:w="1753" w:type="dxa"/>
            <w:tcBorders>
              <w:top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0</w:t>
            </w:r>
          </w:p>
        </w:tc>
        <w:tc>
          <w:tcPr>
            <w:tcW w:w="1572" w:type="dxa"/>
            <w:tcBorders>
              <w:top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r>
      <w:tr w:rsidR="00842AEC" w:rsidRPr="00842AEC" w:rsidTr="00842AEC">
        <w:trPr>
          <w:trHeight w:val="300"/>
          <w:jc w:val="center"/>
        </w:trPr>
        <w:tc>
          <w:tcPr>
            <w:tcW w:w="3588" w:type="dxa"/>
            <w:tcBorders>
              <w:top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PARTIDAS EXTRAORDINARIAS</w:t>
            </w:r>
          </w:p>
        </w:tc>
        <w:tc>
          <w:tcPr>
            <w:tcW w:w="2476" w:type="dxa"/>
            <w:tcBorders>
              <w:top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c>
          <w:tcPr>
            <w:tcW w:w="2240" w:type="dxa"/>
            <w:tcBorders>
              <w:top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0</w:t>
            </w:r>
          </w:p>
        </w:tc>
        <w:tc>
          <w:tcPr>
            <w:tcW w:w="1753" w:type="dxa"/>
            <w:tcBorders>
              <w:top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0</w:t>
            </w:r>
          </w:p>
        </w:tc>
        <w:tc>
          <w:tcPr>
            <w:tcW w:w="1572" w:type="dxa"/>
            <w:tcBorders>
              <w:top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p>
        </w:tc>
      </w:tr>
    </w:tbl>
    <w:p w:rsidR="00842AEC" w:rsidRPr="00842AEC" w:rsidRDefault="00842AEC" w:rsidP="00842AEC">
      <w:pPr>
        <w:spacing w:line="240" w:lineRule="auto"/>
        <w:rPr>
          <w:rFonts w:ascii="Barlow" w:hAnsi="Barlow" w:cs="Arial"/>
          <w:b/>
          <w:sz w:val="20"/>
          <w:szCs w:val="20"/>
        </w:rPr>
      </w:pPr>
    </w:p>
    <w:p w:rsidR="00842AEC" w:rsidRPr="00842AEC" w:rsidRDefault="00842AEC" w:rsidP="00842AEC">
      <w:pPr>
        <w:spacing w:line="240" w:lineRule="auto"/>
        <w:rPr>
          <w:rFonts w:ascii="Barlow" w:hAnsi="Barlow" w:cs="Arial"/>
          <w:b/>
          <w:sz w:val="20"/>
          <w:szCs w:val="20"/>
        </w:rPr>
      </w:pPr>
      <w:r w:rsidRPr="00842AEC">
        <w:rPr>
          <w:rFonts w:ascii="Barlow" w:hAnsi="Barlow" w:cs="Arial"/>
          <w:b/>
          <w:sz w:val="20"/>
          <w:szCs w:val="20"/>
        </w:rPr>
        <w:t>V) CONCILIACION ENTRE LOS INGRESOS PRESUPUESTARIOS Y CONTABLES, ASÍ COMO ENTRE LOS EGRESOS PRESUPUESTARIOS  Y LOS GASTOS CONTABLES</w:t>
      </w:r>
    </w:p>
    <w:tbl>
      <w:tblPr>
        <w:tblW w:w="0" w:type="auto"/>
        <w:jc w:val="center"/>
        <w:tblCellMar>
          <w:left w:w="0" w:type="dxa"/>
          <w:right w:w="0" w:type="dxa"/>
        </w:tblCellMar>
        <w:tblLook w:val="04A0" w:firstRow="1" w:lastRow="0" w:firstColumn="1" w:lastColumn="0" w:noHBand="0" w:noVBand="1"/>
      </w:tblPr>
      <w:tblGrid>
        <w:gridCol w:w="20"/>
        <w:gridCol w:w="247"/>
        <w:gridCol w:w="274"/>
        <w:gridCol w:w="1229"/>
        <w:gridCol w:w="809"/>
        <w:gridCol w:w="400"/>
        <w:gridCol w:w="2795"/>
        <w:gridCol w:w="902"/>
        <w:gridCol w:w="181"/>
        <w:gridCol w:w="67"/>
        <w:gridCol w:w="32"/>
        <w:gridCol w:w="352"/>
        <w:gridCol w:w="270"/>
        <w:gridCol w:w="15"/>
        <w:gridCol w:w="201"/>
        <w:gridCol w:w="54"/>
        <w:gridCol w:w="92"/>
        <w:gridCol w:w="352"/>
        <w:gridCol w:w="157"/>
        <w:gridCol w:w="30"/>
        <w:gridCol w:w="158"/>
        <w:gridCol w:w="12"/>
        <w:gridCol w:w="609"/>
      </w:tblGrid>
      <w:tr w:rsidR="00842AEC" w:rsidRPr="00842AEC" w:rsidTr="00F2067F">
        <w:trPr>
          <w:gridAfter w:val="11"/>
          <w:wAfter w:w="1950" w:type="dxa"/>
          <w:trHeight w:hRule="exact" w:val="224"/>
          <w:jc w:val="center"/>
        </w:trPr>
        <w:tc>
          <w:tcPr>
            <w:tcW w:w="7308" w:type="dxa"/>
            <w:gridSpan w:val="12"/>
            <w:shd w:val="clear" w:color="000000" w:fill="FFFFFF"/>
            <w:tcMar>
              <w:top w:w="0" w:type="dxa"/>
              <w:left w:w="38" w:type="dxa"/>
              <w:bottom w:w="0" w:type="dxa"/>
              <w:right w:w="38" w:type="dxa"/>
            </w:tcMar>
          </w:tcPr>
          <w:p w:rsidR="00842AEC" w:rsidRPr="00842AEC" w:rsidRDefault="00842AEC" w:rsidP="00842AEC">
            <w:pPr>
              <w:spacing w:after="0" w:line="240" w:lineRule="auto"/>
              <w:jc w:val="center"/>
              <w:rPr>
                <w:rFonts w:ascii="Barlow" w:hAnsi="Barlow"/>
                <w:sz w:val="20"/>
                <w:szCs w:val="20"/>
              </w:rPr>
            </w:pPr>
            <w:r w:rsidRPr="00842AEC">
              <w:rPr>
                <w:rFonts w:ascii="Barlow" w:hAnsi="Barlow" w:cs="Arial"/>
                <w:b/>
                <w:color w:val="000000"/>
                <w:sz w:val="20"/>
                <w:szCs w:val="20"/>
              </w:rPr>
              <w:t>COMISION DE DERECHOS HUMANOS DEL ESTADO DE YUCATÁN</w:t>
            </w:r>
          </w:p>
        </w:tc>
      </w:tr>
      <w:tr w:rsidR="00842AEC" w:rsidRPr="00842AEC" w:rsidTr="00F2067F">
        <w:trPr>
          <w:gridAfter w:val="11"/>
          <w:wAfter w:w="1950" w:type="dxa"/>
          <w:trHeight w:hRule="exact" w:val="212"/>
          <w:jc w:val="center"/>
        </w:trPr>
        <w:tc>
          <w:tcPr>
            <w:tcW w:w="6857" w:type="dxa"/>
            <w:gridSpan w:val="9"/>
            <w:shd w:val="clear" w:color="000000" w:fill="FFFFFF"/>
            <w:tcMar>
              <w:top w:w="0" w:type="dxa"/>
              <w:left w:w="38" w:type="dxa"/>
              <w:bottom w:w="0" w:type="dxa"/>
              <w:right w:w="38" w:type="dxa"/>
            </w:tcMar>
          </w:tcPr>
          <w:p w:rsidR="00842AEC" w:rsidRPr="00842AEC" w:rsidRDefault="00842AEC" w:rsidP="00842AEC">
            <w:pPr>
              <w:spacing w:after="0" w:line="240" w:lineRule="auto"/>
              <w:jc w:val="center"/>
              <w:rPr>
                <w:rFonts w:ascii="Barlow" w:hAnsi="Barlow"/>
                <w:sz w:val="20"/>
                <w:szCs w:val="20"/>
              </w:rPr>
            </w:pPr>
            <w:r w:rsidRPr="00842AEC">
              <w:rPr>
                <w:rFonts w:ascii="Barlow" w:hAnsi="Barlow" w:cs="Arial"/>
                <w:b/>
                <w:color w:val="000000"/>
                <w:sz w:val="20"/>
                <w:szCs w:val="20"/>
              </w:rPr>
              <w:t>YUCATÁN</w:t>
            </w:r>
          </w:p>
        </w:tc>
        <w:tc>
          <w:tcPr>
            <w:tcW w:w="99" w:type="dxa"/>
            <w:gridSpan w:val="2"/>
          </w:tcPr>
          <w:p w:rsidR="00842AEC" w:rsidRPr="00842AEC" w:rsidRDefault="00842AEC" w:rsidP="00842AEC">
            <w:pPr>
              <w:rPr>
                <w:rFonts w:ascii="Barlow" w:hAnsi="Barlow"/>
                <w:sz w:val="20"/>
                <w:szCs w:val="20"/>
              </w:rPr>
            </w:pPr>
          </w:p>
        </w:tc>
        <w:tc>
          <w:tcPr>
            <w:tcW w:w="352" w:type="dxa"/>
          </w:tcPr>
          <w:p w:rsidR="00842AEC" w:rsidRPr="00842AEC" w:rsidRDefault="00842AEC" w:rsidP="00842AEC">
            <w:pPr>
              <w:rPr>
                <w:rFonts w:ascii="Barlow" w:hAnsi="Barlow"/>
                <w:sz w:val="20"/>
                <w:szCs w:val="20"/>
              </w:rPr>
            </w:pPr>
          </w:p>
        </w:tc>
      </w:tr>
      <w:tr w:rsidR="00842AEC" w:rsidRPr="00842AEC" w:rsidTr="00F2067F">
        <w:trPr>
          <w:gridAfter w:val="2"/>
          <w:wAfter w:w="621" w:type="dxa"/>
          <w:trHeight w:hRule="exact" w:val="588"/>
          <w:jc w:val="center"/>
        </w:trPr>
        <w:tc>
          <w:tcPr>
            <w:tcW w:w="6676" w:type="dxa"/>
            <w:gridSpan w:val="8"/>
            <w:shd w:val="clear" w:color="000000" w:fill="FFFFFF"/>
            <w:tcMar>
              <w:top w:w="0" w:type="dxa"/>
              <w:left w:w="38" w:type="dxa"/>
              <w:bottom w:w="0" w:type="dxa"/>
              <w:right w:w="38" w:type="dxa"/>
            </w:tcMar>
          </w:tcPr>
          <w:p w:rsidR="00842AEC" w:rsidRPr="00842AEC" w:rsidRDefault="00842AEC" w:rsidP="00842AEC">
            <w:pPr>
              <w:spacing w:after="0" w:line="240" w:lineRule="auto"/>
              <w:jc w:val="center"/>
              <w:rPr>
                <w:rFonts w:ascii="Barlow" w:hAnsi="Barlow"/>
                <w:sz w:val="20"/>
                <w:szCs w:val="20"/>
              </w:rPr>
            </w:pPr>
            <w:r w:rsidRPr="00842AEC">
              <w:rPr>
                <w:rFonts w:ascii="Barlow" w:hAnsi="Barlow" w:cs="Arial"/>
                <w:b/>
                <w:color w:val="000000"/>
                <w:sz w:val="20"/>
                <w:szCs w:val="20"/>
              </w:rPr>
              <w:t xml:space="preserve">Conciliación entre los Ingresos Presupuestarios y Contables al 31 de marzo 2019 </w:t>
            </w:r>
          </w:p>
        </w:tc>
        <w:tc>
          <w:tcPr>
            <w:tcW w:w="1172" w:type="dxa"/>
            <w:gridSpan w:val="8"/>
            <w:shd w:val="clear" w:color="000000" w:fill="FFFFFF"/>
            <w:tcMar>
              <w:top w:w="0" w:type="dxa"/>
              <w:left w:w="38" w:type="dxa"/>
              <w:bottom w:w="0" w:type="dxa"/>
              <w:right w:w="38" w:type="dxa"/>
            </w:tcMar>
            <w:vAlign w:val="center"/>
          </w:tcPr>
          <w:p w:rsidR="00842AEC" w:rsidRPr="00842AEC" w:rsidRDefault="00842AEC" w:rsidP="00842AEC">
            <w:pPr>
              <w:spacing w:after="0" w:line="240" w:lineRule="auto"/>
              <w:rPr>
                <w:rFonts w:ascii="Barlow" w:hAnsi="Barlow"/>
                <w:sz w:val="20"/>
                <w:szCs w:val="20"/>
              </w:rPr>
            </w:pPr>
          </w:p>
        </w:tc>
        <w:tc>
          <w:tcPr>
            <w:tcW w:w="789" w:type="dxa"/>
            <w:gridSpan w:val="5"/>
            <w:shd w:val="clear" w:color="000000" w:fill="FFFFFF"/>
            <w:tcMar>
              <w:top w:w="0" w:type="dxa"/>
              <w:left w:w="38" w:type="dxa"/>
              <w:bottom w:w="0" w:type="dxa"/>
              <w:right w:w="38" w:type="dxa"/>
            </w:tcMar>
            <w:vAlign w:val="center"/>
          </w:tcPr>
          <w:p w:rsidR="00842AEC" w:rsidRPr="00842AEC" w:rsidRDefault="00842AEC" w:rsidP="00842AEC">
            <w:pPr>
              <w:spacing w:after="0" w:line="240" w:lineRule="auto"/>
              <w:rPr>
                <w:rFonts w:ascii="Barlow" w:hAnsi="Barlow"/>
                <w:sz w:val="20"/>
                <w:szCs w:val="20"/>
              </w:rPr>
            </w:pPr>
          </w:p>
        </w:tc>
      </w:tr>
      <w:tr w:rsidR="00842AEC" w:rsidRPr="00842AEC" w:rsidTr="00F2067F">
        <w:trPr>
          <w:gridAfter w:val="3"/>
          <w:wAfter w:w="779" w:type="dxa"/>
          <w:trHeight w:hRule="exact" w:val="212"/>
          <w:jc w:val="center"/>
        </w:trPr>
        <w:tc>
          <w:tcPr>
            <w:tcW w:w="7578" w:type="dxa"/>
            <w:gridSpan w:val="13"/>
            <w:shd w:val="clear" w:color="000000" w:fill="FFFFFF"/>
            <w:tcMar>
              <w:top w:w="0" w:type="dxa"/>
              <w:left w:w="38" w:type="dxa"/>
              <w:bottom w:w="0" w:type="dxa"/>
              <w:right w:w="38" w:type="dxa"/>
            </w:tcMar>
            <w:vAlign w:val="bottom"/>
          </w:tcPr>
          <w:p w:rsidR="00842AEC" w:rsidRPr="00842AEC" w:rsidRDefault="00842AEC" w:rsidP="00842AEC">
            <w:pPr>
              <w:rPr>
                <w:rFonts w:ascii="Barlow" w:hAnsi="Barlow"/>
                <w:sz w:val="20"/>
                <w:szCs w:val="20"/>
              </w:rPr>
            </w:pPr>
          </w:p>
        </w:tc>
        <w:tc>
          <w:tcPr>
            <w:tcW w:w="270" w:type="dxa"/>
            <w:gridSpan w:val="3"/>
            <w:shd w:val="clear" w:color="000000" w:fill="FFFFFF"/>
            <w:tcMar>
              <w:top w:w="0" w:type="dxa"/>
              <w:left w:w="38" w:type="dxa"/>
              <w:bottom w:w="0" w:type="dxa"/>
              <w:right w:w="38" w:type="dxa"/>
            </w:tcMar>
            <w:vAlign w:val="center"/>
          </w:tcPr>
          <w:p w:rsidR="00842AEC" w:rsidRPr="00842AEC" w:rsidRDefault="00842AEC" w:rsidP="00842AEC">
            <w:pPr>
              <w:rPr>
                <w:rFonts w:ascii="Barlow" w:hAnsi="Barlow"/>
                <w:sz w:val="20"/>
                <w:szCs w:val="20"/>
              </w:rPr>
            </w:pPr>
          </w:p>
        </w:tc>
        <w:tc>
          <w:tcPr>
            <w:tcW w:w="631" w:type="dxa"/>
            <w:gridSpan w:val="4"/>
            <w:shd w:val="clear" w:color="000000" w:fill="FFFFFF"/>
            <w:tcMar>
              <w:top w:w="0" w:type="dxa"/>
              <w:left w:w="38" w:type="dxa"/>
              <w:bottom w:w="0" w:type="dxa"/>
              <w:right w:w="38" w:type="dxa"/>
            </w:tcMar>
            <w:vAlign w:val="center"/>
          </w:tcPr>
          <w:p w:rsidR="00842AEC" w:rsidRPr="00842AEC" w:rsidRDefault="00842AEC" w:rsidP="00842AEC">
            <w:pPr>
              <w:spacing w:after="0" w:line="240" w:lineRule="auto"/>
              <w:jc w:val="right"/>
              <w:rPr>
                <w:rFonts w:ascii="Barlow" w:hAnsi="Barlow"/>
                <w:sz w:val="20"/>
                <w:szCs w:val="20"/>
              </w:rPr>
            </w:pPr>
          </w:p>
        </w:tc>
      </w:tr>
      <w:tr w:rsidR="00842AEC" w:rsidRPr="00842AEC" w:rsidTr="00F2067F">
        <w:trPr>
          <w:gridAfter w:val="11"/>
          <w:wAfter w:w="1950" w:type="dxa"/>
          <w:trHeight w:hRule="exact" w:val="219"/>
          <w:jc w:val="center"/>
        </w:trPr>
        <w:tc>
          <w:tcPr>
            <w:tcW w:w="541" w:type="dxa"/>
            <w:gridSpan w:val="3"/>
          </w:tcPr>
          <w:p w:rsidR="00842AEC" w:rsidRPr="00842AEC" w:rsidRDefault="00842AEC" w:rsidP="00842AEC">
            <w:pPr>
              <w:rPr>
                <w:rFonts w:ascii="Barlow" w:hAnsi="Barlow"/>
                <w:sz w:val="20"/>
                <w:szCs w:val="20"/>
              </w:rPr>
            </w:pPr>
          </w:p>
        </w:tc>
        <w:tc>
          <w:tcPr>
            <w:tcW w:w="5233" w:type="dxa"/>
            <w:gridSpan w:val="4"/>
          </w:tcPr>
          <w:p w:rsidR="00842AEC" w:rsidRPr="00842AEC" w:rsidRDefault="00842AEC" w:rsidP="00842AEC">
            <w:pPr>
              <w:rPr>
                <w:rFonts w:ascii="Barlow" w:hAnsi="Barlow"/>
                <w:sz w:val="20"/>
                <w:szCs w:val="20"/>
              </w:rPr>
            </w:pPr>
          </w:p>
        </w:tc>
        <w:tc>
          <w:tcPr>
            <w:tcW w:w="902" w:type="dxa"/>
          </w:tcPr>
          <w:p w:rsidR="00842AEC" w:rsidRPr="00842AEC" w:rsidRDefault="00842AEC" w:rsidP="00842AEC">
            <w:pPr>
              <w:rPr>
                <w:rFonts w:ascii="Barlow" w:hAnsi="Barlow"/>
                <w:sz w:val="20"/>
                <w:szCs w:val="20"/>
              </w:rPr>
            </w:pPr>
          </w:p>
        </w:tc>
        <w:tc>
          <w:tcPr>
            <w:tcW w:w="181" w:type="dxa"/>
          </w:tcPr>
          <w:p w:rsidR="00842AEC" w:rsidRPr="00842AEC" w:rsidRDefault="00842AEC" w:rsidP="00842AEC">
            <w:pPr>
              <w:rPr>
                <w:rFonts w:ascii="Barlow" w:hAnsi="Barlow"/>
                <w:sz w:val="20"/>
                <w:szCs w:val="20"/>
              </w:rPr>
            </w:pPr>
          </w:p>
        </w:tc>
        <w:tc>
          <w:tcPr>
            <w:tcW w:w="99" w:type="dxa"/>
            <w:gridSpan w:val="2"/>
          </w:tcPr>
          <w:p w:rsidR="00842AEC" w:rsidRPr="00842AEC" w:rsidRDefault="00842AEC" w:rsidP="00842AEC">
            <w:pPr>
              <w:rPr>
                <w:rFonts w:ascii="Barlow" w:hAnsi="Barlow"/>
                <w:sz w:val="20"/>
                <w:szCs w:val="20"/>
              </w:rPr>
            </w:pPr>
          </w:p>
        </w:tc>
        <w:tc>
          <w:tcPr>
            <w:tcW w:w="352" w:type="dxa"/>
          </w:tcPr>
          <w:p w:rsidR="00842AEC" w:rsidRPr="00842AEC" w:rsidRDefault="00842AEC" w:rsidP="00842AEC">
            <w:pPr>
              <w:rPr>
                <w:rFonts w:ascii="Barlow" w:hAnsi="Barlow"/>
                <w:sz w:val="20"/>
                <w:szCs w:val="20"/>
              </w:rPr>
            </w:pPr>
          </w:p>
        </w:tc>
      </w:tr>
      <w:tr w:rsidR="00842AEC" w:rsidRPr="00842AEC" w:rsidTr="00F2067F">
        <w:trPr>
          <w:trHeight w:hRule="exact" w:val="224"/>
          <w:jc w:val="center"/>
        </w:trPr>
        <w:tc>
          <w:tcPr>
            <w:tcW w:w="7578" w:type="dxa"/>
            <w:gridSpan w:val="13"/>
            <w:tcBorders>
              <w:top w:val="single" w:sz="8" w:space="0" w:color="000000"/>
              <w:left w:val="single" w:sz="8" w:space="0" w:color="000000"/>
              <w:bottom w:val="single" w:sz="8" w:space="0" w:color="000000"/>
              <w:right w:val="single" w:sz="8" w:space="0" w:color="000000"/>
            </w:tcBorders>
            <w:shd w:val="clear" w:color="000000" w:fill="D3D3D3"/>
            <w:tcMar>
              <w:top w:w="0" w:type="dxa"/>
              <w:left w:w="38" w:type="dxa"/>
              <w:bottom w:w="0" w:type="dxa"/>
              <w:right w:w="38" w:type="dxa"/>
            </w:tcMar>
            <w:vAlign w:val="bottom"/>
          </w:tcPr>
          <w:p w:rsidR="00842AEC" w:rsidRPr="00842AEC" w:rsidRDefault="00842AEC" w:rsidP="00842AEC">
            <w:pPr>
              <w:spacing w:after="0" w:line="240" w:lineRule="auto"/>
              <w:rPr>
                <w:rFonts w:ascii="Barlow" w:hAnsi="Barlow"/>
                <w:sz w:val="20"/>
                <w:szCs w:val="20"/>
              </w:rPr>
            </w:pPr>
            <w:r w:rsidRPr="00842AEC">
              <w:rPr>
                <w:rFonts w:ascii="Barlow" w:hAnsi="Barlow" w:cs="Arial"/>
                <w:b/>
                <w:color w:val="000000"/>
                <w:sz w:val="20"/>
                <w:szCs w:val="20"/>
              </w:rPr>
              <w:t>1.-INGRESOS PRESUPUESTARIO</w:t>
            </w:r>
          </w:p>
        </w:tc>
        <w:tc>
          <w:tcPr>
            <w:tcW w:w="1680" w:type="dxa"/>
            <w:gridSpan w:val="10"/>
            <w:tcBorders>
              <w:top w:val="single" w:sz="8" w:space="0" w:color="000000"/>
              <w:left w:val="single" w:sz="8" w:space="0" w:color="000000"/>
              <w:bottom w:val="single" w:sz="8" w:space="0" w:color="000000"/>
              <w:right w:val="single" w:sz="8" w:space="0" w:color="000000"/>
            </w:tcBorders>
            <w:shd w:val="clear" w:color="000000" w:fill="D3D3D3"/>
            <w:tcMar>
              <w:top w:w="0" w:type="dxa"/>
              <w:left w:w="38" w:type="dxa"/>
              <w:bottom w:w="0" w:type="dxa"/>
              <w:right w:w="38" w:type="dxa"/>
            </w:tcMar>
            <w:vAlign w:val="bottom"/>
          </w:tcPr>
          <w:p w:rsidR="00842AEC" w:rsidRPr="00842AEC" w:rsidRDefault="00842AEC" w:rsidP="00842AEC">
            <w:pPr>
              <w:spacing w:after="0" w:line="240" w:lineRule="auto"/>
              <w:jc w:val="right"/>
              <w:rPr>
                <w:rFonts w:ascii="Barlow" w:hAnsi="Barlow"/>
                <w:sz w:val="20"/>
                <w:szCs w:val="20"/>
              </w:rPr>
            </w:pPr>
            <w:r w:rsidRPr="00842AEC">
              <w:rPr>
                <w:rFonts w:ascii="Barlow" w:hAnsi="Barlow" w:cs="Arial"/>
                <w:b/>
                <w:color w:val="000000"/>
                <w:sz w:val="20"/>
                <w:szCs w:val="20"/>
              </w:rPr>
              <w:t>$2,717,622.00</w:t>
            </w:r>
          </w:p>
        </w:tc>
      </w:tr>
      <w:tr w:rsidR="00842AEC" w:rsidRPr="00842AEC" w:rsidTr="00F2067F">
        <w:trPr>
          <w:trHeight w:hRule="exact" w:val="336"/>
          <w:jc w:val="center"/>
        </w:trPr>
        <w:tc>
          <w:tcPr>
            <w:tcW w:w="7578" w:type="dxa"/>
            <w:gridSpan w:val="13"/>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bottom"/>
          </w:tcPr>
          <w:p w:rsidR="00842AEC" w:rsidRPr="00842AEC" w:rsidRDefault="00842AEC" w:rsidP="00842AEC">
            <w:pPr>
              <w:spacing w:after="0" w:line="240" w:lineRule="auto"/>
              <w:rPr>
                <w:rFonts w:ascii="Barlow" w:hAnsi="Barlow"/>
                <w:sz w:val="20"/>
                <w:szCs w:val="20"/>
              </w:rPr>
            </w:pPr>
            <w:r w:rsidRPr="00842AEC">
              <w:rPr>
                <w:rFonts w:ascii="Barlow" w:hAnsi="Barlow" w:cs="Arial"/>
                <w:b/>
                <w:color w:val="000000"/>
                <w:sz w:val="20"/>
                <w:szCs w:val="20"/>
              </w:rPr>
              <w:t>2. MÁS INGRESOS CONTABLES NO PRESUPUESTARIOS</w:t>
            </w:r>
          </w:p>
        </w:tc>
        <w:tc>
          <w:tcPr>
            <w:tcW w:w="1680" w:type="dxa"/>
            <w:gridSpan w:val="10"/>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bottom"/>
          </w:tcPr>
          <w:p w:rsidR="00842AEC" w:rsidRPr="00842AEC" w:rsidRDefault="00842AEC" w:rsidP="00842AEC">
            <w:pPr>
              <w:spacing w:after="0" w:line="240" w:lineRule="auto"/>
              <w:jc w:val="right"/>
              <w:rPr>
                <w:rFonts w:ascii="Barlow" w:hAnsi="Barlow"/>
                <w:sz w:val="20"/>
                <w:szCs w:val="20"/>
              </w:rPr>
            </w:pPr>
            <w:r w:rsidRPr="00842AEC">
              <w:rPr>
                <w:rFonts w:ascii="Barlow" w:hAnsi="Barlow"/>
                <w:sz w:val="20"/>
                <w:szCs w:val="20"/>
              </w:rPr>
              <w:t>0.00</w:t>
            </w:r>
          </w:p>
          <w:p w:rsidR="00842AEC" w:rsidRPr="00842AEC" w:rsidRDefault="00842AEC" w:rsidP="00842AEC">
            <w:pPr>
              <w:spacing w:after="0" w:line="240" w:lineRule="auto"/>
              <w:jc w:val="right"/>
              <w:rPr>
                <w:rFonts w:ascii="Barlow" w:hAnsi="Barlow"/>
                <w:sz w:val="20"/>
                <w:szCs w:val="20"/>
              </w:rPr>
            </w:pPr>
          </w:p>
        </w:tc>
      </w:tr>
      <w:tr w:rsidR="00842AEC" w:rsidRPr="00842AEC" w:rsidTr="00F2067F">
        <w:trPr>
          <w:trHeight w:hRule="exact" w:val="224"/>
          <w:jc w:val="center"/>
        </w:trPr>
        <w:tc>
          <w:tcPr>
            <w:tcW w:w="7578" w:type="dxa"/>
            <w:gridSpan w:val="13"/>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842AEC" w:rsidRPr="00842AEC" w:rsidRDefault="00842AEC" w:rsidP="00842AEC">
            <w:pPr>
              <w:spacing w:after="0" w:line="240" w:lineRule="auto"/>
              <w:rPr>
                <w:rFonts w:ascii="Barlow" w:hAnsi="Barlow"/>
                <w:sz w:val="20"/>
                <w:szCs w:val="20"/>
              </w:rPr>
            </w:pPr>
            <w:r w:rsidRPr="00842AEC">
              <w:rPr>
                <w:rFonts w:ascii="Barlow" w:hAnsi="Barlow" w:cs="Arial"/>
                <w:color w:val="000000"/>
                <w:sz w:val="20"/>
                <w:szCs w:val="20"/>
              </w:rPr>
              <w:t>INCREMENTO POR VARIACIÓN DE INVENTARIOS</w:t>
            </w:r>
          </w:p>
        </w:tc>
        <w:tc>
          <w:tcPr>
            <w:tcW w:w="1680" w:type="dxa"/>
            <w:gridSpan w:val="10"/>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842AEC" w:rsidRPr="00842AEC" w:rsidRDefault="00842AEC" w:rsidP="00842AEC">
            <w:pPr>
              <w:spacing w:after="0" w:line="240" w:lineRule="auto"/>
              <w:jc w:val="right"/>
              <w:rPr>
                <w:rFonts w:ascii="Barlow" w:hAnsi="Barlow"/>
                <w:sz w:val="20"/>
                <w:szCs w:val="20"/>
              </w:rPr>
            </w:pPr>
            <w:r w:rsidRPr="00842AEC">
              <w:rPr>
                <w:rFonts w:ascii="Barlow" w:hAnsi="Barlow" w:cs="Arial"/>
                <w:color w:val="000000"/>
                <w:sz w:val="20"/>
                <w:szCs w:val="20"/>
              </w:rPr>
              <w:t>$0.00</w:t>
            </w:r>
          </w:p>
        </w:tc>
      </w:tr>
      <w:tr w:rsidR="00842AEC" w:rsidRPr="00842AEC" w:rsidTr="00F2067F">
        <w:trPr>
          <w:trHeight w:hRule="exact" w:val="224"/>
          <w:jc w:val="center"/>
        </w:trPr>
        <w:tc>
          <w:tcPr>
            <w:tcW w:w="7578" w:type="dxa"/>
            <w:gridSpan w:val="13"/>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842AEC" w:rsidRPr="00842AEC" w:rsidRDefault="00842AEC" w:rsidP="00842AEC">
            <w:pPr>
              <w:spacing w:after="0" w:line="240" w:lineRule="auto"/>
              <w:rPr>
                <w:rFonts w:ascii="Barlow" w:hAnsi="Barlow"/>
                <w:sz w:val="20"/>
                <w:szCs w:val="20"/>
              </w:rPr>
            </w:pPr>
            <w:r w:rsidRPr="00842AEC">
              <w:rPr>
                <w:rFonts w:ascii="Barlow" w:hAnsi="Barlow" w:cs="Arial"/>
                <w:color w:val="000000"/>
                <w:sz w:val="20"/>
                <w:szCs w:val="20"/>
              </w:rPr>
              <w:t>DISMINUCIÓN DEL EXCESO DE ESTIMACIONES POR PÉRDIDA O DETERIORO U OBSOLESCENCIA</w:t>
            </w:r>
          </w:p>
        </w:tc>
        <w:tc>
          <w:tcPr>
            <w:tcW w:w="1680" w:type="dxa"/>
            <w:gridSpan w:val="10"/>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842AEC" w:rsidRPr="00842AEC" w:rsidRDefault="00842AEC" w:rsidP="00842AEC">
            <w:pPr>
              <w:spacing w:after="0" w:line="240" w:lineRule="auto"/>
              <w:jc w:val="right"/>
              <w:rPr>
                <w:rFonts w:ascii="Barlow" w:hAnsi="Barlow"/>
                <w:sz w:val="20"/>
                <w:szCs w:val="20"/>
              </w:rPr>
            </w:pPr>
            <w:r w:rsidRPr="00842AEC">
              <w:rPr>
                <w:rFonts w:ascii="Barlow" w:hAnsi="Barlow" w:cs="Arial"/>
                <w:color w:val="000000"/>
                <w:sz w:val="20"/>
                <w:szCs w:val="20"/>
              </w:rPr>
              <w:t>$0.00</w:t>
            </w:r>
          </w:p>
        </w:tc>
      </w:tr>
      <w:tr w:rsidR="00842AEC" w:rsidRPr="00842AEC" w:rsidTr="00F2067F">
        <w:trPr>
          <w:trHeight w:hRule="exact" w:val="224"/>
          <w:jc w:val="center"/>
        </w:trPr>
        <w:tc>
          <w:tcPr>
            <w:tcW w:w="7578" w:type="dxa"/>
            <w:gridSpan w:val="13"/>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842AEC" w:rsidRPr="00842AEC" w:rsidRDefault="00842AEC" w:rsidP="00842AEC">
            <w:pPr>
              <w:spacing w:after="0" w:line="240" w:lineRule="auto"/>
              <w:rPr>
                <w:rFonts w:ascii="Barlow" w:hAnsi="Barlow"/>
                <w:sz w:val="20"/>
                <w:szCs w:val="20"/>
              </w:rPr>
            </w:pPr>
            <w:r w:rsidRPr="00842AEC">
              <w:rPr>
                <w:rFonts w:ascii="Barlow" w:hAnsi="Barlow" w:cs="Arial"/>
                <w:color w:val="000000"/>
                <w:sz w:val="20"/>
                <w:szCs w:val="20"/>
              </w:rPr>
              <w:t>DISMINUCIÓN DEL EXCESO DE PROVISIONES</w:t>
            </w:r>
          </w:p>
        </w:tc>
        <w:tc>
          <w:tcPr>
            <w:tcW w:w="1680" w:type="dxa"/>
            <w:gridSpan w:val="10"/>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842AEC" w:rsidRPr="00842AEC" w:rsidRDefault="00842AEC" w:rsidP="00842AEC">
            <w:pPr>
              <w:spacing w:after="0" w:line="240" w:lineRule="auto"/>
              <w:jc w:val="right"/>
              <w:rPr>
                <w:rFonts w:ascii="Barlow" w:hAnsi="Barlow"/>
                <w:sz w:val="20"/>
                <w:szCs w:val="20"/>
              </w:rPr>
            </w:pPr>
            <w:r w:rsidRPr="00842AEC">
              <w:rPr>
                <w:rFonts w:ascii="Barlow" w:hAnsi="Barlow" w:cs="Arial"/>
                <w:color w:val="000000"/>
                <w:sz w:val="20"/>
                <w:szCs w:val="20"/>
              </w:rPr>
              <w:t>$0.00</w:t>
            </w:r>
          </w:p>
        </w:tc>
      </w:tr>
      <w:tr w:rsidR="00842AEC" w:rsidRPr="00842AEC" w:rsidTr="00F2067F">
        <w:trPr>
          <w:trHeight w:hRule="exact" w:val="224"/>
          <w:jc w:val="center"/>
        </w:trPr>
        <w:tc>
          <w:tcPr>
            <w:tcW w:w="7578" w:type="dxa"/>
            <w:gridSpan w:val="13"/>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842AEC" w:rsidRPr="00842AEC" w:rsidRDefault="00842AEC" w:rsidP="00842AEC">
            <w:pPr>
              <w:spacing w:after="0" w:line="240" w:lineRule="auto"/>
              <w:rPr>
                <w:rFonts w:ascii="Barlow" w:hAnsi="Barlow"/>
                <w:sz w:val="20"/>
                <w:szCs w:val="20"/>
              </w:rPr>
            </w:pPr>
            <w:r w:rsidRPr="00842AEC">
              <w:rPr>
                <w:rFonts w:ascii="Barlow" w:hAnsi="Barlow" w:cs="Arial"/>
                <w:color w:val="000000"/>
                <w:sz w:val="20"/>
                <w:szCs w:val="20"/>
              </w:rPr>
              <w:t>OTROS INGRESOS Y BENEFICIOS VARIOS</w:t>
            </w:r>
          </w:p>
        </w:tc>
        <w:tc>
          <w:tcPr>
            <w:tcW w:w="1680" w:type="dxa"/>
            <w:gridSpan w:val="10"/>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842AEC" w:rsidRPr="00842AEC" w:rsidRDefault="00842AEC" w:rsidP="00842AEC">
            <w:pPr>
              <w:spacing w:after="0" w:line="240" w:lineRule="auto"/>
              <w:jc w:val="right"/>
              <w:rPr>
                <w:rFonts w:ascii="Barlow" w:hAnsi="Barlow" w:cs="Arial"/>
                <w:color w:val="000000"/>
                <w:sz w:val="20"/>
                <w:szCs w:val="20"/>
              </w:rPr>
            </w:pPr>
            <w:r w:rsidRPr="00842AEC">
              <w:rPr>
                <w:rFonts w:ascii="Barlow" w:hAnsi="Barlow" w:cs="Arial"/>
                <w:color w:val="000000"/>
                <w:sz w:val="20"/>
                <w:szCs w:val="20"/>
              </w:rPr>
              <w:t>0.00</w:t>
            </w:r>
          </w:p>
          <w:p w:rsidR="00842AEC" w:rsidRPr="00842AEC" w:rsidRDefault="00842AEC" w:rsidP="00842AEC">
            <w:pPr>
              <w:spacing w:after="0" w:line="240" w:lineRule="auto"/>
              <w:jc w:val="right"/>
              <w:rPr>
                <w:rFonts w:ascii="Barlow" w:hAnsi="Barlow"/>
                <w:sz w:val="20"/>
                <w:szCs w:val="20"/>
              </w:rPr>
            </w:pPr>
          </w:p>
        </w:tc>
      </w:tr>
      <w:tr w:rsidR="00842AEC" w:rsidRPr="00842AEC" w:rsidTr="00F2067F">
        <w:trPr>
          <w:trHeight w:hRule="exact" w:val="224"/>
          <w:jc w:val="center"/>
        </w:trPr>
        <w:tc>
          <w:tcPr>
            <w:tcW w:w="7578" w:type="dxa"/>
            <w:gridSpan w:val="13"/>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842AEC" w:rsidRPr="00842AEC" w:rsidRDefault="00842AEC" w:rsidP="00842AEC">
            <w:pPr>
              <w:spacing w:after="0" w:line="240" w:lineRule="auto"/>
              <w:rPr>
                <w:rFonts w:ascii="Barlow" w:hAnsi="Barlow"/>
                <w:sz w:val="20"/>
                <w:szCs w:val="20"/>
              </w:rPr>
            </w:pPr>
            <w:r w:rsidRPr="00842AEC">
              <w:rPr>
                <w:rFonts w:ascii="Barlow" w:hAnsi="Barlow" w:cs="Arial"/>
                <w:color w:val="000000"/>
                <w:sz w:val="20"/>
                <w:szCs w:val="20"/>
              </w:rPr>
              <w:t>OTROS INGRESOS CONTABLES NO PRESUPUESTARIOS</w:t>
            </w:r>
          </w:p>
        </w:tc>
        <w:tc>
          <w:tcPr>
            <w:tcW w:w="1680" w:type="dxa"/>
            <w:gridSpan w:val="10"/>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842AEC" w:rsidRPr="00842AEC" w:rsidRDefault="00842AEC" w:rsidP="00842AEC">
            <w:pPr>
              <w:spacing w:after="0" w:line="240" w:lineRule="auto"/>
              <w:jc w:val="right"/>
              <w:rPr>
                <w:rFonts w:ascii="Barlow" w:hAnsi="Barlow"/>
                <w:sz w:val="20"/>
                <w:szCs w:val="20"/>
              </w:rPr>
            </w:pPr>
            <w:r w:rsidRPr="00842AEC">
              <w:rPr>
                <w:rFonts w:ascii="Barlow" w:hAnsi="Barlow" w:cs="Arial"/>
                <w:color w:val="000000"/>
                <w:sz w:val="20"/>
                <w:szCs w:val="20"/>
              </w:rPr>
              <w:t>$0.00</w:t>
            </w:r>
          </w:p>
        </w:tc>
      </w:tr>
      <w:tr w:rsidR="00842AEC" w:rsidRPr="00842AEC" w:rsidTr="00F2067F">
        <w:trPr>
          <w:trHeight w:hRule="exact" w:val="336"/>
          <w:jc w:val="center"/>
        </w:trPr>
        <w:tc>
          <w:tcPr>
            <w:tcW w:w="7578" w:type="dxa"/>
            <w:gridSpan w:val="13"/>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bottom"/>
          </w:tcPr>
          <w:p w:rsidR="00842AEC" w:rsidRPr="00842AEC" w:rsidRDefault="00842AEC" w:rsidP="00842AEC">
            <w:pPr>
              <w:spacing w:after="0" w:line="240" w:lineRule="auto"/>
              <w:rPr>
                <w:rFonts w:ascii="Barlow" w:hAnsi="Barlow"/>
                <w:sz w:val="20"/>
                <w:szCs w:val="20"/>
              </w:rPr>
            </w:pPr>
            <w:r w:rsidRPr="00842AEC">
              <w:rPr>
                <w:rFonts w:ascii="Barlow" w:hAnsi="Barlow" w:cs="Arial"/>
                <w:b/>
                <w:color w:val="000000"/>
                <w:sz w:val="20"/>
                <w:szCs w:val="20"/>
              </w:rPr>
              <w:t>3. MENOS INGRESOS PRESUPUESTARIOS NO CONTABLES</w:t>
            </w:r>
          </w:p>
        </w:tc>
        <w:tc>
          <w:tcPr>
            <w:tcW w:w="1680" w:type="dxa"/>
            <w:gridSpan w:val="10"/>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bottom"/>
          </w:tcPr>
          <w:p w:rsidR="00842AEC" w:rsidRPr="00842AEC" w:rsidRDefault="00842AEC" w:rsidP="00842AEC">
            <w:pPr>
              <w:spacing w:after="0" w:line="240" w:lineRule="auto"/>
              <w:jc w:val="right"/>
              <w:rPr>
                <w:rFonts w:ascii="Barlow" w:hAnsi="Barlow"/>
                <w:sz w:val="20"/>
                <w:szCs w:val="20"/>
              </w:rPr>
            </w:pPr>
            <w:r w:rsidRPr="00842AEC">
              <w:rPr>
                <w:rFonts w:ascii="Barlow" w:hAnsi="Barlow" w:cs="Arial"/>
                <w:b/>
                <w:color w:val="000000"/>
                <w:sz w:val="20"/>
                <w:szCs w:val="20"/>
              </w:rPr>
              <w:t>$0.00</w:t>
            </w:r>
          </w:p>
        </w:tc>
      </w:tr>
      <w:tr w:rsidR="00842AEC" w:rsidRPr="00842AEC" w:rsidTr="00F2067F">
        <w:trPr>
          <w:trHeight w:hRule="exact" w:val="224"/>
          <w:jc w:val="center"/>
        </w:trPr>
        <w:tc>
          <w:tcPr>
            <w:tcW w:w="7578" w:type="dxa"/>
            <w:gridSpan w:val="13"/>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842AEC" w:rsidRPr="00842AEC" w:rsidRDefault="00842AEC" w:rsidP="00842AEC">
            <w:pPr>
              <w:spacing w:after="0" w:line="240" w:lineRule="auto"/>
              <w:rPr>
                <w:rFonts w:ascii="Barlow" w:hAnsi="Barlow"/>
                <w:sz w:val="20"/>
                <w:szCs w:val="20"/>
              </w:rPr>
            </w:pPr>
            <w:r w:rsidRPr="00842AEC">
              <w:rPr>
                <w:rFonts w:ascii="Barlow" w:hAnsi="Barlow" w:cs="Arial"/>
                <w:color w:val="000000"/>
                <w:sz w:val="20"/>
                <w:szCs w:val="20"/>
              </w:rPr>
              <w:t>INGRESOS DERIVADOS DE FINANCIAMIENTO</w:t>
            </w:r>
          </w:p>
        </w:tc>
        <w:tc>
          <w:tcPr>
            <w:tcW w:w="1680" w:type="dxa"/>
            <w:gridSpan w:val="10"/>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842AEC" w:rsidRPr="00842AEC" w:rsidRDefault="00842AEC" w:rsidP="00842AEC">
            <w:pPr>
              <w:spacing w:after="0" w:line="240" w:lineRule="auto"/>
              <w:jc w:val="right"/>
              <w:rPr>
                <w:rFonts w:ascii="Barlow" w:hAnsi="Barlow"/>
                <w:sz w:val="20"/>
                <w:szCs w:val="20"/>
              </w:rPr>
            </w:pPr>
            <w:r w:rsidRPr="00842AEC">
              <w:rPr>
                <w:rFonts w:ascii="Barlow" w:hAnsi="Barlow" w:cs="Arial"/>
                <w:color w:val="000000"/>
                <w:sz w:val="20"/>
                <w:szCs w:val="20"/>
              </w:rPr>
              <w:t>$0.00</w:t>
            </w:r>
          </w:p>
        </w:tc>
      </w:tr>
      <w:tr w:rsidR="00842AEC" w:rsidRPr="00842AEC" w:rsidTr="00F2067F">
        <w:trPr>
          <w:trHeight w:hRule="exact" w:val="224"/>
          <w:jc w:val="center"/>
        </w:trPr>
        <w:tc>
          <w:tcPr>
            <w:tcW w:w="7578" w:type="dxa"/>
            <w:gridSpan w:val="13"/>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842AEC" w:rsidRPr="00842AEC" w:rsidRDefault="00842AEC" w:rsidP="00842AEC">
            <w:pPr>
              <w:spacing w:after="0" w:line="240" w:lineRule="auto"/>
              <w:rPr>
                <w:rFonts w:ascii="Barlow" w:hAnsi="Barlow"/>
                <w:sz w:val="20"/>
                <w:szCs w:val="20"/>
              </w:rPr>
            </w:pPr>
            <w:r w:rsidRPr="00842AEC">
              <w:rPr>
                <w:rFonts w:ascii="Barlow" w:hAnsi="Barlow" w:cs="Arial"/>
                <w:color w:val="000000"/>
                <w:sz w:val="20"/>
                <w:szCs w:val="20"/>
              </w:rPr>
              <w:t>PRODUCTOS DE CAPITAL</w:t>
            </w:r>
          </w:p>
        </w:tc>
        <w:tc>
          <w:tcPr>
            <w:tcW w:w="1680" w:type="dxa"/>
            <w:gridSpan w:val="10"/>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842AEC" w:rsidRPr="00842AEC" w:rsidRDefault="00842AEC" w:rsidP="00842AEC">
            <w:pPr>
              <w:spacing w:after="0" w:line="240" w:lineRule="auto"/>
              <w:jc w:val="right"/>
              <w:rPr>
                <w:rFonts w:ascii="Barlow" w:hAnsi="Barlow"/>
                <w:sz w:val="20"/>
                <w:szCs w:val="20"/>
              </w:rPr>
            </w:pPr>
            <w:r w:rsidRPr="00842AEC">
              <w:rPr>
                <w:rFonts w:ascii="Barlow" w:hAnsi="Barlow" w:cs="Arial"/>
                <w:color w:val="000000"/>
                <w:sz w:val="20"/>
                <w:szCs w:val="20"/>
              </w:rPr>
              <w:t>$0.00</w:t>
            </w:r>
          </w:p>
        </w:tc>
      </w:tr>
      <w:tr w:rsidR="00842AEC" w:rsidRPr="00842AEC" w:rsidTr="00F2067F">
        <w:trPr>
          <w:trHeight w:hRule="exact" w:val="224"/>
          <w:jc w:val="center"/>
        </w:trPr>
        <w:tc>
          <w:tcPr>
            <w:tcW w:w="7578" w:type="dxa"/>
            <w:gridSpan w:val="13"/>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842AEC" w:rsidRPr="00842AEC" w:rsidRDefault="00842AEC" w:rsidP="00842AEC">
            <w:pPr>
              <w:spacing w:after="0" w:line="240" w:lineRule="auto"/>
              <w:rPr>
                <w:rFonts w:ascii="Barlow" w:hAnsi="Barlow"/>
                <w:sz w:val="20"/>
                <w:szCs w:val="20"/>
              </w:rPr>
            </w:pPr>
            <w:r w:rsidRPr="00842AEC">
              <w:rPr>
                <w:rFonts w:ascii="Barlow" w:hAnsi="Barlow" w:cs="Arial"/>
                <w:color w:val="000000"/>
                <w:sz w:val="20"/>
                <w:szCs w:val="20"/>
              </w:rPr>
              <w:t>APROVECHAMIENTO CAPITAL</w:t>
            </w:r>
          </w:p>
        </w:tc>
        <w:tc>
          <w:tcPr>
            <w:tcW w:w="1680" w:type="dxa"/>
            <w:gridSpan w:val="10"/>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842AEC" w:rsidRPr="00842AEC" w:rsidRDefault="00842AEC" w:rsidP="00842AEC">
            <w:pPr>
              <w:spacing w:after="0" w:line="240" w:lineRule="auto"/>
              <w:jc w:val="right"/>
              <w:rPr>
                <w:rFonts w:ascii="Barlow" w:hAnsi="Barlow"/>
                <w:sz w:val="20"/>
                <w:szCs w:val="20"/>
              </w:rPr>
            </w:pPr>
            <w:r w:rsidRPr="00842AEC">
              <w:rPr>
                <w:rFonts w:ascii="Barlow" w:hAnsi="Barlow" w:cs="Arial"/>
                <w:color w:val="000000"/>
                <w:sz w:val="20"/>
                <w:szCs w:val="20"/>
              </w:rPr>
              <w:t>$0.00</w:t>
            </w:r>
          </w:p>
        </w:tc>
      </w:tr>
      <w:tr w:rsidR="00842AEC" w:rsidRPr="00842AEC" w:rsidTr="00F2067F">
        <w:trPr>
          <w:trHeight w:hRule="exact" w:val="224"/>
          <w:jc w:val="center"/>
        </w:trPr>
        <w:tc>
          <w:tcPr>
            <w:tcW w:w="7578" w:type="dxa"/>
            <w:gridSpan w:val="13"/>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842AEC" w:rsidRPr="00842AEC" w:rsidRDefault="00842AEC" w:rsidP="00842AEC">
            <w:pPr>
              <w:spacing w:after="0" w:line="240" w:lineRule="auto"/>
              <w:rPr>
                <w:rFonts w:ascii="Barlow" w:hAnsi="Barlow"/>
                <w:sz w:val="20"/>
                <w:szCs w:val="20"/>
              </w:rPr>
            </w:pPr>
            <w:r w:rsidRPr="00842AEC">
              <w:rPr>
                <w:rFonts w:ascii="Barlow" w:hAnsi="Barlow" w:cs="Arial"/>
                <w:color w:val="000000"/>
                <w:sz w:val="20"/>
                <w:szCs w:val="20"/>
              </w:rPr>
              <w:t>OTROS INGRESOS PRESUPUESTARIOS NO CONTABLES</w:t>
            </w:r>
          </w:p>
        </w:tc>
        <w:tc>
          <w:tcPr>
            <w:tcW w:w="1680" w:type="dxa"/>
            <w:gridSpan w:val="10"/>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842AEC" w:rsidRPr="00842AEC" w:rsidRDefault="00842AEC" w:rsidP="00842AEC">
            <w:pPr>
              <w:spacing w:after="0" w:line="240" w:lineRule="auto"/>
              <w:jc w:val="right"/>
              <w:rPr>
                <w:rFonts w:ascii="Barlow" w:hAnsi="Barlow"/>
                <w:sz w:val="20"/>
                <w:szCs w:val="20"/>
              </w:rPr>
            </w:pPr>
            <w:r w:rsidRPr="00842AEC">
              <w:rPr>
                <w:rFonts w:ascii="Barlow" w:hAnsi="Barlow" w:cs="Arial"/>
                <w:color w:val="000000"/>
                <w:sz w:val="20"/>
                <w:szCs w:val="20"/>
              </w:rPr>
              <w:t>$0.00</w:t>
            </w:r>
          </w:p>
        </w:tc>
      </w:tr>
      <w:tr w:rsidR="00842AEC" w:rsidRPr="00842AEC" w:rsidTr="00F2067F">
        <w:trPr>
          <w:trHeight w:hRule="exact" w:val="336"/>
          <w:jc w:val="center"/>
        </w:trPr>
        <w:tc>
          <w:tcPr>
            <w:tcW w:w="7578" w:type="dxa"/>
            <w:gridSpan w:val="13"/>
            <w:tcBorders>
              <w:top w:val="single" w:sz="8" w:space="0" w:color="000000"/>
              <w:left w:val="single" w:sz="8" w:space="0" w:color="000000"/>
              <w:bottom w:val="single" w:sz="8" w:space="0" w:color="000000"/>
              <w:right w:val="single" w:sz="8" w:space="0" w:color="000000"/>
            </w:tcBorders>
            <w:shd w:val="clear" w:color="000000" w:fill="D3D3D3"/>
            <w:tcMar>
              <w:top w:w="0" w:type="dxa"/>
              <w:left w:w="38" w:type="dxa"/>
              <w:bottom w:w="0" w:type="dxa"/>
              <w:right w:w="38" w:type="dxa"/>
            </w:tcMar>
            <w:vAlign w:val="bottom"/>
          </w:tcPr>
          <w:p w:rsidR="00842AEC" w:rsidRPr="00842AEC" w:rsidRDefault="00842AEC" w:rsidP="00842AEC">
            <w:pPr>
              <w:spacing w:after="0" w:line="240" w:lineRule="auto"/>
              <w:rPr>
                <w:rFonts w:ascii="Barlow" w:hAnsi="Barlow"/>
                <w:sz w:val="20"/>
                <w:szCs w:val="20"/>
              </w:rPr>
            </w:pPr>
            <w:r w:rsidRPr="00842AEC">
              <w:rPr>
                <w:rFonts w:ascii="Barlow" w:hAnsi="Barlow" w:cs="Arial"/>
                <w:b/>
                <w:color w:val="000000"/>
                <w:sz w:val="20"/>
                <w:szCs w:val="20"/>
              </w:rPr>
              <w:t>4. INGRESOS CONTABLES (4= 1 + 2 - 3)</w:t>
            </w:r>
          </w:p>
        </w:tc>
        <w:tc>
          <w:tcPr>
            <w:tcW w:w="1680" w:type="dxa"/>
            <w:gridSpan w:val="10"/>
            <w:tcBorders>
              <w:top w:val="single" w:sz="8" w:space="0" w:color="000000"/>
              <w:left w:val="single" w:sz="8" w:space="0" w:color="000000"/>
              <w:bottom w:val="single" w:sz="8" w:space="0" w:color="000000"/>
              <w:right w:val="single" w:sz="8" w:space="0" w:color="000000"/>
            </w:tcBorders>
            <w:shd w:val="clear" w:color="000000" w:fill="D3D3D3"/>
            <w:tcMar>
              <w:top w:w="0" w:type="dxa"/>
              <w:left w:w="38" w:type="dxa"/>
              <w:bottom w:w="0" w:type="dxa"/>
              <w:right w:w="38" w:type="dxa"/>
            </w:tcMar>
            <w:vAlign w:val="bottom"/>
          </w:tcPr>
          <w:p w:rsidR="00842AEC" w:rsidRPr="00842AEC" w:rsidRDefault="00842AEC" w:rsidP="00842AEC">
            <w:pPr>
              <w:spacing w:after="0" w:line="240" w:lineRule="auto"/>
              <w:jc w:val="right"/>
              <w:rPr>
                <w:rFonts w:ascii="Barlow" w:hAnsi="Barlow"/>
                <w:sz w:val="20"/>
                <w:szCs w:val="20"/>
              </w:rPr>
            </w:pPr>
            <w:r w:rsidRPr="00842AEC">
              <w:rPr>
                <w:rFonts w:ascii="Barlow" w:hAnsi="Barlow" w:cs="Arial"/>
                <w:b/>
                <w:color w:val="000000"/>
                <w:sz w:val="20"/>
                <w:szCs w:val="20"/>
              </w:rPr>
              <w:t>$2,717,622.00</w:t>
            </w:r>
          </w:p>
        </w:tc>
      </w:tr>
      <w:tr w:rsidR="00842AEC" w:rsidRPr="00842AEC" w:rsidTr="00F2067F">
        <w:trPr>
          <w:trHeight w:hRule="exact" w:val="336"/>
          <w:jc w:val="center"/>
        </w:trPr>
        <w:tc>
          <w:tcPr>
            <w:tcW w:w="7578" w:type="dxa"/>
            <w:gridSpan w:val="13"/>
            <w:tcBorders>
              <w:top w:val="single" w:sz="8" w:space="0" w:color="000000"/>
              <w:left w:val="single" w:sz="8" w:space="0" w:color="000000"/>
              <w:bottom w:val="single" w:sz="8" w:space="0" w:color="000000"/>
              <w:right w:val="single" w:sz="8" w:space="0" w:color="000000"/>
            </w:tcBorders>
            <w:shd w:val="clear" w:color="000000" w:fill="D3D3D3"/>
            <w:tcMar>
              <w:top w:w="0" w:type="dxa"/>
              <w:left w:w="38" w:type="dxa"/>
              <w:bottom w:w="0" w:type="dxa"/>
              <w:right w:w="38" w:type="dxa"/>
            </w:tcMar>
            <w:vAlign w:val="bottom"/>
          </w:tcPr>
          <w:p w:rsidR="00842AEC" w:rsidRPr="00842AEC" w:rsidRDefault="00842AEC" w:rsidP="00842AEC">
            <w:pPr>
              <w:spacing w:after="0" w:line="240" w:lineRule="auto"/>
              <w:rPr>
                <w:rFonts w:ascii="Barlow" w:hAnsi="Barlow" w:cs="Arial"/>
                <w:b/>
                <w:color w:val="000000"/>
                <w:sz w:val="20"/>
                <w:szCs w:val="20"/>
              </w:rPr>
            </w:pPr>
          </w:p>
        </w:tc>
        <w:tc>
          <w:tcPr>
            <w:tcW w:w="1680" w:type="dxa"/>
            <w:gridSpan w:val="10"/>
            <w:tcBorders>
              <w:top w:val="single" w:sz="8" w:space="0" w:color="000000"/>
              <w:left w:val="single" w:sz="8" w:space="0" w:color="000000"/>
              <w:bottom w:val="single" w:sz="8" w:space="0" w:color="000000"/>
              <w:right w:val="single" w:sz="8" w:space="0" w:color="000000"/>
            </w:tcBorders>
            <w:shd w:val="clear" w:color="000000" w:fill="D3D3D3"/>
            <w:tcMar>
              <w:top w:w="0" w:type="dxa"/>
              <w:left w:w="38" w:type="dxa"/>
              <w:bottom w:w="0" w:type="dxa"/>
              <w:right w:w="38" w:type="dxa"/>
            </w:tcMar>
            <w:vAlign w:val="bottom"/>
          </w:tcPr>
          <w:p w:rsidR="00842AEC" w:rsidRPr="00842AEC" w:rsidRDefault="00842AEC" w:rsidP="00842AEC">
            <w:pPr>
              <w:spacing w:after="0" w:line="240" w:lineRule="auto"/>
              <w:jc w:val="right"/>
              <w:rPr>
                <w:rFonts w:ascii="Barlow" w:hAnsi="Barlow" w:cs="Arial"/>
                <w:b/>
                <w:color w:val="000000"/>
                <w:sz w:val="20"/>
                <w:szCs w:val="20"/>
              </w:rPr>
            </w:pPr>
          </w:p>
        </w:tc>
      </w:tr>
      <w:tr w:rsidR="00842AEC" w:rsidRPr="00842AEC" w:rsidTr="00F2067F">
        <w:trPr>
          <w:gridBefore w:val="1"/>
          <w:gridAfter w:val="1"/>
          <w:wBefore w:w="20" w:type="dxa"/>
          <w:wAfter w:w="609" w:type="dxa"/>
          <w:trHeight w:hRule="exact" w:val="274"/>
          <w:jc w:val="center"/>
        </w:trPr>
        <w:tc>
          <w:tcPr>
            <w:tcW w:w="2559" w:type="dxa"/>
            <w:gridSpan w:val="4"/>
            <w:shd w:val="clear" w:color="FFFFFF" w:fill="FFFFFF"/>
            <w:tcMar>
              <w:top w:w="0" w:type="dxa"/>
              <w:left w:w="4" w:type="dxa"/>
              <w:bottom w:w="0" w:type="dxa"/>
              <w:right w:w="4" w:type="dxa"/>
            </w:tcMar>
          </w:tcPr>
          <w:p w:rsidR="00842AEC" w:rsidRPr="00842AEC" w:rsidRDefault="00842AEC" w:rsidP="00842AEC">
            <w:pPr>
              <w:rPr>
                <w:rFonts w:ascii="Barlow" w:hAnsi="Barlow"/>
                <w:sz w:val="20"/>
                <w:szCs w:val="20"/>
              </w:rPr>
            </w:pPr>
          </w:p>
        </w:tc>
        <w:tc>
          <w:tcPr>
            <w:tcW w:w="5215" w:type="dxa"/>
            <w:gridSpan w:val="10"/>
            <w:shd w:val="clear" w:color="000000" w:fill="FFFFFF"/>
            <w:tcMar>
              <w:top w:w="0" w:type="dxa"/>
              <w:left w:w="38" w:type="dxa"/>
              <w:bottom w:w="0" w:type="dxa"/>
              <w:right w:w="38" w:type="dxa"/>
            </w:tcMar>
          </w:tcPr>
          <w:p w:rsidR="00842AEC" w:rsidRPr="00842AEC" w:rsidRDefault="00842AEC" w:rsidP="00842AEC">
            <w:pPr>
              <w:spacing w:after="0" w:line="240" w:lineRule="auto"/>
              <w:rPr>
                <w:rFonts w:ascii="Barlow" w:hAnsi="Barlow"/>
                <w:sz w:val="20"/>
                <w:szCs w:val="20"/>
              </w:rPr>
            </w:pPr>
          </w:p>
        </w:tc>
        <w:tc>
          <w:tcPr>
            <w:tcW w:w="146" w:type="dxa"/>
            <w:gridSpan w:val="2"/>
          </w:tcPr>
          <w:p w:rsidR="00842AEC" w:rsidRPr="00842AEC" w:rsidRDefault="00842AEC" w:rsidP="00842AEC">
            <w:pPr>
              <w:rPr>
                <w:rFonts w:ascii="Barlow" w:hAnsi="Barlow"/>
                <w:sz w:val="20"/>
                <w:szCs w:val="20"/>
              </w:rPr>
            </w:pPr>
          </w:p>
        </w:tc>
        <w:tc>
          <w:tcPr>
            <w:tcW w:w="352" w:type="dxa"/>
          </w:tcPr>
          <w:p w:rsidR="00842AEC" w:rsidRPr="00842AEC" w:rsidRDefault="00842AEC" w:rsidP="00842AEC">
            <w:pPr>
              <w:rPr>
                <w:rFonts w:ascii="Barlow" w:hAnsi="Barlow"/>
                <w:sz w:val="20"/>
                <w:szCs w:val="20"/>
              </w:rPr>
            </w:pPr>
          </w:p>
        </w:tc>
        <w:tc>
          <w:tcPr>
            <w:tcW w:w="157" w:type="dxa"/>
          </w:tcPr>
          <w:p w:rsidR="00842AEC" w:rsidRPr="00842AEC" w:rsidRDefault="00842AEC" w:rsidP="00842AEC">
            <w:pPr>
              <w:rPr>
                <w:rFonts w:ascii="Barlow" w:hAnsi="Barlow"/>
                <w:sz w:val="20"/>
                <w:szCs w:val="20"/>
              </w:rPr>
            </w:pPr>
          </w:p>
        </w:tc>
        <w:tc>
          <w:tcPr>
            <w:tcW w:w="200" w:type="dxa"/>
            <w:gridSpan w:val="3"/>
          </w:tcPr>
          <w:p w:rsidR="00842AEC" w:rsidRPr="00842AEC" w:rsidRDefault="00842AEC" w:rsidP="00842AEC">
            <w:pPr>
              <w:rPr>
                <w:rFonts w:ascii="Barlow" w:hAnsi="Barlow"/>
                <w:sz w:val="20"/>
                <w:szCs w:val="20"/>
              </w:rPr>
            </w:pPr>
          </w:p>
        </w:tc>
      </w:tr>
      <w:tr w:rsidR="00842AEC" w:rsidRPr="00842AEC" w:rsidTr="00F2067F">
        <w:trPr>
          <w:gridBefore w:val="1"/>
          <w:gridAfter w:val="1"/>
          <w:wBefore w:w="20" w:type="dxa"/>
          <w:wAfter w:w="609" w:type="dxa"/>
          <w:trHeight w:hRule="exact" w:val="482"/>
          <w:jc w:val="center"/>
        </w:trPr>
        <w:tc>
          <w:tcPr>
            <w:tcW w:w="247" w:type="dxa"/>
          </w:tcPr>
          <w:p w:rsidR="00842AEC" w:rsidRPr="00842AEC" w:rsidRDefault="00842AEC" w:rsidP="00842AEC">
            <w:pPr>
              <w:rPr>
                <w:rFonts w:ascii="Barlow" w:hAnsi="Barlow"/>
                <w:sz w:val="20"/>
                <w:szCs w:val="20"/>
              </w:rPr>
            </w:pPr>
          </w:p>
        </w:tc>
        <w:tc>
          <w:tcPr>
            <w:tcW w:w="1503" w:type="dxa"/>
            <w:gridSpan w:val="2"/>
          </w:tcPr>
          <w:p w:rsidR="00842AEC" w:rsidRPr="00842AEC" w:rsidRDefault="00842AEC" w:rsidP="00842AEC">
            <w:pPr>
              <w:rPr>
                <w:rFonts w:ascii="Barlow" w:hAnsi="Barlow"/>
                <w:sz w:val="20"/>
                <w:szCs w:val="20"/>
              </w:rPr>
            </w:pPr>
          </w:p>
        </w:tc>
        <w:tc>
          <w:tcPr>
            <w:tcW w:w="5154" w:type="dxa"/>
            <w:gridSpan w:val="6"/>
            <w:shd w:val="clear" w:color="000000" w:fill="FFFFFF"/>
            <w:tcMar>
              <w:top w:w="0" w:type="dxa"/>
              <w:left w:w="38" w:type="dxa"/>
              <w:bottom w:w="0" w:type="dxa"/>
              <w:right w:w="38" w:type="dxa"/>
            </w:tcMar>
          </w:tcPr>
          <w:p w:rsidR="00842AEC" w:rsidRPr="00842AEC" w:rsidRDefault="00842AEC" w:rsidP="00842AEC">
            <w:pPr>
              <w:spacing w:after="0" w:line="240" w:lineRule="auto"/>
              <w:jc w:val="center"/>
              <w:rPr>
                <w:rFonts w:ascii="Barlow" w:hAnsi="Barlow"/>
                <w:sz w:val="20"/>
                <w:szCs w:val="20"/>
              </w:rPr>
            </w:pPr>
            <w:r w:rsidRPr="00842AEC">
              <w:rPr>
                <w:rFonts w:ascii="Barlow" w:hAnsi="Barlow" w:cs="Arial"/>
                <w:b/>
                <w:color w:val="000000"/>
                <w:sz w:val="20"/>
                <w:szCs w:val="20"/>
              </w:rPr>
              <w:t>Conciliación entre los Egresos Presupuestarios y los Gastos Contables al 31 de marzo de 2019</w:t>
            </w:r>
          </w:p>
        </w:tc>
        <w:tc>
          <w:tcPr>
            <w:tcW w:w="870" w:type="dxa"/>
            <w:gridSpan w:val="5"/>
            <w:shd w:val="clear" w:color="000000" w:fill="FFFFFF"/>
            <w:tcMar>
              <w:top w:w="0" w:type="dxa"/>
              <w:left w:w="38" w:type="dxa"/>
              <w:bottom w:w="0" w:type="dxa"/>
              <w:right w:w="38" w:type="dxa"/>
            </w:tcMar>
            <w:vAlign w:val="center"/>
          </w:tcPr>
          <w:p w:rsidR="00842AEC" w:rsidRPr="00842AEC" w:rsidRDefault="00842AEC" w:rsidP="00842AEC">
            <w:pPr>
              <w:spacing w:after="0" w:line="240" w:lineRule="auto"/>
              <w:jc w:val="right"/>
              <w:rPr>
                <w:rFonts w:ascii="Barlow" w:hAnsi="Barlow"/>
                <w:sz w:val="20"/>
                <w:szCs w:val="20"/>
              </w:rPr>
            </w:pPr>
          </w:p>
        </w:tc>
        <w:tc>
          <w:tcPr>
            <w:tcW w:w="855" w:type="dxa"/>
            <w:gridSpan w:val="7"/>
            <w:shd w:val="clear" w:color="000000" w:fill="FFFFFF"/>
            <w:tcMar>
              <w:top w:w="0" w:type="dxa"/>
              <w:left w:w="38" w:type="dxa"/>
              <w:bottom w:w="0" w:type="dxa"/>
              <w:right w:w="38" w:type="dxa"/>
            </w:tcMar>
            <w:vAlign w:val="center"/>
          </w:tcPr>
          <w:p w:rsidR="00842AEC" w:rsidRPr="00842AEC" w:rsidRDefault="00842AEC" w:rsidP="00842AEC">
            <w:pPr>
              <w:spacing w:after="0" w:line="240" w:lineRule="auto"/>
              <w:rPr>
                <w:rFonts w:ascii="Barlow" w:hAnsi="Barlow"/>
                <w:sz w:val="20"/>
                <w:szCs w:val="20"/>
              </w:rPr>
            </w:pPr>
          </w:p>
        </w:tc>
      </w:tr>
      <w:tr w:rsidR="00842AEC" w:rsidRPr="00842AEC" w:rsidTr="00F2067F">
        <w:trPr>
          <w:gridBefore w:val="1"/>
          <w:gridAfter w:val="1"/>
          <w:wBefore w:w="20" w:type="dxa"/>
          <w:wAfter w:w="609" w:type="dxa"/>
          <w:trHeight w:hRule="exact" w:val="274"/>
          <w:jc w:val="center"/>
        </w:trPr>
        <w:tc>
          <w:tcPr>
            <w:tcW w:w="247" w:type="dxa"/>
          </w:tcPr>
          <w:p w:rsidR="00842AEC" w:rsidRPr="00842AEC" w:rsidRDefault="00842AEC" w:rsidP="00842AEC">
            <w:pPr>
              <w:rPr>
                <w:rFonts w:ascii="Barlow" w:hAnsi="Barlow"/>
                <w:sz w:val="20"/>
                <w:szCs w:val="20"/>
              </w:rPr>
            </w:pPr>
          </w:p>
        </w:tc>
        <w:tc>
          <w:tcPr>
            <w:tcW w:w="1503" w:type="dxa"/>
            <w:gridSpan w:val="2"/>
            <w:shd w:val="clear" w:color="000000" w:fill="FFFFFF"/>
            <w:tcMar>
              <w:top w:w="0" w:type="dxa"/>
              <w:left w:w="38" w:type="dxa"/>
              <w:bottom w:w="0" w:type="dxa"/>
              <w:right w:w="38" w:type="dxa"/>
            </w:tcMar>
            <w:vAlign w:val="bottom"/>
          </w:tcPr>
          <w:p w:rsidR="00842AEC" w:rsidRPr="00842AEC" w:rsidRDefault="00842AEC" w:rsidP="00842AEC">
            <w:pPr>
              <w:spacing w:after="0" w:line="240" w:lineRule="auto"/>
              <w:rPr>
                <w:rFonts w:ascii="Barlow" w:hAnsi="Barlow"/>
                <w:sz w:val="20"/>
                <w:szCs w:val="20"/>
              </w:rPr>
            </w:pPr>
          </w:p>
        </w:tc>
        <w:tc>
          <w:tcPr>
            <w:tcW w:w="5823" w:type="dxa"/>
            <w:gridSpan w:val="10"/>
            <w:shd w:val="clear" w:color="000000" w:fill="FFFFFF"/>
            <w:tcMar>
              <w:top w:w="0" w:type="dxa"/>
              <w:left w:w="38" w:type="dxa"/>
              <w:bottom w:w="0" w:type="dxa"/>
              <w:right w:w="38" w:type="dxa"/>
            </w:tcMar>
            <w:vAlign w:val="bottom"/>
          </w:tcPr>
          <w:p w:rsidR="00842AEC" w:rsidRPr="00842AEC" w:rsidRDefault="00842AEC" w:rsidP="00842AEC">
            <w:pPr>
              <w:rPr>
                <w:rFonts w:ascii="Barlow" w:hAnsi="Barlow"/>
                <w:sz w:val="20"/>
                <w:szCs w:val="20"/>
              </w:rPr>
            </w:pPr>
          </w:p>
        </w:tc>
        <w:tc>
          <w:tcPr>
            <w:tcW w:w="201" w:type="dxa"/>
            <w:shd w:val="clear" w:color="000000" w:fill="FFFFFF"/>
            <w:tcMar>
              <w:top w:w="0" w:type="dxa"/>
              <w:left w:w="38" w:type="dxa"/>
              <w:bottom w:w="0" w:type="dxa"/>
              <w:right w:w="38" w:type="dxa"/>
            </w:tcMar>
            <w:vAlign w:val="center"/>
          </w:tcPr>
          <w:p w:rsidR="00842AEC" w:rsidRPr="00842AEC" w:rsidRDefault="00842AEC" w:rsidP="00842AEC">
            <w:pPr>
              <w:rPr>
                <w:rFonts w:ascii="Barlow" w:hAnsi="Barlow"/>
                <w:sz w:val="20"/>
                <w:szCs w:val="20"/>
              </w:rPr>
            </w:pPr>
          </w:p>
        </w:tc>
        <w:tc>
          <w:tcPr>
            <w:tcW w:w="655" w:type="dxa"/>
            <w:gridSpan w:val="4"/>
            <w:shd w:val="clear" w:color="000000" w:fill="FFFFFF"/>
            <w:tcMar>
              <w:top w:w="0" w:type="dxa"/>
              <w:left w:w="38" w:type="dxa"/>
              <w:bottom w:w="0" w:type="dxa"/>
              <w:right w:w="38" w:type="dxa"/>
            </w:tcMar>
            <w:vAlign w:val="center"/>
          </w:tcPr>
          <w:p w:rsidR="00842AEC" w:rsidRPr="00842AEC" w:rsidRDefault="00842AEC" w:rsidP="00842AEC">
            <w:pPr>
              <w:spacing w:after="0" w:line="240" w:lineRule="auto"/>
              <w:jc w:val="right"/>
              <w:rPr>
                <w:rFonts w:ascii="Barlow" w:hAnsi="Barlow"/>
                <w:sz w:val="20"/>
                <w:szCs w:val="20"/>
              </w:rPr>
            </w:pPr>
          </w:p>
        </w:tc>
        <w:tc>
          <w:tcPr>
            <w:tcW w:w="200" w:type="dxa"/>
            <w:gridSpan w:val="3"/>
          </w:tcPr>
          <w:p w:rsidR="00842AEC" w:rsidRPr="00842AEC" w:rsidRDefault="00842AEC" w:rsidP="00842AEC">
            <w:pPr>
              <w:rPr>
                <w:rFonts w:ascii="Barlow" w:hAnsi="Barlow"/>
                <w:sz w:val="20"/>
                <w:szCs w:val="20"/>
              </w:rPr>
            </w:pPr>
          </w:p>
        </w:tc>
      </w:tr>
      <w:tr w:rsidR="00842AEC" w:rsidRPr="00842AEC" w:rsidTr="00F2067F">
        <w:trPr>
          <w:gridBefore w:val="1"/>
          <w:gridAfter w:val="1"/>
          <w:wBefore w:w="20" w:type="dxa"/>
          <w:wAfter w:w="609" w:type="dxa"/>
          <w:trHeight w:hRule="exact" w:val="282"/>
          <w:jc w:val="center"/>
        </w:trPr>
        <w:tc>
          <w:tcPr>
            <w:tcW w:w="247" w:type="dxa"/>
          </w:tcPr>
          <w:p w:rsidR="00842AEC" w:rsidRPr="00842AEC" w:rsidRDefault="00842AEC" w:rsidP="00842AEC">
            <w:pPr>
              <w:rPr>
                <w:rFonts w:ascii="Barlow" w:hAnsi="Barlow"/>
                <w:sz w:val="20"/>
                <w:szCs w:val="20"/>
              </w:rPr>
            </w:pPr>
          </w:p>
        </w:tc>
        <w:tc>
          <w:tcPr>
            <w:tcW w:w="1503" w:type="dxa"/>
            <w:gridSpan w:val="2"/>
          </w:tcPr>
          <w:p w:rsidR="00842AEC" w:rsidRPr="00842AEC" w:rsidRDefault="00842AEC" w:rsidP="00842AEC">
            <w:pPr>
              <w:rPr>
                <w:rFonts w:ascii="Barlow" w:hAnsi="Barlow"/>
                <w:sz w:val="20"/>
                <w:szCs w:val="20"/>
              </w:rPr>
            </w:pPr>
          </w:p>
        </w:tc>
        <w:tc>
          <w:tcPr>
            <w:tcW w:w="809" w:type="dxa"/>
          </w:tcPr>
          <w:p w:rsidR="00842AEC" w:rsidRPr="00842AEC" w:rsidRDefault="00842AEC" w:rsidP="00842AEC">
            <w:pPr>
              <w:rPr>
                <w:rFonts w:ascii="Barlow" w:hAnsi="Barlow"/>
                <w:sz w:val="20"/>
                <w:szCs w:val="20"/>
              </w:rPr>
            </w:pPr>
          </w:p>
        </w:tc>
        <w:tc>
          <w:tcPr>
            <w:tcW w:w="400" w:type="dxa"/>
          </w:tcPr>
          <w:p w:rsidR="00842AEC" w:rsidRPr="00842AEC" w:rsidRDefault="00842AEC" w:rsidP="00842AEC">
            <w:pPr>
              <w:rPr>
                <w:rFonts w:ascii="Barlow" w:hAnsi="Barlow"/>
                <w:sz w:val="20"/>
                <w:szCs w:val="20"/>
              </w:rPr>
            </w:pPr>
          </w:p>
        </w:tc>
        <w:tc>
          <w:tcPr>
            <w:tcW w:w="3945" w:type="dxa"/>
            <w:gridSpan w:val="4"/>
          </w:tcPr>
          <w:p w:rsidR="00842AEC" w:rsidRPr="00842AEC" w:rsidRDefault="00842AEC" w:rsidP="00842AEC">
            <w:pPr>
              <w:rPr>
                <w:rFonts w:ascii="Barlow" w:hAnsi="Barlow"/>
                <w:sz w:val="20"/>
                <w:szCs w:val="20"/>
              </w:rPr>
            </w:pPr>
          </w:p>
        </w:tc>
        <w:tc>
          <w:tcPr>
            <w:tcW w:w="669" w:type="dxa"/>
            <w:gridSpan w:val="4"/>
          </w:tcPr>
          <w:p w:rsidR="00842AEC" w:rsidRPr="00842AEC" w:rsidRDefault="00842AEC" w:rsidP="00842AEC">
            <w:pPr>
              <w:rPr>
                <w:rFonts w:ascii="Barlow" w:hAnsi="Barlow"/>
                <w:sz w:val="20"/>
                <w:szCs w:val="20"/>
              </w:rPr>
            </w:pPr>
          </w:p>
        </w:tc>
        <w:tc>
          <w:tcPr>
            <w:tcW w:w="201" w:type="dxa"/>
          </w:tcPr>
          <w:p w:rsidR="00842AEC" w:rsidRPr="00842AEC" w:rsidRDefault="00842AEC" w:rsidP="00842AEC">
            <w:pPr>
              <w:rPr>
                <w:rFonts w:ascii="Barlow" w:hAnsi="Barlow"/>
                <w:sz w:val="20"/>
                <w:szCs w:val="20"/>
              </w:rPr>
            </w:pPr>
          </w:p>
        </w:tc>
        <w:tc>
          <w:tcPr>
            <w:tcW w:w="146" w:type="dxa"/>
            <w:gridSpan w:val="2"/>
          </w:tcPr>
          <w:p w:rsidR="00842AEC" w:rsidRPr="00842AEC" w:rsidRDefault="00842AEC" w:rsidP="00842AEC">
            <w:pPr>
              <w:rPr>
                <w:rFonts w:ascii="Barlow" w:hAnsi="Barlow"/>
                <w:sz w:val="20"/>
                <w:szCs w:val="20"/>
              </w:rPr>
            </w:pPr>
          </w:p>
        </w:tc>
        <w:tc>
          <w:tcPr>
            <w:tcW w:w="352" w:type="dxa"/>
          </w:tcPr>
          <w:p w:rsidR="00842AEC" w:rsidRPr="00842AEC" w:rsidRDefault="00842AEC" w:rsidP="00842AEC">
            <w:pPr>
              <w:rPr>
                <w:rFonts w:ascii="Barlow" w:hAnsi="Barlow"/>
                <w:sz w:val="20"/>
                <w:szCs w:val="20"/>
              </w:rPr>
            </w:pPr>
          </w:p>
        </w:tc>
        <w:tc>
          <w:tcPr>
            <w:tcW w:w="157" w:type="dxa"/>
          </w:tcPr>
          <w:p w:rsidR="00842AEC" w:rsidRPr="00842AEC" w:rsidRDefault="00842AEC" w:rsidP="00842AEC">
            <w:pPr>
              <w:rPr>
                <w:rFonts w:ascii="Barlow" w:hAnsi="Barlow"/>
                <w:sz w:val="20"/>
                <w:szCs w:val="20"/>
              </w:rPr>
            </w:pPr>
          </w:p>
        </w:tc>
        <w:tc>
          <w:tcPr>
            <w:tcW w:w="200" w:type="dxa"/>
            <w:gridSpan w:val="3"/>
          </w:tcPr>
          <w:p w:rsidR="00842AEC" w:rsidRPr="00842AEC" w:rsidRDefault="00842AEC" w:rsidP="00842AEC">
            <w:pPr>
              <w:rPr>
                <w:rFonts w:ascii="Barlow" w:hAnsi="Barlow"/>
                <w:sz w:val="20"/>
                <w:szCs w:val="20"/>
              </w:rPr>
            </w:pPr>
          </w:p>
        </w:tc>
      </w:tr>
      <w:tr w:rsidR="00842AEC" w:rsidRPr="00842AEC" w:rsidTr="00F2067F">
        <w:trPr>
          <w:gridBefore w:val="1"/>
          <w:gridAfter w:val="1"/>
          <w:wBefore w:w="20" w:type="dxa"/>
          <w:wAfter w:w="609" w:type="dxa"/>
          <w:trHeight w:hRule="exact" w:val="289"/>
          <w:jc w:val="center"/>
        </w:trPr>
        <w:tc>
          <w:tcPr>
            <w:tcW w:w="6904" w:type="dxa"/>
            <w:gridSpan w:val="9"/>
            <w:tcBorders>
              <w:top w:val="single" w:sz="8" w:space="0" w:color="000000"/>
              <w:left w:val="single" w:sz="8" w:space="0" w:color="000000"/>
              <w:bottom w:val="single" w:sz="8" w:space="0" w:color="000000"/>
              <w:right w:val="single" w:sz="8" w:space="0" w:color="000000"/>
            </w:tcBorders>
            <w:shd w:val="clear" w:color="000000" w:fill="D3D3D3"/>
            <w:tcMar>
              <w:top w:w="0" w:type="dxa"/>
              <w:left w:w="38" w:type="dxa"/>
              <w:bottom w:w="0" w:type="dxa"/>
              <w:right w:w="38" w:type="dxa"/>
            </w:tcMar>
            <w:vAlign w:val="bottom"/>
          </w:tcPr>
          <w:p w:rsidR="00842AEC" w:rsidRPr="00842AEC" w:rsidRDefault="00842AEC" w:rsidP="00842AEC">
            <w:pPr>
              <w:spacing w:after="0" w:line="240" w:lineRule="auto"/>
              <w:rPr>
                <w:rFonts w:ascii="Barlow" w:hAnsi="Barlow"/>
                <w:sz w:val="20"/>
                <w:szCs w:val="20"/>
              </w:rPr>
            </w:pPr>
            <w:r w:rsidRPr="00842AEC">
              <w:rPr>
                <w:rFonts w:ascii="Barlow" w:hAnsi="Barlow" w:cs="Arial"/>
                <w:b/>
                <w:color w:val="000000"/>
                <w:sz w:val="20"/>
                <w:szCs w:val="20"/>
              </w:rPr>
              <w:t>1.-TOTAL DE EGRESOS (PRESUPUESTARIOS)</w:t>
            </w:r>
          </w:p>
        </w:tc>
        <w:tc>
          <w:tcPr>
            <w:tcW w:w="1368" w:type="dxa"/>
            <w:gridSpan w:val="8"/>
            <w:tcBorders>
              <w:top w:val="single" w:sz="8" w:space="0" w:color="000000"/>
              <w:left w:val="single" w:sz="8" w:space="0" w:color="000000"/>
              <w:bottom w:val="single" w:sz="8" w:space="0" w:color="000000"/>
              <w:right w:val="single" w:sz="8" w:space="0" w:color="000000"/>
            </w:tcBorders>
            <w:shd w:val="clear" w:color="000000" w:fill="D3D3D3"/>
            <w:tcMar>
              <w:top w:w="0" w:type="dxa"/>
              <w:left w:w="38" w:type="dxa"/>
              <w:bottom w:w="0" w:type="dxa"/>
              <w:right w:w="38" w:type="dxa"/>
            </w:tcMar>
            <w:vAlign w:val="bottom"/>
          </w:tcPr>
          <w:p w:rsidR="00842AEC" w:rsidRPr="00842AEC" w:rsidRDefault="00842AEC" w:rsidP="00842AEC">
            <w:pPr>
              <w:spacing w:after="0" w:line="240" w:lineRule="auto"/>
              <w:jc w:val="right"/>
              <w:rPr>
                <w:rFonts w:ascii="Barlow" w:hAnsi="Barlow"/>
                <w:sz w:val="20"/>
                <w:szCs w:val="20"/>
              </w:rPr>
            </w:pPr>
            <w:r w:rsidRPr="00842AEC">
              <w:rPr>
                <w:rFonts w:ascii="Barlow" w:hAnsi="Barlow" w:cs="Arial"/>
                <w:b/>
                <w:color w:val="000000"/>
                <w:sz w:val="20"/>
                <w:szCs w:val="20"/>
              </w:rPr>
              <w:t>$3,107,440.31</w:t>
            </w:r>
          </w:p>
        </w:tc>
        <w:tc>
          <w:tcPr>
            <w:tcW w:w="157" w:type="dxa"/>
          </w:tcPr>
          <w:p w:rsidR="00842AEC" w:rsidRPr="00842AEC" w:rsidRDefault="00842AEC" w:rsidP="00842AEC">
            <w:pPr>
              <w:rPr>
                <w:rFonts w:ascii="Barlow" w:hAnsi="Barlow"/>
                <w:sz w:val="20"/>
                <w:szCs w:val="20"/>
              </w:rPr>
            </w:pPr>
          </w:p>
        </w:tc>
        <w:tc>
          <w:tcPr>
            <w:tcW w:w="200" w:type="dxa"/>
            <w:gridSpan w:val="3"/>
          </w:tcPr>
          <w:p w:rsidR="00842AEC" w:rsidRPr="00842AEC" w:rsidRDefault="00842AEC" w:rsidP="00842AEC">
            <w:pPr>
              <w:rPr>
                <w:rFonts w:ascii="Barlow" w:hAnsi="Barlow"/>
                <w:sz w:val="20"/>
                <w:szCs w:val="20"/>
              </w:rPr>
            </w:pPr>
          </w:p>
        </w:tc>
      </w:tr>
      <w:tr w:rsidR="00842AEC" w:rsidRPr="00842AEC" w:rsidTr="00F2067F">
        <w:trPr>
          <w:gridBefore w:val="1"/>
          <w:gridAfter w:val="1"/>
          <w:wBefore w:w="20" w:type="dxa"/>
          <w:wAfter w:w="609" w:type="dxa"/>
          <w:trHeight w:hRule="exact" w:val="434"/>
          <w:jc w:val="center"/>
        </w:trPr>
        <w:tc>
          <w:tcPr>
            <w:tcW w:w="6904" w:type="dxa"/>
            <w:gridSpan w:val="9"/>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bottom"/>
          </w:tcPr>
          <w:p w:rsidR="00842AEC" w:rsidRPr="00842AEC" w:rsidRDefault="00842AEC" w:rsidP="00842AEC">
            <w:pPr>
              <w:spacing w:after="0" w:line="240" w:lineRule="auto"/>
              <w:rPr>
                <w:rFonts w:ascii="Barlow" w:hAnsi="Barlow"/>
                <w:sz w:val="20"/>
                <w:szCs w:val="20"/>
              </w:rPr>
            </w:pPr>
            <w:r w:rsidRPr="00842AEC">
              <w:rPr>
                <w:rFonts w:ascii="Barlow" w:hAnsi="Barlow" w:cs="Arial"/>
                <w:b/>
                <w:color w:val="000000"/>
                <w:sz w:val="20"/>
                <w:szCs w:val="20"/>
              </w:rPr>
              <w:t>2. MENOS EGRESOS PRESUPUESTARIOS NO CONTABLES</w:t>
            </w:r>
          </w:p>
        </w:tc>
        <w:tc>
          <w:tcPr>
            <w:tcW w:w="1368" w:type="dxa"/>
            <w:gridSpan w:val="8"/>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bottom"/>
          </w:tcPr>
          <w:p w:rsidR="00842AEC" w:rsidRPr="00842AEC" w:rsidRDefault="00842AEC" w:rsidP="00842AEC">
            <w:pPr>
              <w:spacing w:after="0" w:line="240" w:lineRule="auto"/>
              <w:jc w:val="right"/>
              <w:rPr>
                <w:rFonts w:ascii="Barlow" w:hAnsi="Barlow"/>
                <w:sz w:val="20"/>
                <w:szCs w:val="20"/>
              </w:rPr>
            </w:pPr>
            <w:r w:rsidRPr="00842AEC">
              <w:rPr>
                <w:rFonts w:ascii="Barlow" w:hAnsi="Barlow" w:cs="Arial"/>
                <w:b/>
                <w:color w:val="000000"/>
                <w:sz w:val="20"/>
                <w:szCs w:val="20"/>
              </w:rPr>
              <w:t>$0.00</w:t>
            </w:r>
          </w:p>
        </w:tc>
        <w:tc>
          <w:tcPr>
            <w:tcW w:w="157" w:type="dxa"/>
          </w:tcPr>
          <w:p w:rsidR="00842AEC" w:rsidRPr="00842AEC" w:rsidRDefault="00842AEC" w:rsidP="00842AEC">
            <w:pPr>
              <w:rPr>
                <w:rFonts w:ascii="Barlow" w:hAnsi="Barlow"/>
                <w:sz w:val="20"/>
                <w:szCs w:val="20"/>
              </w:rPr>
            </w:pPr>
          </w:p>
        </w:tc>
        <w:tc>
          <w:tcPr>
            <w:tcW w:w="200" w:type="dxa"/>
            <w:gridSpan w:val="3"/>
          </w:tcPr>
          <w:p w:rsidR="00842AEC" w:rsidRPr="00842AEC" w:rsidRDefault="00842AEC" w:rsidP="00842AEC">
            <w:pPr>
              <w:rPr>
                <w:rFonts w:ascii="Barlow" w:hAnsi="Barlow"/>
                <w:sz w:val="20"/>
                <w:szCs w:val="20"/>
              </w:rPr>
            </w:pPr>
          </w:p>
        </w:tc>
      </w:tr>
      <w:tr w:rsidR="00842AEC" w:rsidRPr="00842AEC" w:rsidTr="00F2067F">
        <w:trPr>
          <w:gridBefore w:val="1"/>
          <w:gridAfter w:val="1"/>
          <w:wBefore w:w="20" w:type="dxa"/>
          <w:wAfter w:w="609" w:type="dxa"/>
          <w:trHeight w:hRule="exact" w:val="289"/>
          <w:jc w:val="center"/>
        </w:trPr>
        <w:tc>
          <w:tcPr>
            <w:tcW w:w="6904" w:type="dxa"/>
            <w:gridSpan w:val="9"/>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842AEC" w:rsidRPr="00842AEC" w:rsidRDefault="00842AEC" w:rsidP="00842AEC">
            <w:pPr>
              <w:spacing w:after="0" w:line="240" w:lineRule="auto"/>
              <w:rPr>
                <w:rFonts w:ascii="Barlow" w:hAnsi="Barlow"/>
                <w:sz w:val="20"/>
                <w:szCs w:val="20"/>
              </w:rPr>
            </w:pPr>
            <w:r w:rsidRPr="00842AEC">
              <w:rPr>
                <w:rFonts w:ascii="Barlow" w:hAnsi="Barlow" w:cs="Arial"/>
                <w:color w:val="000000"/>
                <w:sz w:val="20"/>
                <w:szCs w:val="20"/>
              </w:rPr>
              <w:t>MOBILIARIO Y EQUIPO DE ADMINISTRACIÓN</w:t>
            </w:r>
          </w:p>
        </w:tc>
        <w:tc>
          <w:tcPr>
            <w:tcW w:w="1368" w:type="dxa"/>
            <w:gridSpan w:val="8"/>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842AEC" w:rsidRPr="00842AEC" w:rsidRDefault="00842AEC" w:rsidP="00842AEC">
            <w:pPr>
              <w:spacing w:after="0" w:line="240" w:lineRule="auto"/>
              <w:jc w:val="right"/>
              <w:rPr>
                <w:rFonts w:ascii="Barlow" w:hAnsi="Barlow"/>
                <w:sz w:val="20"/>
                <w:szCs w:val="20"/>
              </w:rPr>
            </w:pPr>
            <w:r w:rsidRPr="00842AEC">
              <w:rPr>
                <w:rFonts w:ascii="Barlow" w:hAnsi="Barlow" w:cs="Arial"/>
                <w:color w:val="000000"/>
                <w:sz w:val="20"/>
                <w:szCs w:val="20"/>
              </w:rPr>
              <w:t>$0.00</w:t>
            </w:r>
          </w:p>
        </w:tc>
        <w:tc>
          <w:tcPr>
            <w:tcW w:w="157" w:type="dxa"/>
          </w:tcPr>
          <w:p w:rsidR="00842AEC" w:rsidRPr="00842AEC" w:rsidRDefault="00842AEC" w:rsidP="00842AEC">
            <w:pPr>
              <w:rPr>
                <w:rFonts w:ascii="Barlow" w:hAnsi="Barlow"/>
                <w:sz w:val="20"/>
                <w:szCs w:val="20"/>
              </w:rPr>
            </w:pPr>
          </w:p>
        </w:tc>
        <w:tc>
          <w:tcPr>
            <w:tcW w:w="200" w:type="dxa"/>
            <w:gridSpan w:val="3"/>
          </w:tcPr>
          <w:p w:rsidR="00842AEC" w:rsidRPr="00842AEC" w:rsidRDefault="00842AEC" w:rsidP="00842AEC">
            <w:pPr>
              <w:rPr>
                <w:rFonts w:ascii="Barlow" w:hAnsi="Barlow"/>
                <w:sz w:val="20"/>
                <w:szCs w:val="20"/>
              </w:rPr>
            </w:pPr>
          </w:p>
        </w:tc>
      </w:tr>
      <w:tr w:rsidR="00842AEC" w:rsidRPr="00842AEC" w:rsidTr="00F2067F">
        <w:trPr>
          <w:gridBefore w:val="1"/>
          <w:gridAfter w:val="1"/>
          <w:wBefore w:w="20" w:type="dxa"/>
          <w:wAfter w:w="609" w:type="dxa"/>
          <w:trHeight w:hRule="exact" w:val="289"/>
          <w:jc w:val="center"/>
        </w:trPr>
        <w:tc>
          <w:tcPr>
            <w:tcW w:w="6904" w:type="dxa"/>
            <w:gridSpan w:val="9"/>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842AEC" w:rsidRPr="00842AEC" w:rsidRDefault="00842AEC" w:rsidP="00842AEC">
            <w:pPr>
              <w:spacing w:after="0" w:line="240" w:lineRule="auto"/>
              <w:rPr>
                <w:rFonts w:ascii="Barlow" w:hAnsi="Barlow"/>
                <w:sz w:val="20"/>
                <w:szCs w:val="20"/>
              </w:rPr>
            </w:pPr>
            <w:r w:rsidRPr="00842AEC">
              <w:rPr>
                <w:rFonts w:ascii="Barlow" w:hAnsi="Barlow" w:cs="Arial"/>
                <w:color w:val="000000"/>
                <w:sz w:val="20"/>
                <w:szCs w:val="20"/>
              </w:rPr>
              <w:t>MOBILIARIO Y EQUIPO EDUCACIONAL Y RECREATIVO</w:t>
            </w:r>
          </w:p>
        </w:tc>
        <w:tc>
          <w:tcPr>
            <w:tcW w:w="1368" w:type="dxa"/>
            <w:gridSpan w:val="8"/>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842AEC" w:rsidRPr="00842AEC" w:rsidRDefault="00842AEC" w:rsidP="00842AEC">
            <w:pPr>
              <w:spacing w:after="0" w:line="240" w:lineRule="auto"/>
              <w:jc w:val="right"/>
              <w:rPr>
                <w:rFonts w:ascii="Barlow" w:hAnsi="Barlow"/>
                <w:sz w:val="20"/>
                <w:szCs w:val="20"/>
              </w:rPr>
            </w:pPr>
            <w:r w:rsidRPr="00842AEC">
              <w:rPr>
                <w:rFonts w:ascii="Barlow" w:hAnsi="Barlow" w:cs="Arial"/>
                <w:color w:val="000000"/>
                <w:sz w:val="20"/>
                <w:szCs w:val="20"/>
              </w:rPr>
              <w:t>$0.00</w:t>
            </w:r>
          </w:p>
        </w:tc>
        <w:tc>
          <w:tcPr>
            <w:tcW w:w="157" w:type="dxa"/>
          </w:tcPr>
          <w:p w:rsidR="00842AEC" w:rsidRPr="00842AEC" w:rsidRDefault="00842AEC" w:rsidP="00842AEC">
            <w:pPr>
              <w:rPr>
                <w:rFonts w:ascii="Barlow" w:hAnsi="Barlow"/>
                <w:sz w:val="20"/>
                <w:szCs w:val="20"/>
              </w:rPr>
            </w:pPr>
          </w:p>
        </w:tc>
        <w:tc>
          <w:tcPr>
            <w:tcW w:w="200" w:type="dxa"/>
            <w:gridSpan w:val="3"/>
          </w:tcPr>
          <w:p w:rsidR="00842AEC" w:rsidRPr="00842AEC" w:rsidRDefault="00842AEC" w:rsidP="00842AEC">
            <w:pPr>
              <w:rPr>
                <w:rFonts w:ascii="Barlow" w:hAnsi="Barlow"/>
                <w:sz w:val="20"/>
                <w:szCs w:val="20"/>
              </w:rPr>
            </w:pPr>
          </w:p>
        </w:tc>
      </w:tr>
      <w:tr w:rsidR="00842AEC" w:rsidRPr="00842AEC" w:rsidTr="00F2067F">
        <w:trPr>
          <w:gridBefore w:val="1"/>
          <w:gridAfter w:val="1"/>
          <w:wBefore w:w="20" w:type="dxa"/>
          <w:wAfter w:w="609" w:type="dxa"/>
          <w:trHeight w:hRule="exact" w:val="289"/>
          <w:jc w:val="center"/>
        </w:trPr>
        <w:tc>
          <w:tcPr>
            <w:tcW w:w="6904" w:type="dxa"/>
            <w:gridSpan w:val="9"/>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842AEC" w:rsidRPr="00842AEC" w:rsidRDefault="00842AEC" w:rsidP="00842AEC">
            <w:pPr>
              <w:spacing w:after="0" w:line="240" w:lineRule="auto"/>
              <w:rPr>
                <w:rFonts w:ascii="Barlow" w:hAnsi="Barlow"/>
                <w:sz w:val="20"/>
                <w:szCs w:val="20"/>
              </w:rPr>
            </w:pPr>
            <w:r w:rsidRPr="00842AEC">
              <w:rPr>
                <w:rFonts w:ascii="Barlow" w:hAnsi="Barlow" w:cs="Arial"/>
                <w:color w:val="000000"/>
                <w:sz w:val="20"/>
                <w:szCs w:val="20"/>
              </w:rPr>
              <w:t>EQUIPO E INSTRUMENTAL MÉDICO Y DE LABORATORIO</w:t>
            </w:r>
          </w:p>
        </w:tc>
        <w:tc>
          <w:tcPr>
            <w:tcW w:w="1368" w:type="dxa"/>
            <w:gridSpan w:val="8"/>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842AEC" w:rsidRPr="00842AEC" w:rsidRDefault="00842AEC" w:rsidP="00842AEC">
            <w:pPr>
              <w:spacing w:after="0" w:line="240" w:lineRule="auto"/>
              <w:jc w:val="right"/>
              <w:rPr>
                <w:rFonts w:ascii="Barlow" w:hAnsi="Barlow"/>
                <w:sz w:val="20"/>
                <w:szCs w:val="20"/>
              </w:rPr>
            </w:pPr>
            <w:r w:rsidRPr="00842AEC">
              <w:rPr>
                <w:rFonts w:ascii="Barlow" w:hAnsi="Barlow" w:cs="Arial"/>
                <w:color w:val="000000"/>
                <w:sz w:val="20"/>
                <w:szCs w:val="20"/>
              </w:rPr>
              <w:t>$0.00</w:t>
            </w:r>
          </w:p>
        </w:tc>
        <w:tc>
          <w:tcPr>
            <w:tcW w:w="157" w:type="dxa"/>
          </w:tcPr>
          <w:p w:rsidR="00842AEC" w:rsidRPr="00842AEC" w:rsidRDefault="00842AEC" w:rsidP="00842AEC">
            <w:pPr>
              <w:rPr>
                <w:rFonts w:ascii="Barlow" w:hAnsi="Barlow"/>
                <w:sz w:val="20"/>
                <w:szCs w:val="20"/>
              </w:rPr>
            </w:pPr>
          </w:p>
        </w:tc>
        <w:tc>
          <w:tcPr>
            <w:tcW w:w="200" w:type="dxa"/>
            <w:gridSpan w:val="3"/>
          </w:tcPr>
          <w:p w:rsidR="00842AEC" w:rsidRPr="00842AEC" w:rsidRDefault="00842AEC" w:rsidP="00842AEC">
            <w:pPr>
              <w:rPr>
                <w:rFonts w:ascii="Barlow" w:hAnsi="Barlow"/>
                <w:sz w:val="20"/>
                <w:szCs w:val="20"/>
              </w:rPr>
            </w:pPr>
          </w:p>
        </w:tc>
      </w:tr>
      <w:tr w:rsidR="00842AEC" w:rsidRPr="00842AEC" w:rsidTr="00F2067F">
        <w:trPr>
          <w:gridBefore w:val="1"/>
          <w:gridAfter w:val="1"/>
          <w:wBefore w:w="20" w:type="dxa"/>
          <w:wAfter w:w="609" w:type="dxa"/>
          <w:trHeight w:hRule="exact" w:val="289"/>
          <w:jc w:val="center"/>
        </w:trPr>
        <w:tc>
          <w:tcPr>
            <w:tcW w:w="6904" w:type="dxa"/>
            <w:gridSpan w:val="9"/>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842AEC" w:rsidRPr="00842AEC" w:rsidRDefault="00842AEC" w:rsidP="00842AEC">
            <w:pPr>
              <w:spacing w:after="0" w:line="240" w:lineRule="auto"/>
              <w:rPr>
                <w:rFonts w:ascii="Barlow" w:hAnsi="Barlow"/>
                <w:sz w:val="20"/>
                <w:szCs w:val="20"/>
              </w:rPr>
            </w:pPr>
            <w:r w:rsidRPr="00842AEC">
              <w:rPr>
                <w:rFonts w:ascii="Barlow" w:hAnsi="Barlow" w:cs="Arial"/>
                <w:color w:val="000000"/>
                <w:sz w:val="20"/>
                <w:szCs w:val="20"/>
              </w:rPr>
              <w:t>VEHÍCULOS Y EQUIPO DE TRANSPORTE</w:t>
            </w:r>
          </w:p>
        </w:tc>
        <w:tc>
          <w:tcPr>
            <w:tcW w:w="1368" w:type="dxa"/>
            <w:gridSpan w:val="8"/>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842AEC" w:rsidRPr="00842AEC" w:rsidRDefault="00842AEC" w:rsidP="00842AEC">
            <w:pPr>
              <w:spacing w:after="0" w:line="240" w:lineRule="auto"/>
              <w:jc w:val="right"/>
              <w:rPr>
                <w:rFonts w:ascii="Barlow" w:hAnsi="Barlow"/>
                <w:sz w:val="20"/>
                <w:szCs w:val="20"/>
              </w:rPr>
            </w:pPr>
            <w:r w:rsidRPr="00842AEC">
              <w:rPr>
                <w:rFonts w:ascii="Barlow" w:hAnsi="Barlow" w:cs="Arial"/>
                <w:color w:val="000000"/>
                <w:sz w:val="20"/>
                <w:szCs w:val="20"/>
              </w:rPr>
              <w:t>$0.00</w:t>
            </w:r>
          </w:p>
        </w:tc>
        <w:tc>
          <w:tcPr>
            <w:tcW w:w="157" w:type="dxa"/>
          </w:tcPr>
          <w:p w:rsidR="00842AEC" w:rsidRPr="00842AEC" w:rsidRDefault="00842AEC" w:rsidP="00842AEC">
            <w:pPr>
              <w:rPr>
                <w:rFonts w:ascii="Barlow" w:hAnsi="Barlow"/>
                <w:sz w:val="20"/>
                <w:szCs w:val="20"/>
              </w:rPr>
            </w:pPr>
          </w:p>
        </w:tc>
        <w:tc>
          <w:tcPr>
            <w:tcW w:w="200" w:type="dxa"/>
            <w:gridSpan w:val="3"/>
          </w:tcPr>
          <w:p w:rsidR="00842AEC" w:rsidRPr="00842AEC" w:rsidRDefault="00842AEC" w:rsidP="00842AEC">
            <w:pPr>
              <w:rPr>
                <w:rFonts w:ascii="Barlow" w:hAnsi="Barlow"/>
                <w:sz w:val="20"/>
                <w:szCs w:val="20"/>
              </w:rPr>
            </w:pPr>
          </w:p>
        </w:tc>
      </w:tr>
      <w:tr w:rsidR="00842AEC" w:rsidRPr="00842AEC" w:rsidTr="00F2067F">
        <w:trPr>
          <w:gridBefore w:val="1"/>
          <w:gridAfter w:val="1"/>
          <w:wBefore w:w="20" w:type="dxa"/>
          <w:wAfter w:w="609" w:type="dxa"/>
          <w:trHeight w:hRule="exact" w:val="289"/>
          <w:jc w:val="center"/>
        </w:trPr>
        <w:tc>
          <w:tcPr>
            <w:tcW w:w="6904" w:type="dxa"/>
            <w:gridSpan w:val="9"/>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842AEC" w:rsidRPr="00842AEC" w:rsidRDefault="00842AEC" w:rsidP="00842AEC">
            <w:pPr>
              <w:spacing w:after="0" w:line="240" w:lineRule="auto"/>
              <w:rPr>
                <w:rFonts w:ascii="Barlow" w:hAnsi="Barlow"/>
                <w:sz w:val="20"/>
                <w:szCs w:val="20"/>
              </w:rPr>
            </w:pPr>
            <w:r w:rsidRPr="00842AEC">
              <w:rPr>
                <w:rFonts w:ascii="Barlow" w:hAnsi="Barlow" w:cs="Arial"/>
                <w:color w:val="000000"/>
                <w:sz w:val="20"/>
                <w:szCs w:val="20"/>
              </w:rPr>
              <w:t>EQUIPO DE DEFENSA Y SEGURIDAD</w:t>
            </w:r>
          </w:p>
        </w:tc>
        <w:tc>
          <w:tcPr>
            <w:tcW w:w="1368" w:type="dxa"/>
            <w:gridSpan w:val="8"/>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842AEC" w:rsidRPr="00842AEC" w:rsidRDefault="00842AEC" w:rsidP="00842AEC">
            <w:pPr>
              <w:spacing w:after="0" w:line="240" w:lineRule="auto"/>
              <w:jc w:val="right"/>
              <w:rPr>
                <w:rFonts w:ascii="Barlow" w:hAnsi="Barlow"/>
                <w:sz w:val="20"/>
                <w:szCs w:val="20"/>
              </w:rPr>
            </w:pPr>
            <w:r w:rsidRPr="00842AEC">
              <w:rPr>
                <w:rFonts w:ascii="Barlow" w:hAnsi="Barlow" w:cs="Arial"/>
                <w:color w:val="000000"/>
                <w:sz w:val="20"/>
                <w:szCs w:val="20"/>
              </w:rPr>
              <w:t>$0.00</w:t>
            </w:r>
          </w:p>
        </w:tc>
        <w:tc>
          <w:tcPr>
            <w:tcW w:w="157" w:type="dxa"/>
          </w:tcPr>
          <w:p w:rsidR="00842AEC" w:rsidRPr="00842AEC" w:rsidRDefault="00842AEC" w:rsidP="00842AEC">
            <w:pPr>
              <w:rPr>
                <w:rFonts w:ascii="Barlow" w:hAnsi="Barlow"/>
                <w:sz w:val="20"/>
                <w:szCs w:val="20"/>
              </w:rPr>
            </w:pPr>
          </w:p>
        </w:tc>
        <w:tc>
          <w:tcPr>
            <w:tcW w:w="200" w:type="dxa"/>
            <w:gridSpan w:val="3"/>
          </w:tcPr>
          <w:p w:rsidR="00842AEC" w:rsidRPr="00842AEC" w:rsidRDefault="00842AEC" w:rsidP="00842AEC">
            <w:pPr>
              <w:rPr>
                <w:rFonts w:ascii="Barlow" w:hAnsi="Barlow"/>
                <w:sz w:val="20"/>
                <w:szCs w:val="20"/>
              </w:rPr>
            </w:pPr>
          </w:p>
        </w:tc>
      </w:tr>
      <w:tr w:rsidR="00842AEC" w:rsidRPr="00842AEC" w:rsidTr="00F2067F">
        <w:trPr>
          <w:gridBefore w:val="1"/>
          <w:gridAfter w:val="1"/>
          <w:wBefore w:w="20" w:type="dxa"/>
          <w:wAfter w:w="609" w:type="dxa"/>
          <w:trHeight w:hRule="exact" w:val="289"/>
          <w:jc w:val="center"/>
        </w:trPr>
        <w:tc>
          <w:tcPr>
            <w:tcW w:w="6904" w:type="dxa"/>
            <w:gridSpan w:val="9"/>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842AEC" w:rsidRPr="00842AEC" w:rsidRDefault="00842AEC" w:rsidP="00842AEC">
            <w:pPr>
              <w:spacing w:after="0" w:line="240" w:lineRule="auto"/>
              <w:rPr>
                <w:rFonts w:ascii="Barlow" w:hAnsi="Barlow"/>
                <w:sz w:val="20"/>
                <w:szCs w:val="20"/>
              </w:rPr>
            </w:pPr>
            <w:r w:rsidRPr="00842AEC">
              <w:rPr>
                <w:rFonts w:ascii="Barlow" w:hAnsi="Barlow" w:cs="Arial"/>
                <w:color w:val="000000"/>
                <w:sz w:val="20"/>
                <w:szCs w:val="20"/>
              </w:rPr>
              <w:t>MAQUINARIA, OTROS EQUIPOS Y HERRAMIENTAS</w:t>
            </w:r>
          </w:p>
        </w:tc>
        <w:tc>
          <w:tcPr>
            <w:tcW w:w="1368" w:type="dxa"/>
            <w:gridSpan w:val="8"/>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842AEC" w:rsidRPr="00842AEC" w:rsidRDefault="00842AEC" w:rsidP="00842AEC">
            <w:pPr>
              <w:spacing w:after="0" w:line="240" w:lineRule="auto"/>
              <w:jc w:val="right"/>
              <w:rPr>
                <w:rFonts w:ascii="Barlow" w:hAnsi="Barlow"/>
                <w:sz w:val="20"/>
                <w:szCs w:val="20"/>
              </w:rPr>
            </w:pPr>
            <w:r w:rsidRPr="00842AEC">
              <w:rPr>
                <w:rFonts w:ascii="Barlow" w:hAnsi="Barlow" w:cs="Arial"/>
                <w:color w:val="000000"/>
                <w:sz w:val="20"/>
                <w:szCs w:val="20"/>
              </w:rPr>
              <w:t>$0.00</w:t>
            </w:r>
          </w:p>
        </w:tc>
        <w:tc>
          <w:tcPr>
            <w:tcW w:w="157" w:type="dxa"/>
          </w:tcPr>
          <w:p w:rsidR="00842AEC" w:rsidRPr="00842AEC" w:rsidRDefault="00842AEC" w:rsidP="00842AEC">
            <w:pPr>
              <w:rPr>
                <w:rFonts w:ascii="Barlow" w:hAnsi="Barlow"/>
                <w:sz w:val="20"/>
                <w:szCs w:val="20"/>
              </w:rPr>
            </w:pPr>
          </w:p>
        </w:tc>
        <w:tc>
          <w:tcPr>
            <w:tcW w:w="200" w:type="dxa"/>
            <w:gridSpan w:val="3"/>
          </w:tcPr>
          <w:p w:rsidR="00842AEC" w:rsidRPr="00842AEC" w:rsidRDefault="00842AEC" w:rsidP="00842AEC">
            <w:pPr>
              <w:rPr>
                <w:rFonts w:ascii="Barlow" w:hAnsi="Barlow"/>
                <w:sz w:val="20"/>
                <w:szCs w:val="20"/>
              </w:rPr>
            </w:pPr>
          </w:p>
        </w:tc>
      </w:tr>
      <w:tr w:rsidR="00842AEC" w:rsidRPr="00842AEC" w:rsidTr="00F2067F">
        <w:trPr>
          <w:gridBefore w:val="1"/>
          <w:gridAfter w:val="1"/>
          <w:wBefore w:w="20" w:type="dxa"/>
          <w:wAfter w:w="609" w:type="dxa"/>
          <w:trHeight w:hRule="exact" w:val="289"/>
          <w:jc w:val="center"/>
        </w:trPr>
        <w:tc>
          <w:tcPr>
            <w:tcW w:w="6904" w:type="dxa"/>
            <w:gridSpan w:val="9"/>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842AEC" w:rsidRPr="00842AEC" w:rsidRDefault="00842AEC" w:rsidP="00842AEC">
            <w:pPr>
              <w:spacing w:after="0" w:line="240" w:lineRule="auto"/>
              <w:rPr>
                <w:rFonts w:ascii="Barlow" w:hAnsi="Barlow"/>
                <w:sz w:val="20"/>
                <w:szCs w:val="20"/>
              </w:rPr>
            </w:pPr>
            <w:r w:rsidRPr="00842AEC">
              <w:rPr>
                <w:rFonts w:ascii="Barlow" w:hAnsi="Barlow" w:cs="Arial"/>
                <w:color w:val="000000"/>
                <w:sz w:val="20"/>
                <w:szCs w:val="20"/>
              </w:rPr>
              <w:t>ACTIVOS BIOLÓGICOS</w:t>
            </w:r>
          </w:p>
        </w:tc>
        <w:tc>
          <w:tcPr>
            <w:tcW w:w="1368" w:type="dxa"/>
            <w:gridSpan w:val="8"/>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842AEC" w:rsidRPr="00842AEC" w:rsidRDefault="00842AEC" w:rsidP="00842AEC">
            <w:pPr>
              <w:spacing w:after="0" w:line="240" w:lineRule="auto"/>
              <w:jc w:val="right"/>
              <w:rPr>
                <w:rFonts w:ascii="Barlow" w:hAnsi="Barlow"/>
                <w:sz w:val="20"/>
                <w:szCs w:val="20"/>
              </w:rPr>
            </w:pPr>
            <w:r w:rsidRPr="00842AEC">
              <w:rPr>
                <w:rFonts w:ascii="Barlow" w:hAnsi="Barlow" w:cs="Arial"/>
                <w:color w:val="000000"/>
                <w:sz w:val="20"/>
                <w:szCs w:val="20"/>
              </w:rPr>
              <w:t>$0.00</w:t>
            </w:r>
          </w:p>
        </w:tc>
        <w:tc>
          <w:tcPr>
            <w:tcW w:w="157" w:type="dxa"/>
          </w:tcPr>
          <w:p w:rsidR="00842AEC" w:rsidRPr="00842AEC" w:rsidRDefault="00842AEC" w:rsidP="00842AEC">
            <w:pPr>
              <w:rPr>
                <w:rFonts w:ascii="Barlow" w:hAnsi="Barlow"/>
                <w:sz w:val="20"/>
                <w:szCs w:val="20"/>
              </w:rPr>
            </w:pPr>
          </w:p>
        </w:tc>
        <w:tc>
          <w:tcPr>
            <w:tcW w:w="200" w:type="dxa"/>
            <w:gridSpan w:val="3"/>
          </w:tcPr>
          <w:p w:rsidR="00842AEC" w:rsidRPr="00842AEC" w:rsidRDefault="00842AEC" w:rsidP="00842AEC">
            <w:pPr>
              <w:rPr>
                <w:rFonts w:ascii="Barlow" w:hAnsi="Barlow"/>
                <w:sz w:val="20"/>
                <w:szCs w:val="20"/>
              </w:rPr>
            </w:pPr>
          </w:p>
        </w:tc>
      </w:tr>
      <w:tr w:rsidR="00842AEC" w:rsidRPr="00842AEC" w:rsidTr="00F2067F">
        <w:trPr>
          <w:gridBefore w:val="1"/>
          <w:gridAfter w:val="1"/>
          <w:wBefore w:w="20" w:type="dxa"/>
          <w:wAfter w:w="609" w:type="dxa"/>
          <w:trHeight w:hRule="exact" w:val="289"/>
          <w:jc w:val="center"/>
        </w:trPr>
        <w:tc>
          <w:tcPr>
            <w:tcW w:w="6904" w:type="dxa"/>
            <w:gridSpan w:val="9"/>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842AEC" w:rsidRPr="00842AEC" w:rsidRDefault="00842AEC" w:rsidP="00842AEC">
            <w:pPr>
              <w:spacing w:after="0" w:line="240" w:lineRule="auto"/>
              <w:rPr>
                <w:rFonts w:ascii="Barlow" w:hAnsi="Barlow"/>
                <w:sz w:val="20"/>
                <w:szCs w:val="20"/>
              </w:rPr>
            </w:pPr>
            <w:r w:rsidRPr="00842AEC">
              <w:rPr>
                <w:rFonts w:ascii="Barlow" w:hAnsi="Barlow" w:cs="Arial"/>
                <w:color w:val="000000"/>
                <w:sz w:val="20"/>
                <w:szCs w:val="20"/>
              </w:rPr>
              <w:t>BIENES INMUEBLES</w:t>
            </w:r>
          </w:p>
        </w:tc>
        <w:tc>
          <w:tcPr>
            <w:tcW w:w="1368" w:type="dxa"/>
            <w:gridSpan w:val="8"/>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842AEC" w:rsidRPr="00842AEC" w:rsidRDefault="00842AEC" w:rsidP="00842AEC">
            <w:pPr>
              <w:spacing w:after="0" w:line="240" w:lineRule="auto"/>
              <w:jc w:val="right"/>
              <w:rPr>
                <w:rFonts w:ascii="Barlow" w:hAnsi="Barlow"/>
                <w:sz w:val="20"/>
                <w:szCs w:val="20"/>
              </w:rPr>
            </w:pPr>
            <w:r w:rsidRPr="00842AEC">
              <w:rPr>
                <w:rFonts w:ascii="Barlow" w:hAnsi="Barlow" w:cs="Arial"/>
                <w:color w:val="000000"/>
                <w:sz w:val="20"/>
                <w:szCs w:val="20"/>
              </w:rPr>
              <w:t>$0.00</w:t>
            </w:r>
          </w:p>
        </w:tc>
        <w:tc>
          <w:tcPr>
            <w:tcW w:w="157" w:type="dxa"/>
          </w:tcPr>
          <w:p w:rsidR="00842AEC" w:rsidRPr="00842AEC" w:rsidRDefault="00842AEC" w:rsidP="00842AEC">
            <w:pPr>
              <w:rPr>
                <w:rFonts w:ascii="Barlow" w:hAnsi="Barlow"/>
                <w:sz w:val="20"/>
                <w:szCs w:val="20"/>
              </w:rPr>
            </w:pPr>
          </w:p>
        </w:tc>
        <w:tc>
          <w:tcPr>
            <w:tcW w:w="200" w:type="dxa"/>
            <w:gridSpan w:val="3"/>
          </w:tcPr>
          <w:p w:rsidR="00842AEC" w:rsidRPr="00842AEC" w:rsidRDefault="00842AEC" w:rsidP="00842AEC">
            <w:pPr>
              <w:rPr>
                <w:rFonts w:ascii="Barlow" w:hAnsi="Barlow"/>
                <w:sz w:val="20"/>
                <w:szCs w:val="20"/>
              </w:rPr>
            </w:pPr>
          </w:p>
        </w:tc>
      </w:tr>
      <w:tr w:rsidR="00842AEC" w:rsidRPr="00842AEC" w:rsidTr="00F2067F">
        <w:trPr>
          <w:gridBefore w:val="1"/>
          <w:gridAfter w:val="1"/>
          <w:wBefore w:w="20" w:type="dxa"/>
          <w:wAfter w:w="609" w:type="dxa"/>
          <w:trHeight w:hRule="exact" w:val="289"/>
          <w:jc w:val="center"/>
        </w:trPr>
        <w:tc>
          <w:tcPr>
            <w:tcW w:w="6904" w:type="dxa"/>
            <w:gridSpan w:val="9"/>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842AEC" w:rsidRPr="00842AEC" w:rsidRDefault="00842AEC" w:rsidP="00842AEC">
            <w:pPr>
              <w:spacing w:after="0" w:line="240" w:lineRule="auto"/>
              <w:rPr>
                <w:rFonts w:ascii="Barlow" w:hAnsi="Barlow"/>
                <w:sz w:val="20"/>
                <w:szCs w:val="20"/>
              </w:rPr>
            </w:pPr>
            <w:r w:rsidRPr="00842AEC">
              <w:rPr>
                <w:rFonts w:ascii="Barlow" w:hAnsi="Barlow" w:cs="Arial"/>
                <w:color w:val="000000"/>
                <w:sz w:val="20"/>
                <w:szCs w:val="20"/>
              </w:rPr>
              <w:t>ACTIVOS INTANGIBLES</w:t>
            </w:r>
          </w:p>
        </w:tc>
        <w:tc>
          <w:tcPr>
            <w:tcW w:w="1368" w:type="dxa"/>
            <w:gridSpan w:val="8"/>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842AEC" w:rsidRPr="00842AEC" w:rsidRDefault="00842AEC" w:rsidP="00842AEC">
            <w:pPr>
              <w:spacing w:after="0" w:line="240" w:lineRule="auto"/>
              <w:jc w:val="right"/>
              <w:rPr>
                <w:rFonts w:ascii="Barlow" w:hAnsi="Barlow"/>
                <w:sz w:val="20"/>
                <w:szCs w:val="20"/>
              </w:rPr>
            </w:pPr>
            <w:r w:rsidRPr="00842AEC">
              <w:rPr>
                <w:rFonts w:ascii="Barlow" w:hAnsi="Barlow" w:cs="Arial"/>
                <w:color w:val="000000"/>
                <w:sz w:val="20"/>
                <w:szCs w:val="20"/>
              </w:rPr>
              <w:t>$0.00</w:t>
            </w:r>
          </w:p>
        </w:tc>
        <w:tc>
          <w:tcPr>
            <w:tcW w:w="157" w:type="dxa"/>
          </w:tcPr>
          <w:p w:rsidR="00842AEC" w:rsidRPr="00842AEC" w:rsidRDefault="00842AEC" w:rsidP="00842AEC">
            <w:pPr>
              <w:rPr>
                <w:rFonts w:ascii="Barlow" w:hAnsi="Barlow"/>
                <w:sz w:val="20"/>
                <w:szCs w:val="20"/>
              </w:rPr>
            </w:pPr>
          </w:p>
        </w:tc>
        <w:tc>
          <w:tcPr>
            <w:tcW w:w="200" w:type="dxa"/>
            <w:gridSpan w:val="3"/>
          </w:tcPr>
          <w:p w:rsidR="00842AEC" w:rsidRPr="00842AEC" w:rsidRDefault="00842AEC" w:rsidP="00842AEC">
            <w:pPr>
              <w:rPr>
                <w:rFonts w:ascii="Barlow" w:hAnsi="Barlow"/>
                <w:sz w:val="20"/>
                <w:szCs w:val="20"/>
              </w:rPr>
            </w:pPr>
          </w:p>
        </w:tc>
      </w:tr>
      <w:tr w:rsidR="00842AEC" w:rsidRPr="00842AEC" w:rsidTr="00F2067F">
        <w:trPr>
          <w:gridBefore w:val="1"/>
          <w:gridAfter w:val="1"/>
          <w:wBefore w:w="20" w:type="dxa"/>
          <w:wAfter w:w="609" w:type="dxa"/>
          <w:trHeight w:hRule="exact" w:val="289"/>
          <w:jc w:val="center"/>
        </w:trPr>
        <w:tc>
          <w:tcPr>
            <w:tcW w:w="6904" w:type="dxa"/>
            <w:gridSpan w:val="9"/>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842AEC" w:rsidRPr="00842AEC" w:rsidRDefault="00842AEC" w:rsidP="00842AEC">
            <w:pPr>
              <w:spacing w:after="0" w:line="240" w:lineRule="auto"/>
              <w:rPr>
                <w:rFonts w:ascii="Barlow" w:hAnsi="Barlow"/>
                <w:sz w:val="20"/>
                <w:szCs w:val="20"/>
              </w:rPr>
            </w:pPr>
            <w:r w:rsidRPr="00842AEC">
              <w:rPr>
                <w:rFonts w:ascii="Barlow" w:hAnsi="Barlow" w:cs="Arial"/>
                <w:color w:val="000000"/>
                <w:sz w:val="20"/>
                <w:szCs w:val="20"/>
              </w:rPr>
              <w:t>OBRA PÚBLICA EN BIENES PROPIOS</w:t>
            </w:r>
          </w:p>
        </w:tc>
        <w:tc>
          <w:tcPr>
            <w:tcW w:w="1368" w:type="dxa"/>
            <w:gridSpan w:val="8"/>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842AEC" w:rsidRPr="00842AEC" w:rsidRDefault="00842AEC" w:rsidP="00842AEC">
            <w:pPr>
              <w:spacing w:after="0" w:line="240" w:lineRule="auto"/>
              <w:jc w:val="right"/>
              <w:rPr>
                <w:rFonts w:ascii="Barlow" w:hAnsi="Barlow"/>
                <w:sz w:val="20"/>
                <w:szCs w:val="20"/>
              </w:rPr>
            </w:pPr>
            <w:r w:rsidRPr="00842AEC">
              <w:rPr>
                <w:rFonts w:ascii="Barlow" w:hAnsi="Barlow" w:cs="Arial"/>
                <w:color w:val="000000"/>
                <w:sz w:val="20"/>
                <w:szCs w:val="20"/>
              </w:rPr>
              <w:t>$0.00</w:t>
            </w:r>
          </w:p>
        </w:tc>
        <w:tc>
          <w:tcPr>
            <w:tcW w:w="157" w:type="dxa"/>
          </w:tcPr>
          <w:p w:rsidR="00842AEC" w:rsidRPr="00842AEC" w:rsidRDefault="00842AEC" w:rsidP="00842AEC">
            <w:pPr>
              <w:rPr>
                <w:rFonts w:ascii="Barlow" w:hAnsi="Barlow"/>
                <w:sz w:val="20"/>
                <w:szCs w:val="20"/>
              </w:rPr>
            </w:pPr>
          </w:p>
        </w:tc>
        <w:tc>
          <w:tcPr>
            <w:tcW w:w="200" w:type="dxa"/>
            <w:gridSpan w:val="3"/>
          </w:tcPr>
          <w:p w:rsidR="00842AEC" w:rsidRPr="00842AEC" w:rsidRDefault="00842AEC" w:rsidP="00842AEC">
            <w:pPr>
              <w:rPr>
                <w:rFonts w:ascii="Barlow" w:hAnsi="Barlow"/>
                <w:sz w:val="20"/>
                <w:szCs w:val="20"/>
              </w:rPr>
            </w:pPr>
          </w:p>
        </w:tc>
      </w:tr>
      <w:tr w:rsidR="00842AEC" w:rsidRPr="00842AEC" w:rsidTr="00F2067F">
        <w:trPr>
          <w:gridBefore w:val="1"/>
          <w:gridAfter w:val="1"/>
          <w:wBefore w:w="20" w:type="dxa"/>
          <w:wAfter w:w="609" w:type="dxa"/>
          <w:trHeight w:hRule="exact" w:val="289"/>
          <w:jc w:val="center"/>
        </w:trPr>
        <w:tc>
          <w:tcPr>
            <w:tcW w:w="6904" w:type="dxa"/>
            <w:gridSpan w:val="9"/>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842AEC" w:rsidRPr="00842AEC" w:rsidRDefault="00842AEC" w:rsidP="00842AEC">
            <w:pPr>
              <w:spacing w:after="0" w:line="240" w:lineRule="auto"/>
              <w:rPr>
                <w:rFonts w:ascii="Barlow" w:hAnsi="Barlow"/>
                <w:sz w:val="20"/>
                <w:szCs w:val="20"/>
              </w:rPr>
            </w:pPr>
            <w:r w:rsidRPr="00842AEC">
              <w:rPr>
                <w:rFonts w:ascii="Barlow" w:hAnsi="Barlow" w:cs="Arial"/>
                <w:color w:val="000000"/>
                <w:sz w:val="20"/>
                <w:szCs w:val="20"/>
              </w:rPr>
              <w:t>ACCIONES Y PARTICIPACIONES DE CAPITAL</w:t>
            </w:r>
          </w:p>
        </w:tc>
        <w:tc>
          <w:tcPr>
            <w:tcW w:w="1368" w:type="dxa"/>
            <w:gridSpan w:val="8"/>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842AEC" w:rsidRPr="00842AEC" w:rsidRDefault="00842AEC" w:rsidP="00842AEC">
            <w:pPr>
              <w:spacing w:after="0" w:line="240" w:lineRule="auto"/>
              <w:jc w:val="right"/>
              <w:rPr>
                <w:rFonts w:ascii="Barlow" w:hAnsi="Barlow"/>
                <w:sz w:val="20"/>
                <w:szCs w:val="20"/>
              </w:rPr>
            </w:pPr>
            <w:r w:rsidRPr="00842AEC">
              <w:rPr>
                <w:rFonts w:ascii="Barlow" w:hAnsi="Barlow" w:cs="Arial"/>
                <w:color w:val="000000"/>
                <w:sz w:val="20"/>
                <w:szCs w:val="20"/>
              </w:rPr>
              <w:t>$0.00</w:t>
            </w:r>
          </w:p>
        </w:tc>
        <w:tc>
          <w:tcPr>
            <w:tcW w:w="157" w:type="dxa"/>
          </w:tcPr>
          <w:p w:rsidR="00842AEC" w:rsidRPr="00842AEC" w:rsidRDefault="00842AEC" w:rsidP="00842AEC">
            <w:pPr>
              <w:rPr>
                <w:rFonts w:ascii="Barlow" w:hAnsi="Barlow"/>
                <w:sz w:val="20"/>
                <w:szCs w:val="20"/>
              </w:rPr>
            </w:pPr>
          </w:p>
        </w:tc>
        <w:tc>
          <w:tcPr>
            <w:tcW w:w="200" w:type="dxa"/>
            <w:gridSpan w:val="3"/>
          </w:tcPr>
          <w:p w:rsidR="00842AEC" w:rsidRPr="00842AEC" w:rsidRDefault="00842AEC" w:rsidP="00842AEC">
            <w:pPr>
              <w:rPr>
                <w:rFonts w:ascii="Barlow" w:hAnsi="Barlow"/>
                <w:sz w:val="20"/>
                <w:szCs w:val="20"/>
              </w:rPr>
            </w:pPr>
          </w:p>
        </w:tc>
      </w:tr>
      <w:tr w:rsidR="00842AEC" w:rsidRPr="00842AEC" w:rsidTr="00F2067F">
        <w:trPr>
          <w:gridBefore w:val="1"/>
          <w:gridAfter w:val="1"/>
          <w:wBefore w:w="20" w:type="dxa"/>
          <w:wAfter w:w="609" w:type="dxa"/>
          <w:trHeight w:hRule="exact" w:val="289"/>
          <w:jc w:val="center"/>
        </w:trPr>
        <w:tc>
          <w:tcPr>
            <w:tcW w:w="6904" w:type="dxa"/>
            <w:gridSpan w:val="9"/>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842AEC" w:rsidRPr="00842AEC" w:rsidRDefault="00842AEC" w:rsidP="00842AEC">
            <w:pPr>
              <w:spacing w:after="0" w:line="240" w:lineRule="auto"/>
              <w:rPr>
                <w:rFonts w:ascii="Barlow" w:hAnsi="Barlow"/>
                <w:sz w:val="20"/>
                <w:szCs w:val="20"/>
              </w:rPr>
            </w:pPr>
            <w:r w:rsidRPr="00842AEC">
              <w:rPr>
                <w:rFonts w:ascii="Barlow" w:hAnsi="Barlow" w:cs="Arial"/>
                <w:color w:val="000000"/>
                <w:sz w:val="20"/>
                <w:szCs w:val="20"/>
              </w:rPr>
              <w:t>COMPRA DE TÍTULOS Y VALORES</w:t>
            </w:r>
          </w:p>
        </w:tc>
        <w:tc>
          <w:tcPr>
            <w:tcW w:w="1368" w:type="dxa"/>
            <w:gridSpan w:val="8"/>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842AEC" w:rsidRPr="00842AEC" w:rsidRDefault="00842AEC" w:rsidP="00842AEC">
            <w:pPr>
              <w:spacing w:after="0" w:line="240" w:lineRule="auto"/>
              <w:jc w:val="right"/>
              <w:rPr>
                <w:rFonts w:ascii="Barlow" w:hAnsi="Barlow"/>
                <w:sz w:val="20"/>
                <w:szCs w:val="20"/>
              </w:rPr>
            </w:pPr>
            <w:r w:rsidRPr="00842AEC">
              <w:rPr>
                <w:rFonts w:ascii="Barlow" w:hAnsi="Barlow" w:cs="Arial"/>
                <w:color w:val="000000"/>
                <w:sz w:val="20"/>
                <w:szCs w:val="20"/>
              </w:rPr>
              <w:t>$0.00</w:t>
            </w:r>
          </w:p>
        </w:tc>
        <w:tc>
          <w:tcPr>
            <w:tcW w:w="157" w:type="dxa"/>
          </w:tcPr>
          <w:p w:rsidR="00842AEC" w:rsidRPr="00842AEC" w:rsidRDefault="00842AEC" w:rsidP="00842AEC">
            <w:pPr>
              <w:rPr>
                <w:rFonts w:ascii="Barlow" w:hAnsi="Barlow"/>
                <w:sz w:val="20"/>
                <w:szCs w:val="20"/>
              </w:rPr>
            </w:pPr>
          </w:p>
        </w:tc>
        <w:tc>
          <w:tcPr>
            <w:tcW w:w="200" w:type="dxa"/>
            <w:gridSpan w:val="3"/>
          </w:tcPr>
          <w:p w:rsidR="00842AEC" w:rsidRPr="00842AEC" w:rsidRDefault="00842AEC" w:rsidP="00842AEC">
            <w:pPr>
              <w:rPr>
                <w:rFonts w:ascii="Barlow" w:hAnsi="Barlow"/>
                <w:sz w:val="20"/>
                <w:szCs w:val="20"/>
              </w:rPr>
            </w:pPr>
          </w:p>
        </w:tc>
      </w:tr>
      <w:tr w:rsidR="00842AEC" w:rsidRPr="00842AEC" w:rsidTr="00F2067F">
        <w:trPr>
          <w:gridBefore w:val="1"/>
          <w:gridAfter w:val="1"/>
          <w:wBefore w:w="20" w:type="dxa"/>
          <w:wAfter w:w="609" w:type="dxa"/>
          <w:trHeight w:hRule="exact" w:val="289"/>
          <w:jc w:val="center"/>
        </w:trPr>
        <w:tc>
          <w:tcPr>
            <w:tcW w:w="6904" w:type="dxa"/>
            <w:gridSpan w:val="9"/>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842AEC" w:rsidRPr="00842AEC" w:rsidRDefault="00842AEC" w:rsidP="00842AEC">
            <w:pPr>
              <w:spacing w:after="0" w:line="240" w:lineRule="auto"/>
              <w:rPr>
                <w:rFonts w:ascii="Barlow" w:hAnsi="Barlow"/>
                <w:sz w:val="20"/>
                <w:szCs w:val="20"/>
              </w:rPr>
            </w:pPr>
            <w:r w:rsidRPr="00842AEC">
              <w:rPr>
                <w:rFonts w:ascii="Barlow" w:hAnsi="Barlow" w:cs="Arial"/>
                <w:color w:val="000000"/>
                <w:sz w:val="20"/>
                <w:szCs w:val="20"/>
              </w:rPr>
              <w:t>INVERSIONES EN FIDEICOMISOS, MANDATOS Y OTROS ANÁLOGOS</w:t>
            </w:r>
          </w:p>
        </w:tc>
        <w:tc>
          <w:tcPr>
            <w:tcW w:w="1368" w:type="dxa"/>
            <w:gridSpan w:val="8"/>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842AEC" w:rsidRPr="00842AEC" w:rsidRDefault="00842AEC" w:rsidP="00842AEC">
            <w:pPr>
              <w:spacing w:after="0" w:line="240" w:lineRule="auto"/>
              <w:jc w:val="right"/>
              <w:rPr>
                <w:rFonts w:ascii="Barlow" w:hAnsi="Barlow"/>
                <w:sz w:val="20"/>
                <w:szCs w:val="20"/>
              </w:rPr>
            </w:pPr>
            <w:r w:rsidRPr="00842AEC">
              <w:rPr>
                <w:rFonts w:ascii="Barlow" w:hAnsi="Barlow" w:cs="Arial"/>
                <w:color w:val="000000"/>
                <w:sz w:val="20"/>
                <w:szCs w:val="20"/>
              </w:rPr>
              <w:t>$0.00</w:t>
            </w:r>
          </w:p>
        </w:tc>
        <w:tc>
          <w:tcPr>
            <w:tcW w:w="157" w:type="dxa"/>
          </w:tcPr>
          <w:p w:rsidR="00842AEC" w:rsidRPr="00842AEC" w:rsidRDefault="00842AEC" w:rsidP="00842AEC">
            <w:pPr>
              <w:rPr>
                <w:rFonts w:ascii="Barlow" w:hAnsi="Barlow"/>
                <w:sz w:val="20"/>
                <w:szCs w:val="20"/>
              </w:rPr>
            </w:pPr>
          </w:p>
        </w:tc>
        <w:tc>
          <w:tcPr>
            <w:tcW w:w="200" w:type="dxa"/>
            <w:gridSpan w:val="3"/>
          </w:tcPr>
          <w:p w:rsidR="00842AEC" w:rsidRPr="00842AEC" w:rsidRDefault="00842AEC" w:rsidP="00842AEC">
            <w:pPr>
              <w:rPr>
                <w:rFonts w:ascii="Barlow" w:hAnsi="Barlow"/>
                <w:sz w:val="20"/>
                <w:szCs w:val="20"/>
              </w:rPr>
            </w:pPr>
          </w:p>
        </w:tc>
      </w:tr>
      <w:tr w:rsidR="00842AEC" w:rsidRPr="00842AEC" w:rsidTr="00F2067F">
        <w:trPr>
          <w:gridBefore w:val="1"/>
          <w:gridAfter w:val="1"/>
          <w:wBefore w:w="20" w:type="dxa"/>
          <w:wAfter w:w="609" w:type="dxa"/>
          <w:trHeight w:hRule="exact" w:val="289"/>
          <w:jc w:val="center"/>
        </w:trPr>
        <w:tc>
          <w:tcPr>
            <w:tcW w:w="6904" w:type="dxa"/>
            <w:gridSpan w:val="9"/>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842AEC" w:rsidRPr="00842AEC" w:rsidRDefault="00842AEC" w:rsidP="00842AEC">
            <w:pPr>
              <w:spacing w:after="0" w:line="240" w:lineRule="auto"/>
              <w:rPr>
                <w:rFonts w:ascii="Barlow" w:hAnsi="Barlow"/>
                <w:sz w:val="20"/>
                <w:szCs w:val="20"/>
              </w:rPr>
            </w:pPr>
            <w:r w:rsidRPr="00842AEC">
              <w:rPr>
                <w:rFonts w:ascii="Barlow" w:hAnsi="Barlow" w:cs="Arial"/>
                <w:color w:val="000000"/>
                <w:sz w:val="20"/>
                <w:szCs w:val="20"/>
              </w:rPr>
              <w:t>PROVISIONES PARA CONTINGENCIAS Y OTRAS EROGACIONES ESPECIALES</w:t>
            </w:r>
          </w:p>
        </w:tc>
        <w:tc>
          <w:tcPr>
            <w:tcW w:w="1368" w:type="dxa"/>
            <w:gridSpan w:val="8"/>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842AEC" w:rsidRPr="00842AEC" w:rsidRDefault="00842AEC" w:rsidP="00842AEC">
            <w:pPr>
              <w:spacing w:after="0" w:line="240" w:lineRule="auto"/>
              <w:jc w:val="right"/>
              <w:rPr>
                <w:rFonts w:ascii="Barlow" w:hAnsi="Barlow"/>
                <w:sz w:val="20"/>
                <w:szCs w:val="20"/>
              </w:rPr>
            </w:pPr>
            <w:r w:rsidRPr="00842AEC">
              <w:rPr>
                <w:rFonts w:ascii="Barlow" w:hAnsi="Barlow" w:cs="Arial"/>
                <w:color w:val="000000"/>
                <w:sz w:val="20"/>
                <w:szCs w:val="20"/>
              </w:rPr>
              <w:t>$0.00</w:t>
            </w:r>
          </w:p>
        </w:tc>
        <w:tc>
          <w:tcPr>
            <w:tcW w:w="157" w:type="dxa"/>
          </w:tcPr>
          <w:p w:rsidR="00842AEC" w:rsidRPr="00842AEC" w:rsidRDefault="00842AEC" w:rsidP="00842AEC">
            <w:pPr>
              <w:rPr>
                <w:rFonts w:ascii="Barlow" w:hAnsi="Barlow"/>
                <w:sz w:val="20"/>
                <w:szCs w:val="20"/>
              </w:rPr>
            </w:pPr>
          </w:p>
        </w:tc>
        <w:tc>
          <w:tcPr>
            <w:tcW w:w="200" w:type="dxa"/>
            <w:gridSpan w:val="3"/>
          </w:tcPr>
          <w:p w:rsidR="00842AEC" w:rsidRPr="00842AEC" w:rsidRDefault="00842AEC" w:rsidP="00842AEC">
            <w:pPr>
              <w:rPr>
                <w:rFonts w:ascii="Barlow" w:hAnsi="Barlow"/>
                <w:sz w:val="20"/>
                <w:szCs w:val="20"/>
              </w:rPr>
            </w:pPr>
          </w:p>
        </w:tc>
      </w:tr>
      <w:tr w:rsidR="00842AEC" w:rsidRPr="00842AEC" w:rsidTr="00F2067F">
        <w:trPr>
          <w:gridBefore w:val="1"/>
          <w:gridAfter w:val="1"/>
          <w:wBefore w:w="20" w:type="dxa"/>
          <w:wAfter w:w="609" w:type="dxa"/>
          <w:trHeight w:hRule="exact" w:val="289"/>
          <w:jc w:val="center"/>
        </w:trPr>
        <w:tc>
          <w:tcPr>
            <w:tcW w:w="6904" w:type="dxa"/>
            <w:gridSpan w:val="9"/>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842AEC" w:rsidRPr="00842AEC" w:rsidRDefault="00842AEC" w:rsidP="00842AEC">
            <w:pPr>
              <w:spacing w:after="0" w:line="240" w:lineRule="auto"/>
              <w:rPr>
                <w:rFonts w:ascii="Barlow" w:hAnsi="Barlow"/>
                <w:sz w:val="20"/>
                <w:szCs w:val="20"/>
              </w:rPr>
            </w:pPr>
            <w:r w:rsidRPr="00842AEC">
              <w:rPr>
                <w:rFonts w:ascii="Barlow" w:hAnsi="Barlow" w:cs="Arial"/>
                <w:color w:val="000000"/>
                <w:sz w:val="20"/>
                <w:szCs w:val="20"/>
              </w:rPr>
              <w:t>AMORTIZACIÓN DE LA DEUDA PÚBLICA</w:t>
            </w:r>
          </w:p>
        </w:tc>
        <w:tc>
          <w:tcPr>
            <w:tcW w:w="1368" w:type="dxa"/>
            <w:gridSpan w:val="8"/>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842AEC" w:rsidRPr="00842AEC" w:rsidRDefault="00842AEC" w:rsidP="00842AEC">
            <w:pPr>
              <w:spacing w:after="0" w:line="240" w:lineRule="auto"/>
              <w:jc w:val="right"/>
              <w:rPr>
                <w:rFonts w:ascii="Barlow" w:hAnsi="Barlow"/>
                <w:sz w:val="20"/>
                <w:szCs w:val="20"/>
              </w:rPr>
            </w:pPr>
            <w:r w:rsidRPr="00842AEC">
              <w:rPr>
                <w:rFonts w:ascii="Barlow" w:hAnsi="Barlow" w:cs="Arial"/>
                <w:color w:val="000000"/>
                <w:sz w:val="20"/>
                <w:szCs w:val="20"/>
              </w:rPr>
              <w:t>$0.00</w:t>
            </w:r>
          </w:p>
        </w:tc>
        <w:tc>
          <w:tcPr>
            <w:tcW w:w="157" w:type="dxa"/>
          </w:tcPr>
          <w:p w:rsidR="00842AEC" w:rsidRPr="00842AEC" w:rsidRDefault="00842AEC" w:rsidP="00842AEC">
            <w:pPr>
              <w:rPr>
                <w:rFonts w:ascii="Barlow" w:hAnsi="Barlow"/>
                <w:sz w:val="20"/>
                <w:szCs w:val="20"/>
              </w:rPr>
            </w:pPr>
          </w:p>
        </w:tc>
        <w:tc>
          <w:tcPr>
            <w:tcW w:w="200" w:type="dxa"/>
            <w:gridSpan w:val="3"/>
          </w:tcPr>
          <w:p w:rsidR="00842AEC" w:rsidRPr="00842AEC" w:rsidRDefault="00842AEC" w:rsidP="00842AEC">
            <w:pPr>
              <w:rPr>
                <w:rFonts w:ascii="Barlow" w:hAnsi="Barlow"/>
                <w:sz w:val="20"/>
                <w:szCs w:val="20"/>
              </w:rPr>
            </w:pPr>
          </w:p>
        </w:tc>
      </w:tr>
      <w:tr w:rsidR="00842AEC" w:rsidRPr="00842AEC" w:rsidTr="00F2067F">
        <w:trPr>
          <w:gridBefore w:val="1"/>
          <w:gridAfter w:val="1"/>
          <w:wBefore w:w="20" w:type="dxa"/>
          <w:wAfter w:w="609" w:type="dxa"/>
          <w:trHeight w:hRule="exact" w:val="289"/>
          <w:jc w:val="center"/>
        </w:trPr>
        <w:tc>
          <w:tcPr>
            <w:tcW w:w="6904" w:type="dxa"/>
            <w:gridSpan w:val="9"/>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842AEC" w:rsidRPr="00842AEC" w:rsidRDefault="00842AEC" w:rsidP="00842AEC">
            <w:pPr>
              <w:spacing w:after="0" w:line="240" w:lineRule="auto"/>
              <w:rPr>
                <w:rFonts w:ascii="Barlow" w:hAnsi="Barlow"/>
                <w:sz w:val="20"/>
                <w:szCs w:val="20"/>
              </w:rPr>
            </w:pPr>
            <w:r w:rsidRPr="00842AEC">
              <w:rPr>
                <w:rFonts w:ascii="Barlow" w:hAnsi="Barlow" w:cs="Arial"/>
                <w:color w:val="000000"/>
                <w:sz w:val="20"/>
                <w:szCs w:val="20"/>
              </w:rPr>
              <w:t>ADEUDOS DE EJERCICIOS FISCALES ANTERIORES (ADEFAS)</w:t>
            </w:r>
          </w:p>
        </w:tc>
        <w:tc>
          <w:tcPr>
            <w:tcW w:w="1368" w:type="dxa"/>
            <w:gridSpan w:val="8"/>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842AEC" w:rsidRPr="00842AEC" w:rsidRDefault="00842AEC" w:rsidP="00842AEC">
            <w:pPr>
              <w:spacing w:after="0" w:line="240" w:lineRule="auto"/>
              <w:jc w:val="right"/>
              <w:rPr>
                <w:rFonts w:ascii="Barlow" w:hAnsi="Barlow"/>
                <w:sz w:val="20"/>
                <w:szCs w:val="20"/>
              </w:rPr>
            </w:pPr>
            <w:r w:rsidRPr="00842AEC">
              <w:rPr>
                <w:rFonts w:ascii="Barlow" w:hAnsi="Barlow" w:cs="Arial"/>
                <w:color w:val="000000"/>
                <w:sz w:val="20"/>
                <w:szCs w:val="20"/>
              </w:rPr>
              <w:t>$0.00</w:t>
            </w:r>
          </w:p>
        </w:tc>
        <w:tc>
          <w:tcPr>
            <w:tcW w:w="157" w:type="dxa"/>
          </w:tcPr>
          <w:p w:rsidR="00842AEC" w:rsidRPr="00842AEC" w:rsidRDefault="00842AEC" w:rsidP="00842AEC">
            <w:pPr>
              <w:rPr>
                <w:rFonts w:ascii="Barlow" w:hAnsi="Barlow"/>
                <w:sz w:val="20"/>
                <w:szCs w:val="20"/>
              </w:rPr>
            </w:pPr>
          </w:p>
        </w:tc>
        <w:tc>
          <w:tcPr>
            <w:tcW w:w="200" w:type="dxa"/>
            <w:gridSpan w:val="3"/>
          </w:tcPr>
          <w:p w:rsidR="00842AEC" w:rsidRPr="00842AEC" w:rsidRDefault="00842AEC" w:rsidP="00842AEC">
            <w:pPr>
              <w:rPr>
                <w:rFonts w:ascii="Barlow" w:hAnsi="Barlow"/>
                <w:sz w:val="20"/>
                <w:szCs w:val="20"/>
              </w:rPr>
            </w:pPr>
          </w:p>
        </w:tc>
      </w:tr>
      <w:tr w:rsidR="00842AEC" w:rsidRPr="00842AEC" w:rsidTr="00F2067F">
        <w:trPr>
          <w:gridBefore w:val="1"/>
          <w:gridAfter w:val="1"/>
          <w:wBefore w:w="20" w:type="dxa"/>
          <w:wAfter w:w="609" w:type="dxa"/>
          <w:trHeight w:hRule="exact" w:val="289"/>
          <w:jc w:val="center"/>
        </w:trPr>
        <w:tc>
          <w:tcPr>
            <w:tcW w:w="6904" w:type="dxa"/>
            <w:gridSpan w:val="9"/>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842AEC" w:rsidRPr="00842AEC" w:rsidRDefault="00842AEC" w:rsidP="00842AEC">
            <w:pPr>
              <w:spacing w:after="0" w:line="240" w:lineRule="auto"/>
              <w:rPr>
                <w:rFonts w:ascii="Barlow" w:hAnsi="Barlow"/>
                <w:sz w:val="20"/>
                <w:szCs w:val="20"/>
              </w:rPr>
            </w:pPr>
            <w:r w:rsidRPr="00842AEC">
              <w:rPr>
                <w:rFonts w:ascii="Barlow" w:hAnsi="Barlow" w:cs="Arial"/>
                <w:color w:val="000000"/>
                <w:sz w:val="20"/>
                <w:szCs w:val="20"/>
              </w:rPr>
              <w:t>OTROS EGRESOS PRESUPUESTALES NO CONTABLES</w:t>
            </w:r>
          </w:p>
        </w:tc>
        <w:tc>
          <w:tcPr>
            <w:tcW w:w="1368" w:type="dxa"/>
            <w:gridSpan w:val="8"/>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842AEC" w:rsidRPr="00842AEC" w:rsidRDefault="00842AEC" w:rsidP="00842AEC">
            <w:pPr>
              <w:spacing w:after="0" w:line="240" w:lineRule="auto"/>
              <w:jc w:val="right"/>
              <w:rPr>
                <w:rFonts w:ascii="Barlow" w:hAnsi="Barlow"/>
                <w:sz w:val="20"/>
                <w:szCs w:val="20"/>
              </w:rPr>
            </w:pPr>
            <w:r w:rsidRPr="00842AEC">
              <w:rPr>
                <w:rFonts w:ascii="Barlow" w:hAnsi="Barlow" w:cs="Arial"/>
                <w:color w:val="000000"/>
                <w:sz w:val="20"/>
                <w:szCs w:val="20"/>
              </w:rPr>
              <w:t>$0.00</w:t>
            </w:r>
          </w:p>
        </w:tc>
        <w:tc>
          <w:tcPr>
            <w:tcW w:w="157" w:type="dxa"/>
          </w:tcPr>
          <w:p w:rsidR="00842AEC" w:rsidRPr="00842AEC" w:rsidRDefault="00842AEC" w:rsidP="00842AEC">
            <w:pPr>
              <w:rPr>
                <w:rFonts w:ascii="Barlow" w:hAnsi="Barlow"/>
                <w:sz w:val="20"/>
                <w:szCs w:val="20"/>
              </w:rPr>
            </w:pPr>
          </w:p>
        </w:tc>
        <w:tc>
          <w:tcPr>
            <w:tcW w:w="200" w:type="dxa"/>
            <w:gridSpan w:val="3"/>
          </w:tcPr>
          <w:p w:rsidR="00842AEC" w:rsidRPr="00842AEC" w:rsidRDefault="00842AEC" w:rsidP="00842AEC">
            <w:pPr>
              <w:rPr>
                <w:rFonts w:ascii="Barlow" w:hAnsi="Barlow"/>
                <w:sz w:val="20"/>
                <w:szCs w:val="20"/>
              </w:rPr>
            </w:pPr>
          </w:p>
        </w:tc>
      </w:tr>
      <w:tr w:rsidR="00842AEC" w:rsidRPr="00842AEC" w:rsidTr="00F2067F">
        <w:trPr>
          <w:gridBefore w:val="1"/>
          <w:gridAfter w:val="1"/>
          <w:wBefore w:w="20" w:type="dxa"/>
          <w:wAfter w:w="609" w:type="dxa"/>
          <w:trHeight w:hRule="exact" w:val="434"/>
          <w:jc w:val="center"/>
        </w:trPr>
        <w:tc>
          <w:tcPr>
            <w:tcW w:w="6904" w:type="dxa"/>
            <w:gridSpan w:val="9"/>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bottom"/>
          </w:tcPr>
          <w:p w:rsidR="00842AEC" w:rsidRPr="00842AEC" w:rsidRDefault="00842AEC" w:rsidP="00842AEC">
            <w:pPr>
              <w:spacing w:after="0" w:line="240" w:lineRule="auto"/>
              <w:rPr>
                <w:rFonts w:ascii="Barlow" w:hAnsi="Barlow"/>
                <w:sz w:val="20"/>
                <w:szCs w:val="20"/>
              </w:rPr>
            </w:pPr>
            <w:r w:rsidRPr="00842AEC">
              <w:rPr>
                <w:rFonts w:ascii="Barlow" w:hAnsi="Barlow" w:cs="Arial"/>
                <w:b/>
                <w:color w:val="000000"/>
                <w:sz w:val="20"/>
                <w:szCs w:val="20"/>
              </w:rPr>
              <w:lastRenderedPageBreak/>
              <w:t>3. MÁS GASTOS CONTABLES NO PRESUPUESTALES</w:t>
            </w:r>
          </w:p>
        </w:tc>
        <w:tc>
          <w:tcPr>
            <w:tcW w:w="1368" w:type="dxa"/>
            <w:gridSpan w:val="8"/>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bottom"/>
          </w:tcPr>
          <w:p w:rsidR="00842AEC" w:rsidRPr="00842AEC" w:rsidRDefault="00842AEC" w:rsidP="00842AEC">
            <w:pPr>
              <w:spacing w:after="0" w:line="240" w:lineRule="auto"/>
              <w:jc w:val="right"/>
              <w:rPr>
                <w:rFonts w:ascii="Barlow" w:hAnsi="Barlow"/>
                <w:sz w:val="20"/>
                <w:szCs w:val="20"/>
              </w:rPr>
            </w:pPr>
            <w:r w:rsidRPr="00842AEC">
              <w:rPr>
                <w:rFonts w:ascii="Barlow" w:hAnsi="Barlow" w:cs="Arial"/>
                <w:b/>
                <w:color w:val="000000"/>
                <w:sz w:val="20"/>
                <w:szCs w:val="20"/>
              </w:rPr>
              <w:t>-$0.23</w:t>
            </w:r>
          </w:p>
        </w:tc>
        <w:tc>
          <w:tcPr>
            <w:tcW w:w="157" w:type="dxa"/>
          </w:tcPr>
          <w:p w:rsidR="00842AEC" w:rsidRPr="00842AEC" w:rsidRDefault="00842AEC" w:rsidP="00842AEC">
            <w:pPr>
              <w:rPr>
                <w:rFonts w:ascii="Barlow" w:hAnsi="Barlow"/>
                <w:sz w:val="20"/>
                <w:szCs w:val="20"/>
              </w:rPr>
            </w:pPr>
          </w:p>
        </w:tc>
        <w:tc>
          <w:tcPr>
            <w:tcW w:w="200" w:type="dxa"/>
            <w:gridSpan w:val="3"/>
          </w:tcPr>
          <w:p w:rsidR="00842AEC" w:rsidRPr="00842AEC" w:rsidRDefault="00842AEC" w:rsidP="00842AEC">
            <w:pPr>
              <w:rPr>
                <w:rFonts w:ascii="Barlow" w:hAnsi="Barlow"/>
                <w:sz w:val="20"/>
                <w:szCs w:val="20"/>
              </w:rPr>
            </w:pPr>
          </w:p>
        </w:tc>
      </w:tr>
      <w:tr w:rsidR="00842AEC" w:rsidRPr="00842AEC" w:rsidTr="00F2067F">
        <w:trPr>
          <w:gridBefore w:val="1"/>
          <w:gridAfter w:val="1"/>
          <w:wBefore w:w="20" w:type="dxa"/>
          <w:wAfter w:w="609" w:type="dxa"/>
          <w:trHeight w:hRule="exact" w:val="289"/>
          <w:jc w:val="center"/>
        </w:trPr>
        <w:tc>
          <w:tcPr>
            <w:tcW w:w="6904" w:type="dxa"/>
            <w:gridSpan w:val="9"/>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842AEC" w:rsidRPr="00842AEC" w:rsidRDefault="00842AEC" w:rsidP="00842AEC">
            <w:pPr>
              <w:spacing w:after="0" w:line="240" w:lineRule="auto"/>
              <w:rPr>
                <w:rFonts w:ascii="Barlow" w:hAnsi="Barlow"/>
                <w:sz w:val="20"/>
                <w:szCs w:val="20"/>
              </w:rPr>
            </w:pPr>
            <w:r w:rsidRPr="00842AEC">
              <w:rPr>
                <w:rFonts w:ascii="Barlow" w:hAnsi="Barlow" w:cs="Arial"/>
                <w:color w:val="000000"/>
                <w:sz w:val="20"/>
                <w:szCs w:val="20"/>
              </w:rPr>
              <w:t>ESTIMACIONES, DEPRECIACIONES, DETERIOROS, OBSOLESCENCIA Y AMORTIZACIONES</w:t>
            </w:r>
          </w:p>
        </w:tc>
        <w:tc>
          <w:tcPr>
            <w:tcW w:w="1368" w:type="dxa"/>
            <w:gridSpan w:val="8"/>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842AEC" w:rsidRPr="00842AEC" w:rsidRDefault="00842AEC" w:rsidP="00842AEC">
            <w:pPr>
              <w:spacing w:after="0" w:line="240" w:lineRule="auto"/>
              <w:jc w:val="right"/>
              <w:rPr>
                <w:rFonts w:ascii="Barlow" w:hAnsi="Barlow"/>
                <w:sz w:val="20"/>
                <w:szCs w:val="20"/>
              </w:rPr>
            </w:pPr>
            <w:r w:rsidRPr="00842AEC">
              <w:rPr>
                <w:rFonts w:ascii="Barlow" w:hAnsi="Barlow" w:cs="Arial"/>
                <w:color w:val="000000"/>
                <w:sz w:val="20"/>
                <w:szCs w:val="20"/>
              </w:rPr>
              <w:t>$0.00</w:t>
            </w:r>
          </w:p>
        </w:tc>
        <w:tc>
          <w:tcPr>
            <w:tcW w:w="157" w:type="dxa"/>
          </w:tcPr>
          <w:p w:rsidR="00842AEC" w:rsidRPr="00842AEC" w:rsidRDefault="00842AEC" w:rsidP="00842AEC">
            <w:pPr>
              <w:rPr>
                <w:rFonts w:ascii="Barlow" w:hAnsi="Barlow"/>
                <w:sz w:val="20"/>
                <w:szCs w:val="20"/>
              </w:rPr>
            </w:pPr>
          </w:p>
        </w:tc>
        <w:tc>
          <w:tcPr>
            <w:tcW w:w="200" w:type="dxa"/>
            <w:gridSpan w:val="3"/>
          </w:tcPr>
          <w:p w:rsidR="00842AEC" w:rsidRPr="00842AEC" w:rsidRDefault="00842AEC" w:rsidP="00842AEC">
            <w:pPr>
              <w:rPr>
                <w:rFonts w:ascii="Barlow" w:hAnsi="Barlow"/>
                <w:sz w:val="20"/>
                <w:szCs w:val="20"/>
              </w:rPr>
            </w:pPr>
          </w:p>
        </w:tc>
      </w:tr>
      <w:tr w:rsidR="00842AEC" w:rsidRPr="00842AEC" w:rsidTr="00F2067F">
        <w:trPr>
          <w:gridBefore w:val="1"/>
          <w:gridAfter w:val="1"/>
          <w:wBefore w:w="20" w:type="dxa"/>
          <w:wAfter w:w="609" w:type="dxa"/>
          <w:trHeight w:hRule="exact" w:val="289"/>
          <w:jc w:val="center"/>
        </w:trPr>
        <w:tc>
          <w:tcPr>
            <w:tcW w:w="6904" w:type="dxa"/>
            <w:gridSpan w:val="9"/>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842AEC" w:rsidRPr="00842AEC" w:rsidRDefault="00842AEC" w:rsidP="00842AEC">
            <w:pPr>
              <w:spacing w:after="0" w:line="240" w:lineRule="auto"/>
              <w:rPr>
                <w:rFonts w:ascii="Barlow" w:hAnsi="Barlow"/>
                <w:sz w:val="20"/>
                <w:szCs w:val="20"/>
              </w:rPr>
            </w:pPr>
            <w:r w:rsidRPr="00842AEC">
              <w:rPr>
                <w:rFonts w:ascii="Barlow" w:hAnsi="Barlow" w:cs="Arial"/>
                <w:color w:val="000000"/>
                <w:sz w:val="20"/>
                <w:szCs w:val="20"/>
              </w:rPr>
              <w:t>PROVISIONES</w:t>
            </w:r>
          </w:p>
        </w:tc>
        <w:tc>
          <w:tcPr>
            <w:tcW w:w="1368" w:type="dxa"/>
            <w:gridSpan w:val="8"/>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842AEC" w:rsidRPr="00842AEC" w:rsidRDefault="00842AEC" w:rsidP="00842AEC">
            <w:pPr>
              <w:spacing w:after="0" w:line="240" w:lineRule="auto"/>
              <w:jc w:val="right"/>
              <w:rPr>
                <w:rFonts w:ascii="Barlow" w:hAnsi="Barlow"/>
                <w:sz w:val="20"/>
                <w:szCs w:val="20"/>
              </w:rPr>
            </w:pPr>
            <w:r w:rsidRPr="00842AEC">
              <w:rPr>
                <w:rFonts w:ascii="Barlow" w:hAnsi="Barlow" w:cs="Arial"/>
                <w:color w:val="000000"/>
                <w:sz w:val="20"/>
                <w:szCs w:val="20"/>
              </w:rPr>
              <w:t>$0.00</w:t>
            </w:r>
          </w:p>
        </w:tc>
        <w:tc>
          <w:tcPr>
            <w:tcW w:w="157" w:type="dxa"/>
          </w:tcPr>
          <w:p w:rsidR="00842AEC" w:rsidRPr="00842AEC" w:rsidRDefault="00842AEC" w:rsidP="00842AEC">
            <w:pPr>
              <w:rPr>
                <w:rFonts w:ascii="Barlow" w:hAnsi="Barlow"/>
                <w:sz w:val="20"/>
                <w:szCs w:val="20"/>
              </w:rPr>
            </w:pPr>
          </w:p>
        </w:tc>
        <w:tc>
          <w:tcPr>
            <w:tcW w:w="200" w:type="dxa"/>
            <w:gridSpan w:val="3"/>
          </w:tcPr>
          <w:p w:rsidR="00842AEC" w:rsidRPr="00842AEC" w:rsidRDefault="00842AEC" w:rsidP="00842AEC">
            <w:pPr>
              <w:rPr>
                <w:rFonts w:ascii="Barlow" w:hAnsi="Barlow"/>
                <w:sz w:val="20"/>
                <w:szCs w:val="20"/>
              </w:rPr>
            </w:pPr>
          </w:p>
        </w:tc>
      </w:tr>
      <w:tr w:rsidR="00842AEC" w:rsidRPr="00842AEC" w:rsidTr="00F2067F">
        <w:trPr>
          <w:gridBefore w:val="1"/>
          <w:gridAfter w:val="1"/>
          <w:wBefore w:w="20" w:type="dxa"/>
          <w:wAfter w:w="609" w:type="dxa"/>
          <w:trHeight w:hRule="exact" w:val="289"/>
          <w:jc w:val="center"/>
        </w:trPr>
        <w:tc>
          <w:tcPr>
            <w:tcW w:w="6904" w:type="dxa"/>
            <w:gridSpan w:val="9"/>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842AEC" w:rsidRPr="00842AEC" w:rsidRDefault="00842AEC" w:rsidP="00842AEC">
            <w:pPr>
              <w:spacing w:after="0" w:line="240" w:lineRule="auto"/>
              <w:rPr>
                <w:rFonts w:ascii="Barlow" w:hAnsi="Barlow"/>
                <w:sz w:val="20"/>
                <w:szCs w:val="20"/>
              </w:rPr>
            </w:pPr>
            <w:r w:rsidRPr="00842AEC">
              <w:rPr>
                <w:rFonts w:ascii="Barlow" w:hAnsi="Barlow" w:cs="Arial"/>
                <w:color w:val="000000"/>
                <w:sz w:val="20"/>
                <w:szCs w:val="20"/>
              </w:rPr>
              <w:t>DISMINUCIÓN DE INVENTARIOS</w:t>
            </w:r>
          </w:p>
        </w:tc>
        <w:tc>
          <w:tcPr>
            <w:tcW w:w="1368" w:type="dxa"/>
            <w:gridSpan w:val="8"/>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842AEC" w:rsidRPr="00842AEC" w:rsidRDefault="00842AEC" w:rsidP="00842AEC">
            <w:pPr>
              <w:spacing w:after="0" w:line="240" w:lineRule="auto"/>
              <w:jc w:val="right"/>
              <w:rPr>
                <w:rFonts w:ascii="Barlow" w:hAnsi="Barlow"/>
                <w:sz w:val="20"/>
                <w:szCs w:val="20"/>
              </w:rPr>
            </w:pPr>
            <w:r w:rsidRPr="00842AEC">
              <w:rPr>
                <w:rFonts w:ascii="Barlow" w:hAnsi="Barlow" w:cs="Arial"/>
                <w:color w:val="000000"/>
                <w:sz w:val="20"/>
                <w:szCs w:val="20"/>
              </w:rPr>
              <w:t>$0.00</w:t>
            </w:r>
          </w:p>
        </w:tc>
        <w:tc>
          <w:tcPr>
            <w:tcW w:w="157" w:type="dxa"/>
          </w:tcPr>
          <w:p w:rsidR="00842AEC" w:rsidRPr="00842AEC" w:rsidRDefault="00842AEC" w:rsidP="00842AEC">
            <w:pPr>
              <w:rPr>
                <w:rFonts w:ascii="Barlow" w:hAnsi="Barlow"/>
                <w:sz w:val="20"/>
                <w:szCs w:val="20"/>
              </w:rPr>
            </w:pPr>
          </w:p>
        </w:tc>
        <w:tc>
          <w:tcPr>
            <w:tcW w:w="200" w:type="dxa"/>
            <w:gridSpan w:val="3"/>
          </w:tcPr>
          <w:p w:rsidR="00842AEC" w:rsidRPr="00842AEC" w:rsidRDefault="00842AEC" w:rsidP="00842AEC">
            <w:pPr>
              <w:rPr>
                <w:rFonts w:ascii="Barlow" w:hAnsi="Barlow"/>
                <w:sz w:val="20"/>
                <w:szCs w:val="20"/>
              </w:rPr>
            </w:pPr>
          </w:p>
        </w:tc>
      </w:tr>
      <w:tr w:rsidR="00842AEC" w:rsidRPr="00842AEC" w:rsidTr="00F2067F">
        <w:trPr>
          <w:gridBefore w:val="1"/>
          <w:gridAfter w:val="1"/>
          <w:wBefore w:w="20" w:type="dxa"/>
          <w:wAfter w:w="609" w:type="dxa"/>
          <w:trHeight w:hRule="exact" w:val="289"/>
          <w:jc w:val="center"/>
        </w:trPr>
        <w:tc>
          <w:tcPr>
            <w:tcW w:w="6904" w:type="dxa"/>
            <w:gridSpan w:val="9"/>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842AEC" w:rsidRPr="00842AEC" w:rsidRDefault="00842AEC" w:rsidP="00842AEC">
            <w:pPr>
              <w:spacing w:after="0" w:line="240" w:lineRule="auto"/>
              <w:rPr>
                <w:rFonts w:ascii="Barlow" w:hAnsi="Barlow"/>
                <w:sz w:val="20"/>
                <w:szCs w:val="20"/>
              </w:rPr>
            </w:pPr>
            <w:r w:rsidRPr="00842AEC">
              <w:rPr>
                <w:rFonts w:ascii="Barlow" w:hAnsi="Barlow" w:cs="Arial"/>
                <w:color w:val="000000"/>
                <w:sz w:val="20"/>
                <w:szCs w:val="20"/>
              </w:rPr>
              <w:t>AUMENTO POR INSUFICIENCIA DE ESTIMACIONES POR PÉRDIDA O DETERIORO U OBSOLESCENCIA</w:t>
            </w:r>
          </w:p>
        </w:tc>
        <w:tc>
          <w:tcPr>
            <w:tcW w:w="1368" w:type="dxa"/>
            <w:gridSpan w:val="8"/>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842AEC" w:rsidRPr="00842AEC" w:rsidRDefault="00842AEC" w:rsidP="00842AEC">
            <w:pPr>
              <w:spacing w:after="0" w:line="240" w:lineRule="auto"/>
              <w:jc w:val="right"/>
              <w:rPr>
                <w:rFonts w:ascii="Barlow" w:hAnsi="Barlow"/>
                <w:sz w:val="20"/>
                <w:szCs w:val="20"/>
              </w:rPr>
            </w:pPr>
            <w:r w:rsidRPr="00842AEC">
              <w:rPr>
                <w:rFonts w:ascii="Barlow" w:hAnsi="Barlow" w:cs="Arial"/>
                <w:color w:val="000000"/>
                <w:sz w:val="20"/>
                <w:szCs w:val="20"/>
              </w:rPr>
              <w:t>$0.00</w:t>
            </w:r>
          </w:p>
        </w:tc>
        <w:tc>
          <w:tcPr>
            <w:tcW w:w="157" w:type="dxa"/>
          </w:tcPr>
          <w:p w:rsidR="00842AEC" w:rsidRPr="00842AEC" w:rsidRDefault="00842AEC" w:rsidP="00842AEC">
            <w:pPr>
              <w:rPr>
                <w:rFonts w:ascii="Barlow" w:hAnsi="Barlow"/>
                <w:sz w:val="20"/>
                <w:szCs w:val="20"/>
              </w:rPr>
            </w:pPr>
          </w:p>
        </w:tc>
        <w:tc>
          <w:tcPr>
            <w:tcW w:w="200" w:type="dxa"/>
            <w:gridSpan w:val="3"/>
          </w:tcPr>
          <w:p w:rsidR="00842AEC" w:rsidRPr="00842AEC" w:rsidRDefault="00842AEC" w:rsidP="00842AEC">
            <w:pPr>
              <w:rPr>
                <w:rFonts w:ascii="Barlow" w:hAnsi="Barlow"/>
                <w:sz w:val="20"/>
                <w:szCs w:val="20"/>
              </w:rPr>
            </w:pPr>
          </w:p>
        </w:tc>
      </w:tr>
      <w:tr w:rsidR="00842AEC" w:rsidRPr="00842AEC" w:rsidTr="00F2067F">
        <w:trPr>
          <w:gridBefore w:val="1"/>
          <w:gridAfter w:val="1"/>
          <w:wBefore w:w="20" w:type="dxa"/>
          <w:wAfter w:w="609" w:type="dxa"/>
          <w:trHeight w:hRule="exact" w:val="289"/>
          <w:jc w:val="center"/>
        </w:trPr>
        <w:tc>
          <w:tcPr>
            <w:tcW w:w="6904" w:type="dxa"/>
            <w:gridSpan w:val="9"/>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842AEC" w:rsidRPr="00842AEC" w:rsidRDefault="00842AEC" w:rsidP="00842AEC">
            <w:pPr>
              <w:spacing w:after="0" w:line="240" w:lineRule="auto"/>
              <w:rPr>
                <w:rFonts w:ascii="Barlow" w:hAnsi="Barlow"/>
                <w:sz w:val="20"/>
                <w:szCs w:val="20"/>
              </w:rPr>
            </w:pPr>
            <w:r w:rsidRPr="00842AEC">
              <w:rPr>
                <w:rFonts w:ascii="Barlow" w:hAnsi="Barlow" w:cs="Arial"/>
                <w:color w:val="000000"/>
                <w:sz w:val="20"/>
                <w:szCs w:val="20"/>
              </w:rPr>
              <w:t>AUMENTO POR INSUFICIENCIA DE PROVISIONES</w:t>
            </w:r>
          </w:p>
        </w:tc>
        <w:tc>
          <w:tcPr>
            <w:tcW w:w="1368" w:type="dxa"/>
            <w:gridSpan w:val="8"/>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842AEC" w:rsidRPr="00842AEC" w:rsidRDefault="00842AEC" w:rsidP="00842AEC">
            <w:pPr>
              <w:spacing w:after="0" w:line="240" w:lineRule="auto"/>
              <w:jc w:val="right"/>
              <w:rPr>
                <w:rFonts w:ascii="Barlow" w:hAnsi="Barlow"/>
                <w:sz w:val="20"/>
                <w:szCs w:val="20"/>
              </w:rPr>
            </w:pPr>
            <w:r w:rsidRPr="00842AEC">
              <w:rPr>
                <w:rFonts w:ascii="Barlow" w:hAnsi="Barlow" w:cs="Arial"/>
                <w:color w:val="000000"/>
                <w:sz w:val="20"/>
                <w:szCs w:val="20"/>
              </w:rPr>
              <w:t>$0.00</w:t>
            </w:r>
          </w:p>
        </w:tc>
        <w:tc>
          <w:tcPr>
            <w:tcW w:w="157" w:type="dxa"/>
          </w:tcPr>
          <w:p w:rsidR="00842AEC" w:rsidRPr="00842AEC" w:rsidRDefault="00842AEC" w:rsidP="00842AEC">
            <w:pPr>
              <w:rPr>
                <w:rFonts w:ascii="Barlow" w:hAnsi="Barlow"/>
                <w:sz w:val="20"/>
                <w:szCs w:val="20"/>
              </w:rPr>
            </w:pPr>
          </w:p>
        </w:tc>
        <w:tc>
          <w:tcPr>
            <w:tcW w:w="200" w:type="dxa"/>
            <w:gridSpan w:val="3"/>
          </w:tcPr>
          <w:p w:rsidR="00842AEC" w:rsidRPr="00842AEC" w:rsidRDefault="00842AEC" w:rsidP="00842AEC">
            <w:pPr>
              <w:rPr>
                <w:rFonts w:ascii="Barlow" w:hAnsi="Barlow"/>
                <w:sz w:val="20"/>
                <w:szCs w:val="20"/>
              </w:rPr>
            </w:pPr>
          </w:p>
        </w:tc>
      </w:tr>
      <w:tr w:rsidR="00842AEC" w:rsidRPr="00842AEC" w:rsidTr="00F2067F">
        <w:trPr>
          <w:gridBefore w:val="1"/>
          <w:gridAfter w:val="1"/>
          <w:wBefore w:w="20" w:type="dxa"/>
          <w:wAfter w:w="609" w:type="dxa"/>
          <w:trHeight w:hRule="exact" w:val="289"/>
          <w:jc w:val="center"/>
        </w:trPr>
        <w:tc>
          <w:tcPr>
            <w:tcW w:w="6904" w:type="dxa"/>
            <w:gridSpan w:val="9"/>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842AEC" w:rsidRPr="00842AEC" w:rsidRDefault="00842AEC" w:rsidP="00842AEC">
            <w:pPr>
              <w:spacing w:after="0" w:line="240" w:lineRule="auto"/>
              <w:rPr>
                <w:rFonts w:ascii="Barlow" w:hAnsi="Barlow"/>
                <w:sz w:val="20"/>
                <w:szCs w:val="20"/>
              </w:rPr>
            </w:pPr>
            <w:r w:rsidRPr="00842AEC">
              <w:rPr>
                <w:rFonts w:ascii="Barlow" w:hAnsi="Barlow" w:cs="Arial"/>
                <w:color w:val="000000"/>
                <w:sz w:val="20"/>
                <w:szCs w:val="20"/>
              </w:rPr>
              <w:t>OTROS GASTOS</w:t>
            </w:r>
          </w:p>
        </w:tc>
        <w:tc>
          <w:tcPr>
            <w:tcW w:w="1368" w:type="dxa"/>
            <w:gridSpan w:val="8"/>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842AEC" w:rsidRPr="00842AEC" w:rsidRDefault="00842AEC" w:rsidP="00842AEC">
            <w:pPr>
              <w:spacing w:after="0" w:line="240" w:lineRule="auto"/>
              <w:jc w:val="right"/>
              <w:rPr>
                <w:rFonts w:ascii="Barlow" w:hAnsi="Barlow"/>
                <w:sz w:val="20"/>
                <w:szCs w:val="20"/>
              </w:rPr>
            </w:pPr>
            <w:r w:rsidRPr="00842AEC">
              <w:rPr>
                <w:rFonts w:ascii="Barlow" w:hAnsi="Barlow" w:cs="Arial"/>
                <w:color w:val="000000"/>
                <w:sz w:val="20"/>
                <w:szCs w:val="20"/>
              </w:rPr>
              <w:t>-$0.23</w:t>
            </w:r>
          </w:p>
        </w:tc>
        <w:tc>
          <w:tcPr>
            <w:tcW w:w="157" w:type="dxa"/>
          </w:tcPr>
          <w:p w:rsidR="00842AEC" w:rsidRPr="00842AEC" w:rsidRDefault="00842AEC" w:rsidP="00842AEC">
            <w:pPr>
              <w:rPr>
                <w:rFonts w:ascii="Barlow" w:hAnsi="Barlow"/>
                <w:sz w:val="20"/>
                <w:szCs w:val="20"/>
              </w:rPr>
            </w:pPr>
          </w:p>
        </w:tc>
        <w:tc>
          <w:tcPr>
            <w:tcW w:w="200" w:type="dxa"/>
            <w:gridSpan w:val="3"/>
          </w:tcPr>
          <w:p w:rsidR="00842AEC" w:rsidRPr="00842AEC" w:rsidRDefault="00842AEC" w:rsidP="00842AEC">
            <w:pPr>
              <w:rPr>
                <w:rFonts w:ascii="Barlow" w:hAnsi="Barlow"/>
                <w:sz w:val="20"/>
                <w:szCs w:val="20"/>
              </w:rPr>
            </w:pPr>
          </w:p>
        </w:tc>
      </w:tr>
      <w:tr w:rsidR="00842AEC" w:rsidRPr="00842AEC" w:rsidTr="00F2067F">
        <w:trPr>
          <w:gridBefore w:val="1"/>
          <w:gridAfter w:val="1"/>
          <w:wBefore w:w="20" w:type="dxa"/>
          <w:wAfter w:w="609" w:type="dxa"/>
          <w:trHeight w:hRule="exact" w:val="289"/>
          <w:jc w:val="center"/>
        </w:trPr>
        <w:tc>
          <w:tcPr>
            <w:tcW w:w="6904" w:type="dxa"/>
            <w:gridSpan w:val="9"/>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842AEC" w:rsidRPr="00842AEC" w:rsidRDefault="00842AEC" w:rsidP="00842AEC">
            <w:pPr>
              <w:spacing w:after="0" w:line="240" w:lineRule="auto"/>
              <w:rPr>
                <w:rFonts w:ascii="Barlow" w:hAnsi="Barlow"/>
                <w:sz w:val="20"/>
                <w:szCs w:val="20"/>
              </w:rPr>
            </w:pPr>
            <w:r w:rsidRPr="00842AEC">
              <w:rPr>
                <w:rFonts w:ascii="Barlow" w:hAnsi="Barlow" w:cs="Arial"/>
                <w:color w:val="000000"/>
                <w:sz w:val="20"/>
                <w:szCs w:val="20"/>
              </w:rPr>
              <w:t>OTROS GASTOS CONTABLES NO PRESUPUESTALES</w:t>
            </w:r>
          </w:p>
        </w:tc>
        <w:tc>
          <w:tcPr>
            <w:tcW w:w="1368" w:type="dxa"/>
            <w:gridSpan w:val="8"/>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842AEC" w:rsidRPr="00842AEC" w:rsidRDefault="00842AEC" w:rsidP="00842AEC">
            <w:pPr>
              <w:spacing w:after="0" w:line="240" w:lineRule="auto"/>
              <w:jc w:val="right"/>
              <w:rPr>
                <w:rFonts w:ascii="Barlow" w:hAnsi="Barlow"/>
                <w:sz w:val="20"/>
                <w:szCs w:val="20"/>
              </w:rPr>
            </w:pPr>
            <w:r w:rsidRPr="00842AEC">
              <w:rPr>
                <w:rFonts w:ascii="Barlow" w:hAnsi="Barlow" w:cs="Arial"/>
                <w:color w:val="000000"/>
                <w:sz w:val="20"/>
                <w:szCs w:val="20"/>
              </w:rPr>
              <w:t>$0.00</w:t>
            </w:r>
          </w:p>
        </w:tc>
        <w:tc>
          <w:tcPr>
            <w:tcW w:w="157" w:type="dxa"/>
          </w:tcPr>
          <w:p w:rsidR="00842AEC" w:rsidRPr="00842AEC" w:rsidRDefault="00842AEC" w:rsidP="00842AEC">
            <w:pPr>
              <w:rPr>
                <w:rFonts w:ascii="Barlow" w:hAnsi="Barlow"/>
                <w:sz w:val="20"/>
                <w:szCs w:val="20"/>
              </w:rPr>
            </w:pPr>
          </w:p>
        </w:tc>
        <w:tc>
          <w:tcPr>
            <w:tcW w:w="200" w:type="dxa"/>
            <w:gridSpan w:val="3"/>
          </w:tcPr>
          <w:p w:rsidR="00842AEC" w:rsidRPr="00842AEC" w:rsidRDefault="00842AEC" w:rsidP="00842AEC">
            <w:pPr>
              <w:rPr>
                <w:rFonts w:ascii="Barlow" w:hAnsi="Barlow"/>
                <w:sz w:val="20"/>
                <w:szCs w:val="20"/>
              </w:rPr>
            </w:pPr>
          </w:p>
        </w:tc>
      </w:tr>
      <w:tr w:rsidR="00842AEC" w:rsidRPr="00842AEC" w:rsidTr="00F2067F">
        <w:trPr>
          <w:gridBefore w:val="1"/>
          <w:gridAfter w:val="1"/>
          <w:wBefore w:w="20" w:type="dxa"/>
          <w:wAfter w:w="609" w:type="dxa"/>
          <w:trHeight w:hRule="exact" w:val="434"/>
          <w:jc w:val="center"/>
        </w:trPr>
        <w:tc>
          <w:tcPr>
            <w:tcW w:w="6904" w:type="dxa"/>
            <w:gridSpan w:val="9"/>
            <w:tcBorders>
              <w:top w:val="single" w:sz="8" w:space="0" w:color="000000"/>
              <w:left w:val="single" w:sz="8" w:space="0" w:color="000000"/>
              <w:bottom w:val="single" w:sz="8" w:space="0" w:color="000000"/>
              <w:right w:val="single" w:sz="8" w:space="0" w:color="000000"/>
            </w:tcBorders>
            <w:shd w:val="clear" w:color="000000" w:fill="D3D3D3"/>
            <w:tcMar>
              <w:top w:w="0" w:type="dxa"/>
              <w:left w:w="38" w:type="dxa"/>
              <w:bottom w:w="0" w:type="dxa"/>
              <w:right w:w="38" w:type="dxa"/>
            </w:tcMar>
            <w:vAlign w:val="bottom"/>
          </w:tcPr>
          <w:p w:rsidR="00842AEC" w:rsidRPr="00842AEC" w:rsidRDefault="00842AEC" w:rsidP="00842AEC">
            <w:pPr>
              <w:spacing w:after="0" w:line="240" w:lineRule="auto"/>
              <w:rPr>
                <w:rFonts w:ascii="Barlow" w:hAnsi="Barlow"/>
                <w:sz w:val="20"/>
                <w:szCs w:val="20"/>
              </w:rPr>
            </w:pPr>
            <w:r w:rsidRPr="00842AEC">
              <w:rPr>
                <w:rFonts w:ascii="Barlow" w:hAnsi="Barlow" w:cs="Arial"/>
                <w:b/>
                <w:color w:val="000000"/>
                <w:sz w:val="20"/>
                <w:szCs w:val="20"/>
              </w:rPr>
              <w:t>4. TOTAL DE GASTO CONTABLE (4= 1 - 2 + 3 )</w:t>
            </w:r>
          </w:p>
        </w:tc>
        <w:tc>
          <w:tcPr>
            <w:tcW w:w="1368" w:type="dxa"/>
            <w:gridSpan w:val="8"/>
            <w:tcBorders>
              <w:top w:val="single" w:sz="8" w:space="0" w:color="000000"/>
              <w:left w:val="single" w:sz="8" w:space="0" w:color="000000"/>
              <w:bottom w:val="single" w:sz="8" w:space="0" w:color="000000"/>
              <w:right w:val="single" w:sz="8" w:space="0" w:color="000000"/>
            </w:tcBorders>
            <w:shd w:val="clear" w:color="000000" w:fill="D3D3D3"/>
            <w:tcMar>
              <w:top w:w="0" w:type="dxa"/>
              <w:left w:w="38" w:type="dxa"/>
              <w:bottom w:w="0" w:type="dxa"/>
              <w:right w:w="38" w:type="dxa"/>
            </w:tcMar>
            <w:vAlign w:val="bottom"/>
          </w:tcPr>
          <w:p w:rsidR="00842AEC" w:rsidRPr="00842AEC" w:rsidRDefault="00842AEC" w:rsidP="00842AEC">
            <w:pPr>
              <w:spacing w:after="0" w:line="240" w:lineRule="auto"/>
              <w:jc w:val="right"/>
              <w:rPr>
                <w:rFonts w:ascii="Barlow" w:hAnsi="Barlow"/>
                <w:sz w:val="20"/>
                <w:szCs w:val="20"/>
              </w:rPr>
            </w:pPr>
            <w:r w:rsidRPr="00842AEC">
              <w:rPr>
                <w:rFonts w:ascii="Barlow" w:hAnsi="Barlow" w:cs="Arial"/>
                <w:b/>
                <w:color w:val="000000"/>
                <w:sz w:val="20"/>
                <w:szCs w:val="20"/>
              </w:rPr>
              <w:t>$3,107,440.08</w:t>
            </w:r>
          </w:p>
        </w:tc>
        <w:tc>
          <w:tcPr>
            <w:tcW w:w="157" w:type="dxa"/>
          </w:tcPr>
          <w:p w:rsidR="00842AEC" w:rsidRPr="00842AEC" w:rsidRDefault="00842AEC" w:rsidP="00842AEC">
            <w:pPr>
              <w:rPr>
                <w:rFonts w:ascii="Barlow" w:hAnsi="Barlow"/>
                <w:sz w:val="20"/>
                <w:szCs w:val="20"/>
              </w:rPr>
            </w:pPr>
          </w:p>
        </w:tc>
        <w:tc>
          <w:tcPr>
            <w:tcW w:w="200" w:type="dxa"/>
            <w:gridSpan w:val="3"/>
          </w:tcPr>
          <w:p w:rsidR="00842AEC" w:rsidRPr="00842AEC" w:rsidRDefault="00842AEC" w:rsidP="00842AEC">
            <w:pPr>
              <w:rPr>
                <w:rFonts w:ascii="Barlow" w:hAnsi="Barlow"/>
                <w:sz w:val="20"/>
                <w:szCs w:val="20"/>
              </w:rPr>
            </w:pPr>
          </w:p>
        </w:tc>
      </w:tr>
    </w:tbl>
    <w:p w:rsidR="00842AEC" w:rsidRPr="00842AEC" w:rsidRDefault="00842AEC" w:rsidP="00842AEC">
      <w:pPr>
        <w:spacing w:line="240" w:lineRule="auto"/>
        <w:rPr>
          <w:rFonts w:ascii="Barlow" w:hAnsi="Barlow" w:cs="Arial"/>
          <w:b/>
          <w:sz w:val="20"/>
          <w:szCs w:val="20"/>
        </w:rPr>
      </w:pPr>
    </w:p>
    <w:p w:rsidR="00842AEC" w:rsidRPr="00842AEC" w:rsidRDefault="00842AEC" w:rsidP="00842AEC">
      <w:pPr>
        <w:spacing w:line="240" w:lineRule="auto"/>
        <w:rPr>
          <w:rFonts w:ascii="Barlow" w:hAnsi="Barlow" w:cs="Arial"/>
          <w:b/>
          <w:sz w:val="20"/>
          <w:szCs w:val="20"/>
        </w:rPr>
      </w:pPr>
      <w:r w:rsidRPr="00842AEC">
        <w:rPr>
          <w:rFonts w:ascii="Barlow" w:hAnsi="Barlow" w:cs="Arial"/>
          <w:b/>
          <w:sz w:val="20"/>
          <w:szCs w:val="20"/>
        </w:rPr>
        <w:t>NOTAS DE MEMORIA (CUENTAS DE ORDEN)</w:t>
      </w:r>
    </w:p>
    <w:p w:rsidR="00842AEC" w:rsidRPr="00842AEC" w:rsidRDefault="00842AEC" w:rsidP="00842AEC">
      <w:pPr>
        <w:spacing w:line="240" w:lineRule="auto"/>
        <w:rPr>
          <w:rFonts w:ascii="Barlow" w:hAnsi="Barlow" w:cs="Arial"/>
          <w:b/>
          <w:sz w:val="20"/>
          <w:szCs w:val="20"/>
        </w:rPr>
      </w:pPr>
      <w:r w:rsidRPr="00842AEC">
        <w:rPr>
          <w:rFonts w:ascii="Barlow" w:hAnsi="Barlow" w:cs="Arial"/>
          <w:b/>
          <w:sz w:val="20"/>
          <w:szCs w:val="20"/>
        </w:rPr>
        <w:t>NO APLICA</w:t>
      </w:r>
    </w:p>
    <w:p w:rsidR="00842AEC" w:rsidRPr="00842AEC" w:rsidRDefault="00842AEC" w:rsidP="00842AEC">
      <w:pPr>
        <w:spacing w:line="240" w:lineRule="auto"/>
        <w:rPr>
          <w:rFonts w:ascii="Barlow" w:hAnsi="Barlow" w:cs="Arial"/>
          <w:b/>
          <w:sz w:val="20"/>
          <w:szCs w:val="20"/>
        </w:rPr>
      </w:pPr>
      <w:r w:rsidRPr="00842AEC">
        <w:rPr>
          <w:rFonts w:ascii="Barlow" w:hAnsi="Barlow" w:cs="Arial"/>
          <w:b/>
          <w:sz w:val="20"/>
          <w:szCs w:val="20"/>
        </w:rPr>
        <w:t xml:space="preserve"> NOTAS DE GESTIÓN ADMINISTRATIVO</w:t>
      </w:r>
    </w:p>
    <w:p w:rsidR="00842AEC" w:rsidRPr="00842AEC" w:rsidRDefault="00842AEC" w:rsidP="00842AEC">
      <w:pPr>
        <w:spacing w:line="240" w:lineRule="auto"/>
        <w:rPr>
          <w:rFonts w:ascii="Barlow" w:hAnsi="Barlow" w:cs="Arial"/>
          <w:b/>
          <w:sz w:val="20"/>
          <w:szCs w:val="20"/>
        </w:rPr>
      </w:pPr>
      <w:r w:rsidRPr="00842AEC">
        <w:rPr>
          <w:rFonts w:ascii="Barlow" w:hAnsi="Barlow" w:cs="Arial"/>
          <w:b/>
          <w:sz w:val="20"/>
          <w:szCs w:val="20"/>
        </w:rPr>
        <w:t>1.- INTRODUCCION</w:t>
      </w:r>
    </w:p>
    <w:p w:rsidR="00842AEC" w:rsidRPr="00842AEC" w:rsidRDefault="00842AEC" w:rsidP="00842AEC">
      <w:pPr>
        <w:spacing w:after="0" w:line="240" w:lineRule="auto"/>
        <w:jc w:val="both"/>
        <w:rPr>
          <w:rFonts w:ascii="Barlow" w:hAnsi="Barlow" w:cs="Arial"/>
          <w:sz w:val="20"/>
          <w:szCs w:val="20"/>
        </w:rPr>
      </w:pPr>
      <w:r w:rsidRPr="00842AEC">
        <w:rPr>
          <w:rFonts w:ascii="Barlow" w:hAnsi="Barlow" w:cs="Arial"/>
          <w:sz w:val="20"/>
          <w:szCs w:val="20"/>
        </w:rPr>
        <w:t>Los Estados Financieros de la Comisión de Derechos Humanos del estado de Yucatán, proveen de información financiera a los principales usuarios de la misma, al Congreso y a los ciudadanos.</w:t>
      </w:r>
    </w:p>
    <w:p w:rsidR="00842AEC" w:rsidRPr="00842AEC" w:rsidRDefault="00842AEC" w:rsidP="00842AEC">
      <w:pPr>
        <w:spacing w:after="0" w:line="240" w:lineRule="auto"/>
        <w:jc w:val="both"/>
        <w:rPr>
          <w:rFonts w:ascii="Barlow" w:hAnsi="Barlow" w:cs="Arial"/>
          <w:sz w:val="20"/>
          <w:szCs w:val="20"/>
        </w:rPr>
      </w:pPr>
      <w:r w:rsidRPr="00842AEC">
        <w:rPr>
          <w:rFonts w:ascii="Barlow" w:hAnsi="Barlow" w:cs="Arial"/>
          <w:sz w:val="20"/>
          <w:szCs w:val="20"/>
        </w:rPr>
        <w:t xml:space="preserve"> La comisión tiene su domicilio en la ciudad de Mérida, Yucatán, México sin embargo, para la atención de los asuntos de su competencia podrá establecer oficinas regionales o municipales, así como unidades itinerantes, en los términos de su reglamento interno.</w:t>
      </w:r>
    </w:p>
    <w:p w:rsidR="00842AEC" w:rsidRPr="00842AEC" w:rsidRDefault="00842AEC" w:rsidP="00842AEC">
      <w:pPr>
        <w:spacing w:after="0" w:line="240" w:lineRule="auto"/>
        <w:jc w:val="both"/>
        <w:rPr>
          <w:rFonts w:ascii="Barlow" w:hAnsi="Barlow" w:cs="Arial"/>
          <w:sz w:val="20"/>
          <w:szCs w:val="20"/>
        </w:rPr>
      </w:pPr>
      <w:r w:rsidRPr="00842AEC">
        <w:rPr>
          <w:rFonts w:ascii="Barlow" w:hAnsi="Barlow" w:cs="Arial"/>
          <w:sz w:val="20"/>
          <w:szCs w:val="20"/>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 todo esto en el territorio del estado de Yucatán, en términos de lo dispuesto por los artículos 102, apartado B, de la Constitución Política de los Estados Unidos Mexicanos y 74 de la  Constitución Política del Estado de Yucatán.</w:t>
      </w:r>
    </w:p>
    <w:p w:rsidR="00842AEC" w:rsidRPr="00842AEC" w:rsidRDefault="00842AEC" w:rsidP="00842AEC">
      <w:pPr>
        <w:spacing w:after="0" w:line="240" w:lineRule="auto"/>
        <w:jc w:val="both"/>
        <w:rPr>
          <w:rFonts w:ascii="Barlow" w:hAnsi="Barlow" w:cs="Arial"/>
          <w:sz w:val="20"/>
          <w:szCs w:val="20"/>
        </w:rPr>
      </w:pPr>
      <w:r w:rsidRPr="00842AEC">
        <w:rPr>
          <w:rFonts w:ascii="Barlow" w:hAnsi="Barlow" w:cs="Arial"/>
          <w:sz w:val="20"/>
          <w:szCs w:val="20"/>
        </w:rPr>
        <w:t xml:space="preserve">De esta manera se informa y explica la respuesta del gobierno a las condiciones relacionadas con la información financiera de cada período de gestión; además de exponer aquellas políticas que podrían la toma de decisiones en periodos posteriores. </w:t>
      </w:r>
    </w:p>
    <w:p w:rsidR="00842AEC" w:rsidRPr="00842AEC" w:rsidRDefault="00842AEC" w:rsidP="00842AEC">
      <w:pPr>
        <w:spacing w:after="0" w:line="240" w:lineRule="auto"/>
        <w:jc w:val="both"/>
        <w:rPr>
          <w:rFonts w:ascii="Barlow" w:hAnsi="Barlow" w:cs="Arial"/>
          <w:b/>
          <w:sz w:val="20"/>
          <w:szCs w:val="20"/>
        </w:rPr>
      </w:pPr>
    </w:p>
    <w:p w:rsidR="00842AEC" w:rsidRPr="00842AEC" w:rsidRDefault="00842AEC" w:rsidP="00842AEC">
      <w:pPr>
        <w:spacing w:after="0" w:line="240" w:lineRule="auto"/>
        <w:jc w:val="both"/>
        <w:rPr>
          <w:rFonts w:ascii="Barlow" w:hAnsi="Barlow" w:cs="Arial"/>
          <w:b/>
          <w:sz w:val="20"/>
          <w:szCs w:val="20"/>
        </w:rPr>
      </w:pPr>
      <w:r w:rsidRPr="00842AEC">
        <w:rPr>
          <w:rFonts w:ascii="Barlow" w:hAnsi="Barlow" w:cs="Arial"/>
          <w:b/>
          <w:sz w:val="20"/>
          <w:szCs w:val="20"/>
        </w:rPr>
        <w:t>2.- PANORAMA ECONÓMICO Y FINANCIERO</w:t>
      </w:r>
    </w:p>
    <w:p w:rsidR="00842AEC" w:rsidRPr="00842AEC" w:rsidRDefault="00842AEC" w:rsidP="00842AEC">
      <w:pPr>
        <w:spacing w:after="0" w:line="240" w:lineRule="auto"/>
        <w:jc w:val="both"/>
        <w:rPr>
          <w:rFonts w:ascii="Barlow" w:hAnsi="Barlow" w:cs="Arial"/>
          <w:b/>
          <w:sz w:val="20"/>
          <w:szCs w:val="20"/>
        </w:rPr>
      </w:pPr>
    </w:p>
    <w:p w:rsidR="00842AEC" w:rsidRPr="00842AEC" w:rsidRDefault="00842AEC" w:rsidP="00842AEC">
      <w:pPr>
        <w:spacing w:after="0" w:line="240" w:lineRule="auto"/>
        <w:jc w:val="both"/>
        <w:rPr>
          <w:rFonts w:ascii="Barlow" w:hAnsi="Barlow" w:cs="Arial"/>
          <w:b/>
          <w:sz w:val="20"/>
          <w:szCs w:val="20"/>
        </w:rPr>
      </w:pPr>
      <w:r w:rsidRPr="00842AEC">
        <w:rPr>
          <w:rFonts w:ascii="Barlow" w:hAnsi="Barlow" w:cs="Arial"/>
          <w:b/>
          <w:sz w:val="20"/>
          <w:szCs w:val="20"/>
        </w:rPr>
        <w:t>3.-AUTORIZACIÓN E HISTÓRIA</w:t>
      </w:r>
    </w:p>
    <w:p w:rsidR="00842AEC" w:rsidRPr="00842AEC" w:rsidRDefault="00842AEC" w:rsidP="00842AEC">
      <w:pPr>
        <w:spacing w:after="0" w:line="240" w:lineRule="auto"/>
        <w:jc w:val="both"/>
        <w:rPr>
          <w:rFonts w:ascii="Barlow" w:hAnsi="Barlow" w:cs="Arial"/>
          <w:b/>
          <w:sz w:val="20"/>
          <w:szCs w:val="20"/>
        </w:rPr>
      </w:pPr>
    </w:p>
    <w:p w:rsidR="00842AEC" w:rsidRPr="00842AEC" w:rsidRDefault="00842AEC" w:rsidP="00842AEC">
      <w:pPr>
        <w:spacing w:after="0" w:line="240" w:lineRule="auto"/>
        <w:jc w:val="both"/>
        <w:rPr>
          <w:rFonts w:ascii="Barlow" w:hAnsi="Barlow" w:cs="Arial"/>
          <w:sz w:val="20"/>
          <w:szCs w:val="20"/>
        </w:rPr>
      </w:pPr>
      <w:r w:rsidRPr="00842AEC">
        <w:rPr>
          <w:rFonts w:ascii="Barlow" w:hAnsi="Barlow" w:cs="Arial"/>
          <w:sz w:val="20"/>
          <w:szCs w:val="20"/>
        </w:rPr>
        <w:t>A) El 28 de enero de 1993 se publica en de Diario Oficial de la Federación la creación del nuevo ente Comisión de Derechos Humanos del Estado de Yucatán, iniciando gestiones en marzo de 1993</w:t>
      </w:r>
    </w:p>
    <w:p w:rsidR="00842AEC" w:rsidRPr="00842AEC" w:rsidRDefault="00842AEC" w:rsidP="00842AEC">
      <w:pPr>
        <w:spacing w:after="0" w:line="240" w:lineRule="auto"/>
        <w:jc w:val="both"/>
        <w:rPr>
          <w:rFonts w:ascii="Barlow" w:hAnsi="Barlow" w:cs="Arial"/>
          <w:b/>
          <w:sz w:val="20"/>
          <w:szCs w:val="20"/>
        </w:rPr>
      </w:pPr>
      <w:r w:rsidRPr="00842AEC">
        <w:rPr>
          <w:rFonts w:ascii="Barlow" w:hAnsi="Barlow" w:cs="Arial"/>
          <w:b/>
          <w:sz w:val="20"/>
          <w:szCs w:val="20"/>
        </w:rPr>
        <w:t>B) No aplica</w:t>
      </w:r>
    </w:p>
    <w:p w:rsidR="00842AEC" w:rsidRPr="00842AEC" w:rsidRDefault="00842AEC" w:rsidP="00842AEC">
      <w:pPr>
        <w:spacing w:after="0" w:line="240" w:lineRule="auto"/>
        <w:jc w:val="both"/>
        <w:rPr>
          <w:rFonts w:ascii="Barlow" w:hAnsi="Barlow" w:cs="Arial"/>
          <w:sz w:val="20"/>
          <w:szCs w:val="20"/>
        </w:rPr>
      </w:pPr>
    </w:p>
    <w:p w:rsidR="00842AEC" w:rsidRPr="00842AEC" w:rsidRDefault="00842AEC" w:rsidP="00842AEC">
      <w:pPr>
        <w:spacing w:after="0" w:line="240" w:lineRule="auto"/>
        <w:jc w:val="both"/>
        <w:rPr>
          <w:rFonts w:ascii="Barlow" w:hAnsi="Barlow" w:cs="Arial"/>
          <w:b/>
          <w:sz w:val="20"/>
          <w:szCs w:val="20"/>
        </w:rPr>
      </w:pPr>
      <w:r w:rsidRPr="00842AEC">
        <w:rPr>
          <w:rFonts w:ascii="Barlow" w:hAnsi="Barlow" w:cs="Arial"/>
          <w:b/>
          <w:sz w:val="20"/>
          <w:szCs w:val="20"/>
        </w:rPr>
        <w:t>4.- ORGANIZACIÓN Y OBJETO SOCIAL</w:t>
      </w:r>
    </w:p>
    <w:p w:rsidR="00842AEC" w:rsidRPr="00842AEC" w:rsidRDefault="00842AEC" w:rsidP="00842AEC">
      <w:pPr>
        <w:spacing w:after="0" w:line="240" w:lineRule="auto"/>
        <w:jc w:val="both"/>
        <w:rPr>
          <w:rFonts w:ascii="Barlow" w:hAnsi="Barlow" w:cs="Arial"/>
          <w:sz w:val="20"/>
          <w:szCs w:val="20"/>
        </w:rPr>
      </w:pPr>
    </w:p>
    <w:p w:rsidR="00842AEC" w:rsidRPr="00842AEC" w:rsidRDefault="00842AEC" w:rsidP="00842AEC">
      <w:pPr>
        <w:spacing w:after="0" w:line="240" w:lineRule="auto"/>
        <w:jc w:val="both"/>
        <w:rPr>
          <w:rFonts w:ascii="Barlow" w:hAnsi="Barlow" w:cs="Arial"/>
          <w:sz w:val="20"/>
          <w:szCs w:val="20"/>
        </w:rPr>
      </w:pPr>
      <w:r w:rsidRPr="00842AEC">
        <w:rPr>
          <w:rFonts w:ascii="Barlow" w:hAnsi="Barlow" w:cs="Arial"/>
          <w:sz w:val="20"/>
          <w:szCs w:val="20"/>
        </w:rPr>
        <w:t>La comisión es un organismo público autónomo, con personalidad jurídica y patrimonio propio que tiene por objeto proteger, defender, estudiar, investigar, promover y divulgar los derechos humanos en el estado de Yucatán.</w:t>
      </w:r>
    </w:p>
    <w:p w:rsidR="00842AEC" w:rsidRPr="00842AEC" w:rsidRDefault="00842AEC" w:rsidP="00842AEC">
      <w:pPr>
        <w:spacing w:after="0" w:line="240" w:lineRule="auto"/>
        <w:jc w:val="both"/>
        <w:rPr>
          <w:rFonts w:ascii="Barlow" w:hAnsi="Barlow" w:cs="Arial"/>
          <w:sz w:val="20"/>
          <w:szCs w:val="20"/>
        </w:rPr>
      </w:pPr>
      <w:r w:rsidRPr="00842AEC">
        <w:rPr>
          <w:rFonts w:ascii="Barlow" w:hAnsi="Barlow" w:cs="Arial"/>
          <w:sz w:val="20"/>
          <w:szCs w:val="20"/>
        </w:rPr>
        <w:t>La comisión, para el cumplimiento de su objeto, deberá de apegarse a las atribuciones estipuladas en el artículo 10 de la ley de la Comisión de Derechos Humanos del Estado de Yucatán.</w:t>
      </w:r>
    </w:p>
    <w:p w:rsidR="00842AEC" w:rsidRPr="00842AEC" w:rsidRDefault="00842AEC" w:rsidP="00842AEC">
      <w:pPr>
        <w:shd w:val="clear" w:color="auto" w:fill="FFFFFF"/>
        <w:spacing w:after="0" w:line="240" w:lineRule="auto"/>
        <w:jc w:val="both"/>
        <w:textAlignment w:val="baseline"/>
        <w:outlineLvl w:val="3"/>
        <w:rPr>
          <w:rFonts w:ascii="Barlow" w:hAnsi="Barlow" w:cs="Arial"/>
          <w:b/>
          <w:bCs/>
          <w:color w:val="333333"/>
          <w:sz w:val="20"/>
          <w:szCs w:val="20"/>
          <w:lang w:val="es-ES" w:eastAsia="es-ES"/>
        </w:rPr>
      </w:pPr>
      <w:r w:rsidRPr="00842AEC">
        <w:rPr>
          <w:rFonts w:ascii="Barlow" w:hAnsi="Barlow" w:cs="Arial"/>
          <w:b/>
          <w:bCs/>
          <w:color w:val="333333"/>
          <w:sz w:val="20"/>
          <w:szCs w:val="20"/>
          <w:lang w:val="es-ES" w:eastAsia="es-ES"/>
        </w:rPr>
        <w:t>Misión</w:t>
      </w:r>
    </w:p>
    <w:p w:rsidR="00842AEC" w:rsidRPr="00842AEC" w:rsidRDefault="00842AEC" w:rsidP="00842AEC">
      <w:pPr>
        <w:spacing w:after="0" w:line="240" w:lineRule="auto"/>
        <w:jc w:val="both"/>
        <w:rPr>
          <w:rFonts w:ascii="Barlow" w:hAnsi="Barlow" w:cs="Arial"/>
          <w:sz w:val="20"/>
          <w:szCs w:val="20"/>
        </w:rPr>
      </w:pPr>
      <w:r w:rsidRPr="00842AEC">
        <w:rPr>
          <w:rFonts w:ascii="Barlow" w:hAnsi="Barlow" w:cs="Arial"/>
          <w:sz w:val="20"/>
          <w:szCs w:val="20"/>
        </w:rPr>
        <w:t>Proteger, defender, promover y estudiar los Derechos Humanos en todo el territorio del Estado de Yucatán, mediante un servicio integral, permanente y sensible a los ciudadanos y organizaciones.</w:t>
      </w:r>
    </w:p>
    <w:p w:rsidR="00842AEC" w:rsidRPr="00842AEC" w:rsidRDefault="00842AEC" w:rsidP="00842AEC">
      <w:pPr>
        <w:pStyle w:val="Ttulo4"/>
        <w:shd w:val="clear" w:color="auto" w:fill="FFFFFF"/>
        <w:spacing w:before="0"/>
        <w:jc w:val="both"/>
        <w:textAlignment w:val="baseline"/>
        <w:rPr>
          <w:rFonts w:ascii="Barlow" w:hAnsi="Barlow" w:cs="Arial"/>
          <w:color w:val="333333"/>
          <w:sz w:val="20"/>
          <w:szCs w:val="20"/>
        </w:rPr>
      </w:pPr>
      <w:r w:rsidRPr="00842AEC">
        <w:rPr>
          <w:rFonts w:ascii="Barlow" w:hAnsi="Barlow" w:cs="Arial"/>
          <w:color w:val="333333"/>
          <w:sz w:val="20"/>
          <w:szCs w:val="20"/>
        </w:rPr>
        <w:t>Visión</w:t>
      </w:r>
    </w:p>
    <w:p w:rsidR="00842AEC" w:rsidRPr="00842AEC" w:rsidRDefault="00842AEC" w:rsidP="00842AEC">
      <w:pPr>
        <w:spacing w:after="0" w:line="240" w:lineRule="auto"/>
        <w:jc w:val="both"/>
        <w:rPr>
          <w:rFonts w:ascii="Barlow" w:hAnsi="Barlow" w:cs="Arial"/>
          <w:sz w:val="20"/>
          <w:szCs w:val="20"/>
        </w:rPr>
      </w:pPr>
      <w:r w:rsidRPr="00842AEC">
        <w:rPr>
          <w:rFonts w:ascii="Barlow" w:hAnsi="Barlow" w:cs="Arial"/>
          <w:sz w:val="20"/>
          <w:szCs w:val="20"/>
        </w:rPr>
        <w:t>Ser un organismo sensible y efectivo, capaz de generar la confianza y acción conjunta de los ciudadanos y sus organizaciones, para garantizaren todo el Estado de Yucatán el respeto a los Derechos Humanos.</w:t>
      </w:r>
    </w:p>
    <w:p w:rsidR="00842AEC" w:rsidRPr="00842AEC" w:rsidRDefault="00842AEC" w:rsidP="00842AEC">
      <w:pPr>
        <w:spacing w:after="0" w:line="240" w:lineRule="auto"/>
        <w:jc w:val="both"/>
        <w:rPr>
          <w:rFonts w:ascii="Barlow" w:hAnsi="Barlow" w:cs="Arial"/>
          <w:sz w:val="20"/>
          <w:szCs w:val="20"/>
        </w:rPr>
      </w:pPr>
      <w:r w:rsidRPr="00842AEC">
        <w:rPr>
          <w:rFonts w:ascii="Barlow" w:hAnsi="Barlow" w:cs="Arial"/>
          <w:sz w:val="20"/>
          <w:szCs w:val="20"/>
        </w:rPr>
        <w:t>Con el propósito de fortalecer la autonomía de la Comisión, también se previó determinar los rubros que integrarán su patrimonio y su organización presupuestaria, esto acorde con la nueva naturaleza autónoma de la Comisión y en cumplimiento de sus atribuciones, para efectos de asegurar la funcionabilidad y eficacia del cometido constitucional a su cargo.</w:t>
      </w:r>
    </w:p>
    <w:p w:rsidR="00842AEC" w:rsidRPr="00842AEC" w:rsidRDefault="00842AEC" w:rsidP="00842AEC">
      <w:pPr>
        <w:spacing w:line="240" w:lineRule="auto"/>
        <w:rPr>
          <w:rFonts w:ascii="Barlow" w:hAnsi="Barlow" w:cs="Arial"/>
          <w:b/>
          <w:sz w:val="20"/>
          <w:szCs w:val="20"/>
        </w:rPr>
      </w:pPr>
    </w:p>
    <w:p w:rsidR="00842AEC" w:rsidRPr="00842AEC" w:rsidRDefault="00842AEC" w:rsidP="00842AEC">
      <w:pPr>
        <w:spacing w:after="0" w:line="240" w:lineRule="auto"/>
        <w:jc w:val="both"/>
        <w:rPr>
          <w:rFonts w:ascii="Barlow" w:hAnsi="Barlow" w:cs="Arial"/>
          <w:sz w:val="20"/>
          <w:szCs w:val="20"/>
        </w:rPr>
      </w:pPr>
      <w:r w:rsidRPr="00842AEC">
        <w:rPr>
          <w:rFonts w:ascii="Barlow" w:hAnsi="Barlow" w:cs="Arial"/>
          <w:sz w:val="20"/>
          <w:szCs w:val="20"/>
        </w:rPr>
        <w:t>Es así, que en cumplimiento a los decretos constitucionales de reforma tanto a la Constitución Federal, como a la Constitución Local, la ley que se sometió a consideración, tiene como finalidad cubrir en sus términos y de manera armónica, todos aquellos aspectos previstos en las citadas reformas constitucionales y con ello garantizar la plena vigencia de los derechos humanos en el Estado.</w:t>
      </w:r>
    </w:p>
    <w:p w:rsidR="00842AEC" w:rsidRPr="00842AEC" w:rsidRDefault="00842AEC" w:rsidP="00842AEC">
      <w:pPr>
        <w:spacing w:after="0" w:line="240" w:lineRule="auto"/>
        <w:jc w:val="both"/>
        <w:rPr>
          <w:rFonts w:ascii="Barlow" w:hAnsi="Barlow" w:cs="Arial"/>
          <w:b/>
          <w:sz w:val="20"/>
          <w:szCs w:val="20"/>
        </w:rPr>
      </w:pPr>
    </w:p>
    <w:p w:rsidR="00842AEC" w:rsidRPr="00842AEC" w:rsidRDefault="00842AEC" w:rsidP="00842AEC">
      <w:pPr>
        <w:spacing w:after="0" w:line="240" w:lineRule="auto"/>
        <w:jc w:val="both"/>
        <w:rPr>
          <w:rFonts w:ascii="Barlow" w:hAnsi="Barlow" w:cs="Arial"/>
          <w:b/>
          <w:sz w:val="20"/>
          <w:szCs w:val="20"/>
        </w:rPr>
      </w:pPr>
      <w:r w:rsidRPr="00842AEC">
        <w:rPr>
          <w:rFonts w:ascii="Barlow" w:hAnsi="Barlow" w:cs="Arial"/>
          <w:b/>
          <w:sz w:val="20"/>
          <w:szCs w:val="20"/>
        </w:rPr>
        <w:t>El tipo de contribuciones obligado a pagar o retener.</w:t>
      </w:r>
    </w:p>
    <w:p w:rsidR="00842AEC" w:rsidRPr="00842AEC" w:rsidRDefault="00842AEC" w:rsidP="00842AEC">
      <w:pPr>
        <w:spacing w:after="0" w:line="240" w:lineRule="auto"/>
        <w:jc w:val="both"/>
        <w:rPr>
          <w:rFonts w:ascii="Barlow" w:hAnsi="Barlow" w:cs="Arial"/>
          <w:sz w:val="20"/>
          <w:szCs w:val="20"/>
        </w:rPr>
      </w:pPr>
      <w:r w:rsidRPr="00842AEC">
        <w:rPr>
          <w:rFonts w:ascii="Barlow" w:hAnsi="Barlow" w:cs="Arial"/>
          <w:sz w:val="20"/>
          <w:szCs w:val="20"/>
        </w:rPr>
        <w:t>Presentar la declaración y pago provisional mensual de retenciones de Impuesto Sobre la Renta (ISR) por sueldos y salarios.</w:t>
      </w:r>
    </w:p>
    <w:p w:rsidR="00842AEC" w:rsidRPr="00842AEC" w:rsidRDefault="00842AEC" w:rsidP="00842AEC">
      <w:pPr>
        <w:spacing w:after="0" w:line="240" w:lineRule="auto"/>
        <w:jc w:val="both"/>
        <w:rPr>
          <w:rFonts w:ascii="Barlow" w:hAnsi="Barlow" w:cs="Arial"/>
          <w:sz w:val="20"/>
          <w:szCs w:val="20"/>
        </w:rPr>
      </w:pPr>
      <w:r w:rsidRPr="00842AEC">
        <w:rPr>
          <w:rFonts w:ascii="Barlow" w:hAnsi="Barlow" w:cs="Arial"/>
          <w:sz w:val="20"/>
          <w:szCs w:val="20"/>
        </w:rPr>
        <w:lastRenderedPageBreak/>
        <w:t>Presentar la declaración anual de Impuesto Sobre la Renta (ISR) donde se informe sobre las retenciones efectuadas por pagos de rentas de bienes inmuebles.</w:t>
      </w:r>
    </w:p>
    <w:p w:rsidR="00842AEC" w:rsidRPr="00842AEC" w:rsidRDefault="00842AEC" w:rsidP="00842AEC">
      <w:pPr>
        <w:spacing w:after="0" w:line="240" w:lineRule="auto"/>
        <w:jc w:val="both"/>
        <w:rPr>
          <w:rFonts w:ascii="Barlow" w:hAnsi="Barlow" w:cs="Arial"/>
          <w:sz w:val="20"/>
          <w:szCs w:val="20"/>
        </w:rPr>
      </w:pPr>
      <w:r w:rsidRPr="00842AEC">
        <w:rPr>
          <w:rFonts w:ascii="Barlow" w:hAnsi="Barlow" w:cs="Arial"/>
          <w:sz w:val="20"/>
          <w:szCs w:val="20"/>
        </w:rPr>
        <w:t>Presentar la declaración anual donde se informe sobre las retenciones de los trabajadores que recibieron sueldos y salarios y trabajadores asimilados a salarios.</w:t>
      </w:r>
    </w:p>
    <w:p w:rsidR="00842AEC" w:rsidRPr="00842AEC" w:rsidRDefault="00842AEC" w:rsidP="00842AEC">
      <w:pPr>
        <w:spacing w:after="0" w:line="240" w:lineRule="auto"/>
        <w:jc w:val="both"/>
        <w:rPr>
          <w:rFonts w:ascii="Barlow" w:hAnsi="Barlow" w:cs="Arial"/>
          <w:sz w:val="20"/>
          <w:szCs w:val="20"/>
        </w:rPr>
      </w:pPr>
      <w:r w:rsidRPr="00842AEC">
        <w:rPr>
          <w:rFonts w:ascii="Barlow" w:hAnsi="Barlow" w:cs="Arial"/>
          <w:sz w:val="20"/>
          <w:szCs w:val="20"/>
        </w:rPr>
        <w:t>Presentar la declaración y pago provisional mensual de las retenciones de Impuesto Sobre la Renta (ISR) realizadas por el pago de rentas de bienes inmuebles.</w:t>
      </w:r>
    </w:p>
    <w:p w:rsidR="00842AEC" w:rsidRPr="00842AEC" w:rsidRDefault="00842AEC" w:rsidP="00842AEC">
      <w:pPr>
        <w:spacing w:after="0" w:line="240" w:lineRule="auto"/>
        <w:jc w:val="both"/>
        <w:rPr>
          <w:rFonts w:ascii="Barlow" w:hAnsi="Barlow" w:cs="Arial"/>
          <w:sz w:val="20"/>
          <w:szCs w:val="20"/>
        </w:rPr>
      </w:pPr>
      <w:r w:rsidRPr="00842AEC">
        <w:rPr>
          <w:rFonts w:ascii="Barlow" w:hAnsi="Barlow" w:cs="Arial"/>
          <w:sz w:val="20"/>
          <w:szCs w:val="20"/>
        </w:rPr>
        <w:t>Presentar la declaración anual de Impuesto Sobre la Renta (ISR) donde se informe sobre el remanente distribuible de personas morales con fines no lucrativos.</w:t>
      </w:r>
    </w:p>
    <w:p w:rsidR="00842AEC" w:rsidRPr="00842AEC" w:rsidRDefault="00842AEC" w:rsidP="00842AEC">
      <w:pPr>
        <w:spacing w:after="0" w:line="240" w:lineRule="auto"/>
        <w:jc w:val="both"/>
        <w:rPr>
          <w:rFonts w:ascii="Barlow" w:hAnsi="Barlow" w:cs="Arial"/>
          <w:sz w:val="20"/>
          <w:szCs w:val="20"/>
        </w:rPr>
      </w:pPr>
      <w:r w:rsidRPr="00842AEC">
        <w:rPr>
          <w:rFonts w:ascii="Barlow" w:hAnsi="Barlow" w:cs="Arial"/>
          <w:sz w:val="20"/>
          <w:szCs w:val="20"/>
        </w:rPr>
        <w:t>Presentar la declaración anual de Impuesto Sobre la Renta (ISR) donde se informe sobre los ingresos obtenidos y los gastos efectuados de personas morales confines no lucrativos.</w:t>
      </w:r>
    </w:p>
    <w:p w:rsidR="00842AEC" w:rsidRPr="00842AEC" w:rsidRDefault="00842AEC" w:rsidP="00842AEC">
      <w:pPr>
        <w:spacing w:after="0" w:line="240" w:lineRule="auto"/>
        <w:jc w:val="both"/>
        <w:rPr>
          <w:rFonts w:ascii="Barlow" w:hAnsi="Barlow" w:cs="Arial"/>
          <w:sz w:val="20"/>
          <w:szCs w:val="20"/>
        </w:rPr>
      </w:pPr>
      <w:r w:rsidRPr="00842AEC">
        <w:rPr>
          <w:rFonts w:ascii="Barlow" w:hAnsi="Barlow" w:cs="Arial"/>
          <w:sz w:val="20"/>
          <w:szCs w:val="20"/>
        </w:rPr>
        <w:t>Presentar la declaración anual de Impuesto Sobre la Renta (ISR) donde se informe sobre los clientes y proveedores de bienes y servicios.</w:t>
      </w:r>
    </w:p>
    <w:p w:rsidR="00842AEC" w:rsidRPr="00842AEC" w:rsidRDefault="00842AEC" w:rsidP="00842AEC">
      <w:pPr>
        <w:spacing w:after="0" w:line="240" w:lineRule="auto"/>
        <w:jc w:val="both"/>
        <w:rPr>
          <w:rFonts w:ascii="Barlow" w:hAnsi="Barlow" w:cs="Arial"/>
          <w:sz w:val="20"/>
          <w:szCs w:val="20"/>
        </w:rPr>
      </w:pPr>
      <w:r w:rsidRPr="00842AEC">
        <w:rPr>
          <w:rFonts w:ascii="Barlow" w:hAnsi="Barlow" w:cs="Arial"/>
          <w:sz w:val="20"/>
          <w:szCs w:val="20"/>
        </w:rPr>
        <w:t>Presentar la declaración informativa anual de Subsidio para el Empleo.</w:t>
      </w:r>
    </w:p>
    <w:p w:rsidR="00842AEC" w:rsidRPr="00842AEC" w:rsidRDefault="00842AEC" w:rsidP="00842AEC">
      <w:pPr>
        <w:spacing w:after="0" w:line="240" w:lineRule="auto"/>
        <w:jc w:val="both"/>
        <w:rPr>
          <w:rFonts w:ascii="Barlow" w:hAnsi="Barlow" w:cs="Arial"/>
          <w:sz w:val="20"/>
          <w:szCs w:val="20"/>
        </w:rPr>
      </w:pPr>
    </w:p>
    <w:p w:rsidR="00842AEC" w:rsidRPr="00842AEC" w:rsidRDefault="00842AEC" w:rsidP="00842AEC">
      <w:pPr>
        <w:spacing w:after="0" w:line="240" w:lineRule="auto"/>
        <w:jc w:val="both"/>
        <w:rPr>
          <w:rFonts w:ascii="Barlow" w:hAnsi="Barlow" w:cs="Arial"/>
          <w:sz w:val="20"/>
          <w:szCs w:val="20"/>
        </w:rPr>
      </w:pPr>
      <w:r w:rsidRPr="00842AEC">
        <w:rPr>
          <w:rFonts w:ascii="Barlow" w:hAnsi="Barlow" w:cs="Arial"/>
          <w:sz w:val="20"/>
          <w:szCs w:val="20"/>
        </w:rPr>
        <w:t>Estructura organizacional básica.  Se anexa organigrama de la entidad.</w:t>
      </w:r>
    </w:p>
    <w:p w:rsidR="00842AEC" w:rsidRPr="00842AEC" w:rsidRDefault="00842AEC" w:rsidP="00842AEC">
      <w:pPr>
        <w:outlineLvl w:val="0"/>
        <w:rPr>
          <w:rFonts w:ascii="Barlow" w:hAnsi="Barlow"/>
          <w:sz w:val="20"/>
          <w:szCs w:val="20"/>
        </w:rPr>
      </w:pPr>
      <w:r w:rsidRPr="00842AEC">
        <w:rPr>
          <w:rFonts w:ascii="Barlow" w:hAnsi="Barlow"/>
          <w:noProof/>
          <w:sz w:val="20"/>
          <w:szCs w:val="20"/>
        </w:rPr>
        <w:lastRenderedPageBreak/>
        <w:pict>
          <v:shapetype id="_x0000_t109" coordsize="21600,21600" o:spt="109" path="m,l,21600r21600,l21600,xe">
            <v:stroke joinstyle="miter"/>
            <v:path gradientshapeok="t" o:connecttype="rect"/>
          </v:shapetype>
          <v:shape id="AutoShape 310" o:spid="_x0000_s1047" type="#_x0000_t109" alt="PRESIDENTE, Jorge Alfonso Victoria Maldonado&#10;" style="position:absolute;margin-left:781.9pt;margin-top:12.2pt;width:174pt;height:32.3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" fillcolor="#d8d8d8" strokeweight="3pt">
            <v:stroke linestyle="thinThin"/>
            <v:textbox inset="1.5mm,,1.5mm">
              <w:txbxContent>
                <w:p w:rsidR="00842AEC" w:rsidRPr="002000F2" w:rsidRDefault="00842AEC" w:rsidP="00842AEC">
                  <w:pPr>
                    <w:jc w:val="center"/>
                    <w:rPr>
                      <w:rFonts w:ascii="Arial" w:hAnsi="Arial" w:cs="Arial"/>
                      <w:b/>
                      <w:sz w:val="12"/>
                      <w:szCs w:val="12"/>
                    </w:rPr>
                  </w:pPr>
                  <w:r w:rsidRPr="002000F2">
                    <w:rPr>
                      <w:rFonts w:ascii="Arial" w:hAnsi="Arial" w:cs="Arial"/>
                      <w:b/>
                      <w:sz w:val="12"/>
                      <w:szCs w:val="12"/>
                    </w:rPr>
                    <w:t>CONSEJO CONSULTIVO</w:t>
                  </w:r>
                </w:p>
                <w:p w:rsidR="00842AEC" w:rsidRPr="002000F2" w:rsidRDefault="00842AEC" w:rsidP="00842AEC">
                  <w:pPr>
                    <w:spacing w:before="60"/>
                    <w:jc w:val="center"/>
                    <w:rPr>
                      <w:rFonts w:ascii="Arial" w:hAnsi="Arial" w:cs="Arial"/>
                      <w:b/>
                      <w:sz w:val="12"/>
                      <w:szCs w:val="12"/>
                    </w:rPr>
                  </w:pPr>
                </w:p>
              </w:txbxContent>
            </v:textbox>
          </v:shape>
        </w:pict>
      </w:r>
      <w:r w:rsidRPr="00842AEC">
        <w:rPr>
          <w:rFonts w:ascii="Barlow" w:hAnsi="Barlow"/>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5" type="#_x0000_t75" style="width:655.5pt;height:439.5pt;visibility:visible;mso-wrap-style:square">
            <v:imagedata r:id="rId7" o:title=""/>
          </v:shape>
        </w:pict>
      </w:r>
    </w:p>
    <w:p w:rsidR="00842AEC" w:rsidRPr="00842AEC" w:rsidRDefault="00842AEC" w:rsidP="00842AEC">
      <w:pPr>
        <w:spacing w:after="0" w:line="240" w:lineRule="auto"/>
        <w:jc w:val="both"/>
        <w:rPr>
          <w:rFonts w:ascii="Barlow" w:hAnsi="Barlow" w:cs="Arial"/>
          <w:b/>
          <w:sz w:val="20"/>
          <w:szCs w:val="20"/>
        </w:rPr>
      </w:pPr>
      <w:r w:rsidRPr="00842AEC">
        <w:rPr>
          <w:rFonts w:ascii="Barlow" w:hAnsi="Barlow" w:cs="Arial"/>
          <w:b/>
          <w:sz w:val="20"/>
          <w:szCs w:val="20"/>
        </w:rPr>
        <w:lastRenderedPageBreak/>
        <w:t>5.- BASES PARA LA PREPARACIÓN DE LOS ESTADOS FINANCIEROS:</w:t>
      </w:r>
    </w:p>
    <w:p w:rsidR="00842AEC" w:rsidRPr="00842AEC" w:rsidRDefault="00842AEC" w:rsidP="00842AEC">
      <w:pPr>
        <w:spacing w:after="0" w:line="240" w:lineRule="auto"/>
        <w:jc w:val="both"/>
        <w:rPr>
          <w:rFonts w:ascii="Barlow" w:hAnsi="Barlow" w:cs="Arial"/>
          <w:sz w:val="20"/>
          <w:szCs w:val="20"/>
        </w:rPr>
      </w:pPr>
    </w:p>
    <w:p w:rsidR="00842AEC" w:rsidRPr="00842AEC" w:rsidRDefault="00842AEC" w:rsidP="00842AEC">
      <w:pPr>
        <w:spacing w:after="0" w:line="240" w:lineRule="auto"/>
        <w:jc w:val="both"/>
        <w:rPr>
          <w:rFonts w:ascii="Barlow" w:hAnsi="Barlow" w:cs="Arial"/>
          <w:sz w:val="20"/>
          <w:szCs w:val="20"/>
        </w:rPr>
      </w:pPr>
      <w:r w:rsidRPr="00842AEC">
        <w:rPr>
          <w:rFonts w:ascii="Barlow" w:hAnsi="Barlow" w:cs="Arial"/>
          <w:sz w:val="20"/>
          <w:szCs w:val="20"/>
        </w:rPr>
        <w:t>Se ha observado la normatividad emitida por el CONAC y las disposiciones legales aplicables</w:t>
      </w:r>
    </w:p>
    <w:p w:rsidR="00842AEC" w:rsidRPr="00842AEC" w:rsidRDefault="00842AEC" w:rsidP="00842AEC">
      <w:pPr>
        <w:spacing w:after="0" w:line="240" w:lineRule="auto"/>
        <w:jc w:val="both"/>
        <w:rPr>
          <w:rFonts w:ascii="Barlow" w:hAnsi="Barlow" w:cs="Arial"/>
          <w:sz w:val="20"/>
          <w:szCs w:val="20"/>
        </w:rPr>
      </w:pPr>
      <w:r w:rsidRPr="00842AEC">
        <w:rPr>
          <w:rFonts w:ascii="Barlow" w:hAnsi="Barlow" w:cs="Arial"/>
          <w:sz w:val="20"/>
          <w:szCs w:val="20"/>
        </w:rPr>
        <w:t>Se ha observado en cierta medida la normatividad emitida por el CONAC y la Ley General de Contabilidad Gubernamental (LGCG) para la emisión de los estados financieros contables.</w:t>
      </w:r>
    </w:p>
    <w:p w:rsidR="00842AEC" w:rsidRPr="00842AEC" w:rsidRDefault="00842AEC" w:rsidP="00842AEC">
      <w:pPr>
        <w:spacing w:after="0" w:line="240" w:lineRule="auto"/>
        <w:jc w:val="both"/>
        <w:rPr>
          <w:rFonts w:ascii="Barlow" w:hAnsi="Barlow" w:cs="Arial"/>
          <w:sz w:val="20"/>
          <w:szCs w:val="20"/>
        </w:rPr>
      </w:pPr>
      <w:r w:rsidRPr="00842AEC">
        <w:rPr>
          <w:rFonts w:ascii="Barlow" w:hAnsi="Barlow" w:cs="Arial"/>
          <w:sz w:val="20"/>
          <w:szCs w:val="20"/>
        </w:rPr>
        <w:t>La normatividad aplicada para el reconocimiento, valuación y revelación de los diferentes rubros de la información financiera, así como las bases de medición utilizadas para la elaboración de los estados financieros; por ejemplo: costo histórico, valor de realización o cualquier otro método empleado y los criterios de aplicación de los mismos</w:t>
      </w:r>
    </w:p>
    <w:p w:rsidR="00842AEC" w:rsidRPr="00842AEC" w:rsidRDefault="00842AEC" w:rsidP="00842AEC">
      <w:pPr>
        <w:spacing w:after="0" w:line="240" w:lineRule="auto"/>
        <w:jc w:val="both"/>
        <w:rPr>
          <w:rFonts w:ascii="Barlow" w:hAnsi="Barlow" w:cs="Arial"/>
          <w:sz w:val="20"/>
          <w:szCs w:val="20"/>
        </w:rPr>
      </w:pPr>
      <w:r w:rsidRPr="00842AEC">
        <w:rPr>
          <w:rFonts w:ascii="Barlow" w:hAnsi="Barlow" w:cs="Arial"/>
          <w:sz w:val="20"/>
          <w:szCs w:val="20"/>
        </w:rPr>
        <w:t xml:space="preserve">Todos los eventos que afectan económicamente a la Comisión de Derechos Humanos del Estado de Yucatán, están cuantificados en términos monetarios y se registran al costo histórico. El costo histórico de las operaciones corresponde al monto erogado para su adquisición conforme a la documentación contable original justificativa y comprobatoria, o bien a su valor estimado o de avalúo. </w:t>
      </w:r>
    </w:p>
    <w:p w:rsidR="00842AEC" w:rsidRPr="00842AEC" w:rsidRDefault="00842AEC" w:rsidP="00842AEC">
      <w:pPr>
        <w:spacing w:after="0" w:line="240" w:lineRule="auto"/>
        <w:jc w:val="both"/>
        <w:rPr>
          <w:rFonts w:ascii="Barlow" w:hAnsi="Barlow" w:cs="Arial"/>
          <w:sz w:val="20"/>
          <w:szCs w:val="20"/>
        </w:rPr>
      </w:pPr>
      <w:r w:rsidRPr="00842AEC">
        <w:rPr>
          <w:rFonts w:ascii="Barlow" w:hAnsi="Barlow" w:cs="Arial"/>
          <w:sz w:val="20"/>
          <w:szCs w:val="20"/>
        </w:rPr>
        <w:t>Las bases de preparación de los Estados Financieros de la Comisión de Derechos Humanos del Estado de Yucatán, aplican los Postulados Básicos de sustancia económica, entes públicos, revelación suficiente, importancia relativa, registro e integración presupuestaria, devengo contable del ingreso, valuación, dualidad económica y consistencia. Sin embargo, aún se encuentran en fase de desarrollo de los diferentes rubros de la información financiera.</w:t>
      </w:r>
    </w:p>
    <w:p w:rsidR="00842AEC" w:rsidRPr="00842AEC" w:rsidRDefault="00842AEC" w:rsidP="00842AEC">
      <w:pPr>
        <w:spacing w:after="0" w:line="240" w:lineRule="auto"/>
        <w:jc w:val="both"/>
        <w:rPr>
          <w:rFonts w:ascii="Barlow" w:hAnsi="Barlow" w:cs="Arial"/>
          <w:sz w:val="20"/>
          <w:szCs w:val="20"/>
        </w:rPr>
      </w:pPr>
    </w:p>
    <w:p w:rsidR="00842AEC" w:rsidRPr="00842AEC" w:rsidRDefault="00842AEC" w:rsidP="00842AEC">
      <w:pPr>
        <w:spacing w:after="0" w:line="240" w:lineRule="auto"/>
        <w:jc w:val="both"/>
        <w:rPr>
          <w:rFonts w:ascii="Barlow" w:hAnsi="Barlow" w:cs="Arial"/>
          <w:sz w:val="20"/>
          <w:szCs w:val="20"/>
        </w:rPr>
      </w:pPr>
      <w:r w:rsidRPr="00842AEC">
        <w:rPr>
          <w:rFonts w:ascii="Barlow" w:hAnsi="Barlow" w:cs="Arial"/>
          <w:b/>
          <w:sz w:val="20"/>
          <w:szCs w:val="20"/>
        </w:rPr>
        <w:t>Ingresos</w:t>
      </w:r>
      <w:r w:rsidRPr="00842AEC">
        <w:rPr>
          <w:rFonts w:ascii="Barlow" w:hAnsi="Barlow" w:cs="Arial"/>
          <w:sz w:val="20"/>
          <w:szCs w:val="20"/>
        </w:rPr>
        <w:t>: Los ingresos se reconocen cuando se tiene el derecho de cobro o se devengan de acuerdo a los lineamientos emitidos por el CONAC.</w:t>
      </w:r>
    </w:p>
    <w:p w:rsidR="00842AEC" w:rsidRPr="00842AEC" w:rsidRDefault="00842AEC" w:rsidP="00842AEC">
      <w:pPr>
        <w:spacing w:after="0" w:line="240" w:lineRule="auto"/>
        <w:jc w:val="both"/>
        <w:rPr>
          <w:rFonts w:ascii="Barlow" w:hAnsi="Barlow" w:cs="Arial"/>
          <w:sz w:val="20"/>
          <w:szCs w:val="20"/>
        </w:rPr>
      </w:pPr>
      <w:r w:rsidRPr="00842AEC">
        <w:rPr>
          <w:rFonts w:ascii="Barlow" w:hAnsi="Barlow" w:cs="Arial"/>
          <w:sz w:val="20"/>
          <w:szCs w:val="20"/>
        </w:rPr>
        <w:t xml:space="preserve">El momento contable del </w:t>
      </w:r>
      <w:r w:rsidRPr="00842AEC">
        <w:rPr>
          <w:rFonts w:ascii="Barlow" w:hAnsi="Barlow" w:cs="Arial"/>
          <w:i/>
          <w:sz w:val="20"/>
          <w:szCs w:val="20"/>
        </w:rPr>
        <w:t>ingreso estimado</w:t>
      </w:r>
      <w:r w:rsidRPr="00842AEC">
        <w:rPr>
          <w:rFonts w:ascii="Barlow" w:hAnsi="Barlow" w:cs="Arial"/>
          <w:sz w:val="20"/>
          <w:szCs w:val="20"/>
        </w:rPr>
        <w:t xml:space="preserve"> es el que se aprueba anualmente por la Presidencia de la Comisión de Derechos Humanos del Estado de Yucatán  a través del presupuesto Anual.</w:t>
      </w:r>
    </w:p>
    <w:p w:rsidR="00842AEC" w:rsidRPr="00842AEC" w:rsidRDefault="00842AEC" w:rsidP="00842AEC">
      <w:pPr>
        <w:spacing w:after="0" w:line="240" w:lineRule="auto"/>
        <w:jc w:val="both"/>
        <w:rPr>
          <w:rFonts w:ascii="Barlow" w:hAnsi="Barlow" w:cs="Arial"/>
          <w:sz w:val="20"/>
          <w:szCs w:val="20"/>
        </w:rPr>
      </w:pPr>
      <w:r w:rsidRPr="00842AEC">
        <w:rPr>
          <w:rFonts w:ascii="Barlow" w:hAnsi="Barlow" w:cs="Arial"/>
          <w:i/>
          <w:sz w:val="20"/>
          <w:szCs w:val="20"/>
        </w:rPr>
        <w:t>El ingreso modificado</w:t>
      </w:r>
      <w:r w:rsidRPr="00842AEC">
        <w:rPr>
          <w:rFonts w:ascii="Barlow" w:hAnsi="Barlow" w:cs="Arial"/>
          <w:sz w:val="20"/>
          <w:szCs w:val="20"/>
        </w:rPr>
        <w:t xml:space="preserve"> consiste en incorporar en su caso, las modificaciones al ingreso aprobado.</w:t>
      </w:r>
    </w:p>
    <w:p w:rsidR="00842AEC" w:rsidRPr="00842AEC" w:rsidRDefault="00842AEC" w:rsidP="00842AEC">
      <w:pPr>
        <w:spacing w:after="0" w:line="240" w:lineRule="auto"/>
        <w:jc w:val="both"/>
        <w:rPr>
          <w:rFonts w:ascii="Barlow" w:hAnsi="Barlow" w:cs="Arial"/>
          <w:sz w:val="20"/>
          <w:szCs w:val="20"/>
        </w:rPr>
      </w:pPr>
      <w:r w:rsidRPr="00842AEC">
        <w:rPr>
          <w:rFonts w:ascii="Barlow" w:hAnsi="Barlow" w:cs="Arial"/>
          <w:i/>
          <w:sz w:val="20"/>
          <w:szCs w:val="20"/>
        </w:rPr>
        <w:t xml:space="preserve">El ingreso devengado: </w:t>
      </w:r>
      <w:r w:rsidRPr="00842AEC">
        <w:rPr>
          <w:rFonts w:ascii="Barlow" w:hAnsi="Barlow" w:cs="Arial"/>
          <w:sz w:val="20"/>
          <w:szCs w:val="20"/>
        </w:rPr>
        <w:t>no se cuenta con los elementos que identifiquen el hecho imponible al deudor y que pueda establecer un importe, ya que nuestros servicios son gratuitos.</w:t>
      </w:r>
    </w:p>
    <w:p w:rsidR="00842AEC" w:rsidRPr="00842AEC" w:rsidRDefault="00842AEC" w:rsidP="00842AEC">
      <w:pPr>
        <w:spacing w:after="0" w:line="240" w:lineRule="auto"/>
        <w:jc w:val="both"/>
        <w:rPr>
          <w:rFonts w:ascii="Barlow" w:hAnsi="Barlow" w:cs="Arial"/>
          <w:sz w:val="20"/>
          <w:szCs w:val="20"/>
        </w:rPr>
      </w:pPr>
      <w:r w:rsidRPr="00842AEC">
        <w:rPr>
          <w:rFonts w:ascii="Barlow" w:hAnsi="Barlow" w:cs="Arial"/>
          <w:i/>
          <w:sz w:val="20"/>
          <w:szCs w:val="20"/>
        </w:rPr>
        <w:t>Ingreso recaudado</w:t>
      </w:r>
      <w:r w:rsidRPr="00842AEC">
        <w:rPr>
          <w:rFonts w:ascii="Barlow" w:hAnsi="Barlow" w:cs="Arial"/>
          <w:sz w:val="20"/>
          <w:szCs w:val="20"/>
        </w:rPr>
        <w:t>: no se cuenta con los elementos que identifiquen el hecho imponible, ya que nuestros servicios son gratuitos.</w:t>
      </w:r>
    </w:p>
    <w:p w:rsidR="00842AEC" w:rsidRPr="00842AEC" w:rsidRDefault="00842AEC" w:rsidP="00842AEC">
      <w:pPr>
        <w:spacing w:after="0" w:line="240" w:lineRule="auto"/>
        <w:jc w:val="both"/>
        <w:rPr>
          <w:rFonts w:ascii="Barlow" w:hAnsi="Barlow" w:cs="Arial"/>
          <w:sz w:val="20"/>
          <w:szCs w:val="20"/>
        </w:rPr>
      </w:pPr>
    </w:p>
    <w:p w:rsidR="00842AEC" w:rsidRPr="00842AEC" w:rsidRDefault="00842AEC" w:rsidP="00842AEC">
      <w:pPr>
        <w:spacing w:after="0" w:line="240" w:lineRule="auto"/>
        <w:jc w:val="both"/>
        <w:rPr>
          <w:rFonts w:ascii="Barlow" w:hAnsi="Barlow" w:cs="Arial"/>
          <w:sz w:val="20"/>
          <w:szCs w:val="20"/>
        </w:rPr>
      </w:pPr>
      <w:r w:rsidRPr="00842AEC">
        <w:rPr>
          <w:rFonts w:ascii="Barlow" w:hAnsi="Barlow" w:cs="Arial"/>
          <w:b/>
          <w:sz w:val="20"/>
          <w:szCs w:val="20"/>
        </w:rPr>
        <w:t>Egresos</w:t>
      </w:r>
      <w:r w:rsidRPr="00842AEC">
        <w:rPr>
          <w:rFonts w:ascii="Barlow" w:hAnsi="Barlow" w:cs="Arial"/>
          <w:sz w:val="20"/>
          <w:szCs w:val="20"/>
        </w:rPr>
        <w:t>: Los egresos se encuentran reconocidos al costo histórico en el momento en que se devengan.</w:t>
      </w:r>
    </w:p>
    <w:p w:rsidR="00842AEC" w:rsidRPr="00842AEC" w:rsidRDefault="00842AEC" w:rsidP="00842AEC">
      <w:pPr>
        <w:spacing w:after="0" w:line="240" w:lineRule="auto"/>
        <w:jc w:val="both"/>
        <w:rPr>
          <w:rFonts w:ascii="Barlow" w:hAnsi="Barlow" w:cs="Arial"/>
          <w:sz w:val="20"/>
          <w:szCs w:val="20"/>
        </w:rPr>
      </w:pPr>
      <w:r w:rsidRPr="00842AEC">
        <w:rPr>
          <w:rFonts w:ascii="Barlow" w:hAnsi="Barlow" w:cs="Arial"/>
          <w:i/>
          <w:sz w:val="20"/>
          <w:szCs w:val="20"/>
        </w:rPr>
        <w:t>El gasto comprometido</w:t>
      </w:r>
      <w:r w:rsidRPr="00842AEC">
        <w:rPr>
          <w:rFonts w:ascii="Barlow" w:hAnsi="Barlow" w:cs="Arial"/>
          <w:sz w:val="20"/>
          <w:szCs w:val="20"/>
        </w:rPr>
        <w:t xml:space="preserve"> refleja la aprobación por autoridad competente de un acto administrativo, u otro instrumento jurídico que formaliza una relación jurídica con terceros, para la adquisición de bienes y servicios </w:t>
      </w:r>
    </w:p>
    <w:p w:rsidR="00842AEC" w:rsidRPr="00842AEC" w:rsidRDefault="00842AEC" w:rsidP="00842AEC">
      <w:pPr>
        <w:spacing w:after="0" w:line="240" w:lineRule="auto"/>
        <w:jc w:val="both"/>
        <w:rPr>
          <w:rFonts w:ascii="Barlow" w:hAnsi="Barlow" w:cs="Arial"/>
          <w:sz w:val="20"/>
          <w:szCs w:val="20"/>
        </w:rPr>
      </w:pPr>
      <w:r w:rsidRPr="00842AEC">
        <w:rPr>
          <w:rFonts w:ascii="Barlow" w:hAnsi="Barlow" w:cs="Arial"/>
          <w:i/>
          <w:sz w:val="20"/>
          <w:szCs w:val="20"/>
        </w:rPr>
        <w:t>El gasto devengado</w:t>
      </w:r>
      <w:r w:rsidRPr="00842AEC">
        <w:rPr>
          <w:rFonts w:ascii="Barlow" w:hAnsi="Barlow" w:cs="Arial"/>
          <w:sz w:val="20"/>
          <w:szCs w:val="20"/>
        </w:rPr>
        <w:t>, refleja el reconocimiento de obligaciones de pago a favor de terceros por la recepción de conformidad de bienes y servicios  oportunamente contratados.</w:t>
      </w:r>
    </w:p>
    <w:p w:rsidR="00842AEC" w:rsidRPr="00842AEC" w:rsidRDefault="00842AEC" w:rsidP="00842AEC">
      <w:pPr>
        <w:spacing w:after="0" w:line="240" w:lineRule="auto"/>
        <w:jc w:val="both"/>
        <w:rPr>
          <w:rFonts w:ascii="Barlow" w:hAnsi="Barlow" w:cs="Arial"/>
          <w:sz w:val="20"/>
          <w:szCs w:val="20"/>
        </w:rPr>
      </w:pPr>
      <w:r w:rsidRPr="00842AEC">
        <w:rPr>
          <w:rFonts w:ascii="Barlow" w:hAnsi="Barlow" w:cs="Arial"/>
          <w:i/>
          <w:sz w:val="20"/>
          <w:szCs w:val="20"/>
        </w:rPr>
        <w:t>El gasto pagado</w:t>
      </w:r>
      <w:r w:rsidRPr="00842AEC">
        <w:rPr>
          <w:rFonts w:ascii="Barlow" w:hAnsi="Barlow" w:cs="Arial"/>
          <w:sz w:val="20"/>
          <w:szCs w:val="20"/>
        </w:rPr>
        <w:t>, refleja la cancelación total o parcial de las obligaciones de pago, que se concreta mediante el desembolso de efectivo o cualquier otro medio de pago</w:t>
      </w:r>
    </w:p>
    <w:p w:rsidR="00842AEC" w:rsidRPr="00842AEC" w:rsidRDefault="00842AEC" w:rsidP="00842AEC">
      <w:pPr>
        <w:spacing w:after="0" w:line="240" w:lineRule="auto"/>
        <w:jc w:val="both"/>
        <w:rPr>
          <w:rFonts w:ascii="Barlow" w:hAnsi="Barlow" w:cs="Arial"/>
          <w:sz w:val="20"/>
          <w:szCs w:val="20"/>
        </w:rPr>
      </w:pPr>
      <w:r w:rsidRPr="00842AEC">
        <w:rPr>
          <w:rFonts w:ascii="Barlow" w:hAnsi="Barlow" w:cs="Arial"/>
          <w:sz w:val="20"/>
          <w:szCs w:val="20"/>
        </w:rPr>
        <w:t>El sistema y método de Valuación de Bienes Muebles que integran el Patrimonio de la Comisión es a  Valor Histórico.</w:t>
      </w:r>
    </w:p>
    <w:p w:rsidR="00842AEC" w:rsidRPr="00842AEC" w:rsidRDefault="00842AEC" w:rsidP="00842AEC">
      <w:pPr>
        <w:spacing w:after="0" w:line="240" w:lineRule="auto"/>
        <w:jc w:val="both"/>
        <w:rPr>
          <w:rFonts w:ascii="Barlow" w:hAnsi="Barlow" w:cs="Arial"/>
          <w:sz w:val="20"/>
          <w:szCs w:val="20"/>
        </w:rPr>
      </w:pPr>
      <w:r w:rsidRPr="00842AEC">
        <w:rPr>
          <w:rFonts w:ascii="Barlow" w:hAnsi="Barlow" w:cs="Arial"/>
          <w:sz w:val="20"/>
          <w:szCs w:val="20"/>
        </w:rPr>
        <w:lastRenderedPageBreak/>
        <w:t xml:space="preserve">Se continua trabajando en el cambio transcendental que es el proceso de armonización contable, para atender en tiempo y forma el nuevo esquema de la contabilidad gubernamental y generando así los beneficios en materia de información financiera, transparencia y rendición </w:t>
      </w:r>
    </w:p>
    <w:p w:rsidR="00842AEC" w:rsidRPr="00842AEC" w:rsidRDefault="00842AEC" w:rsidP="00842AEC">
      <w:pPr>
        <w:spacing w:line="240" w:lineRule="auto"/>
        <w:rPr>
          <w:rFonts w:ascii="Barlow" w:hAnsi="Barlow" w:cs="Arial"/>
          <w:b/>
          <w:sz w:val="20"/>
          <w:szCs w:val="20"/>
        </w:rPr>
      </w:pPr>
      <w:r w:rsidRPr="00842AEC">
        <w:rPr>
          <w:rFonts w:ascii="Barlow" w:hAnsi="Barlow" w:cs="Arial"/>
          <w:b/>
          <w:sz w:val="20"/>
          <w:szCs w:val="20"/>
        </w:rPr>
        <w:t xml:space="preserve">6.- No aplica </w:t>
      </w:r>
    </w:p>
    <w:p w:rsidR="00842AEC" w:rsidRPr="00842AEC" w:rsidRDefault="00842AEC" w:rsidP="00842AEC">
      <w:pPr>
        <w:spacing w:line="240" w:lineRule="auto"/>
        <w:rPr>
          <w:rFonts w:ascii="Barlow" w:hAnsi="Barlow" w:cs="Arial"/>
          <w:b/>
          <w:sz w:val="20"/>
          <w:szCs w:val="20"/>
        </w:rPr>
      </w:pPr>
      <w:r w:rsidRPr="00842AEC">
        <w:rPr>
          <w:rFonts w:ascii="Barlow" w:hAnsi="Barlow" w:cs="Arial"/>
          <w:b/>
          <w:sz w:val="20"/>
          <w:szCs w:val="20"/>
        </w:rPr>
        <w:t>7.- No aplica</w:t>
      </w:r>
    </w:p>
    <w:p w:rsidR="00842AEC" w:rsidRPr="00842AEC" w:rsidRDefault="00842AEC" w:rsidP="00842AEC">
      <w:pPr>
        <w:spacing w:line="240" w:lineRule="auto"/>
        <w:rPr>
          <w:rFonts w:ascii="Barlow" w:hAnsi="Barlow" w:cs="Arial"/>
          <w:b/>
          <w:sz w:val="20"/>
          <w:szCs w:val="20"/>
        </w:rPr>
      </w:pPr>
      <w:r w:rsidRPr="00842AEC">
        <w:rPr>
          <w:rFonts w:ascii="Barlow" w:hAnsi="Barlow" w:cs="Arial"/>
          <w:b/>
          <w:sz w:val="20"/>
          <w:szCs w:val="20"/>
        </w:rPr>
        <w:t xml:space="preserve">8.- REPORTE ANALITICO DEL ACTIVO </w:t>
      </w:r>
    </w:p>
    <w:tbl>
      <w:tblPr>
        <w:tblW w:w="11470" w:type="dxa"/>
        <w:tblInd w:w="-35" w:type="dxa"/>
        <w:tblCellMar>
          <w:left w:w="70" w:type="dxa"/>
          <w:right w:w="70" w:type="dxa"/>
        </w:tblCellMar>
        <w:tblLook w:val="04A0" w:firstRow="1" w:lastRow="0" w:firstColumn="1" w:lastColumn="0" w:noHBand="0" w:noVBand="1"/>
      </w:tblPr>
      <w:tblGrid>
        <w:gridCol w:w="3156"/>
        <w:gridCol w:w="2177"/>
        <w:gridCol w:w="1969"/>
        <w:gridCol w:w="1541"/>
        <w:gridCol w:w="1382"/>
        <w:gridCol w:w="715"/>
        <w:gridCol w:w="152"/>
        <w:gridCol w:w="146"/>
        <w:gridCol w:w="232"/>
      </w:tblGrid>
      <w:tr w:rsidR="00842AEC" w:rsidRPr="00842AEC" w:rsidTr="00842AEC">
        <w:trPr>
          <w:gridAfter w:val="5"/>
          <w:wAfter w:w="2627" w:type="dxa"/>
          <w:trHeight w:val="301"/>
        </w:trPr>
        <w:tc>
          <w:tcPr>
            <w:tcW w:w="31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2AEC" w:rsidRPr="00842AEC" w:rsidRDefault="00842AEC" w:rsidP="00842AEC">
            <w:pPr>
              <w:spacing w:after="0" w:line="240" w:lineRule="auto"/>
              <w:jc w:val="both"/>
              <w:rPr>
                <w:rFonts w:ascii="Barlow" w:hAnsi="Barlow" w:cs="Calibri"/>
                <w:b/>
                <w:bCs/>
                <w:color w:val="000000"/>
                <w:sz w:val="20"/>
                <w:szCs w:val="20"/>
              </w:rPr>
            </w:pPr>
            <w:r w:rsidRPr="00842AEC">
              <w:rPr>
                <w:rFonts w:ascii="Barlow" w:hAnsi="Barlow" w:cs="Calibri"/>
                <w:b/>
                <w:bCs/>
                <w:color w:val="000000"/>
                <w:sz w:val="20"/>
                <w:szCs w:val="20"/>
              </w:rPr>
              <w:t xml:space="preserve">BIENES MUEBLES </w:t>
            </w:r>
          </w:p>
        </w:tc>
        <w:tc>
          <w:tcPr>
            <w:tcW w:w="2177" w:type="dxa"/>
            <w:tcBorders>
              <w:top w:val="single" w:sz="4" w:space="0" w:color="auto"/>
              <w:left w:val="nil"/>
              <w:bottom w:val="single" w:sz="4" w:space="0" w:color="auto"/>
              <w:right w:val="single" w:sz="4" w:space="0" w:color="auto"/>
            </w:tcBorders>
            <w:shd w:val="clear" w:color="auto" w:fill="auto"/>
            <w:noWrap/>
            <w:vAlign w:val="bottom"/>
          </w:tcPr>
          <w:p w:rsidR="00842AEC" w:rsidRPr="00842AEC" w:rsidRDefault="00842AEC" w:rsidP="00842AEC">
            <w:pPr>
              <w:spacing w:after="0" w:line="240" w:lineRule="auto"/>
              <w:jc w:val="both"/>
              <w:rPr>
                <w:rFonts w:ascii="Barlow" w:hAnsi="Barlow" w:cs="Calibri"/>
                <w:b/>
                <w:bCs/>
                <w:color w:val="000000"/>
                <w:sz w:val="20"/>
                <w:szCs w:val="20"/>
              </w:rPr>
            </w:pPr>
            <w:r w:rsidRPr="00842AEC">
              <w:rPr>
                <w:rFonts w:ascii="Barlow" w:hAnsi="Barlow" w:cs="Calibri"/>
                <w:b/>
                <w:bCs/>
                <w:color w:val="000000"/>
                <w:sz w:val="20"/>
                <w:szCs w:val="20"/>
              </w:rPr>
              <w:t>METODO DEP</w:t>
            </w:r>
          </w:p>
        </w:tc>
        <w:tc>
          <w:tcPr>
            <w:tcW w:w="19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2AEC" w:rsidRPr="00842AEC" w:rsidRDefault="00842AEC" w:rsidP="00842AEC">
            <w:pPr>
              <w:spacing w:after="0" w:line="240" w:lineRule="auto"/>
              <w:jc w:val="both"/>
              <w:rPr>
                <w:rFonts w:ascii="Barlow" w:hAnsi="Barlow" w:cs="Calibri"/>
                <w:b/>
                <w:bCs/>
                <w:color w:val="000000"/>
                <w:sz w:val="20"/>
                <w:szCs w:val="20"/>
              </w:rPr>
            </w:pPr>
            <w:r w:rsidRPr="00842AEC">
              <w:rPr>
                <w:rFonts w:ascii="Barlow" w:hAnsi="Barlow" w:cs="Calibri"/>
                <w:b/>
                <w:bCs/>
                <w:color w:val="000000"/>
                <w:sz w:val="20"/>
                <w:szCs w:val="20"/>
              </w:rPr>
              <w:t>TASAS APLICADAS</w:t>
            </w:r>
          </w:p>
        </w:tc>
        <w:tc>
          <w:tcPr>
            <w:tcW w:w="1541" w:type="dxa"/>
            <w:tcBorders>
              <w:top w:val="single" w:sz="4" w:space="0" w:color="auto"/>
              <w:left w:val="nil"/>
              <w:bottom w:val="single" w:sz="4" w:space="0" w:color="auto"/>
              <w:right w:val="single" w:sz="4" w:space="0" w:color="auto"/>
            </w:tcBorders>
            <w:shd w:val="clear" w:color="auto" w:fill="auto"/>
            <w:noWrap/>
            <w:vAlign w:val="bottom"/>
          </w:tcPr>
          <w:p w:rsidR="00842AEC" w:rsidRPr="00842AEC" w:rsidRDefault="00842AEC" w:rsidP="00842AEC">
            <w:pPr>
              <w:spacing w:after="0" w:line="240" w:lineRule="auto"/>
              <w:jc w:val="both"/>
              <w:rPr>
                <w:rFonts w:ascii="Barlow" w:hAnsi="Barlow" w:cs="Calibri"/>
                <w:b/>
                <w:bCs/>
                <w:color w:val="000000"/>
                <w:sz w:val="20"/>
                <w:szCs w:val="20"/>
              </w:rPr>
            </w:pPr>
            <w:r w:rsidRPr="00842AEC">
              <w:rPr>
                <w:rFonts w:ascii="Barlow" w:hAnsi="Barlow" w:cs="Calibri"/>
                <w:b/>
                <w:bCs/>
                <w:color w:val="000000"/>
                <w:sz w:val="20"/>
                <w:szCs w:val="20"/>
              </w:rPr>
              <w:t>ESTADO DE LOS BIENES</w:t>
            </w:r>
          </w:p>
        </w:tc>
      </w:tr>
      <w:tr w:rsidR="00842AEC" w:rsidRPr="00842AEC" w:rsidTr="00842AEC">
        <w:trPr>
          <w:gridAfter w:val="5"/>
          <w:wAfter w:w="2627" w:type="dxa"/>
          <w:trHeight w:val="301"/>
        </w:trPr>
        <w:tc>
          <w:tcPr>
            <w:tcW w:w="3156"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MOBILIARIO DE OFICINA Y ESTANTERIA</w:t>
            </w:r>
          </w:p>
        </w:tc>
        <w:tc>
          <w:tcPr>
            <w:tcW w:w="2177" w:type="dxa"/>
            <w:tcBorders>
              <w:top w:val="single" w:sz="4" w:space="0" w:color="auto"/>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PORCENTAJE FIJO</w:t>
            </w:r>
          </w:p>
        </w:tc>
        <w:tc>
          <w:tcPr>
            <w:tcW w:w="1969"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10%</w:t>
            </w:r>
          </w:p>
        </w:tc>
        <w:tc>
          <w:tcPr>
            <w:tcW w:w="1541"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BUENO</w:t>
            </w:r>
          </w:p>
        </w:tc>
      </w:tr>
      <w:tr w:rsidR="00842AEC" w:rsidRPr="00842AEC" w:rsidTr="00842AEC">
        <w:trPr>
          <w:gridAfter w:val="5"/>
          <w:wAfter w:w="2627" w:type="dxa"/>
          <w:trHeight w:val="301"/>
        </w:trPr>
        <w:tc>
          <w:tcPr>
            <w:tcW w:w="3156"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 xml:space="preserve">BIENES DE COMPUTO Y TECNOLG </w:t>
            </w:r>
          </w:p>
        </w:tc>
        <w:tc>
          <w:tcPr>
            <w:tcW w:w="2177"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PORCENTAJE FIJO</w:t>
            </w:r>
          </w:p>
        </w:tc>
        <w:tc>
          <w:tcPr>
            <w:tcW w:w="1969"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33%</w:t>
            </w:r>
          </w:p>
        </w:tc>
        <w:tc>
          <w:tcPr>
            <w:tcW w:w="1541"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BUENO</w:t>
            </w:r>
          </w:p>
        </w:tc>
      </w:tr>
      <w:tr w:rsidR="00842AEC" w:rsidRPr="00842AEC" w:rsidTr="00842AEC">
        <w:trPr>
          <w:gridAfter w:val="5"/>
          <w:wAfter w:w="2627" w:type="dxa"/>
          <w:trHeight w:val="301"/>
        </w:trPr>
        <w:tc>
          <w:tcPr>
            <w:tcW w:w="3156" w:type="dxa"/>
            <w:tcBorders>
              <w:top w:val="nil"/>
              <w:left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OTROS MUEBLES Y EQ. ADMINISTRACION.</w:t>
            </w:r>
          </w:p>
        </w:tc>
        <w:tc>
          <w:tcPr>
            <w:tcW w:w="2177" w:type="dxa"/>
            <w:tcBorders>
              <w:top w:val="nil"/>
              <w:left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PORCENTAJE FIJO</w:t>
            </w:r>
          </w:p>
        </w:tc>
        <w:tc>
          <w:tcPr>
            <w:tcW w:w="1969" w:type="dxa"/>
            <w:tcBorders>
              <w:top w:val="nil"/>
              <w:left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10%</w:t>
            </w:r>
          </w:p>
        </w:tc>
        <w:tc>
          <w:tcPr>
            <w:tcW w:w="1541" w:type="dxa"/>
            <w:tcBorders>
              <w:top w:val="nil"/>
              <w:left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BUENO</w:t>
            </w:r>
          </w:p>
        </w:tc>
      </w:tr>
      <w:tr w:rsidR="00842AEC" w:rsidRPr="00842AEC" w:rsidTr="00842AEC">
        <w:trPr>
          <w:gridAfter w:val="5"/>
          <w:wAfter w:w="2627" w:type="dxa"/>
          <w:trHeight w:val="301"/>
        </w:trPr>
        <w:tc>
          <w:tcPr>
            <w:tcW w:w="3156"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SISTEMAS DE AIRE ACONDICIONADO</w:t>
            </w:r>
          </w:p>
        </w:tc>
        <w:tc>
          <w:tcPr>
            <w:tcW w:w="2177"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PORCENTAJE FIJO</w:t>
            </w:r>
          </w:p>
        </w:tc>
        <w:tc>
          <w:tcPr>
            <w:tcW w:w="1969"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10%</w:t>
            </w:r>
          </w:p>
        </w:tc>
        <w:tc>
          <w:tcPr>
            <w:tcW w:w="1541"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BUENO</w:t>
            </w:r>
          </w:p>
        </w:tc>
      </w:tr>
      <w:tr w:rsidR="00842AEC" w:rsidRPr="00842AEC" w:rsidTr="00842AEC">
        <w:trPr>
          <w:gridAfter w:val="5"/>
          <w:wAfter w:w="2627" w:type="dxa"/>
          <w:trHeight w:val="301"/>
        </w:trPr>
        <w:tc>
          <w:tcPr>
            <w:tcW w:w="3156"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MAQUINARIA Y OTROS EQUIPOS</w:t>
            </w:r>
          </w:p>
        </w:tc>
        <w:tc>
          <w:tcPr>
            <w:tcW w:w="2177"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PORCENTAJE FIJO</w:t>
            </w:r>
          </w:p>
        </w:tc>
        <w:tc>
          <w:tcPr>
            <w:tcW w:w="1969"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33.3%</w:t>
            </w:r>
          </w:p>
        </w:tc>
        <w:tc>
          <w:tcPr>
            <w:tcW w:w="1541"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BUENO</w:t>
            </w:r>
          </w:p>
        </w:tc>
      </w:tr>
      <w:tr w:rsidR="00842AEC" w:rsidRPr="00842AEC" w:rsidTr="00842AEC">
        <w:trPr>
          <w:gridAfter w:val="5"/>
          <w:wAfter w:w="2627" w:type="dxa"/>
          <w:trHeight w:val="301"/>
        </w:trPr>
        <w:tc>
          <w:tcPr>
            <w:tcW w:w="3156" w:type="dxa"/>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MUEBLES EXCEPTO DE OFICINA Y EST.</w:t>
            </w:r>
          </w:p>
        </w:tc>
        <w:tc>
          <w:tcPr>
            <w:tcW w:w="2177"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PORCENTAJE FIJO</w:t>
            </w:r>
          </w:p>
        </w:tc>
        <w:tc>
          <w:tcPr>
            <w:tcW w:w="1969"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10%</w:t>
            </w:r>
          </w:p>
        </w:tc>
        <w:tc>
          <w:tcPr>
            <w:tcW w:w="1541"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BUENO</w:t>
            </w:r>
          </w:p>
        </w:tc>
      </w:tr>
      <w:tr w:rsidR="00842AEC" w:rsidRPr="00842AEC" w:rsidTr="00842AEC">
        <w:trPr>
          <w:gridAfter w:val="5"/>
          <w:wAfter w:w="2627" w:type="dxa"/>
          <w:trHeight w:val="301"/>
        </w:trPr>
        <w:tc>
          <w:tcPr>
            <w:tcW w:w="3156"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EQUIPO DE COMUNICACIÓN Y TELECOM</w:t>
            </w:r>
          </w:p>
        </w:tc>
        <w:tc>
          <w:tcPr>
            <w:tcW w:w="2177"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PORCENTAJE FIJO</w:t>
            </w:r>
          </w:p>
        </w:tc>
        <w:tc>
          <w:tcPr>
            <w:tcW w:w="1969"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10%</w:t>
            </w:r>
          </w:p>
        </w:tc>
        <w:tc>
          <w:tcPr>
            <w:tcW w:w="1541" w:type="dxa"/>
            <w:tcBorders>
              <w:top w:val="nil"/>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BUENO</w:t>
            </w:r>
          </w:p>
        </w:tc>
      </w:tr>
      <w:tr w:rsidR="00842AEC" w:rsidRPr="00842AEC" w:rsidTr="00842AEC">
        <w:trPr>
          <w:gridAfter w:val="5"/>
          <w:wAfter w:w="2627" w:type="dxa"/>
          <w:trHeight w:val="301"/>
        </w:trPr>
        <w:tc>
          <w:tcPr>
            <w:tcW w:w="3156" w:type="dxa"/>
            <w:tcBorders>
              <w:top w:val="nil"/>
              <w:left w:val="nil"/>
              <w:bottom w:val="single" w:sz="4" w:space="0" w:color="auto"/>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EQUIPO DE TRANSPORTE</w:t>
            </w:r>
          </w:p>
        </w:tc>
        <w:tc>
          <w:tcPr>
            <w:tcW w:w="2177" w:type="dxa"/>
            <w:tcBorders>
              <w:top w:val="nil"/>
              <w:left w:val="nil"/>
              <w:bottom w:val="single" w:sz="4" w:space="0" w:color="auto"/>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PORCENTAJE FIJO</w:t>
            </w:r>
          </w:p>
        </w:tc>
        <w:tc>
          <w:tcPr>
            <w:tcW w:w="1969" w:type="dxa"/>
            <w:tcBorders>
              <w:top w:val="nil"/>
              <w:left w:val="nil"/>
              <w:bottom w:val="single" w:sz="4" w:space="0" w:color="auto"/>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20%</w:t>
            </w:r>
          </w:p>
        </w:tc>
        <w:tc>
          <w:tcPr>
            <w:tcW w:w="1541" w:type="dxa"/>
            <w:tcBorders>
              <w:top w:val="nil"/>
              <w:left w:val="nil"/>
              <w:bottom w:val="single" w:sz="4" w:space="0" w:color="auto"/>
              <w:right w:val="nil"/>
            </w:tcBorders>
            <w:shd w:val="clear" w:color="auto" w:fill="auto"/>
            <w:noWrap/>
            <w:vAlign w:val="bottom"/>
            <w:hideMark/>
          </w:tcPr>
          <w:p w:rsidR="00842AEC" w:rsidRPr="00842AEC" w:rsidRDefault="00842AEC" w:rsidP="00842AEC">
            <w:pPr>
              <w:spacing w:after="0" w:line="240" w:lineRule="auto"/>
              <w:jc w:val="both"/>
              <w:rPr>
                <w:rFonts w:ascii="Barlow" w:hAnsi="Barlow" w:cs="Calibri"/>
                <w:color w:val="000000"/>
                <w:sz w:val="20"/>
                <w:szCs w:val="20"/>
              </w:rPr>
            </w:pPr>
            <w:r w:rsidRPr="00842AEC">
              <w:rPr>
                <w:rFonts w:ascii="Barlow" w:hAnsi="Barlow" w:cs="Calibri"/>
                <w:color w:val="000000"/>
                <w:sz w:val="20"/>
                <w:szCs w:val="20"/>
              </w:rPr>
              <w:t>BUENO</w:t>
            </w:r>
          </w:p>
        </w:tc>
      </w:tr>
      <w:tr w:rsidR="00842AEC" w:rsidRPr="00842AEC" w:rsidTr="00842AEC">
        <w:trPr>
          <w:trHeight w:val="386"/>
        </w:trPr>
        <w:tc>
          <w:tcPr>
            <w:tcW w:w="3156" w:type="dxa"/>
            <w:tcBorders>
              <w:top w:val="single" w:sz="4" w:space="0" w:color="auto"/>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p>
        </w:tc>
        <w:tc>
          <w:tcPr>
            <w:tcW w:w="2177" w:type="dxa"/>
            <w:tcBorders>
              <w:top w:val="single" w:sz="4" w:space="0" w:color="auto"/>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p>
        </w:tc>
        <w:tc>
          <w:tcPr>
            <w:tcW w:w="1969" w:type="dxa"/>
            <w:tcBorders>
              <w:top w:val="single" w:sz="4" w:space="0" w:color="auto"/>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p>
        </w:tc>
        <w:tc>
          <w:tcPr>
            <w:tcW w:w="1541" w:type="dxa"/>
            <w:tcBorders>
              <w:top w:val="single" w:sz="4" w:space="0" w:color="auto"/>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p>
        </w:tc>
        <w:tc>
          <w:tcPr>
            <w:tcW w:w="1382" w:type="dxa"/>
            <w:tcBorders>
              <w:top w:val="single" w:sz="4" w:space="0" w:color="auto"/>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p>
        </w:tc>
        <w:tc>
          <w:tcPr>
            <w:tcW w:w="715" w:type="dxa"/>
            <w:tcBorders>
              <w:top w:val="single" w:sz="4" w:space="0" w:color="auto"/>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p>
        </w:tc>
        <w:tc>
          <w:tcPr>
            <w:tcW w:w="152" w:type="dxa"/>
            <w:tcBorders>
              <w:top w:val="single" w:sz="4" w:space="0" w:color="auto"/>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p>
        </w:tc>
        <w:tc>
          <w:tcPr>
            <w:tcW w:w="146" w:type="dxa"/>
            <w:tcBorders>
              <w:top w:val="single" w:sz="4" w:space="0" w:color="auto"/>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p>
        </w:tc>
        <w:tc>
          <w:tcPr>
            <w:tcW w:w="232" w:type="dxa"/>
            <w:tcBorders>
              <w:top w:val="single" w:sz="4" w:space="0" w:color="auto"/>
              <w:left w:val="nil"/>
              <w:bottom w:val="nil"/>
              <w:right w:val="nil"/>
            </w:tcBorders>
            <w:shd w:val="clear" w:color="auto" w:fill="auto"/>
            <w:noWrap/>
            <w:vAlign w:val="bottom"/>
          </w:tcPr>
          <w:p w:rsidR="00842AEC" w:rsidRPr="00842AEC" w:rsidRDefault="00842AEC" w:rsidP="00842AEC">
            <w:pPr>
              <w:spacing w:after="0" w:line="240" w:lineRule="auto"/>
              <w:jc w:val="both"/>
              <w:rPr>
                <w:rFonts w:ascii="Barlow" w:hAnsi="Barlow" w:cs="Calibri"/>
                <w:color w:val="000000"/>
                <w:sz w:val="20"/>
                <w:szCs w:val="20"/>
              </w:rPr>
            </w:pPr>
          </w:p>
        </w:tc>
      </w:tr>
    </w:tbl>
    <w:p w:rsidR="00842AEC" w:rsidRPr="00842AEC" w:rsidRDefault="00842AEC" w:rsidP="00842AEC">
      <w:pPr>
        <w:spacing w:line="240" w:lineRule="auto"/>
        <w:rPr>
          <w:rFonts w:ascii="Barlow" w:hAnsi="Barlow" w:cs="Arial"/>
          <w:b/>
          <w:sz w:val="20"/>
          <w:szCs w:val="20"/>
        </w:rPr>
      </w:pPr>
    </w:p>
    <w:p w:rsidR="00842AEC" w:rsidRPr="00842AEC" w:rsidRDefault="00842AEC" w:rsidP="00842AEC">
      <w:pPr>
        <w:spacing w:line="240" w:lineRule="auto"/>
        <w:rPr>
          <w:rFonts w:ascii="Barlow" w:hAnsi="Barlow" w:cs="Arial"/>
          <w:b/>
          <w:sz w:val="20"/>
          <w:szCs w:val="20"/>
        </w:rPr>
      </w:pPr>
      <w:r w:rsidRPr="00842AEC">
        <w:rPr>
          <w:rFonts w:ascii="Barlow" w:hAnsi="Barlow" w:cs="Arial"/>
          <w:b/>
          <w:sz w:val="20"/>
          <w:szCs w:val="20"/>
        </w:rPr>
        <w:t>9.- No aplica</w:t>
      </w:r>
    </w:p>
    <w:p w:rsidR="00842AEC" w:rsidRPr="00842AEC" w:rsidRDefault="00842AEC" w:rsidP="00842AEC">
      <w:pPr>
        <w:spacing w:line="240" w:lineRule="auto"/>
        <w:rPr>
          <w:rFonts w:ascii="Barlow" w:hAnsi="Barlow" w:cs="Arial"/>
          <w:b/>
          <w:sz w:val="20"/>
          <w:szCs w:val="20"/>
        </w:rPr>
      </w:pPr>
      <w:r w:rsidRPr="00842AEC">
        <w:rPr>
          <w:rFonts w:ascii="Barlow" w:hAnsi="Barlow" w:cs="Arial"/>
          <w:b/>
          <w:sz w:val="20"/>
          <w:szCs w:val="20"/>
        </w:rPr>
        <w:t>10.-  No aplica</w:t>
      </w:r>
    </w:p>
    <w:p w:rsidR="00842AEC" w:rsidRPr="00842AEC" w:rsidRDefault="00842AEC" w:rsidP="00842AEC">
      <w:pPr>
        <w:spacing w:line="240" w:lineRule="auto"/>
        <w:rPr>
          <w:rFonts w:ascii="Barlow" w:hAnsi="Barlow" w:cs="Arial"/>
          <w:b/>
          <w:sz w:val="20"/>
          <w:szCs w:val="20"/>
        </w:rPr>
      </w:pPr>
      <w:r w:rsidRPr="00842AEC">
        <w:rPr>
          <w:rFonts w:ascii="Barlow" w:hAnsi="Barlow" w:cs="Arial"/>
          <w:b/>
          <w:sz w:val="20"/>
          <w:szCs w:val="20"/>
        </w:rPr>
        <w:t>11.- No aplica</w:t>
      </w:r>
    </w:p>
    <w:p w:rsidR="00842AEC" w:rsidRPr="00842AEC" w:rsidRDefault="00842AEC" w:rsidP="00842AEC">
      <w:pPr>
        <w:spacing w:line="240" w:lineRule="auto"/>
        <w:rPr>
          <w:rFonts w:ascii="Barlow" w:hAnsi="Barlow" w:cs="Arial"/>
          <w:b/>
          <w:sz w:val="20"/>
          <w:szCs w:val="20"/>
        </w:rPr>
      </w:pPr>
      <w:r w:rsidRPr="00842AEC">
        <w:rPr>
          <w:rFonts w:ascii="Barlow" w:hAnsi="Barlow" w:cs="Arial"/>
          <w:b/>
          <w:sz w:val="20"/>
          <w:szCs w:val="20"/>
        </w:rPr>
        <w:lastRenderedPageBreak/>
        <w:t>12.- No aplica</w:t>
      </w:r>
    </w:p>
    <w:p w:rsidR="00842AEC" w:rsidRPr="00842AEC" w:rsidRDefault="00842AEC" w:rsidP="00842AEC">
      <w:pPr>
        <w:spacing w:line="240" w:lineRule="auto"/>
        <w:rPr>
          <w:rFonts w:ascii="Barlow" w:hAnsi="Barlow" w:cs="Arial"/>
          <w:b/>
          <w:sz w:val="20"/>
          <w:szCs w:val="20"/>
        </w:rPr>
      </w:pPr>
      <w:r w:rsidRPr="00842AEC">
        <w:rPr>
          <w:rFonts w:ascii="Barlow" w:hAnsi="Barlow" w:cs="Arial"/>
          <w:b/>
          <w:sz w:val="20"/>
          <w:szCs w:val="20"/>
        </w:rPr>
        <w:t>13.- Proceso de Mejora</w:t>
      </w:r>
    </w:p>
    <w:p w:rsidR="00842AEC" w:rsidRPr="00842AEC" w:rsidRDefault="00842AEC" w:rsidP="00842AEC">
      <w:pPr>
        <w:spacing w:line="240" w:lineRule="auto"/>
        <w:rPr>
          <w:rFonts w:ascii="Barlow" w:hAnsi="Barlow" w:cs="Arial"/>
          <w:b/>
          <w:sz w:val="20"/>
          <w:szCs w:val="20"/>
        </w:rPr>
      </w:pPr>
      <w:r w:rsidRPr="00842AEC">
        <w:rPr>
          <w:rFonts w:ascii="Barlow" w:hAnsi="Barlow" w:cs="Arial"/>
          <w:b/>
          <w:sz w:val="20"/>
          <w:szCs w:val="20"/>
        </w:rPr>
        <w:t>a) No aplica</w:t>
      </w:r>
    </w:p>
    <w:p w:rsidR="00842AEC" w:rsidRPr="00842AEC" w:rsidRDefault="00842AEC" w:rsidP="00842AEC">
      <w:pPr>
        <w:spacing w:line="240" w:lineRule="auto"/>
        <w:rPr>
          <w:rFonts w:ascii="Barlow" w:hAnsi="Barlow" w:cs="Arial"/>
          <w:b/>
          <w:sz w:val="20"/>
          <w:szCs w:val="20"/>
        </w:rPr>
      </w:pPr>
      <w:r w:rsidRPr="00842AEC">
        <w:rPr>
          <w:rFonts w:ascii="Barlow" w:hAnsi="Barlow" w:cs="Arial"/>
          <w:b/>
          <w:sz w:val="20"/>
          <w:szCs w:val="20"/>
        </w:rPr>
        <w:t>b) Medidas de desempeño financiero, metas y alcance</w:t>
      </w:r>
    </w:p>
    <w:tbl>
      <w:tblPr>
        <w:tblW w:w="12182" w:type="dxa"/>
        <w:tblCellMar>
          <w:left w:w="70" w:type="dxa"/>
          <w:right w:w="70" w:type="dxa"/>
        </w:tblCellMar>
        <w:tblLook w:val="04A0" w:firstRow="1" w:lastRow="0" w:firstColumn="1" w:lastColumn="0" w:noHBand="0" w:noVBand="1"/>
      </w:tblPr>
      <w:tblGrid>
        <w:gridCol w:w="1647"/>
        <w:gridCol w:w="1157"/>
        <w:gridCol w:w="2469"/>
        <w:gridCol w:w="864"/>
        <w:gridCol w:w="923"/>
        <w:gridCol w:w="1236"/>
        <w:gridCol w:w="571"/>
        <w:gridCol w:w="590"/>
        <w:gridCol w:w="1133"/>
        <w:gridCol w:w="702"/>
        <w:gridCol w:w="677"/>
        <w:gridCol w:w="1033"/>
        <w:gridCol w:w="710"/>
      </w:tblGrid>
      <w:tr w:rsidR="00842AEC" w:rsidRPr="00842AEC" w:rsidTr="00842AEC">
        <w:trPr>
          <w:trHeight w:val="199"/>
        </w:trPr>
        <w:tc>
          <w:tcPr>
            <w:tcW w:w="6740" w:type="dxa"/>
            <w:gridSpan w:val="5"/>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cs="Tahoma"/>
                <w:b/>
                <w:bCs/>
                <w:sz w:val="20"/>
                <w:szCs w:val="20"/>
              </w:rPr>
            </w:pPr>
            <w:r w:rsidRPr="00842AEC">
              <w:rPr>
                <w:rFonts w:ascii="Barlow" w:hAnsi="Barlow" w:cs="Tahoma"/>
                <w:b/>
                <w:bCs/>
                <w:sz w:val="20"/>
                <w:szCs w:val="20"/>
              </w:rPr>
              <w:t>Programa Presupuestario  (PP)  : 20  Certeza Jurídica y Derechos Humanos</w:t>
            </w:r>
          </w:p>
        </w:tc>
        <w:tc>
          <w:tcPr>
            <w:tcW w:w="100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cs="Tahoma"/>
                <w:b/>
                <w:bCs/>
                <w:sz w:val="20"/>
                <w:szCs w:val="20"/>
              </w:rPr>
            </w:pPr>
          </w:p>
        </w:tc>
        <w:tc>
          <w:tcPr>
            <w:tcW w:w="58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60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822"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56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66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66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56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r>
      <w:tr w:rsidR="00842AEC" w:rsidRPr="00842AEC" w:rsidTr="00842AEC">
        <w:trPr>
          <w:trHeight w:val="199"/>
        </w:trPr>
        <w:tc>
          <w:tcPr>
            <w:tcW w:w="8320" w:type="dxa"/>
            <w:gridSpan w:val="7"/>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cs="Tahoma"/>
                <w:b/>
                <w:bCs/>
                <w:sz w:val="20"/>
                <w:szCs w:val="20"/>
              </w:rPr>
            </w:pPr>
            <w:r w:rsidRPr="00842AEC">
              <w:rPr>
                <w:rFonts w:ascii="Barlow" w:hAnsi="Barlow" w:cs="Tahoma"/>
                <w:b/>
                <w:bCs/>
                <w:sz w:val="20"/>
                <w:szCs w:val="20"/>
              </w:rPr>
              <w:t>Dependencia o Entidad Responsable: COMISIÓN DE DERECHOS HUMANOS DEL ESTADO DE YUCATÁN.</w:t>
            </w:r>
          </w:p>
        </w:tc>
        <w:tc>
          <w:tcPr>
            <w:tcW w:w="60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cs="Tahoma"/>
                <w:b/>
                <w:bCs/>
                <w:sz w:val="20"/>
                <w:szCs w:val="20"/>
              </w:rPr>
            </w:pPr>
          </w:p>
        </w:tc>
        <w:tc>
          <w:tcPr>
            <w:tcW w:w="822"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56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66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66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56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r>
      <w:tr w:rsidR="00842AEC" w:rsidRPr="00842AEC" w:rsidTr="00842AEC">
        <w:trPr>
          <w:trHeight w:val="199"/>
        </w:trPr>
        <w:tc>
          <w:tcPr>
            <w:tcW w:w="168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72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252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88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94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100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58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60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822"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cs="Tahoma"/>
                <w:b/>
                <w:bCs/>
                <w:sz w:val="20"/>
                <w:szCs w:val="20"/>
              </w:rPr>
            </w:pPr>
            <w:r w:rsidRPr="00842AEC">
              <w:rPr>
                <w:rFonts w:ascii="Barlow" w:hAnsi="Barlow" w:cs="Tahoma"/>
                <w:b/>
                <w:bCs/>
                <w:sz w:val="20"/>
                <w:szCs w:val="20"/>
              </w:rPr>
              <w:t>Finalidad</w:t>
            </w:r>
          </w:p>
        </w:tc>
        <w:tc>
          <w:tcPr>
            <w:tcW w:w="2440" w:type="dxa"/>
            <w:gridSpan w:val="4"/>
            <w:tcBorders>
              <w:top w:val="nil"/>
              <w:left w:val="nil"/>
              <w:bottom w:val="nil"/>
              <w:right w:val="nil"/>
            </w:tcBorders>
            <w:shd w:val="clear" w:color="auto" w:fill="auto"/>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01   Gobierno</w:t>
            </w:r>
          </w:p>
        </w:tc>
      </w:tr>
      <w:tr w:rsidR="00842AEC" w:rsidRPr="00842AEC" w:rsidTr="00842AEC">
        <w:trPr>
          <w:trHeight w:val="199"/>
        </w:trPr>
        <w:tc>
          <w:tcPr>
            <w:tcW w:w="168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color w:val="000000"/>
                <w:sz w:val="20"/>
                <w:szCs w:val="20"/>
              </w:rPr>
            </w:pPr>
          </w:p>
        </w:tc>
        <w:tc>
          <w:tcPr>
            <w:tcW w:w="72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252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88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94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100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58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60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822"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cs="Tahoma"/>
                <w:b/>
                <w:bCs/>
                <w:sz w:val="20"/>
                <w:szCs w:val="20"/>
              </w:rPr>
            </w:pPr>
            <w:r w:rsidRPr="00842AEC">
              <w:rPr>
                <w:rFonts w:ascii="Barlow" w:hAnsi="Barlow" w:cs="Tahoma"/>
                <w:b/>
                <w:bCs/>
                <w:sz w:val="20"/>
                <w:szCs w:val="20"/>
              </w:rPr>
              <w:t>Eje</w:t>
            </w:r>
          </w:p>
        </w:tc>
        <w:tc>
          <w:tcPr>
            <w:tcW w:w="2440" w:type="dxa"/>
            <w:gridSpan w:val="4"/>
            <w:tcBorders>
              <w:top w:val="nil"/>
              <w:left w:val="nil"/>
              <w:bottom w:val="nil"/>
              <w:right w:val="nil"/>
            </w:tcBorders>
            <w:shd w:val="clear" w:color="auto" w:fill="auto"/>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01.05   Yucatán Seguro</w:t>
            </w:r>
          </w:p>
        </w:tc>
      </w:tr>
      <w:tr w:rsidR="00842AEC" w:rsidRPr="00842AEC" w:rsidTr="00842AEC">
        <w:trPr>
          <w:trHeight w:val="199"/>
        </w:trPr>
        <w:tc>
          <w:tcPr>
            <w:tcW w:w="168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color w:val="000000"/>
                <w:sz w:val="20"/>
                <w:szCs w:val="20"/>
              </w:rPr>
            </w:pPr>
          </w:p>
        </w:tc>
        <w:tc>
          <w:tcPr>
            <w:tcW w:w="72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252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88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94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100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58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60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822"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cs="Tahoma"/>
                <w:b/>
                <w:bCs/>
                <w:sz w:val="20"/>
                <w:szCs w:val="20"/>
              </w:rPr>
            </w:pPr>
            <w:r w:rsidRPr="00842AEC">
              <w:rPr>
                <w:rFonts w:ascii="Barlow" w:hAnsi="Barlow" w:cs="Tahoma"/>
                <w:b/>
                <w:bCs/>
                <w:sz w:val="20"/>
                <w:szCs w:val="20"/>
              </w:rPr>
              <w:t>Función</w:t>
            </w:r>
          </w:p>
        </w:tc>
        <w:tc>
          <w:tcPr>
            <w:tcW w:w="2440" w:type="dxa"/>
            <w:gridSpan w:val="4"/>
            <w:tcBorders>
              <w:top w:val="nil"/>
              <w:left w:val="nil"/>
              <w:bottom w:val="nil"/>
              <w:right w:val="nil"/>
            </w:tcBorders>
            <w:shd w:val="clear" w:color="auto" w:fill="auto"/>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01.05.02   Justicia</w:t>
            </w:r>
          </w:p>
        </w:tc>
      </w:tr>
      <w:tr w:rsidR="00842AEC" w:rsidRPr="00842AEC" w:rsidTr="00842AEC">
        <w:trPr>
          <w:trHeight w:val="199"/>
        </w:trPr>
        <w:tc>
          <w:tcPr>
            <w:tcW w:w="168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color w:val="000000"/>
                <w:sz w:val="20"/>
                <w:szCs w:val="20"/>
              </w:rPr>
            </w:pPr>
          </w:p>
        </w:tc>
        <w:tc>
          <w:tcPr>
            <w:tcW w:w="72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252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88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94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100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58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60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822"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cs="Tahoma"/>
                <w:b/>
                <w:bCs/>
                <w:sz w:val="20"/>
                <w:szCs w:val="20"/>
              </w:rPr>
            </w:pPr>
            <w:r w:rsidRPr="00842AEC">
              <w:rPr>
                <w:rFonts w:ascii="Barlow" w:hAnsi="Barlow" w:cs="Tahoma"/>
                <w:b/>
                <w:bCs/>
                <w:sz w:val="20"/>
                <w:szCs w:val="20"/>
              </w:rPr>
              <w:t>Subfunción</w:t>
            </w:r>
          </w:p>
        </w:tc>
        <w:tc>
          <w:tcPr>
            <w:tcW w:w="2440" w:type="dxa"/>
            <w:gridSpan w:val="4"/>
            <w:tcBorders>
              <w:top w:val="nil"/>
              <w:left w:val="nil"/>
              <w:bottom w:val="nil"/>
              <w:right w:val="nil"/>
            </w:tcBorders>
            <w:shd w:val="clear" w:color="auto" w:fill="auto"/>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01.05.02.04   Derechos Humanos</w:t>
            </w:r>
          </w:p>
        </w:tc>
      </w:tr>
      <w:tr w:rsidR="00842AEC" w:rsidRPr="00842AEC" w:rsidTr="00842AEC">
        <w:trPr>
          <w:trHeight w:val="270"/>
        </w:trPr>
        <w:tc>
          <w:tcPr>
            <w:tcW w:w="168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color w:val="000000"/>
                <w:sz w:val="20"/>
                <w:szCs w:val="20"/>
              </w:rPr>
            </w:pPr>
          </w:p>
        </w:tc>
        <w:tc>
          <w:tcPr>
            <w:tcW w:w="720" w:type="dxa"/>
            <w:tcBorders>
              <w:top w:val="nil"/>
              <w:left w:val="nil"/>
              <w:bottom w:val="nil"/>
              <w:right w:val="nil"/>
            </w:tcBorders>
            <w:shd w:val="clear" w:color="auto" w:fill="auto"/>
            <w:vAlign w:val="center"/>
            <w:hideMark/>
          </w:tcPr>
          <w:p w:rsidR="00842AEC" w:rsidRPr="00842AEC" w:rsidRDefault="00842AEC" w:rsidP="00842AEC">
            <w:pPr>
              <w:spacing w:after="0" w:line="240" w:lineRule="auto"/>
              <w:rPr>
                <w:rFonts w:ascii="Barlow" w:hAnsi="Barlow"/>
                <w:sz w:val="20"/>
                <w:szCs w:val="20"/>
              </w:rPr>
            </w:pPr>
          </w:p>
        </w:tc>
        <w:tc>
          <w:tcPr>
            <w:tcW w:w="2520" w:type="dxa"/>
            <w:tcBorders>
              <w:top w:val="nil"/>
              <w:left w:val="nil"/>
              <w:bottom w:val="nil"/>
              <w:right w:val="nil"/>
            </w:tcBorders>
            <w:shd w:val="clear" w:color="auto" w:fill="auto"/>
            <w:vAlign w:val="center"/>
            <w:hideMark/>
          </w:tcPr>
          <w:p w:rsidR="00842AEC" w:rsidRPr="00842AEC" w:rsidRDefault="00842AEC" w:rsidP="00842AEC">
            <w:pPr>
              <w:spacing w:after="0" w:line="240" w:lineRule="auto"/>
              <w:rPr>
                <w:rFonts w:ascii="Barlow" w:hAnsi="Barlow"/>
                <w:sz w:val="20"/>
                <w:szCs w:val="20"/>
              </w:rPr>
            </w:pPr>
          </w:p>
        </w:tc>
        <w:tc>
          <w:tcPr>
            <w:tcW w:w="88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94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1580" w:type="dxa"/>
            <w:gridSpan w:val="2"/>
            <w:tcBorders>
              <w:top w:val="nil"/>
              <w:left w:val="nil"/>
              <w:bottom w:val="nil"/>
              <w:right w:val="nil"/>
            </w:tcBorders>
            <w:shd w:val="clear" w:color="auto" w:fill="auto"/>
            <w:noWrap/>
            <w:vAlign w:val="bottom"/>
            <w:hideMark/>
          </w:tcPr>
          <w:p w:rsidR="00842AEC" w:rsidRPr="00842AEC" w:rsidRDefault="00842AEC" w:rsidP="00842AEC">
            <w:pPr>
              <w:spacing w:after="0" w:line="240" w:lineRule="auto"/>
              <w:jc w:val="right"/>
              <w:rPr>
                <w:rFonts w:ascii="Barlow" w:hAnsi="Barlow"/>
                <w:sz w:val="20"/>
                <w:szCs w:val="20"/>
              </w:rPr>
            </w:pPr>
          </w:p>
        </w:tc>
        <w:tc>
          <w:tcPr>
            <w:tcW w:w="600" w:type="dxa"/>
            <w:tcBorders>
              <w:top w:val="nil"/>
              <w:left w:val="nil"/>
              <w:bottom w:val="nil"/>
              <w:right w:val="nil"/>
            </w:tcBorders>
            <w:shd w:val="clear" w:color="auto" w:fill="auto"/>
            <w:noWrap/>
            <w:hideMark/>
          </w:tcPr>
          <w:p w:rsidR="00842AEC" w:rsidRPr="00842AEC" w:rsidRDefault="00842AEC" w:rsidP="00842AEC">
            <w:pPr>
              <w:spacing w:after="0" w:line="240" w:lineRule="auto"/>
              <w:jc w:val="center"/>
              <w:rPr>
                <w:rFonts w:ascii="Barlow" w:hAnsi="Barlow"/>
                <w:sz w:val="20"/>
                <w:szCs w:val="20"/>
              </w:rPr>
            </w:pPr>
          </w:p>
        </w:tc>
        <w:tc>
          <w:tcPr>
            <w:tcW w:w="822"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56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66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66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56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r>
      <w:tr w:rsidR="00842AEC" w:rsidRPr="00842AEC" w:rsidTr="00842AEC">
        <w:trPr>
          <w:trHeight w:val="405"/>
        </w:trPr>
        <w:tc>
          <w:tcPr>
            <w:tcW w:w="4920" w:type="dxa"/>
            <w:gridSpan w:val="3"/>
            <w:tcBorders>
              <w:top w:val="nil"/>
              <w:left w:val="nil"/>
              <w:bottom w:val="nil"/>
              <w:right w:val="nil"/>
            </w:tcBorders>
            <w:shd w:val="clear" w:color="auto" w:fill="auto"/>
            <w:noWrap/>
            <w:vAlign w:val="bottom"/>
            <w:hideMark/>
          </w:tcPr>
          <w:p w:rsidR="00842AEC" w:rsidRPr="00842AEC" w:rsidRDefault="00842AEC" w:rsidP="00842AEC">
            <w:pPr>
              <w:spacing w:after="0" w:line="240" w:lineRule="auto"/>
              <w:ind w:firstLineChars="100" w:firstLine="201"/>
              <w:rPr>
                <w:rFonts w:ascii="Barlow" w:hAnsi="Barlow" w:cs="Tahoma"/>
                <w:b/>
                <w:bCs/>
                <w:sz w:val="20"/>
                <w:szCs w:val="20"/>
              </w:rPr>
            </w:pPr>
            <w:r w:rsidRPr="00842AEC">
              <w:rPr>
                <w:rFonts w:ascii="Barlow" w:hAnsi="Barlow" w:cs="Tahoma"/>
                <w:b/>
                <w:bCs/>
                <w:sz w:val="20"/>
                <w:szCs w:val="20"/>
              </w:rPr>
              <w:t>Matriz de indicadores de Resultados</w:t>
            </w:r>
          </w:p>
        </w:tc>
        <w:tc>
          <w:tcPr>
            <w:tcW w:w="880" w:type="dxa"/>
            <w:tcBorders>
              <w:top w:val="nil"/>
              <w:left w:val="nil"/>
              <w:bottom w:val="nil"/>
              <w:right w:val="nil"/>
            </w:tcBorders>
            <w:shd w:val="clear" w:color="auto" w:fill="auto"/>
            <w:noWrap/>
            <w:hideMark/>
          </w:tcPr>
          <w:p w:rsidR="00842AEC" w:rsidRPr="00842AEC" w:rsidRDefault="00842AEC" w:rsidP="00842AEC">
            <w:pPr>
              <w:spacing w:after="0" w:line="240" w:lineRule="auto"/>
              <w:ind w:firstLineChars="100" w:firstLine="201"/>
              <w:rPr>
                <w:rFonts w:ascii="Barlow" w:hAnsi="Barlow" w:cs="Tahoma"/>
                <w:b/>
                <w:bCs/>
                <w:sz w:val="20"/>
                <w:szCs w:val="20"/>
              </w:rPr>
            </w:pPr>
          </w:p>
        </w:tc>
        <w:tc>
          <w:tcPr>
            <w:tcW w:w="94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1000" w:type="dxa"/>
            <w:vMerge w:val="restart"/>
            <w:tcBorders>
              <w:top w:val="single" w:sz="4" w:space="0" w:color="808080"/>
              <w:left w:val="single" w:sz="4" w:space="0" w:color="808080"/>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cs="Tahoma"/>
                <w:b/>
                <w:bCs/>
                <w:sz w:val="20"/>
                <w:szCs w:val="20"/>
              </w:rPr>
            </w:pPr>
            <w:r w:rsidRPr="00842AEC">
              <w:rPr>
                <w:rFonts w:ascii="Barlow" w:hAnsi="Barlow" w:cs="Tahoma"/>
                <w:b/>
                <w:bCs/>
                <w:sz w:val="20"/>
                <w:szCs w:val="20"/>
              </w:rPr>
              <w:t>Periodicidad del calculo</w:t>
            </w:r>
          </w:p>
        </w:tc>
        <w:tc>
          <w:tcPr>
            <w:tcW w:w="1180" w:type="dxa"/>
            <w:gridSpan w:val="2"/>
            <w:tcBorders>
              <w:top w:val="single" w:sz="4" w:space="0" w:color="808080"/>
              <w:left w:val="nil"/>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cs="Tahoma"/>
                <w:b/>
                <w:bCs/>
                <w:sz w:val="20"/>
                <w:szCs w:val="20"/>
              </w:rPr>
            </w:pPr>
            <w:r w:rsidRPr="00842AEC">
              <w:rPr>
                <w:rFonts w:ascii="Barlow" w:hAnsi="Barlow" w:cs="Tahoma"/>
                <w:b/>
                <w:bCs/>
                <w:sz w:val="20"/>
                <w:szCs w:val="20"/>
              </w:rPr>
              <w:t>Avance Trimestral</w:t>
            </w:r>
          </w:p>
        </w:tc>
        <w:tc>
          <w:tcPr>
            <w:tcW w:w="822" w:type="dxa"/>
            <w:tcBorders>
              <w:top w:val="single" w:sz="4" w:space="0" w:color="808080"/>
              <w:left w:val="nil"/>
              <w:bottom w:val="single" w:sz="4" w:space="0" w:color="808080"/>
              <w:right w:val="nil"/>
            </w:tcBorders>
            <w:shd w:val="clear" w:color="auto" w:fill="auto"/>
            <w:vAlign w:val="center"/>
            <w:hideMark/>
          </w:tcPr>
          <w:p w:rsidR="00842AEC" w:rsidRPr="00842AEC" w:rsidRDefault="00842AEC" w:rsidP="00842AEC">
            <w:pPr>
              <w:spacing w:after="0" w:line="240" w:lineRule="auto"/>
              <w:jc w:val="center"/>
              <w:rPr>
                <w:rFonts w:ascii="Barlow" w:hAnsi="Barlow" w:cs="Tahoma"/>
                <w:b/>
                <w:bCs/>
                <w:sz w:val="20"/>
                <w:szCs w:val="20"/>
              </w:rPr>
            </w:pPr>
            <w:r w:rsidRPr="00842AEC">
              <w:rPr>
                <w:rFonts w:ascii="Barlow" w:hAnsi="Barlow" w:cs="Tahoma"/>
                <w:b/>
                <w:bCs/>
                <w:sz w:val="20"/>
                <w:szCs w:val="20"/>
              </w:rPr>
              <w:t>Avance Semestral</w:t>
            </w:r>
          </w:p>
        </w:tc>
        <w:tc>
          <w:tcPr>
            <w:tcW w:w="1220" w:type="dxa"/>
            <w:gridSpan w:val="2"/>
            <w:tcBorders>
              <w:top w:val="single" w:sz="4" w:space="0" w:color="808080"/>
              <w:left w:val="single" w:sz="4" w:space="0" w:color="808080"/>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cs="Tahoma"/>
                <w:b/>
                <w:bCs/>
                <w:sz w:val="20"/>
                <w:szCs w:val="20"/>
              </w:rPr>
            </w:pPr>
            <w:r w:rsidRPr="00842AEC">
              <w:rPr>
                <w:rFonts w:ascii="Barlow" w:hAnsi="Barlow" w:cs="Tahoma"/>
                <w:b/>
                <w:bCs/>
                <w:sz w:val="20"/>
                <w:szCs w:val="20"/>
              </w:rPr>
              <w:t>Avance Trimestral</w:t>
            </w:r>
          </w:p>
        </w:tc>
        <w:tc>
          <w:tcPr>
            <w:tcW w:w="660" w:type="dxa"/>
            <w:tcBorders>
              <w:top w:val="single" w:sz="4" w:space="0" w:color="808080"/>
              <w:left w:val="nil"/>
              <w:bottom w:val="single" w:sz="4" w:space="0" w:color="808080"/>
              <w:right w:val="nil"/>
            </w:tcBorders>
            <w:shd w:val="clear" w:color="auto" w:fill="auto"/>
            <w:vAlign w:val="center"/>
            <w:hideMark/>
          </w:tcPr>
          <w:p w:rsidR="00842AEC" w:rsidRPr="00842AEC" w:rsidRDefault="00842AEC" w:rsidP="00842AEC">
            <w:pPr>
              <w:spacing w:after="0" w:line="240" w:lineRule="auto"/>
              <w:jc w:val="center"/>
              <w:rPr>
                <w:rFonts w:ascii="Barlow" w:hAnsi="Barlow" w:cs="Tahoma"/>
                <w:b/>
                <w:bCs/>
                <w:sz w:val="20"/>
                <w:szCs w:val="20"/>
              </w:rPr>
            </w:pPr>
            <w:r w:rsidRPr="00842AEC">
              <w:rPr>
                <w:rFonts w:ascii="Barlow" w:hAnsi="Barlow" w:cs="Tahoma"/>
                <w:b/>
                <w:bCs/>
                <w:sz w:val="20"/>
                <w:szCs w:val="20"/>
              </w:rPr>
              <w:t>Avance Semestral</w:t>
            </w:r>
          </w:p>
        </w:tc>
        <w:tc>
          <w:tcPr>
            <w:tcW w:w="560" w:type="dxa"/>
            <w:tcBorders>
              <w:top w:val="single" w:sz="4" w:space="0" w:color="808080"/>
              <w:left w:val="single" w:sz="4" w:space="0" w:color="808080"/>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cs="Tahoma"/>
                <w:b/>
                <w:bCs/>
                <w:sz w:val="20"/>
                <w:szCs w:val="20"/>
              </w:rPr>
            </w:pPr>
            <w:r w:rsidRPr="00842AEC">
              <w:rPr>
                <w:rFonts w:ascii="Barlow" w:hAnsi="Barlow" w:cs="Tahoma"/>
                <w:b/>
                <w:bCs/>
                <w:sz w:val="20"/>
                <w:szCs w:val="20"/>
              </w:rPr>
              <w:t>Anual</w:t>
            </w:r>
          </w:p>
        </w:tc>
      </w:tr>
      <w:tr w:rsidR="00842AEC" w:rsidRPr="00842AEC" w:rsidTr="00842AEC">
        <w:trPr>
          <w:trHeight w:val="342"/>
        </w:trPr>
        <w:tc>
          <w:tcPr>
            <w:tcW w:w="2400" w:type="dxa"/>
            <w:gridSpan w:val="2"/>
            <w:tcBorders>
              <w:top w:val="single" w:sz="4" w:space="0" w:color="808080"/>
              <w:left w:val="single" w:sz="4" w:space="0" w:color="808080"/>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cs="Tahoma"/>
                <w:b/>
                <w:bCs/>
                <w:sz w:val="20"/>
                <w:szCs w:val="20"/>
              </w:rPr>
            </w:pPr>
            <w:r w:rsidRPr="00842AEC">
              <w:rPr>
                <w:rFonts w:ascii="Barlow" w:hAnsi="Barlow" w:cs="Tahoma"/>
                <w:b/>
                <w:bCs/>
                <w:sz w:val="20"/>
                <w:szCs w:val="20"/>
              </w:rPr>
              <w:t>Resumen Narrativo</w:t>
            </w:r>
          </w:p>
        </w:tc>
        <w:tc>
          <w:tcPr>
            <w:tcW w:w="2520" w:type="dxa"/>
            <w:tcBorders>
              <w:top w:val="single" w:sz="4" w:space="0" w:color="808080"/>
              <w:left w:val="nil"/>
              <w:bottom w:val="single" w:sz="4" w:space="0" w:color="808080"/>
              <w:right w:val="nil"/>
            </w:tcBorders>
            <w:shd w:val="clear" w:color="auto" w:fill="auto"/>
            <w:vAlign w:val="center"/>
            <w:hideMark/>
          </w:tcPr>
          <w:p w:rsidR="00842AEC" w:rsidRPr="00842AEC" w:rsidRDefault="00842AEC" w:rsidP="00842AEC">
            <w:pPr>
              <w:spacing w:after="0" w:line="240" w:lineRule="auto"/>
              <w:jc w:val="center"/>
              <w:rPr>
                <w:rFonts w:ascii="Barlow" w:hAnsi="Barlow" w:cs="Tahoma"/>
                <w:b/>
                <w:bCs/>
                <w:sz w:val="20"/>
                <w:szCs w:val="20"/>
              </w:rPr>
            </w:pPr>
            <w:r w:rsidRPr="00842AEC">
              <w:rPr>
                <w:rFonts w:ascii="Barlow" w:hAnsi="Barlow" w:cs="Tahoma"/>
                <w:b/>
                <w:bCs/>
                <w:sz w:val="20"/>
                <w:szCs w:val="20"/>
              </w:rPr>
              <w:t xml:space="preserve">Indicador                                                                            </w:t>
            </w:r>
          </w:p>
        </w:tc>
        <w:tc>
          <w:tcPr>
            <w:tcW w:w="880" w:type="dxa"/>
            <w:tcBorders>
              <w:top w:val="single" w:sz="4" w:space="0" w:color="808080"/>
              <w:left w:val="nil"/>
              <w:bottom w:val="single" w:sz="4" w:space="0" w:color="808080"/>
              <w:right w:val="nil"/>
            </w:tcBorders>
            <w:shd w:val="clear" w:color="auto" w:fill="auto"/>
            <w:vAlign w:val="center"/>
            <w:hideMark/>
          </w:tcPr>
          <w:p w:rsidR="00842AEC" w:rsidRPr="00842AEC" w:rsidRDefault="00842AEC" w:rsidP="00842AEC">
            <w:pPr>
              <w:spacing w:after="0" w:line="240" w:lineRule="auto"/>
              <w:jc w:val="center"/>
              <w:rPr>
                <w:rFonts w:ascii="Barlow" w:hAnsi="Barlow" w:cs="Tahoma"/>
                <w:b/>
                <w:bCs/>
                <w:sz w:val="20"/>
                <w:szCs w:val="20"/>
              </w:rPr>
            </w:pPr>
            <w:r w:rsidRPr="00842AEC">
              <w:rPr>
                <w:rFonts w:ascii="Barlow" w:hAnsi="Barlow" w:cs="Tahoma"/>
                <w:b/>
                <w:bCs/>
                <w:sz w:val="20"/>
                <w:szCs w:val="20"/>
              </w:rPr>
              <w:t>Linea Base</w:t>
            </w:r>
          </w:p>
        </w:tc>
        <w:tc>
          <w:tcPr>
            <w:tcW w:w="940" w:type="dxa"/>
            <w:tcBorders>
              <w:top w:val="single" w:sz="4" w:space="0" w:color="auto"/>
              <w:left w:val="nil"/>
              <w:bottom w:val="single" w:sz="4" w:space="0" w:color="808080"/>
              <w:right w:val="nil"/>
            </w:tcBorders>
            <w:shd w:val="clear" w:color="auto" w:fill="auto"/>
            <w:noWrap/>
            <w:vAlign w:val="center"/>
            <w:hideMark/>
          </w:tcPr>
          <w:p w:rsidR="00842AEC" w:rsidRPr="00842AEC" w:rsidRDefault="00842AEC" w:rsidP="00842AEC">
            <w:pPr>
              <w:spacing w:after="0" w:line="240" w:lineRule="auto"/>
              <w:jc w:val="center"/>
              <w:rPr>
                <w:rFonts w:ascii="Barlow" w:hAnsi="Barlow" w:cs="Tahoma"/>
                <w:b/>
                <w:bCs/>
                <w:color w:val="000000"/>
                <w:sz w:val="20"/>
                <w:szCs w:val="20"/>
              </w:rPr>
            </w:pPr>
            <w:r w:rsidRPr="00842AEC">
              <w:rPr>
                <w:rFonts w:ascii="Barlow" w:hAnsi="Barlow" w:cs="Tahoma"/>
                <w:b/>
                <w:bCs/>
                <w:color w:val="000000"/>
                <w:sz w:val="20"/>
                <w:szCs w:val="20"/>
              </w:rPr>
              <w:t>Meta</w:t>
            </w:r>
          </w:p>
        </w:tc>
        <w:tc>
          <w:tcPr>
            <w:tcW w:w="1000" w:type="dxa"/>
            <w:vMerge/>
            <w:tcBorders>
              <w:top w:val="single" w:sz="4" w:space="0" w:color="808080"/>
              <w:left w:val="single" w:sz="4" w:space="0" w:color="808080"/>
              <w:bottom w:val="single" w:sz="4" w:space="0" w:color="808080"/>
              <w:right w:val="single" w:sz="4" w:space="0" w:color="808080"/>
            </w:tcBorders>
            <w:vAlign w:val="center"/>
            <w:hideMark/>
          </w:tcPr>
          <w:p w:rsidR="00842AEC" w:rsidRPr="00842AEC" w:rsidRDefault="00842AEC" w:rsidP="00842AEC">
            <w:pPr>
              <w:spacing w:after="0" w:line="240" w:lineRule="auto"/>
              <w:rPr>
                <w:rFonts w:ascii="Barlow" w:hAnsi="Barlow" w:cs="Tahoma"/>
                <w:b/>
                <w:bCs/>
                <w:sz w:val="20"/>
                <w:szCs w:val="20"/>
              </w:rPr>
            </w:pPr>
          </w:p>
        </w:tc>
        <w:tc>
          <w:tcPr>
            <w:tcW w:w="580" w:type="dxa"/>
            <w:tcBorders>
              <w:top w:val="nil"/>
              <w:left w:val="nil"/>
              <w:bottom w:val="single" w:sz="4" w:space="0" w:color="808080"/>
              <w:right w:val="nil"/>
            </w:tcBorders>
            <w:shd w:val="clear" w:color="auto" w:fill="auto"/>
            <w:vAlign w:val="center"/>
            <w:hideMark/>
          </w:tcPr>
          <w:p w:rsidR="00842AEC" w:rsidRPr="00842AEC" w:rsidRDefault="00842AEC" w:rsidP="00842AEC">
            <w:pPr>
              <w:spacing w:after="0" w:line="240" w:lineRule="auto"/>
              <w:jc w:val="center"/>
              <w:rPr>
                <w:rFonts w:ascii="Barlow" w:hAnsi="Barlow" w:cs="Tahoma"/>
                <w:b/>
                <w:bCs/>
                <w:sz w:val="20"/>
                <w:szCs w:val="20"/>
              </w:rPr>
            </w:pPr>
            <w:r w:rsidRPr="00842AEC">
              <w:rPr>
                <w:rFonts w:ascii="Barlow" w:hAnsi="Barlow" w:cs="Tahoma"/>
                <w:b/>
                <w:bCs/>
                <w:sz w:val="20"/>
                <w:szCs w:val="20"/>
              </w:rPr>
              <w:t>I</w:t>
            </w:r>
          </w:p>
        </w:tc>
        <w:tc>
          <w:tcPr>
            <w:tcW w:w="600" w:type="dxa"/>
            <w:tcBorders>
              <w:top w:val="nil"/>
              <w:left w:val="single" w:sz="4" w:space="0" w:color="808080"/>
              <w:bottom w:val="single" w:sz="4" w:space="0" w:color="808080"/>
              <w:right w:val="nil"/>
            </w:tcBorders>
            <w:shd w:val="clear" w:color="auto" w:fill="auto"/>
            <w:vAlign w:val="center"/>
            <w:hideMark/>
          </w:tcPr>
          <w:p w:rsidR="00842AEC" w:rsidRPr="00842AEC" w:rsidRDefault="00842AEC" w:rsidP="00842AEC">
            <w:pPr>
              <w:spacing w:after="0" w:line="240" w:lineRule="auto"/>
              <w:jc w:val="center"/>
              <w:rPr>
                <w:rFonts w:ascii="Barlow" w:hAnsi="Barlow" w:cs="Tahoma"/>
                <w:b/>
                <w:bCs/>
                <w:sz w:val="20"/>
                <w:szCs w:val="20"/>
              </w:rPr>
            </w:pPr>
            <w:r w:rsidRPr="00842AEC">
              <w:rPr>
                <w:rFonts w:ascii="Barlow" w:hAnsi="Barlow" w:cs="Tahoma"/>
                <w:b/>
                <w:bCs/>
                <w:sz w:val="20"/>
                <w:szCs w:val="20"/>
              </w:rPr>
              <w:t>II</w:t>
            </w:r>
          </w:p>
        </w:tc>
        <w:tc>
          <w:tcPr>
            <w:tcW w:w="822" w:type="dxa"/>
            <w:tcBorders>
              <w:top w:val="nil"/>
              <w:left w:val="single" w:sz="4" w:space="0" w:color="808080"/>
              <w:bottom w:val="single" w:sz="4" w:space="0" w:color="808080"/>
              <w:right w:val="nil"/>
            </w:tcBorders>
            <w:shd w:val="clear" w:color="auto" w:fill="auto"/>
            <w:vAlign w:val="center"/>
            <w:hideMark/>
          </w:tcPr>
          <w:p w:rsidR="00842AEC" w:rsidRPr="00842AEC" w:rsidRDefault="00842AEC" w:rsidP="00842AEC">
            <w:pPr>
              <w:spacing w:after="0" w:line="240" w:lineRule="auto"/>
              <w:jc w:val="center"/>
              <w:rPr>
                <w:rFonts w:ascii="Barlow" w:hAnsi="Barlow" w:cs="Tahoma"/>
                <w:b/>
                <w:bCs/>
                <w:sz w:val="20"/>
                <w:szCs w:val="20"/>
              </w:rPr>
            </w:pPr>
            <w:r w:rsidRPr="00842AEC">
              <w:rPr>
                <w:rFonts w:ascii="Barlow" w:hAnsi="Barlow" w:cs="Tahoma"/>
                <w:b/>
                <w:bCs/>
                <w:sz w:val="20"/>
                <w:szCs w:val="20"/>
              </w:rPr>
              <w:t>I</w:t>
            </w:r>
          </w:p>
        </w:tc>
        <w:tc>
          <w:tcPr>
            <w:tcW w:w="560" w:type="dxa"/>
            <w:tcBorders>
              <w:top w:val="nil"/>
              <w:left w:val="single" w:sz="4" w:space="0" w:color="808080"/>
              <w:bottom w:val="single" w:sz="4" w:space="0" w:color="808080"/>
              <w:right w:val="nil"/>
            </w:tcBorders>
            <w:shd w:val="clear" w:color="auto" w:fill="auto"/>
            <w:vAlign w:val="center"/>
            <w:hideMark/>
          </w:tcPr>
          <w:p w:rsidR="00842AEC" w:rsidRPr="00842AEC" w:rsidRDefault="00842AEC" w:rsidP="00842AEC">
            <w:pPr>
              <w:spacing w:after="0" w:line="240" w:lineRule="auto"/>
              <w:jc w:val="center"/>
              <w:rPr>
                <w:rFonts w:ascii="Barlow" w:hAnsi="Barlow" w:cs="Tahoma"/>
                <w:b/>
                <w:bCs/>
                <w:sz w:val="20"/>
                <w:szCs w:val="20"/>
              </w:rPr>
            </w:pPr>
            <w:r w:rsidRPr="00842AEC">
              <w:rPr>
                <w:rFonts w:ascii="Barlow" w:hAnsi="Barlow" w:cs="Tahoma"/>
                <w:b/>
                <w:bCs/>
                <w:sz w:val="20"/>
                <w:szCs w:val="20"/>
              </w:rPr>
              <w:t>III</w:t>
            </w:r>
          </w:p>
        </w:tc>
        <w:tc>
          <w:tcPr>
            <w:tcW w:w="660" w:type="dxa"/>
            <w:tcBorders>
              <w:top w:val="nil"/>
              <w:left w:val="single" w:sz="4" w:space="0" w:color="808080"/>
              <w:bottom w:val="single" w:sz="4" w:space="0" w:color="808080"/>
              <w:right w:val="nil"/>
            </w:tcBorders>
            <w:shd w:val="clear" w:color="auto" w:fill="auto"/>
            <w:vAlign w:val="center"/>
            <w:hideMark/>
          </w:tcPr>
          <w:p w:rsidR="00842AEC" w:rsidRPr="00842AEC" w:rsidRDefault="00842AEC" w:rsidP="00842AEC">
            <w:pPr>
              <w:spacing w:after="0" w:line="240" w:lineRule="auto"/>
              <w:jc w:val="center"/>
              <w:rPr>
                <w:rFonts w:ascii="Barlow" w:hAnsi="Barlow" w:cs="Tahoma"/>
                <w:b/>
                <w:bCs/>
                <w:sz w:val="20"/>
                <w:szCs w:val="20"/>
              </w:rPr>
            </w:pPr>
            <w:r w:rsidRPr="00842AEC">
              <w:rPr>
                <w:rFonts w:ascii="Barlow" w:hAnsi="Barlow" w:cs="Tahoma"/>
                <w:b/>
                <w:bCs/>
                <w:sz w:val="20"/>
                <w:szCs w:val="20"/>
              </w:rPr>
              <w:t>IV</w:t>
            </w:r>
          </w:p>
        </w:tc>
        <w:tc>
          <w:tcPr>
            <w:tcW w:w="660" w:type="dxa"/>
            <w:tcBorders>
              <w:top w:val="nil"/>
              <w:left w:val="single" w:sz="4" w:space="0" w:color="808080"/>
              <w:bottom w:val="single" w:sz="4" w:space="0" w:color="808080"/>
              <w:right w:val="nil"/>
            </w:tcBorders>
            <w:shd w:val="clear" w:color="auto" w:fill="auto"/>
            <w:vAlign w:val="center"/>
            <w:hideMark/>
          </w:tcPr>
          <w:p w:rsidR="00842AEC" w:rsidRPr="00842AEC" w:rsidRDefault="00842AEC" w:rsidP="00842AEC">
            <w:pPr>
              <w:spacing w:after="0" w:line="240" w:lineRule="auto"/>
              <w:jc w:val="center"/>
              <w:rPr>
                <w:rFonts w:ascii="Barlow" w:hAnsi="Barlow" w:cs="Tahoma"/>
                <w:b/>
                <w:bCs/>
                <w:sz w:val="20"/>
                <w:szCs w:val="20"/>
              </w:rPr>
            </w:pPr>
            <w:r w:rsidRPr="00842AEC">
              <w:rPr>
                <w:rFonts w:ascii="Barlow" w:hAnsi="Barlow" w:cs="Tahoma"/>
                <w:b/>
                <w:bCs/>
                <w:sz w:val="20"/>
                <w:szCs w:val="20"/>
              </w:rPr>
              <w:t>I</w:t>
            </w:r>
          </w:p>
        </w:tc>
        <w:tc>
          <w:tcPr>
            <w:tcW w:w="560" w:type="dxa"/>
            <w:tcBorders>
              <w:top w:val="nil"/>
              <w:left w:val="single" w:sz="4" w:space="0" w:color="808080"/>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cs="Tahoma"/>
                <w:b/>
                <w:bCs/>
                <w:sz w:val="20"/>
                <w:szCs w:val="20"/>
              </w:rPr>
            </w:pPr>
            <w:r w:rsidRPr="00842AEC">
              <w:rPr>
                <w:rFonts w:ascii="Barlow" w:hAnsi="Barlow" w:cs="Tahoma"/>
                <w:b/>
                <w:bCs/>
                <w:sz w:val="20"/>
                <w:szCs w:val="20"/>
              </w:rPr>
              <w:t> </w:t>
            </w:r>
          </w:p>
        </w:tc>
      </w:tr>
      <w:tr w:rsidR="00842AEC" w:rsidRPr="00842AEC" w:rsidTr="00842AEC">
        <w:trPr>
          <w:trHeight w:val="960"/>
        </w:trPr>
        <w:tc>
          <w:tcPr>
            <w:tcW w:w="2400" w:type="dxa"/>
            <w:gridSpan w:val="2"/>
            <w:tcBorders>
              <w:top w:val="single" w:sz="4" w:space="0" w:color="808080"/>
              <w:left w:val="single" w:sz="4" w:space="0" w:color="808080"/>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cs="Tahoma"/>
                <w:sz w:val="20"/>
                <w:szCs w:val="20"/>
              </w:rPr>
            </w:pPr>
            <w:r w:rsidRPr="00842AEC">
              <w:rPr>
                <w:rFonts w:ascii="Barlow" w:hAnsi="Barlow" w:cs="Tahoma"/>
                <w:b/>
                <w:bCs/>
                <w:sz w:val="20"/>
                <w:szCs w:val="20"/>
              </w:rPr>
              <w:t>Proposito</w:t>
            </w:r>
            <w:r w:rsidRPr="00842AEC">
              <w:rPr>
                <w:rFonts w:ascii="Barlow" w:hAnsi="Barlow" w:cs="Tahoma"/>
                <w:b/>
                <w:bCs/>
                <w:sz w:val="20"/>
                <w:szCs w:val="20"/>
              </w:rPr>
              <w:br/>
            </w:r>
            <w:r w:rsidRPr="00842AEC">
              <w:rPr>
                <w:rFonts w:ascii="Barlow" w:hAnsi="Barlow" w:cs="Tahoma"/>
                <w:sz w:val="20"/>
                <w:szCs w:val="20"/>
              </w:rPr>
              <w:t>La cuidadania del Estado de Yucatán cuenta con mecanismos para la defensa en sus Derechos ciudadanos</w:t>
            </w:r>
          </w:p>
        </w:tc>
        <w:tc>
          <w:tcPr>
            <w:tcW w:w="2520" w:type="dxa"/>
            <w:tcBorders>
              <w:top w:val="nil"/>
              <w:left w:val="nil"/>
              <w:bottom w:val="single" w:sz="4" w:space="0" w:color="808080"/>
              <w:right w:val="nil"/>
            </w:tcBorders>
            <w:shd w:val="clear" w:color="auto" w:fill="auto"/>
            <w:vAlign w:val="center"/>
            <w:hideMark/>
          </w:tcPr>
          <w:p w:rsidR="00842AEC" w:rsidRPr="00842AEC" w:rsidRDefault="00842AEC" w:rsidP="00842AEC">
            <w:pPr>
              <w:spacing w:after="0" w:line="240" w:lineRule="auto"/>
              <w:ind w:firstLineChars="200" w:firstLine="400"/>
              <w:rPr>
                <w:rFonts w:ascii="Barlow" w:hAnsi="Barlow" w:cs="Tahoma"/>
                <w:sz w:val="20"/>
                <w:szCs w:val="20"/>
              </w:rPr>
            </w:pPr>
            <w:r w:rsidRPr="00842AEC">
              <w:rPr>
                <w:rFonts w:ascii="Barlow" w:hAnsi="Barlow" w:cs="Tahoma"/>
                <w:sz w:val="20"/>
                <w:szCs w:val="20"/>
              </w:rPr>
              <w:t xml:space="preserve">Porcentaje de resolución de incidencias por violaciones a los derechos humanos solucionadas </w:t>
            </w:r>
          </w:p>
        </w:tc>
        <w:tc>
          <w:tcPr>
            <w:tcW w:w="880" w:type="dxa"/>
            <w:tcBorders>
              <w:top w:val="nil"/>
              <w:left w:val="single" w:sz="4" w:space="0" w:color="808080"/>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61.5</w:t>
            </w:r>
          </w:p>
        </w:tc>
        <w:tc>
          <w:tcPr>
            <w:tcW w:w="940" w:type="dxa"/>
            <w:tcBorders>
              <w:top w:val="nil"/>
              <w:left w:val="nil"/>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64.47</w:t>
            </w:r>
          </w:p>
        </w:tc>
        <w:tc>
          <w:tcPr>
            <w:tcW w:w="1000" w:type="dxa"/>
            <w:tcBorders>
              <w:top w:val="nil"/>
              <w:left w:val="nil"/>
              <w:bottom w:val="single" w:sz="4" w:space="0" w:color="808080"/>
              <w:right w:val="nil"/>
            </w:tcBorders>
            <w:shd w:val="clear" w:color="auto" w:fill="auto"/>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Trimestral</w:t>
            </w:r>
          </w:p>
        </w:tc>
        <w:tc>
          <w:tcPr>
            <w:tcW w:w="580" w:type="dxa"/>
            <w:tcBorders>
              <w:top w:val="nil"/>
              <w:left w:val="single" w:sz="4" w:space="0" w:color="808080"/>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14</w:t>
            </w:r>
          </w:p>
        </w:tc>
        <w:tc>
          <w:tcPr>
            <w:tcW w:w="600" w:type="dxa"/>
            <w:tcBorders>
              <w:top w:val="nil"/>
              <w:left w:val="nil"/>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22</w:t>
            </w:r>
          </w:p>
        </w:tc>
        <w:tc>
          <w:tcPr>
            <w:tcW w:w="822" w:type="dxa"/>
            <w:tcBorders>
              <w:top w:val="nil"/>
              <w:left w:val="nil"/>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b/>
                <w:bCs/>
                <w:color w:val="000000"/>
                <w:sz w:val="20"/>
                <w:szCs w:val="20"/>
              </w:rPr>
            </w:pPr>
            <w:r w:rsidRPr="00842AEC">
              <w:rPr>
                <w:rFonts w:ascii="Barlow" w:hAnsi="Barlow"/>
                <w:b/>
                <w:bCs/>
                <w:color w:val="000000"/>
                <w:sz w:val="20"/>
                <w:szCs w:val="20"/>
              </w:rPr>
              <w:t>17</w:t>
            </w:r>
          </w:p>
        </w:tc>
        <w:tc>
          <w:tcPr>
            <w:tcW w:w="560" w:type="dxa"/>
            <w:tcBorders>
              <w:top w:val="nil"/>
              <w:left w:val="nil"/>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24</w:t>
            </w:r>
          </w:p>
        </w:tc>
        <w:tc>
          <w:tcPr>
            <w:tcW w:w="660" w:type="dxa"/>
            <w:tcBorders>
              <w:top w:val="nil"/>
              <w:left w:val="nil"/>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20</w:t>
            </w:r>
          </w:p>
        </w:tc>
        <w:tc>
          <w:tcPr>
            <w:tcW w:w="660" w:type="dxa"/>
            <w:tcBorders>
              <w:top w:val="nil"/>
              <w:left w:val="nil"/>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b/>
                <w:bCs/>
                <w:color w:val="000000"/>
                <w:sz w:val="20"/>
                <w:szCs w:val="20"/>
              </w:rPr>
            </w:pPr>
            <w:r w:rsidRPr="00842AEC">
              <w:rPr>
                <w:rFonts w:ascii="Barlow" w:hAnsi="Barlow"/>
                <w:b/>
                <w:bCs/>
                <w:color w:val="000000"/>
                <w:sz w:val="20"/>
                <w:szCs w:val="20"/>
              </w:rPr>
              <w:t>22</w:t>
            </w:r>
          </w:p>
        </w:tc>
        <w:tc>
          <w:tcPr>
            <w:tcW w:w="560" w:type="dxa"/>
            <w:tcBorders>
              <w:top w:val="nil"/>
              <w:left w:val="nil"/>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b/>
                <w:bCs/>
                <w:color w:val="000000"/>
                <w:sz w:val="20"/>
                <w:szCs w:val="20"/>
              </w:rPr>
            </w:pPr>
            <w:r w:rsidRPr="00842AEC">
              <w:rPr>
                <w:rFonts w:ascii="Barlow" w:hAnsi="Barlow"/>
                <w:b/>
                <w:bCs/>
                <w:color w:val="000000"/>
                <w:sz w:val="20"/>
                <w:szCs w:val="20"/>
              </w:rPr>
              <w:t>20</w:t>
            </w:r>
          </w:p>
        </w:tc>
      </w:tr>
      <w:tr w:rsidR="00842AEC" w:rsidRPr="00842AEC" w:rsidTr="00842AEC">
        <w:trPr>
          <w:trHeight w:val="900"/>
        </w:trPr>
        <w:tc>
          <w:tcPr>
            <w:tcW w:w="2400" w:type="dxa"/>
            <w:gridSpan w:val="2"/>
            <w:tcBorders>
              <w:top w:val="single" w:sz="4" w:space="0" w:color="808080"/>
              <w:left w:val="single" w:sz="4" w:space="0" w:color="808080"/>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cs="Tahoma"/>
                <w:sz w:val="20"/>
                <w:szCs w:val="20"/>
              </w:rPr>
            </w:pPr>
            <w:r w:rsidRPr="00842AEC">
              <w:rPr>
                <w:rFonts w:ascii="Barlow" w:hAnsi="Barlow" w:cs="Tahoma"/>
                <w:b/>
                <w:bCs/>
                <w:sz w:val="20"/>
                <w:szCs w:val="20"/>
              </w:rPr>
              <w:t>Componente 1</w:t>
            </w:r>
            <w:r w:rsidRPr="00842AEC">
              <w:rPr>
                <w:rFonts w:ascii="Barlow" w:hAnsi="Barlow" w:cs="Tahoma"/>
                <w:b/>
                <w:bCs/>
                <w:sz w:val="20"/>
                <w:szCs w:val="20"/>
              </w:rPr>
              <w:br/>
            </w:r>
            <w:r w:rsidRPr="00842AEC">
              <w:rPr>
                <w:rFonts w:ascii="Barlow" w:hAnsi="Barlow" w:cs="Tahoma"/>
                <w:sz w:val="20"/>
                <w:szCs w:val="20"/>
              </w:rPr>
              <w:t>Servicios de Vinculación  con Organismos e Instituciones Públicas y sociedad Civil otorgados</w:t>
            </w:r>
          </w:p>
        </w:tc>
        <w:tc>
          <w:tcPr>
            <w:tcW w:w="2520" w:type="dxa"/>
            <w:tcBorders>
              <w:top w:val="nil"/>
              <w:left w:val="nil"/>
              <w:bottom w:val="single" w:sz="4" w:space="0" w:color="808080"/>
              <w:right w:val="nil"/>
            </w:tcBorders>
            <w:shd w:val="clear" w:color="auto" w:fill="auto"/>
            <w:vAlign w:val="center"/>
            <w:hideMark/>
          </w:tcPr>
          <w:p w:rsidR="00842AEC" w:rsidRPr="00842AEC" w:rsidRDefault="00842AEC" w:rsidP="00842AEC">
            <w:pPr>
              <w:spacing w:after="0" w:line="240" w:lineRule="auto"/>
              <w:ind w:firstLineChars="200" w:firstLine="400"/>
              <w:rPr>
                <w:rFonts w:ascii="Barlow" w:hAnsi="Barlow" w:cs="Tahoma"/>
                <w:sz w:val="20"/>
                <w:szCs w:val="20"/>
              </w:rPr>
            </w:pPr>
            <w:r w:rsidRPr="00842AEC">
              <w:rPr>
                <w:rFonts w:ascii="Barlow" w:hAnsi="Barlow" w:cs="Tahoma"/>
                <w:sz w:val="20"/>
                <w:szCs w:val="20"/>
              </w:rPr>
              <w:t>Variación  porcentual de vinculación  entre instancias</w:t>
            </w:r>
          </w:p>
        </w:tc>
        <w:tc>
          <w:tcPr>
            <w:tcW w:w="880" w:type="dxa"/>
            <w:tcBorders>
              <w:top w:val="nil"/>
              <w:left w:val="single" w:sz="4" w:space="0" w:color="808080"/>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40.54</w:t>
            </w:r>
          </w:p>
        </w:tc>
        <w:tc>
          <w:tcPr>
            <w:tcW w:w="940" w:type="dxa"/>
            <w:tcBorders>
              <w:top w:val="nil"/>
              <w:left w:val="nil"/>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8.53</w:t>
            </w:r>
          </w:p>
        </w:tc>
        <w:tc>
          <w:tcPr>
            <w:tcW w:w="1000" w:type="dxa"/>
            <w:tcBorders>
              <w:top w:val="nil"/>
              <w:left w:val="nil"/>
              <w:bottom w:val="single" w:sz="4" w:space="0" w:color="808080"/>
              <w:right w:val="nil"/>
            </w:tcBorders>
            <w:shd w:val="clear" w:color="auto" w:fill="auto"/>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Trimestral</w:t>
            </w:r>
          </w:p>
        </w:tc>
        <w:tc>
          <w:tcPr>
            <w:tcW w:w="580" w:type="dxa"/>
            <w:tcBorders>
              <w:top w:val="nil"/>
              <w:left w:val="single" w:sz="4" w:space="0" w:color="808080"/>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71</w:t>
            </w:r>
          </w:p>
        </w:tc>
        <w:tc>
          <w:tcPr>
            <w:tcW w:w="600" w:type="dxa"/>
            <w:tcBorders>
              <w:top w:val="nil"/>
              <w:left w:val="nil"/>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-76</w:t>
            </w:r>
          </w:p>
        </w:tc>
        <w:tc>
          <w:tcPr>
            <w:tcW w:w="822" w:type="dxa"/>
            <w:tcBorders>
              <w:top w:val="nil"/>
              <w:left w:val="nil"/>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b/>
                <w:bCs/>
                <w:color w:val="000000"/>
                <w:sz w:val="20"/>
                <w:szCs w:val="20"/>
              </w:rPr>
            </w:pPr>
            <w:r w:rsidRPr="00842AEC">
              <w:rPr>
                <w:rFonts w:ascii="Barlow" w:hAnsi="Barlow"/>
                <w:b/>
                <w:bCs/>
                <w:color w:val="000000"/>
                <w:sz w:val="20"/>
                <w:szCs w:val="20"/>
              </w:rPr>
              <w:t>-63</w:t>
            </w:r>
          </w:p>
        </w:tc>
        <w:tc>
          <w:tcPr>
            <w:tcW w:w="560" w:type="dxa"/>
            <w:tcBorders>
              <w:top w:val="nil"/>
              <w:left w:val="nil"/>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23</w:t>
            </w:r>
          </w:p>
        </w:tc>
        <w:tc>
          <w:tcPr>
            <w:tcW w:w="660" w:type="dxa"/>
            <w:tcBorders>
              <w:top w:val="nil"/>
              <w:left w:val="nil"/>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-17</w:t>
            </w:r>
          </w:p>
        </w:tc>
        <w:tc>
          <w:tcPr>
            <w:tcW w:w="660" w:type="dxa"/>
            <w:tcBorders>
              <w:top w:val="nil"/>
              <w:left w:val="nil"/>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b/>
                <w:bCs/>
                <w:color w:val="000000"/>
                <w:sz w:val="20"/>
                <w:szCs w:val="20"/>
              </w:rPr>
            </w:pPr>
            <w:r w:rsidRPr="00842AEC">
              <w:rPr>
                <w:rFonts w:ascii="Barlow" w:hAnsi="Barlow"/>
                <w:b/>
                <w:bCs/>
                <w:color w:val="000000"/>
                <w:sz w:val="20"/>
                <w:szCs w:val="20"/>
              </w:rPr>
              <w:t>4</w:t>
            </w:r>
          </w:p>
        </w:tc>
        <w:tc>
          <w:tcPr>
            <w:tcW w:w="560" w:type="dxa"/>
            <w:tcBorders>
              <w:top w:val="nil"/>
              <w:left w:val="nil"/>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b/>
                <w:bCs/>
                <w:color w:val="000000"/>
                <w:sz w:val="20"/>
                <w:szCs w:val="20"/>
              </w:rPr>
            </w:pPr>
            <w:r w:rsidRPr="00842AEC">
              <w:rPr>
                <w:rFonts w:ascii="Barlow" w:hAnsi="Barlow"/>
                <w:b/>
                <w:bCs/>
                <w:color w:val="000000"/>
                <w:sz w:val="20"/>
                <w:szCs w:val="20"/>
              </w:rPr>
              <w:t>-47</w:t>
            </w:r>
          </w:p>
        </w:tc>
      </w:tr>
      <w:tr w:rsidR="00842AEC" w:rsidRPr="00842AEC" w:rsidTr="00842AEC">
        <w:trPr>
          <w:trHeight w:val="900"/>
        </w:trPr>
        <w:tc>
          <w:tcPr>
            <w:tcW w:w="2400" w:type="dxa"/>
            <w:gridSpan w:val="2"/>
            <w:tcBorders>
              <w:top w:val="single" w:sz="4" w:space="0" w:color="808080"/>
              <w:left w:val="single" w:sz="4" w:space="0" w:color="808080"/>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cs="Tahoma"/>
                <w:sz w:val="20"/>
                <w:szCs w:val="20"/>
              </w:rPr>
            </w:pPr>
            <w:r w:rsidRPr="00842AEC">
              <w:rPr>
                <w:rFonts w:ascii="Barlow" w:hAnsi="Barlow" w:cs="Tahoma"/>
                <w:b/>
                <w:bCs/>
                <w:sz w:val="20"/>
                <w:szCs w:val="20"/>
              </w:rPr>
              <w:lastRenderedPageBreak/>
              <w:t>Componente 2</w:t>
            </w:r>
            <w:r w:rsidRPr="00842AEC">
              <w:rPr>
                <w:rFonts w:ascii="Barlow" w:hAnsi="Barlow" w:cs="Tahoma"/>
                <w:b/>
                <w:bCs/>
                <w:sz w:val="20"/>
                <w:szCs w:val="20"/>
              </w:rPr>
              <w:br/>
            </w:r>
            <w:r w:rsidRPr="00842AEC">
              <w:rPr>
                <w:rFonts w:ascii="Barlow" w:hAnsi="Barlow" w:cs="Tahoma"/>
                <w:sz w:val="20"/>
                <w:szCs w:val="20"/>
              </w:rPr>
              <w:t>Asistencia legal para población del Estado de Yucatán otorgada</w:t>
            </w:r>
          </w:p>
        </w:tc>
        <w:tc>
          <w:tcPr>
            <w:tcW w:w="2520" w:type="dxa"/>
            <w:tcBorders>
              <w:top w:val="nil"/>
              <w:left w:val="nil"/>
              <w:bottom w:val="single" w:sz="4" w:space="0" w:color="808080"/>
              <w:right w:val="nil"/>
            </w:tcBorders>
            <w:shd w:val="clear" w:color="auto" w:fill="auto"/>
            <w:vAlign w:val="center"/>
            <w:hideMark/>
          </w:tcPr>
          <w:p w:rsidR="00842AEC" w:rsidRPr="00842AEC" w:rsidRDefault="00842AEC" w:rsidP="00842AEC">
            <w:pPr>
              <w:spacing w:after="0" w:line="240" w:lineRule="auto"/>
              <w:ind w:firstLineChars="200" w:firstLine="400"/>
              <w:rPr>
                <w:rFonts w:ascii="Barlow" w:hAnsi="Barlow" w:cs="Tahoma"/>
                <w:sz w:val="20"/>
                <w:szCs w:val="20"/>
              </w:rPr>
            </w:pPr>
            <w:r w:rsidRPr="00842AEC">
              <w:rPr>
                <w:rFonts w:ascii="Barlow" w:hAnsi="Barlow" w:cs="Tahoma"/>
                <w:sz w:val="20"/>
                <w:szCs w:val="20"/>
              </w:rPr>
              <w:t>Variación  porcentual de los servicios  y procedimientos de asistencia legal (OQ)</w:t>
            </w:r>
          </w:p>
        </w:tc>
        <w:tc>
          <w:tcPr>
            <w:tcW w:w="880" w:type="dxa"/>
            <w:tcBorders>
              <w:top w:val="nil"/>
              <w:left w:val="single" w:sz="4" w:space="0" w:color="808080"/>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8.31</w:t>
            </w:r>
          </w:p>
        </w:tc>
        <w:tc>
          <w:tcPr>
            <w:tcW w:w="940" w:type="dxa"/>
            <w:tcBorders>
              <w:top w:val="nil"/>
              <w:left w:val="nil"/>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3.54</w:t>
            </w:r>
          </w:p>
        </w:tc>
        <w:tc>
          <w:tcPr>
            <w:tcW w:w="1000" w:type="dxa"/>
            <w:tcBorders>
              <w:top w:val="nil"/>
              <w:left w:val="nil"/>
              <w:bottom w:val="single" w:sz="4" w:space="0" w:color="808080"/>
              <w:right w:val="nil"/>
            </w:tcBorders>
            <w:shd w:val="clear" w:color="auto" w:fill="auto"/>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Trimestral</w:t>
            </w:r>
          </w:p>
        </w:tc>
        <w:tc>
          <w:tcPr>
            <w:tcW w:w="580" w:type="dxa"/>
            <w:tcBorders>
              <w:top w:val="nil"/>
              <w:left w:val="single" w:sz="4" w:space="0" w:color="808080"/>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37</w:t>
            </w:r>
          </w:p>
        </w:tc>
        <w:tc>
          <w:tcPr>
            <w:tcW w:w="600" w:type="dxa"/>
            <w:tcBorders>
              <w:top w:val="nil"/>
              <w:left w:val="nil"/>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-18</w:t>
            </w:r>
          </w:p>
        </w:tc>
        <w:tc>
          <w:tcPr>
            <w:tcW w:w="822" w:type="dxa"/>
            <w:tcBorders>
              <w:top w:val="nil"/>
              <w:left w:val="nil"/>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b/>
                <w:bCs/>
                <w:color w:val="000000"/>
                <w:sz w:val="20"/>
                <w:szCs w:val="20"/>
              </w:rPr>
            </w:pPr>
            <w:r w:rsidRPr="00842AEC">
              <w:rPr>
                <w:rFonts w:ascii="Barlow" w:hAnsi="Barlow"/>
                <w:b/>
                <w:bCs/>
                <w:color w:val="000000"/>
                <w:sz w:val="20"/>
                <w:szCs w:val="20"/>
              </w:rPr>
              <w:t>8</w:t>
            </w:r>
          </w:p>
        </w:tc>
        <w:tc>
          <w:tcPr>
            <w:tcW w:w="560" w:type="dxa"/>
            <w:tcBorders>
              <w:top w:val="nil"/>
              <w:left w:val="nil"/>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-29</w:t>
            </w:r>
          </w:p>
        </w:tc>
        <w:tc>
          <w:tcPr>
            <w:tcW w:w="660" w:type="dxa"/>
            <w:tcBorders>
              <w:top w:val="nil"/>
              <w:left w:val="nil"/>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-32</w:t>
            </w:r>
          </w:p>
        </w:tc>
        <w:tc>
          <w:tcPr>
            <w:tcW w:w="660" w:type="dxa"/>
            <w:tcBorders>
              <w:top w:val="nil"/>
              <w:left w:val="nil"/>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b/>
                <w:bCs/>
                <w:color w:val="000000"/>
                <w:sz w:val="20"/>
                <w:szCs w:val="20"/>
              </w:rPr>
            </w:pPr>
            <w:r w:rsidRPr="00842AEC">
              <w:rPr>
                <w:rFonts w:ascii="Barlow" w:hAnsi="Barlow"/>
                <w:b/>
                <w:bCs/>
                <w:color w:val="000000"/>
                <w:sz w:val="20"/>
                <w:szCs w:val="20"/>
              </w:rPr>
              <w:t>-7</w:t>
            </w:r>
          </w:p>
        </w:tc>
        <w:tc>
          <w:tcPr>
            <w:tcW w:w="560" w:type="dxa"/>
            <w:tcBorders>
              <w:top w:val="nil"/>
              <w:left w:val="nil"/>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b/>
                <w:bCs/>
                <w:color w:val="000000"/>
                <w:sz w:val="20"/>
                <w:szCs w:val="20"/>
              </w:rPr>
            </w:pPr>
            <w:r w:rsidRPr="00842AEC">
              <w:rPr>
                <w:rFonts w:ascii="Barlow" w:hAnsi="Barlow"/>
                <w:b/>
                <w:bCs/>
                <w:color w:val="000000"/>
                <w:sz w:val="20"/>
                <w:szCs w:val="20"/>
              </w:rPr>
              <w:t>-1</w:t>
            </w:r>
          </w:p>
        </w:tc>
      </w:tr>
      <w:tr w:rsidR="00842AEC" w:rsidRPr="00842AEC" w:rsidTr="00842AEC">
        <w:trPr>
          <w:trHeight w:val="900"/>
        </w:trPr>
        <w:tc>
          <w:tcPr>
            <w:tcW w:w="2400" w:type="dxa"/>
            <w:gridSpan w:val="2"/>
            <w:tcBorders>
              <w:top w:val="single" w:sz="4" w:space="0" w:color="808080"/>
              <w:left w:val="single" w:sz="4" w:space="0" w:color="808080"/>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cs="Tahoma"/>
                <w:sz w:val="20"/>
                <w:szCs w:val="20"/>
              </w:rPr>
            </w:pPr>
            <w:r w:rsidRPr="00842AEC">
              <w:rPr>
                <w:rFonts w:ascii="Barlow" w:hAnsi="Barlow" w:cs="Tahoma"/>
                <w:b/>
                <w:bCs/>
                <w:sz w:val="20"/>
                <w:szCs w:val="20"/>
              </w:rPr>
              <w:t>Componente 3</w:t>
            </w:r>
            <w:r w:rsidRPr="00842AEC">
              <w:rPr>
                <w:rFonts w:ascii="Barlow" w:hAnsi="Barlow" w:cs="Tahoma"/>
                <w:b/>
                <w:bCs/>
                <w:sz w:val="20"/>
                <w:szCs w:val="20"/>
              </w:rPr>
              <w:br/>
            </w:r>
            <w:r w:rsidRPr="00842AEC">
              <w:rPr>
                <w:rFonts w:ascii="Barlow" w:hAnsi="Barlow" w:cs="Tahoma"/>
                <w:sz w:val="20"/>
                <w:szCs w:val="20"/>
              </w:rPr>
              <w:t>Capacitación en materia de derechos humanos a funcionarios del Gobierno del estado, Instituciones Privadas y Organizaciones Civiles otorgado</w:t>
            </w:r>
          </w:p>
        </w:tc>
        <w:tc>
          <w:tcPr>
            <w:tcW w:w="2520" w:type="dxa"/>
            <w:tcBorders>
              <w:top w:val="nil"/>
              <w:left w:val="nil"/>
              <w:bottom w:val="single" w:sz="4" w:space="0" w:color="808080"/>
              <w:right w:val="nil"/>
            </w:tcBorders>
            <w:shd w:val="clear" w:color="auto" w:fill="auto"/>
            <w:vAlign w:val="center"/>
            <w:hideMark/>
          </w:tcPr>
          <w:p w:rsidR="00842AEC" w:rsidRPr="00842AEC" w:rsidRDefault="00842AEC" w:rsidP="00842AEC">
            <w:pPr>
              <w:spacing w:after="0" w:line="240" w:lineRule="auto"/>
              <w:ind w:firstLineChars="200" w:firstLine="400"/>
              <w:rPr>
                <w:rFonts w:ascii="Barlow" w:hAnsi="Barlow" w:cs="Tahoma"/>
                <w:sz w:val="20"/>
                <w:szCs w:val="20"/>
              </w:rPr>
            </w:pPr>
            <w:r w:rsidRPr="00842AEC">
              <w:rPr>
                <w:rFonts w:ascii="Barlow" w:hAnsi="Barlow" w:cs="Tahoma"/>
                <w:sz w:val="20"/>
                <w:szCs w:val="20"/>
              </w:rPr>
              <w:t>Variación porcentual de personas Capacitadas</w:t>
            </w:r>
          </w:p>
        </w:tc>
        <w:tc>
          <w:tcPr>
            <w:tcW w:w="880" w:type="dxa"/>
            <w:tcBorders>
              <w:top w:val="nil"/>
              <w:left w:val="single" w:sz="4" w:space="0" w:color="808080"/>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97.14</w:t>
            </w:r>
          </w:p>
        </w:tc>
        <w:tc>
          <w:tcPr>
            <w:tcW w:w="940" w:type="dxa"/>
            <w:tcBorders>
              <w:top w:val="nil"/>
              <w:left w:val="nil"/>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-58.3</w:t>
            </w:r>
          </w:p>
        </w:tc>
        <w:tc>
          <w:tcPr>
            <w:tcW w:w="1000" w:type="dxa"/>
            <w:tcBorders>
              <w:top w:val="nil"/>
              <w:left w:val="nil"/>
              <w:bottom w:val="single" w:sz="4" w:space="0" w:color="808080"/>
              <w:right w:val="nil"/>
            </w:tcBorders>
            <w:shd w:val="clear" w:color="auto" w:fill="auto"/>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Trimestral</w:t>
            </w:r>
          </w:p>
        </w:tc>
        <w:tc>
          <w:tcPr>
            <w:tcW w:w="580" w:type="dxa"/>
            <w:tcBorders>
              <w:top w:val="nil"/>
              <w:left w:val="single" w:sz="4" w:space="0" w:color="808080"/>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-12</w:t>
            </w:r>
          </w:p>
        </w:tc>
        <w:tc>
          <w:tcPr>
            <w:tcW w:w="600" w:type="dxa"/>
            <w:tcBorders>
              <w:top w:val="nil"/>
              <w:left w:val="nil"/>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31</w:t>
            </w:r>
          </w:p>
        </w:tc>
        <w:tc>
          <w:tcPr>
            <w:tcW w:w="822" w:type="dxa"/>
            <w:tcBorders>
              <w:top w:val="nil"/>
              <w:left w:val="nil"/>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b/>
                <w:bCs/>
                <w:color w:val="000000"/>
                <w:sz w:val="20"/>
                <w:szCs w:val="20"/>
              </w:rPr>
            </w:pPr>
            <w:r w:rsidRPr="00842AEC">
              <w:rPr>
                <w:rFonts w:ascii="Barlow" w:hAnsi="Barlow"/>
                <w:b/>
                <w:bCs/>
                <w:color w:val="000000"/>
                <w:sz w:val="20"/>
                <w:szCs w:val="20"/>
              </w:rPr>
              <w:t>10</w:t>
            </w:r>
          </w:p>
        </w:tc>
        <w:tc>
          <w:tcPr>
            <w:tcW w:w="560" w:type="dxa"/>
            <w:tcBorders>
              <w:top w:val="nil"/>
              <w:left w:val="nil"/>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-39</w:t>
            </w:r>
          </w:p>
        </w:tc>
        <w:tc>
          <w:tcPr>
            <w:tcW w:w="660" w:type="dxa"/>
            <w:tcBorders>
              <w:top w:val="nil"/>
              <w:left w:val="nil"/>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-16</w:t>
            </w:r>
          </w:p>
        </w:tc>
        <w:tc>
          <w:tcPr>
            <w:tcW w:w="660" w:type="dxa"/>
            <w:tcBorders>
              <w:top w:val="nil"/>
              <w:left w:val="nil"/>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b/>
                <w:bCs/>
                <w:color w:val="000000"/>
                <w:sz w:val="20"/>
                <w:szCs w:val="20"/>
              </w:rPr>
            </w:pPr>
            <w:r w:rsidRPr="00842AEC">
              <w:rPr>
                <w:rFonts w:ascii="Barlow" w:hAnsi="Barlow"/>
                <w:b/>
                <w:bCs/>
                <w:color w:val="000000"/>
                <w:sz w:val="20"/>
                <w:szCs w:val="20"/>
              </w:rPr>
              <w:t>5</w:t>
            </w:r>
          </w:p>
        </w:tc>
        <w:tc>
          <w:tcPr>
            <w:tcW w:w="560" w:type="dxa"/>
            <w:tcBorders>
              <w:top w:val="nil"/>
              <w:left w:val="nil"/>
              <w:bottom w:val="single" w:sz="4" w:space="0" w:color="808080"/>
              <w:right w:val="single" w:sz="4" w:space="0" w:color="808080"/>
            </w:tcBorders>
            <w:shd w:val="clear" w:color="auto" w:fill="auto"/>
            <w:vAlign w:val="center"/>
            <w:hideMark/>
          </w:tcPr>
          <w:p w:rsidR="00842AEC" w:rsidRPr="00842AEC" w:rsidRDefault="00842AEC" w:rsidP="00842AEC">
            <w:pPr>
              <w:spacing w:after="0" w:line="240" w:lineRule="auto"/>
              <w:jc w:val="center"/>
              <w:rPr>
                <w:rFonts w:ascii="Barlow" w:hAnsi="Barlow"/>
                <w:b/>
                <w:bCs/>
                <w:color w:val="000000"/>
                <w:sz w:val="20"/>
                <w:szCs w:val="20"/>
              </w:rPr>
            </w:pPr>
            <w:r w:rsidRPr="00842AEC">
              <w:rPr>
                <w:rFonts w:ascii="Barlow" w:hAnsi="Barlow"/>
                <w:b/>
                <w:bCs/>
                <w:color w:val="000000"/>
                <w:sz w:val="20"/>
                <w:szCs w:val="20"/>
              </w:rPr>
              <w:t>7</w:t>
            </w:r>
          </w:p>
        </w:tc>
      </w:tr>
      <w:tr w:rsidR="00842AEC" w:rsidRPr="00842AEC" w:rsidTr="00842AEC">
        <w:trPr>
          <w:trHeight w:val="240"/>
        </w:trPr>
        <w:tc>
          <w:tcPr>
            <w:tcW w:w="1680" w:type="dxa"/>
            <w:tcBorders>
              <w:top w:val="nil"/>
              <w:left w:val="nil"/>
              <w:bottom w:val="single" w:sz="4" w:space="0" w:color="808080"/>
              <w:right w:val="nil"/>
            </w:tcBorders>
            <w:shd w:val="clear" w:color="auto" w:fill="auto"/>
            <w:hideMark/>
          </w:tcPr>
          <w:p w:rsidR="00842AEC" w:rsidRPr="00842AEC" w:rsidRDefault="00842AEC" w:rsidP="00842AEC">
            <w:pPr>
              <w:spacing w:after="0" w:line="240" w:lineRule="auto"/>
              <w:rPr>
                <w:rFonts w:ascii="Barlow" w:hAnsi="Barlow" w:cs="Tahoma"/>
                <w:b/>
                <w:bCs/>
                <w:sz w:val="20"/>
                <w:szCs w:val="20"/>
              </w:rPr>
            </w:pPr>
            <w:r w:rsidRPr="00842AEC">
              <w:rPr>
                <w:rFonts w:ascii="Barlow" w:hAnsi="Barlow" w:cs="Tahoma"/>
                <w:b/>
                <w:bCs/>
                <w:sz w:val="20"/>
                <w:szCs w:val="20"/>
              </w:rPr>
              <w:t> </w:t>
            </w:r>
          </w:p>
        </w:tc>
        <w:tc>
          <w:tcPr>
            <w:tcW w:w="720" w:type="dxa"/>
            <w:tcBorders>
              <w:top w:val="nil"/>
              <w:left w:val="nil"/>
              <w:bottom w:val="single" w:sz="4" w:space="0" w:color="808080"/>
              <w:right w:val="nil"/>
            </w:tcBorders>
            <w:shd w:val="clear" w:color="auto" w:fill="auto"/>
            <w:hideMark/>
          </w:tcPr>
          <w:p w:rsidR="00842AEC" w:rsidRPr="00842AEC" w:rsidRDefault="00842AEC" w:rsidP="00842AEC">
            <w:pPr>
              <w:spacing w:after="0" w:line="240" w:lineRule="auto"/>
              <w:rPr>
                <w:rFonts w:ascii="Barlow" w:hAnsi="Barlow" w:cs="Tahoma"/>
                <w:b/>
                <w:bCs/>
                <w:sz w:val="20"/>
                <w:szCs w:val="20"/>
              </w:rPr>
            </w:pPr>
            <w:r w:rsidRPr="00842AEC">
              <w:rPr>
                <w:rFonts w:ascii="Barlow" w:hAnsi="Barlow" w:cs="Tahoma"/>
                <w:b/>
                <w:bCs/>
                <w:sz w:val="20"/>
                <w:szCs w:val="20"/>
              </w:rPr>
              <w:t> </w:t>
            </w:r>
          </w:p>
        </w:tc>
        <w:tc>
          <w:tcPr>
            <w:tcW w:w="2520" w:type="dxa"/>
            <w:tcBorders>
              <w:top w:val="nil"/>
              <w:left w:val="nil"/>
              <w:bottom w:val="nil"/>
              <w:right w:val="nil"/>
            </w:tcBorders>
            <w:shd w:val="clear" w:color="auto" w:fill="auto"/>
            <w:hideMark/>
          </w:tcPr>
          <w:p w:rsidR="00842AEC" w:rsidRPr="00842AEC" w:rsidRDefault="00842AEC" w:rsidP="00842AEC">
            <w:pPr>
              <w:spacing w:after="0" w:line="240" w:lineRule="auto"/>
              <w:rPr>
                <w:rFonts w:ascii="Barlow" w:hAnsi="Barlow" w:cs="Tahoma"/>
                <w:sz w:val="20"/>
                <w:szCs w:val="20"/>
              </w:rPr>
            </w:pPr>
            <w:r w:rsidRPr="00842AEC">
              <w:rPr>
                <w:rFonts w:ascii="Barlow" w:hAnsi="Barlow" w:cs="Tahoma"/>
                <w:sz w:val="20"/>
                <w:szCs w:val="20"/>
              </w:rPr>
              <w:t> </w:t>
            </w:r>
          </w:p>
        </w:tc>
        <w:tc>
          <w:tcPr>
            <w:tcW w:w="880" w:type="dxa"/>
            <w:tcBorders>
              <w:top w:val="nil"/>
              <w:left w:val="nil"/>
              <w:bottom w:val="nil"/>
              <w:right w:val="nil"/>
            </w:tcBorders>
            <w:shd w:val="clear" w:color="auto" w:fill="auto"/>
            <w:hideMark/>
          </w:tcPr>
          <w:p w:rsidR="00842AEC" w:rsidRPr="00842AEC" w:rsidRDefault="00842AEC" w:rsidP="00842AEC">
            <w:pPr>
              <w:spacing w:after="0" w:line="240" w:lineRule="auto"/>
              <w:rPr>
                <w:rFonts w:ascii="Barlow" w:hAnsi="Barlow" w:cs="Tahoma"/>
                <w:sz w:val="20"/>
                <w:szCs w:val="20"/>
              </w:rPr>
            </w:pPr>
            <w:r w:rsidRPr="00842AEC">
              <w:rPr>
                <w:rFonts w:ascii="Barlow" w:hAnsi="Barlow" w:cs="Tahoma"/>
                <w:sz w:val="20"/>
                <w:szCs w:val="20"/>
              </w:rPr>
              <w:t> </w:t>
            </w:r>
          </w:p>
        </w:tc>
        <w:tc>
          <w:tcPr>
            <w:tcW w:w="940" w:type="dxa"/>
            <w:tcBorders>
              <w:top w:val="nil"/>
              <w:left w:val="nil"/>
              <w:bottom w:val="nil"/>
              <w:right w:val="nil"/>
            </w:tcBorders>
            <w:shd w:val="clear" w:color="auto" w:fill="auto"/>
            <w:hideMark/>
          </w:tcPr>
          <w:p w:rsidR="00842AEC" w:rsidRPr="00842AEC" w:rsidRDefault="00842AEC" w:rsidP="00842AEC">
            <w:pPr>
              <w:spacing w:after="0" w:line="240" w:lineRule="auto"/>
              <w:rPr>
                <w:rFonts w:ascii="Barlow" w:hAnsi="Barlow" w:cs="Tahoma"/>
                <w:sz w:val="20"/>
                <w:szCs w:val="20"/>
              </w:rPr>
            </w:pPr>
            <w:r w:rsidRPr="00842AEC">
              <w:rPr>
                <w:rFonts w:ascii="Barlow" w:hAnsi="Barlow" w:cs="Tahoma"/>
                <w:sz w:val="20"/>
                <w:szCs w:val="20"/>
              </w:rPr>
              <w:t> </w:t>
            </w:r>
          </w:p>
        </w:tc>
        <w:tc>
          <w:tcPr>
            <w:tcW w:w="1000" w:type="dxa"/>
            <w:tcBorders>
              <w:top w:val="nil"/>
              <w:left w:val="nil"/>
              <w:bottom w:val="nil"/>
              <w:right w:val="nil"/>
            </w:tcBorders>
            <w:shd w:val="clear" w:color="auto" w:fill="auto"/>
            <w:hideMark/>
          </w:tcPr>
          <w:p w:rsidR="00842AEC" w:rsidRPr="00842AEC" w:rsidRDefault="00842AEC" w:rsidP="00842AEC">
            <w:pPr>
              <w:spacing w:after="0" w:line="240" w:lineRule="auto"/>
              <w:rPr>
                <w:rFonts w:ascii="Barlow" w:hAnsi="Barlow" w:cs="Tahoma"/>
                <w:sz w:val="20"/>
                <w:szCs w:val="20"/>
              </w:rPr>
            </w:pPr>
            <w:r w:rsidRPr="00842AEC">
              <w:rPr>
                <w:rFonts w:ascii="Barlow" w:hAnsi="Barlow" w:cs="Tahoma"/>
                <w:sz w:val="20"/>
                <w:szCs w:val="20"/>
              </w:rPr>
              <w:t> </w:t>
            </w:r>
          </w:p>
        </w:tc>
        <w:tc>
          <w:tcPr>
            <w:tcW w:w="580" w:type="dxa"/>
            <w:tcBorders>
              <w:top w:val="nil"/>
              <w:left w:val="nil"/>
              <w:bottom w:val="nil"/>
              <w:right w:val="nil"/>
            </w:tcBorders>
            <w:shd w:val="clear" w:color="auto" w:fill="auto"/>
            <w:hideMark/>
          </w:tcPr>
          <w:p w:rsidR="00842AEC" w:rsidRPr="00842AEC" w:rsidRDefault="00842AEC" w:rsidP="00842AEC">
            <w:pPr>
              <w:spacing w:after="0" w:line="240" w:lineRule="auto"/>
              <w:rPr>
                <w:rFonts w:ascii="Barlow" w:hAnsi="Barlow" w:cs="Tahoma"/>
                <w:sz w:val="20"/>
                <w:szCs w:val="20"/>
              </w:rPr>
            </w:pPr>
            <w:r w:rsidRPr="00842AEC">
              <w:rPr>
                <w:rFonts w:ascii="Barlow" w:hAnsi="Barlow" w:cs="Tahoma"/>
                <w:sz w:val="20"/>
                <w:szCs w:val="20"/>
              </w:rPr>
              <w:t> </w:t>
            </w:r>
          </w:p>
        </w:tc>
        <w:tc>
          <w:tcPr>
            <w:tcW w:w="600" w:type="dxa"/>
            <w:tcBorders>
              <w:top w:val="nil"/>
              <w:left w:val="nil"/>
              <w:bottom w:val="nil"/>
              <w:right w:val="nil"/>
            </w:tcBorders>
            <w:shd w:val="clear" w:color="auto" w:fill="auto"/>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822"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color w:val="000000"/>
                <w:sz w:val="20"/>
                <w:szCs w:val="20"/>
              </w:rPr>
            </w:pPr>
          </w:p>
        </w:tc>
        <w:tc>
          <w:tcPr>
            <w:tcW w:w="56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66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66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56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r>
      <w:tr w:rsidR="00842AEC" w:rsidRPr="00842AEC" w:rsidTr="00842AEC">
        <w:trPr>
          <w:trHeight w:val="150"/>
        </w:trPr>
        <w:tc>
          <w:tcPr>
            <w:tcW w:w="2400" w:type="dxa"/>
            <w:gridSpan w:val="2"/>
            <w:tcBorders>
              <w:top w:val="single" w:sz="4" w:space="0" w:color="808080"/>
              <w:left w:val="nil"/>
              <w:bottom w:val="single" w:sz="4" w:space="0" w:color="auto"/>
              <w:right w:val="single" w:sz="4" w:space="0" w:color="808080"/>
            </w:tcBorders>
            <w:shd w:val="clear" w:color="auto" w:fill="auto"/>
            <w:hideMark/>
          </w:tcPr>
          <w:p w:rsidR="00842AEC" w:rsidRPr="00842AEC" w:rsidRDefault="00842AEC" w:rsidP="00842AEC">
            <w:pPr>
              <w:spacing w:after="0" w:line="240" w:lineRule="auto"/>
              <w:jc w:val="center"/>
              <w:rPr>
                <w:rFonts w:ascii="Barlow" w:hAnsi="Barlow" w:cs="Tahoma"/>
                <w:b/>
                <w:bCs/>
                <w:sz w:val="20"/>
                <w:szCs w:val="20"/>
              </w:rPr>
            </w:pPr>
            <w:r w:rsidRPr="00842AEC">
              <w:rPr>
                <w:rFonts w:ascii="Barlow" w:hAnsi="Barlow" w:cs="Tahoma"/>
                <w:b/>
                <w:bCs/>
                <w:sz w:val="20"/>
                <w:szCs w:val="20"/>
              </w:rPr>
              <w:t>Metadatos de los Indicadores</w:t>
            </w:r>
          </w:p>
        </w:tc>
        <w:tc>
          <w:tcPr>
            <w:tcW w:w="2520" w:type="dxa"/>
            <w:tcBorders>
              <w:top w:val="nil"/>
              <w:left w:val="nil"/>
              <w:bottom w:val="single" w:sz="4" w:space="0" w:color="auto"/>
              <w:right w:val="nil"/>
            </w:tcBorders>
            <w:shd w:val="clear" w:color="auto" w:fill="auto"/>
            <w:hideMark/>
          </w:tcPr>
          <w:p w:rsidR="00842AEC" w:rsidRPr="00842AEC" w:rsidRDefault="00842AEC" w:rsidP="00842AEC">
            <w:pPr>
              <w:spacing w:after="0" w:line="240" w:lineRule="auto"/>
              <w:jc w:val="center"/>
              <w:rPr>
                <w:rFonts w:ascii="Barlow" w:hAnsi="Barlow" w:cs="Tahoma"/>
                <w:b/>
                <w:bCs/>
                <w:sz w:val="20"/>
                <w:szCs w:val="20"/>
              </w:rPr>
            </w:pPr>
            <w:r w:rsidRPr="00842AEC">
              <w:rPr>
                <w:rFonts w:ascii="Barlow" w:hAnsi="Barlow" w:cs="Tahoma"/>
                <w:b/>
                <w:bCs/>
                <w:sz w:val="20"/>
                <w:szCs w:val="20"/>
              </w:rPr>
              <w:t> </w:t>
            </w:r>
          </w:p>
        </w:tc>
        <w:tc>
          <w:tcPr>
            <w:tcW w:w="880" w:type="dxa"/>
            <w:tcBorders>
              <w:top w:val="nil"/>
              <w:left w:val="nil"/>
              <w:bottom w:val="single" w:sz="4" w:space="0" w:color="auto"/>
              <w:right w:val="nil"/>
            </w:tcBorders>
            <w:shd w:val="clear" w:color="auto" w:fill="auto"/>
            <w:hideMark/>
          </w:tcPr>
          <w:p w:rsidR="00842AEC" w:rsidRPr="00842AEC" w:rsidRDefault="00842AEC" w:rsidP="00842AEC">
            <w:pPr>
              <w:spacing w:after="0" w:line="240" w:lineRule="auto"/>
              <w:jc w:val="center"/>
              <w:rPr>
                <w:rFonts w:ascii="Barlow" w:hAnsi="Barlow" w:cs="Tahoma"/>
                <w:b/>
                <w:bCs/>
                <w:sz w:val="20"/>
                <w:szCs w:val="20"/>
              </w:rPr>
            </w:pPr>
            <w:r w:rsidRPr="00842AEC">
              <w:rPr>
                <w:rFonts w:ascii="Barlow" w:hAnsi="Barlow" w:cs="Tahoma"/>
                <w:b/>
                <w:bCs/>
                <w:sz w:val="20"/>
                <w:szCs w:val="20"/>
              </w:rPr>
              <w:t> </w:t>
            </w:r>
          </w:p>
        </w:tc>
        <w:tc>
          <w:tcPr>
            <w:tcW w:w="940" w:type="dxa"/>
            <w:tcBorders>
              <w:top w:val="nil"/>
              <w:left w:val="nil"/>
              <w:bottom w:val="single" w:sz="4" w:space="0" w:color="auto"/>
              <w:right w:val="nil"/>
            </w:tcBorders>
            <w:shd w:val="clear" w:color="auto" w:fill="auto"/>
            <w:noWrap/>
            <w:vAlign w:val="center"/>
            <w:hideMark/>
          </w:tcPr>
          <w:p w:rsidR="00842AEC" w:rsidRPr="00842AEC" w:rsidRDefault="00842AEC" w:rsidP="00842AEC">
            <w:pPr>
              <w:spacing w:after="0" w:line="240" w:lineRule="auto"/>
              <w:ind w:firstLineChars="200" w:firstLine="400"/>
              <w:rPr>
                <w:rFonts w:ascii="Barlow" w:hAnsi="Barlow"/>
                <w:color w:val="000000"/>
                <w:sz w:val="20"/>
                <w:szCs w:val="20"/>
              </w:rPr>
            </w:pPr>
            <w:r w:rsidRPr="00842AEC">
              <w:rPr>
                <w:rFonts w:ascii="Barlow" w:hAnsi="Barlow"/>
                <w:color w:val="000000"/>
                <w:sz w:val="20"/>
                <w:szCs w:val="20"/>
              </w:rPr>
              <w:t> </w:t>
            </w:r>
          </w:p>
        </w:tc>
        <w:tc>
          <w:tcPr>
            <w:tcW w:w="1000" w:type="dxa"/>
            <w:tcBorders>
              <w:top w:val="nil"/>
              <w:left w:val="nil"/>
              <w:bottom w:val="single" w:sz="4" w:space="0" w:color="auto"/>
              <w:right w:val="nil"/>
            </w:tcBorders>
            <w:shd w:val="clear" w:color="auto" w:fill="auto"/>
            <w:noWrap/>
            <w:vAlign w:val="center"/>
            <w:hideMark/>
          </w:tcPr>
          <w:p w:rsidR="00842AEC" w:rsidRPr="00842AEC" w:rsidRDefault="00842AEC" w:rsidP="00842AEC">
            <w:pPr>
              <w:spacing w:after="0" w:line="240" w:lineRule="auto"/>
              <w:ind w:firstLineChars="200" w:firstLine="400"/>
              <w:rPr>
                <w:rFonts w:ascii="Barlow" w:hAnsi="Barlow"/>
                <w:color w:val="000000"/>
                <w:sz w:val="20"/>
                <w:szCs w:val="20"/>
              </w:rPr>
            </w:pPr>
            <w:r w:rsidRPr="00842AEC">
              <w:rPr>
                <w:rFonts w:ascii="Barlow" w:hAnsi="Barlow"/>
                <w:color w:val="000000"/>
                <w:sz w:val="20"/>
                <w:szCs w:val="20"/>
              </w:rPr>
              <w:t> </w:t>
            </w:r>
          </w:p>
        </w:tc>
        <w:tc>
          <w:tcPr>
            <w:tcW w:w="580" w:type="dxa"/>
            <w:tcBorders>
              <w:top w:val="nil"/>
              <w:left w:val="nil"/>
              <w:bottom w:val="single" w:sz="4" w:space="0" w:color="auto"/>
              <w:right w:val="nil"/>
            </w:tcBorders>
            <w:shd w:val="clear" w:color="auto" w:fill="auto"/>
            <w:noWrap/>
            <w:vAlign w:val="center"/>
            <w:hideMark/>
          </w:tcPr>
          <w:p w:rsidR="00842AEC" w:rsidRPr="00842AEC" w:rsidRDefault="00842AEC" w:rsidP="00842AEC">
            <w:pPr>
              <w:spacing w:after="0" w:line="240" w:lineRule="auto"/>
              <w:ind w:firstLineChars="200" w:firstLine="400"/>
              <w:rPr>
                <w:rFonts w:ascii="Barlow" w:hAnsi="Barlow"/>
                <w:color w:val="000000"/>
                <w:sz w:val="20"/>
                <w:szCs w:val="20"/>
              </w:rPr>
            </w:pPr>
            <w:r w:rsidRPr="00842AEC">
              <w:rPr>
                <w:rFonts w:ascii="Barlow" w:hAnsi="Barlow"/>
                <w:color w:val="000000"/>
                <w:sz w:val="20"/>
                <w:szCs w:val="20"/>
              </w:rPr>
              <w:t> </w:t>
            </w:r>
          </w:p>
        </w:tc>
        <w:tc>
          <w:tcPr>
            <w:tcW w:w="600" w:type="dxa"/>
            <w:tcBorders>
              <w:top w:val="nil"/>
              <w:left w:val="nil"/>
              <w:bottom w:val="single" w:sz="4" w:space="0" w:color="auto"/>
              <w:right w:val="nil"/>
            </w:tcBorders>
            <w:shd w:val="clear" w:color="auto" w:fill="auto"/>
            <w:noWrap/>
            <w:vAlign w:val="center"/>
            <w:hideMark/>
          </w:tcPr>
          <w:p w:rsidR="00842AEC" w:rsidRPr="00842AEC" w:rsidRDefault="00842AEC" w:rsidP="00842AEC">
            <w:pPr>
              <w:spacing w:after="0" w:line="240" w:lineRule="auto"/>
              <w:ind w:firstLineChars="200" w:firstLine="400"/>
              <w:rPr>
                <w:rFonts w:ascii="Barlow" w:hAnsi="Barlow"/>
                <w:color w:val="000000"/>
                <w:sz w:val="20"/>
                <w:szCs w:val="20"/>
              </w:rPr>
            </w:pPr>
            <w:r w:rsidRPr="00842AEC">
              <w:rPr>
                <w:rFonts w:ascii="Barlow" w:hAnsi="Barlow"/>
                <w:color w:val="000000"/>
                <w:sz w:val="20"/>
                <w:szCs w:val="20"/>
              </w:rPr>
              <w:t> </w:t>
            </w:r>
          </w:p>
        </w:tc>
        <w:tc>
          <w:tcPr>
            <w:tcW w:w="822" w:type="dxa"/>
            <w:tcBorders>
              <w:top w:val="nil"/>
              <w:left w:val="nil"/>
              <w:bottom w:val="nil"/>
              <w:right w:val="nil"/>
            </w:tcBorders>
            <w:shd w:val="clear" w:color="auto" w:fill="auto"/>
            <w:noWrap/>
            <w:hideMark/>
          </w:tcPr>
          <w:p w:rsidR="00842AEC" w:rsidRPr="00842AEC" w:rsidRDefault="00842AEC" w:rsidP="00842AEC">
            <w:pPr>
              <w:spacing w:after="0" w:line="240" w:lineRule="auto"/>
              <w:ind w:firstLineChars="200" w:firstLine="400"/>
              <w:rPr>
                <w:rFonts w:ascii="Barlow" w:hAnsi="Barlow"/>
                <w:color w:val="000000"/>
                <w:sz w:val="20"/>
                <w:szCs w:val="20"/>
              </w:rPr>
            </w:pPr>
          </w:p>
        </w:tc>
        <w:tc>
          <w:tcPr>
            <w:tcW w:w="56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66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66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56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r>
      <w:tr w:rsidR="00842AEC" w:rsidRPr="00842AEC" w:rsidTr="00842AEC">
        <w:trPr>
          <w:trHeight w:val="180"/>
        </w:trPr>
        <w:tc>
          <w:tcPr>
            <w:tcW w:w="1680" w:type="dxa"/>
            <w:tcBorders>
              <w:top w:val="nil"/>
              <w:left w:val="single" w:sz="4" w:space="0" w:color="auto"/>
              <w:bottom w:val="nil"/>
              <w:right w:val="nil"/>
            </w:tcBorders>
            <w:shd w:val="clear" w:color="000000" w:fill="FFFFFF"/>
            <w:noWrap/>
            <w:hideMark/>
          </w:tcPr>
          <w:p w:rsidR="00842AEC" w:rsidRPr="00842AEC" w:rsidRDefault="00842AEC" w:rsidP="00842AEC">
            <w:pPr>
              <w:spacing w:after="0" w:line="240" w:lineRule="auto"/>
              <w:rPr>
                <w:rFonts w:ascii="Barlow" w:hAnsi="Barlow" w:cs="Tahoma"/>
                <w:sz w:val="20"/>
                <w:szCs w:val="20"/>
              </w:rPr>
            </w:pPr>
            <w:r w:rsidRPr="00842AEC">
              <w:rPr>
                <w:rFonts w:ascii="Barlow" w:hAnsi="Barlow" w:cs="Tahoma"/>
                <w:sz w:val="20"/>
                <w:szCs w:val="20"/>
              </w:rPr>
              <w:t> </w:t>
            </w:r>
          </w:p>
        </w:tc>
        <w:tc>
          <w:tcPr>
            <w:tcW w:w="72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252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88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94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100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58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60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822" w:type="dxa"/>
            <w:tcBorders>
              <w:top w:val="single" w:sz="4" w:space="0" w:color="auto"/>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560" w:type="dxa"/>
            <w:tcBorders>
              <w:top w:val="single" w:sz="4" w:space="0" w:color="auto"/>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660" w:type="dxa"/>
            <w:tcBorders>
              <w:top w:val="single" w:sz="4" w:space="0" w:color="auto"/>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660" w:type="dxa"/>
            <w:tcBorders>
              <w:top w:val="single" w:sz="4" w:space="0" w:color="auto"/>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560" w:type="dxa"/>
            <w:tcBorders>
              <w:top w:val="single" w:sz="4" w:space="0" w:color="auto"/>
              <w:left w:val="nil"/>
              <w:bottom w:val="nil"/>
              <w:right w:val="single" w:sz="4" w:space="0" w:color="auto"/>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r>
      <w:tr w:rsidR="00842AEC" w:rsidRPr="00842AEC" w:rsidTr="00842AEC">
        <w:trPr>
          <w:trHeight w:val="255"/>
        </w:trPr>
        <w:tc>
          <w:tcPr>
            <w:tcW w:w="1680" w:type="dxa"/>
            <w:tcBorders>
              <w:top w:val="nil"/>
              <w:left w:val="single" w:sz="4" w:space="0" w:color="auto"/>
              <w:bottom w:val="nil"/>
              <w:right w:val="nil"/>
            </w:tcBorders>
            <w:shd w:val="clear" w:color="000000" w:fill="FFFFFF"/>
            <w:vAlign w:val="center"/>
            <w:hideMark/>
          </w:tcPr>
          <w:p w:rsidR="00842AEC" w:rsidRPr="00842AEC" w:rsidRDefault="00842AEC" w:rsidP="00842AEC">
            <w:pPr>
              <w:spacing w:after="0" w:line="240" w:lineRule="auto"/>
              <w:ind w:firstLineChars="100" w:firstLine="201"/>
              <w:rPr>
                <w:rFonts w:ascii="Barlow" w:hAnsi="Barlow" w:cs="Tahoma"/>
                <w:b/>
                <w:bCs/>
                <w:sz w:val="20"/>
                <w:szCs w:val="20"/>
              </w:rPr>
            </w:pPr>
            <w:r w:rsidRPr="00842AEC">
              <w:rPr>
                <w:rFonts w:ascii="Barlow" w:hAnsi="Barlow" w:cs="Tahoma"/>
                <w:b/>
                <w:bCs/>
                <w:sz w:val="20"/>
                <w:szCs w:val="20"/>
              </w:rPr>
              <w:t>Nombre:</w:t>
            </w:r>
          </w:p>
        </w:tc>
        <w:tc>
          <w:tcPr>
            <w:tcW w:w="6640" w:type="dxa"/>
            <w:gridSpan w:val="6"/>
            <w:tcBorders>
              <w:top w:val="nil"/>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Porcentaje de resolución de incidencias por presuntas violaciones  a los derechos humanos solucionadas</w:t>
            </w:r>
          </w:p>
        </w:tc>
        <w:tc>
          <w:tcPr>
            <w:tcW w:w="60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822"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56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66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660" w:type="dxa"/>
            <w:tcBorders>
              <w:top w:val="nil"/>
              <w:left w:val="nil"/>
              <w:bottom w:val="nil"/>
              <w:right w:val="nil"/>
            </w:tcBorders>
            <w:shd w:val="clear" w:color="000000" w:fill="FFFFFF"/>
            <w:noWrap/>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 </w:t>
            </w:r>
          </w:p>
        </w:tc>
        <w:tc>
          <w:tcPr>
            <w:tcW w:w="560" w:type="dxa"/>
            <w:tcBorders>
              <w:top w:val="nil"/>
              <w:left w:val="nil"/>
              <w:bottom w:val="nil"/>
              <w:right w:val="single" w:sz="4" w:space="0" w:color="auto"/>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r>
      <w:tr w:rsidR="00842AEC" w:rsidRPr="00842AEC" w:rsidTr="00842AEC">
        <w:trPr>
          <w:trHeight w:val="255"/>
        </w:trPr>
        <w:tc>
          <w:tcPr>
            <w:tcW w:w="1680" w:type="dxa"/>
            <w:tcBorders>
              <w:top w:val="nil"/>
              <w:left w:val="single" w:sz="4" w:space="0" w:color="auto"/>
              <w:bottom w:val="nil"/>
              <w:right w:val="nil"/>
            </w:tcBorders>
            <w:shd w:val="clear" w:color="000000" w:fill="FFFFFF"/>
            <w:vAlign w:val="center"/>
            <w:hideMark/>
          </w:tcPr>
          <w:p w:rsidR="00842AEC" w:rsidRPr="00842AEC" w:rsidRDefault="00842AEC" w:rsidP="00842AEC">
            <w:pPr>
              <w:spacing w:after="0" w:line="240" w:lineRule="auto"/>
              <w:ind w:firstLineChars="100" w:firstLine="201"/>
              <w:rPr>
                <w:rFonts w:ascii="Barlow" w:hAnsi="Barlow" w:cs="Tahoma"/>
                <w:b/>
                <w:bCs/>
                <w:sz w:val="20"/>
                <w:szCs w:val="20"/>
              </w:rPr>
            </w:pPr>
            <w:r w:rsidRPr="00842AEC">
              <w:rPr>
                <w:rFonts w:ascii="Barlow" w:hAnsi="Barlow" w:cs="Tahoma"/>
                <w:b/>
                <w:bCs/>
                <w:sz w:val="20"/>
                <w:szCs w:val="20"/>
              </w:rPr>
              <w:t>Definición</w:t>
            </w:r>
          </w:p>
        </w:tc>
        <w:tc>
          <w:tcPr>
            <w:tcW w:w="6640" w:type="dxa"/>
            <w:gridSpan w:val="6"/>
            <w:tcBorders>
              <w:top w:val="nil"/>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xml:space="preserve">Mide el porcentaje entre las quejas resueltas y las quejas recibidas de la Codhey </w:t>
            </w:r>
          </w:p>
        </w:tc>
        <w:tc>
          <w:tcPr>
            <w:tcW w:w="60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822"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56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66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66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560" w:type="dxa"/>
            <w:tcBorders>
              <w:top w:val="nil"/>
              <w:left w:val="nil"/>
              <w:bottom w:val="nil"/>
              <w:right w:val="single" w:sz="4" w:space="0" w:color="auto"/>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r>
      <w:tr w:rsidR="00842AEC" w:rsidRPr="00842AEC" w:rsidTr="00842AEC">
        <w:trPr>
          <w:trHeight w:val="255"/>
        </w:trPr>
        <w:tc>
          <w:tcPr>
            <w:tcW w:w="1680" w:type="dxa"/>
            <w:tcBorders>
              <w:top w:val="nil"/>
              <w:left w:val="single" w:sz="4" w:space="0" w:color="auto"/>
              <w:bottom w:val="nil"/>
              <w:right w:val="nil"/>
            </w:tcBorders>
            <w:shd w:val="clear" w:color="000000" w:fill="FFFFFF"/>
            <w:vAlign w:val="center"/>
            <w:hideMark/>
          </w:tcPr>
          <w:p w:rsidR="00842AEC" w:rsidRPr="00842AEC" w:rsidRDefault="00842AEC" w:rsidP="00842AEC">
            <w:pPr>
              <w:spacing w:after="0" w:line="240" w:lineRule="auto"/>
              <w:ind w:firstLineChars="100" w:firstLine="201"/>
              <w:rPr>
                <w:rFonts w:ascii="Barlow" w:hAnsi="Barlow" w:cs="Tahoma"/>
                <w:b/>
                <w:bCs/>
                <w:sz w:val="20"/>
                <w:szCs w:val="20"/>
              </w:rPr>
            </w:pPr>
            <w:r w:rsidRPr="00842AEC">
              <w:rPr>
                <w:rFonts w:ascii="Barlow" w:hAnsi="Barlow" w:cs="Tahoma"/>
                <w:b/>
                <w:bCs/>
                <w:sz w:val="20"/>
                <w:szCs w:val="20"/>
              </w:rPr>
              <w:t>Fórmula</w:t>
            </w:r>
          </w:p>
        </w:tc>
        <w:tc>
          <w:tcPr>
            <w:tcW w:w="720" w:type="dxa"/>
            <w:tcBorders>
              <w:top w:val="nil"/>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(B/C)*100</w:t>
            </w:r>
          </w:p>
        </w:tc>
        <w:tc>
          <w:tcPr>
            <w:tcW w:w="2520" w:type="dxa"/>
            <w:tcBorders>
              <w:top w:val="nil"/>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1820" w:type="dxa"/>
            <w:gridSpan w:val="2"/>
            <w:tcBorders>
              <w:top w:val="nil"/>
              <w:left w:val="nil"/>
              <w:bottom w:val="nil"/>
              <w:right w:val="nil"/>
            </w:tcBorders>
            <w:shd w:val="clear" w:color="000000" w:fill="FFFFFF"/>
            <w:vAlign w:val="center"/>
            <w:hideMark/>
          </w:tcPr>
          <w:p w:rsidR="00842AEC" w:rsidRPr="00842AEC" w:rsidRDefault="00842AEC" w:rsidP="00842AEC">
            <w:pPr>
              <w:spacing w:after="0" w:line="240" w:lineRule="auto"/>
              <w:jc w:val="center"/>
              <w:rPr>
                <w:rFonts w:ascii="Barlow" w:hAnsi="Barlow" w:cs="Tahoma"/>
                <w:b/>
                <w:bCs/>
                <w:sz w:val="20"/>
                <w:szCs w:val="20"/>
              </w:rPr>
            </w:pPr>
            <w:r w:rsidRPr="00842AEC">
              <w:rPr>
                <w:rFonts w:ascii="Barlow" w:hAnsi="Barlow" w:cs="Tahoma"/>
                <w:b/>
                <w:bCs/>
                <w:sz w:val="20"/>
                <w:szCs w:val="20"/>
              </w:rPr>
              <w:t>Periodicidad  del calculo :</w:t>
            </w:r>
          </w:p>
        </w:tc>
        <w:tc>
          <w:tcPr>
            <w:tcW w:w="1000" w:type="dxa"/>
            <w:tcBorders>
              <w:top w:val="nil"/>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Trimestral</w:t>
            </w:r>
          </w:p>
        </w:tc>
        <w:tc>
          <w:tcPr>
            <w:tcW w:w="580" w:type="dxa"/>
            <w:tcBorders>
              <w:top w:val="nil"/>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1422" w:type="dxa"/>
            <w:gridSpan w:val="2"/>
            <w:tcBorders>
              <w:top w:val="nil"/>
              <w:left w:val="nil"/>
              <w:bottom w:val="nil"/>
              <w:right w:val="nil"/>
            </w:tcBorders>
            <w:shd w:val="clear" w:color="000000" w:fill="FFFFFF"/>
            <w:vAlign w:val="center"/>
            <w:hideMark/>
          </w:tcPr>
          <w:p w:rsidR="00842AEC" w:rsidRPr="00842AEC" w:rsidRDefault="00842AEC" w:rsidP="00842AEC">
            <w:pPr>
              <w:spacing w:after="0" w:line="240" w:lineRule="auto"/>
              <w:jc w:val="center"/>
              <w:rPr>
                <w:rFonts w:ascii="Barlow" w:hAnsi="Barlow" w:cs="Tahoma"/>
                <w:b/>
                <w:bCs/>
                <w:sz w:val="20"/>
                <w:szCs w:val="20"/>
              </w:rPr>
            </w:pPr>
            <w:r w:rsidRPr="00842AEC">
              <w:rPr>
                <w:rFonts w:ascii="Barlow" w:hAnsi="Barlow" w:cs="Tahoma"/>
                <w:b/>
                <w:bCs/>
                <w:sz w:val="20"/>
                <w:szCs w:val="20"/>
              </w:rPr>
              <w:t>Ámbito de Medición:</w:t>
            </w:r>
          </w:p>
        </w:tc>
        <w:tc>
          <w:tcPr>
            <w:tcW w:w="1220" w:type="dxa"/>
            <w:gridSpan w:val="2"/>
            <w:tcBorders>
              <w:top w:val="nil"/>
              <w:left w:val="nil"/>
              <w:bottom w:val="nil"/>
              <w:right w:val="nil"/>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Servicios y bienes</w:t>
            </w:r>
          </w:p>
        </w:tc>
        <w:tc>
          <w:tcPr>
            <w:tcW w:w="66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560" w:type="dxa"/>
            <w:tcBorders>
              <w:top w:val="nil"/>
              <w:left w:val="nil"/>
              <w:bottom w:val="nil"/>
              <w:right w:val="single" w:sz="4" w:space="0" w:color="auto"/>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r>
      <w:tr w:rsidR="00842AEC" w:rsidRPr="00842AEC" w:rsidTr="00842AEC">
        <w:trPr>
          <w:trHeight w:val="255"/>
        </w:trPr>
        <w:tc>
          <w:tcPr>
            <w:tcW w:w="1680" w:type="dxa"/>
            <w:tcBorders>
              <w:top w:val="nil"/>
              <w:left w:val="single" w:sz="4" w:space="0" w:color="auto"/>
              <w:bottom w:val="nil"/>
              <w:right w:val="nil"/>
            </w:tcBorders>
            <w:shd w:val="clear" w:color="000000" w:fill="FFFFFF"/>
            <w:vAlign w:val="center"/>
            <w:hideMark/>
          </w:tcPr>
          <w:p w:rsidR="00842AEC" w:rsidRPr="00842AEC" w:rsidRDefault="00842AEC" w:rsidP="00842AEC">
            <w:pPr>
              <w:spacing w:after="0" w:line="240" w:lineRule="auto"/>
              <w:ind w:firstLineChars="100" w:firstLine="201"/>
              <w:rPr>
                <w:rFonts w:ascii="Barlow" w:hAnsi="Barlow" w:cs="Tahoma"/>
                <w:b/>
                <w:bCs/>
                <w:sz w:val="20"/>
                <w:szCs w:val="20"/>
              </w:rPr>
            </w:pPr>
            <w:r w:rsidRPr="00842AEC">
              <w:rPr>
                <w:rFonts w:ascii="Barlow" w:hAnsi="Barlow" w:cs="Tahoma"/>
                <w:b/>
                <w:bCs/>
                <w:sz w:val="20"/>
                <w:szCs w:val="20"/>
              </w:rPr>
              <w:t>Tendencia</w:t>
            </w:r>
          </w:p>
        </w:tc>
        <w:tc>
          <w:tcPr>
            <w:tcW w:w="720" w:type="dxa"/>
            <w:tcBorders>
              <w:top w:val="nil"/>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Ascendente</w:t>
            </w:r>
          </w:p>
        </w:tc>
        <w:tc>
          <w:tcPr>
            <w:tcW w:w="252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88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94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100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58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1422" w:type="dxa"/>
            <w:gridSpan w:val="2"/>
            <w:tcBorders>
              <w:top w:val="nil"/>
              <w:left w:val="nil"/>
              <w:bottom w:val="nil"/>
              <w:right w:val="nil"/>
            </w:tcBorders>
            <w:shd w:val="clear" w:color="000000" w:fill="FFFFFF"/>
            <w:vAlign w:val="center"/>
            <w:hideMark/>
          </w:tcPr>
          <w:p w:rsidR="00842AEC" w:rsidRPr="00842AEC" w:rsidRDefault="00842AEC" w:rsidP="00842AEC">
            <w:pPr>
              <w:spacing w:after="0" w:line="240" w:lineRule="auto"/>
              <w:jc w:val="center"/>
              <w:rPr>
                <w:rFonts w:ascii="Barlow" w:hAnsi="Barlow" w:cs="Tahoma"/>
                <w:b/>
                <w:bCs/>
                <w:sz w:val="20"/>
                <w:szCs w:val="20"/>
              </w:rPr>
            </w:pPr>
            <w:r w:rsidRPr="00842AEC">
              <w:rPr>
                <w:rFonts w:ascii="Barlow" w:hAnsi="Barlow" w:cs="Tahoma"/>
                <w:b/>
                <w:bCs/>
                <w:sz w:val="20"/>
                <w:szCs w:val="20"/>
              </w:rPr>
              <w:t>Dimensión:</w:t>
            </w:r>
          </w:p>
        </w:tc>
        <w:tc>
          <w:tcPr>
            <w:tcW w:w="1220" w:type="dxa"/>
            <w:gridSpan w:val="2"/>
            <w:tcBorders>
              <w:top w:val="nil"/>
              <w:left w:val="nil"/>
              <w:bottom w:val="nil"/>
              <w:right w:val="nil"/>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Eficacia</w:t>
            </w:r>
          </w:p>
        </w:tc>
        <w:tc>
          <w:tcPr>
            <w:tcW w:w="66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560" w:type="dxa"/>
            <w:tcBorders>
              <w:top w:val="nil"/>
              <w:left w:val="nil"/>
              <w:bottom w:val="nil"/>
              <w:right w:val="single" w:sz="4" w:space="0" w:color="auto"/>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r>
      <w:tr w:rsidR="00842AEC" w:rsidRPr="00842AEC" w:rsidTr="00842AEC">
        <w:trPr>
          <w:trHeight w:val="330"/>
        </w:trPr>
        <w:tc>
          <w:tcPr>
            <w:tcW w:w="1680" w:type="dxa"/>
            <w:tcBorders>
              <w:top w:val="nil"/>
              <w:left w:val="single" w:sz="4" w:space="0" w:color="auto"/>
              <w:bottom w:val="nil"/>
              <w:right w:val="nil"/>
            </w:tcBorders>
            <w:shd w:val="clear" w:color="000000" w:fill="FFFFFF"/>
            <w:vAlign w:val="center"/>
            <w:hideMark/>
          </w:tcPr>
          <w:p w:rsidR="00842AEC" w:rsidRPr="00842AEC" w:rsidRDefault="00842AEC" w:rsidP="00842AEC">
            <w:pPr>
              <w:spacing w:after="0" w:line="240" w:lineRule="auto"/>
              <w:ind w:firstLineChars="100" w:firstLine="201"/>
              <w:rPr>
                <w:rFonts w:ascii="Barlow" w:hAnsi="Barlow" w:cs="Tahoma"/>
                <w:b/>
                <w:bCs/>
                <w:sz w:val="20"/>
                <w:szCs w:val="20"/>
              </w:rPr>
            </w:pPr>
            <w:r w:rsidRPr="00842AEC">
              <w:rPr>
                <w:rFonts w:ascii="Barlow" w:hAnsi="Barlow" w:cs="Tahoma"/>
                <w:b/>
                <w:bCs/>
                <w:sz w:val="20"/>
                <w:szCs w:val="20"/>
              </w:rPr>
              <w:t>Medio de Verificación</w:t>
            </w:r>
          </w:p>
        </w:tc>
        <w:tc>
          <w:tcPr>
            <w:tcW w:w="6640" w:type="dxa"/>
            <w:gridSpan w:val="6"/>
            <w:tcBorders>
              <w:top w:val="nil"/>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Registro de quejas interpuestas de la Comisión de Derechos Humanos del Estado de Yucatán (CODHEY)</w:t>
            </w:r>
          </w:p>
        </w:tc>
        <w:tc>
          <w:tcPr>
            <w:tcW w:w="60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822"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56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66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66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560" w:type="dxa"/>
            <w:tcBorders>
              <w:top w:val="nil"/>
              <w:left w:val="nil"/>
              <w:bottom w:val="nil"/>
              <w:right w:val="single" w:sz="4" w:space="0" w:color="auto"/>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r>
      <w:tr w:rsidR="00842AEC" w:rsidRPr="00842AEC" w:rsidTr="00842AEC">
        <w:trPr>
          <w:trHeight w:val="255"/>
        </w:trPr>
        <w:tc>
          <w:tcPr>
            <w:tcW w:w="1680" w:type="dxa"/>
            <w:tcBorders>
              <w:top w:val="single" w:sz="4" w:space="0" w:color="auto"/>
              <w:left w:val="single" w:sz="4" w:space="0" w:color="auto"/>
              <w:bottom w:val="nil"/>
              <w:right w:val="nil"/>
            </w:tcBorders>
            <w:shd w:val="clear" w:color="000000" w:fill="FFFFFF"/>
            <w:vAlign w:val="center"/>
            <w:hideMark/>
          </w:tcPr>
          <w:p w:rsidR="00842AEC" w:rsidRPr="00842AEC" w:rsidRDefault="00842AEC" w:rsidP="00842AEC">
            <w:pPr>
              <w:spacing w:after="0" w:line="240" w:lineRule="auto"/>
              <w:ind w:firstLineChars="100" w:firstLine="201"/>
              <w:rPr>
                <w:rFonts w:ascii="Barlow" w:hAnsi="Barlow" w:cs="Tahoma"/>
                <w:b/>
                <w:bCs/>
                <w:sz w:val="20"/>
                <w:szCs w:val="20"/>
              </w:rPr>
            </w:pPr>
            <w:r w:rsidRPr="00842AEC">
              <w:rPr>
                <w:rFonts w:ascii="Barlow" w:hAnsi="Barlow" w:cs="Tahoma"/>
                <w:b/>
                <w:bCs/>
                <w:sz w:val="20"/>
                <w:szCs w:val="20"/>
              </w:rPr>
              <w:t>Nombre:</w:t>
            </w:r>
          </w:p>
        </w:tc>
        <w:tc>
          <w:tcPr>
            <w:tcW w:w="7240" w:type="dxa"/>
            <w:gridSpan w:val="7"/>
            <w:tcBorders>
              <w:top w:val="single" w:sz="4" w:space="0" w:color="auto"/>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Variación porcentual  de personas Capacitadas</w:t>
            </w:r>
          </w:p>
        </w:tc>
        <w:tc>
          <w:tcPr>
            <w:tcW w:w="822" w:type="dxa"/>
            <w:tcBorders>
              <w:top w:val="single" w:sz="4" w:space="0" w:color="auto"/>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560" w:type="dxa"/>
            <w:tcBorders>
              <w:top w:val="single" w:sz="4" w:space="0" w:color="auto"/>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660" w:type="dxa"/>
            <w:tcBorders>
              <w:top w:val="single" w:sz="4" w:space="0" w:color="auto"/>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660" w:type="dxa"/>
            <w:tcBorders>
              <w:top w:val="single" w:sz="4" w:space="0" w:color="auto"/>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560" w:type="dxa"/>
            <w:tcBorders>
              <w:top w:val="single" w:sz="4" w:space="0" w:color="auto"/>
              <w:left w:val="nil"/>
              <w:bottom w:val="nil"/>
              <w:right w:val="single" w:sz="4" w:space="0" w:color="auto"/>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r>
      <w:tr w:rsidR="00842AEC" w:rsidRPr="00842AEC" w:rsidTr="00842AEC">
        <w:trPr>
          <w:trHeight w:val="255"/>
        </w:trPr>
        <w:tc>
          <w:tcPr>
            <w:tcW w:w="1680" w:type="dxa"/>
            <w:tcBorders>
              <w:top w:val="nil"/>
              <w:left w:val="single" w:sz="4" w:space="0" w:color="auto"/>
              <w:bottom w:val="nil"/>
              <w:right w:val="nil"/>
            </w:tcBorders>
            <w:shd w:val="clear" w:color="000000" w:fill="FFFFFF"/>
            <w:vAlign w:val="center"/>
            <w:hideMark/>
          </w:tcPr>
          <w:p w:rsidR="00842AEC" w:rsidRPr="00842AEC" w:rsidRDefault="00842AEC" w:rsidP="00842AEC">
            <w:pPr>
              <w:spacing w:after="0" w:line="240" w:lineRule="auto"/>
              <w:ind w:firstLineChars="100" w:firstLine="201"/>
              <w:rPr>
                <w:rFonts w:ascii="Barlow" w:hAnsi="Barlow" w:cs="Tahoma"/>
                <w:b/>
                <w:bCs/>
                <w:sz w:val="20"/>
                <w:szCs w:val="20"/>
              </w:rPr>
            </w:pPr>
            <w:r w:rsidRPr="00842AEC">
              <w:rPr>
                <w:rFonts w:ascii="Barlow" w:hAnsi="Barlow" w:cs="Tahoma"/>
                <w:b/>
                <w:bCs/>
                <w:sz w:val="20"/>
                <w:szCs w:val="20"/>
              </w:rPr>
              <w:t>Definición</w:t>
            </w:r>
          </w:p>
        </w:tc>
        <w:tc>
          <w:tcPr>
            <w:tcW w:w="7240" w:type="dxa"/>
            <w:gridSpan w:val="7"/>
            <w:tcBorders>
              <w:top w:val="nil"/>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Mide el cambio en la relación de personas capacitadas en el año actual con respecto al anterior</w:t>
            </w:r>
          </w:p>
        </w:tc>
        <w:tc>
          <w:tcPr>
            <w:tcW w:w="822"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56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66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660" w:type="dxa"/>
            <w:tcBorders>
              <w:top w:val="nil"/>
              <w:left w:val="nil"/>
              <w:bottom w:val="nil"/>
              <w:right w:val="nil"/>
            </w:tcBorders>
            <w:shd w:val="clear" w:color="000000" w:fill="FFFFFF"/>
            <w:noWrap/>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 </w:t>
            </w:r>
          </w:p>
        </w:tc>
        <w:tc>
          <w:tcPr>
            <w:tcW w:w="560" w:type="dxa"/>
            <w:tcBorders>
              <w:top w:val="nil"/>
              <w:left w:val="nil"/>
              <w:bottom w:val="nil"/>
              <w:right w:val="single" w:sz="4" w:space="0" w:color="auto"/>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r>
      <w:tr w:rsidR="00842AEC" w:rsidRPr="00842AEC" w:rsidTr="00842AEC">
        <w:trPr>
          <w:trHeight w:val="330"/>
        </w:trPr>
        <w:tc>
          <w:tcPr>
            <w:tcW w:w="1680" w:type="dxa"/>
            <w:tcBorders>
              <w:top w:val="nil"/>
              <w:left w:val="single" w:sz="4" w:space="0" w:color="auto"/>
              <w:bottom w:val="nil"/>
              <w:right w:val="nil"/>
            </w:tcBorders>
            <w:shd w:val="clear" w:color="000000" w:fill="FFFFFF"/>
            <w:vAlign w:val="center"/>
            <w:hideMark/>
          </w:tcPr>
          <w:p w:rsidR="00842AEC" w:rsidRPr="00842AEC" w:rsidRDefault="00842AEC" w:rsidP="00842AEC">
            <w:pPr>
              <w:spacing w:after="0" w:line="240" w:lineRule="auto"/>
              <w:ind w:firstLineChars="100" w:firstLine="201"/>
              <w:rPr>
                <w:rFonts w:ascii="Barlow" w:hAnsi="Barlow" w:cs="Tahoma"/>
                <w:b/>
                <w:bCs/>
                <w:sz w:val="20"/>
                <w:szCs w:val="20"/>
              </w:rPr>
            </w:pPr>
            <w:r w:rsidRPr="00842AEC">
              <w:rPr>
                <w:rFonts w:ascii="Barlow" w:hAnsi="Barlow" w:cs="Tahoma"/>
                <w:b/>
                <w:bCs/>
                <w:sz w:val="20"/>
                <w:szCs w:val="20"/>
              </w:rPr>
              <w:t>Fórmula</w:t>
            </w:r>
          </w:p>
        </w:tc>
        <w:tc>
          <w:tcPr>
            <w:tcW w:w="3240" w:type="dxa"/>
            <w:gridSpan w:val="2"/>
            <w:tcBorders>
              <w:top w:val="nil"/>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((B-C)/C)*100</w:t>
            </w:r>
          </w:p>
        </w:tc>
        <w:tc>
          <w:tcPr>
            <w:tcW w:w="1820" w:type="dxa"/>
            <w:gridSpan w:val="2"/>
            <w:tcBorders>
              <w:top w:val="nil"/>
              <w:left w:val="nil"/>
              <w:bottom w:val="nil"/>
              <w:right w:val="nil"/>
            </w:tcBorders>
            <w:shd w:val="clear" w:color="000000" w:fill="FFFFFF"/>
            <w:vAlign w:val="center"/>
            <w:hideMark/>
          </w:tcPr>
          <w:p w:rsidR="00842AEC" w:rsidRPr="00842AEC" w:rsidRDefault="00842AEC" w:rsidP="00842AEC">
            <w:pPr>
              <w:spacing w:after="0" w:line="240" w:lineRule="auto"/>
              <w:jc w:val="center"/>
              <w:rPr>
                <w:rFonts w:ascii="Barlow" w:hAnsi="Barlow" w:cs="Tahoma"/>
                <w:b/>
                <w:bCs/>
                <w:sz w:val="20"/>
                <w:szCs w:val="20"/>
              </w:rPr>
            </w:pPr>
            <w:r w:rsidRPr="00842AEC">
              <w:rPr>
                <w:rFonts w:ascii="Barlow" w:hAnsi="Barlow" w:cs="Tahoma"/>
                <w:b/>
                <w:bCs/>
                <w:sz w:val="20"/>
                <w:szCs w:val="20"/>
              </w:rPr>
              <w:t>Periodicidad  del calculo :</w:t>
            </w:r>
          </w:p>
        </w:tc>
        <w:tc>
          <w:tcPr>
            <w:tcW w:w="1000" w:type="dxa"/>
            <w:tcBorders>
              <w:top w:val="nil"/>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Trimestral</w:t>
            </w:r>
          </w:p>
        </w:tc>
        <w:tc>
          <w:tcPr>
            <w:tcW w:w="580" w:type="dxa"/>
            <w:tcBorders>
              <w:top w:val="nil"/>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1422" w:type="dxa"/>
            <w:gridSpan w:val="2"/>
            <w:tcBorders>
              <w:top w:val="nil"/>
              <w:left w:val="nil"/>
              <w:bottom w:val="nil"/>
              <w:right w:val="nil"/>
            </w:tcBorders>
            <w:shd w:val="clear" w:color="000000" w:fill="FFFFFF"/>
            <w:vAlign w:val="center"/>
            <w:hideMark/>
          </w:tcPr>
          <w:p w:rsidR="00842AEC" w:rsidRPr="00842AEC" w:rsidRDefault="00842AEC" w:rsidP="00842AEC">
            <w:pPr>
              <w:spacing w:after="0" w:line="240" w:lineRule="auto"/>
              <w:jc w:val="center"/>
              <w:rPr>
                <w:rFonts w:ascii="Barlow" w:hAnsi="Barlow" w:cs="Tahoma"/>
                <w:b/>
                <w:bCs/>
                <w:sz w:val="20"/>
                <w:szCs w:val="20"/>
              </w:rPr>
            </w:pPr>
            <w:r w:rsidRPr="00842AEC">
              <w:rPr>
                <w:rFonts w:ascii="Barlow" w:hAnsi="Barlow" w:cs="Tahoma"/>
                <w:b/>
                <w:bCs/>
                <w:sz w:val="20"/>
                <w:szCs w:val="20"/>
              </w:rPr>
              <w:t>Ámbito de Medición:</w:t>
            </w:r>
          </w:p>
        </w:tc>
        <w:tc>
          <w:tcPr>
            <w:tcW w:w="1220" w:type="dxa"/>
            <w:gridSpan w:val="2"/>
            <w:tcBorders>
              <w:top w:val="nil"/>
              <w:left w:val="nil"/>
              <w:bottom w:val="nil"/>
              <w:right w:val="nil"/>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Actividades</w:t>
            </w:r>
          </w:p>
        </w:tc>
        <w:tc>
          <w:tcPr>
            <w:tcW w:w="660" w:type="dxa"/>
            <w:tcBorders>
              <w:top w:val="nil"/>
              <w:left w:val="nil"/>
              <w:bottom w:val="nil"/>
              <w:right w:val="nil"/>
            </w:tcBorders>
            <w:shd w:val="clear" w:color="auto" w:fill="auto"/>
            <w:noWrap/>
            <w:hideMark/>
          </w:tcPr>
          <w:p w:rsidR="00842AEC" w:rsidRPr="00842AEC" w:rsidRDefault="00842AEC" w:rsidP="00842AEC">
            <w:pPr>
              <w:spacing w:after="0" w:line="240" w:lineRule="auto"/>
              <w:jc w:val="center"/>
              <w:rPr>
                <w:rFonts w:ascii="Barlow" w:hAnsi="Barlow"/>
                <w:color w:val="000000"/>
                <w:sz w:val="20"/>
                <w:szCs w:val="20"/>
              </w:rPr>
            </w:pPr>
          </w:p>
        </w:tc>
        <w:tc>
          <w:tcPr>
            <w:tcW w:w="560" w:type="dxa"/>
            <w:tcBorders>
              <w:top w:val="nil"/>
              <w:left w:val="nil"/>
              <w:bottom w:val="nil"/>
              <w:right w:val="single" w:sz="4" w:space="0" w:color="auto"/>
            </w:tcBorders>
            <w:shd w:val="clear" w:color="auto" w:fill="auto"/>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r>
      <w:tr w:rsidR="00842AEC" w:rsidRPr="00842AEC" w:rsidTr="00842AEC">
        <w:trPr>
          <w:trHeight w:val="330"/>
        </w:trPr>
        <w:tc>
          <w:tcPr>
            <w:tcW w:w="1680" w:type="dxa"/>
            <w:tcBorders>
              <w:top w:val="nil"/>
              <w:left w:val="single" w:sz="4" w:space="0" w:color="auto"/>
              <w:bottom w:val="nil"/>
              <w:right w:val="nil"/>
            </w:tcBorders>
            <w:shd w:val="clear" w:color="000000" w:fill="FFFFFF"/>
            <w:vAlign w:val="center"/>
            <w:hideMark/>
          </w:tcPr>
          <w:p w:rsidR="00842AEC" w:rsidRPr="00842AEC" w:rsidRDefault="00842AEC" w:rsidP="00842AEC">
            <w:pPr>
              <w:spacing w:after="0" w:line="240" w:lineRule="auto"/>
              <w:ind w:firstLineChars="100" w:firstLine="201"/>
              <w:rPr>
                <w:rFonts w:ascii="Barlow" w:hAnsi="Barlow" w:cs="Tahoma"/>
                <w:b/>
                <w:bCs/>
                <w:sz w:val="20"/>
                <w:szCs w:val="20"/>
              </w:rPr>
            </w:pPr>
            <w:r w:rsidRPr="00842AEC">
              <w:rPr>
                <w:rFonts w:ascii="Barlow" w:hAnsi="Barlow" w:cs="Tahoma"/>
                <w:b/>
                <w:bCs/>
                <w:sz w:val="20"/>
                <w:szCs w:val="20"/>
              </w:rPr>
              <w:t>Tendencia</w:t>
            </w:r>
          </w:p>
        </w:tc>
        <w:tc>
          <w:tcPr>
            <w:tcW w:w="720" w:type="dxa"/>
            <w:tcBorders>
              <w:top w:val="nil"/>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Ascendente</w:t>
            </w:r>
          </w:p>
        </w:tc>
        <w:tc>
          <w:tcPr>
            <w:tcW w:w="252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88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94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100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58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1422" w:type="dxa"/>
            <w:gridSpan w:val="2"/>
            <w:tcBorders>
              <w:top w:val="nil"/>
              <w:left w:val="nil"/>
              <w:bottom w:val="nil"/>
              <w:right w:val="nil"/>
            </w:tcBorders>
            <w:shd w:val="clear" w:color="000000" w:fill="FFFFFF"/>
            <w:vAlign w:val="center"/>
            <w:hideMark/>
          </w:tcPr>
          <w:p w:rsidR="00842AEC" w:rsidRPr="00842AEC" w:rsidRDefault="00842AEC" w:rsidP="00842AEC">
            <w:pPr>
              <w:spacing w:after="0" w:line="240" w:lineRule="auto"/>
              <w:jc w:val="center"/>
              <w:rPr>
                <w:rFonts w:ascii="Barlow" w:hAnsi="Barlow" w:cs="Tahoma"/>
                <w:b/>
                <w:bCs/>
                <w:sz w:val="20"/>
                <w:szCs w:val="20"/>
              </w:rPr>
            </w:pPr>
            <w:r w:rsidRPr="00842AEC">
              <w:rPr>
                <w:rFonts w:ascii="Barlow" w:hAnsi="Barlow" w:cs="Tahoma"/>
                <w:b/>
                <w:bCs/>
                <w:sz w:val="20"/>
                <w:szCs w:val="20"/>
              </w:rPr>
              <w:t>Dimensión:</w:t>
            </w:r>
          </w:p>
        </w:tc>
        <w:tc>
          <w:tcPr>
            <w:tcW w:w="1220" w:type="dxa"/>
            <w:gridSpan w:val="2"/>
            <w:tcBorders>
              <w:top w:val="nil"/>
              <w:left w:val="nil"/>
              <w:bottom w:val="nil"/>
              <w:right w:val="nil"/>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Eficacia</w:t>
            </w:r>
          </w:p>
        </w:tc>
        <w:tc>
          <w:tcPr>
            <w:tcW w:w="660" w:type="dxa"/>
            <w:tcBorders>
              <w:top w:val="nil"/>
              <w:left w:val="nil"/>
              <w:bottom w:val="nil"/>
              <w:right w:val="nil"/>
            </w:tcBorders>
            <w:shd w:val="clear" w:color="auto" w:fill="auto"/>
            <w:noWrap/>
            <w:hideMark/>
          </w:tcPr>
          <w:p w:rsidR="00842AEC" w:rsidRPr="00842AEC" w:rsidRDefault="00842AEC" w:rsidP="00842AEC">
            <w:pPr>
              <w:spacing w:after="0" w:line="240" w:lineRule="auto"/>
              <w:jc w:val="center"/>
              <w:rPr>
                <w:rFonts w:ascii="Barlow" w:hAnsi="Barlow"/>
                <w:color w:val="000000"/>
                <w:sz w:val="20"/>
                <w:szCs w:val="20"/>
              </w:rPr>
            </w:pPr>
          </w:p>
        </w:tc>
        <w:tc>
          <w:tcPr>
            <w:tcW w:w="560" w:type="dxa"/>
            <w:tcBorders>
              <w:top w:val="nil"/>
              <w:left w:val="nil"/>
              <w:bottom w:val="nil"/>
              <w:right w:val="single" w:sz="4" w:space="0" w:color="auto"/>
            </w:tcBorders>
            <w:shd w:val="clear" w:color="auto" w:fill="auto"/>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r>
      <w:tr w:rsidR="00842AEC" w:rsidRPr="00842AEC" w:rsidTr="00842AEC">
        <w:trPr>
          <w:trHeight w:val="330"/>
        </w:trPr>
        <w:tc>
          <w:tcPr>
            <w:tcW w:w="1680" w:type="dxa"/>
            <w:tcBorders>
              <w:top w:val="nil"/>
              <w:left w:val="single" w:sz="4" w:space="0" w:color="auto"/>
              <w:bottom w:val="single" w:sz="4" w:space="0" w:color="auto"/>
              <w:right w:val="nil"/>
            </w:tcBorders>
            <w:shd w:val="clear" w:color="000000" w:fill="FFFFFF"/>
            <w:vAlign w:val="center"/>
            <w:hideMark/>
          </w:tcPr>
          <w:p w:rsidR="00842AEC" w:rsidRPr="00842AEC" w:rsidRDefault="00842AEC" w:rsidP="00842AEC">
            <w:pPr>
              <w:spacing w:after="0" w:line="240" w:lineRule="auto"/>
              <w:ind w:firstLineChars="100" w:firstLine="201"/>
              <w:rPr>
                <w:rFonts w:ascii="Barlow" w:hAnsi="Barlow" w:cs="Tahoma"/>
                <w:b/>
                <w:bCs/>
                <w:sz w:val="20"/>
                <w:szCs w:val="20"/>
              </w:rPr>
            </w:pPr>
            <w:r w:rsidRPr="00842AEC">
              <w:rPr>
                <w:rFonts w:ascii="Barlow" w:hAnsi="Barlow" w:cs="Tahoma"/>
                <w:b/>
                <w:bCs/>
                <w:sz w:val="20"/>
                <w:szCs w:val="20"/>
              </w:rPr>
              <w:t xml:space="preserve">Medio de </w:t>
            </w:r>
            <w:r w:rsidRPr="00842AEC">
              <w:rPr>
                <w:rFonts w:ascii="Barlow" w:hAnsi="Barlow" w:cs="Tahoma"/>
                <w:b/>
                <w:bCs/>
                <w:sz w:val="20"/>
                <w:szCs w:val="20"/>
              </w:rPr>
              <w:lastRenderedPageBreak/>
              <w:t>Verificación</w:t>
            </w:r>
          </w:p>
        </w:tc>
        <w:tc>
          <w:tcPr>
            <w:tcW w:w="10502" w:type="dxa"/>
            <w:gridSpan w:val="12"/>
            <w:tcBorders>
              <w:top w:val="nil"/>
              <w:left w:val="nil"/>
              <w:bottom w:val="single" w:sz="4" w:space="0" w:color="auto"/>
              <w:right w:val="single" w:sz="4" w:space="0" w:color="000000"/>
            </w:tcBorders>
            <w:shd w:val="clear" w:color="000000" w:fill="FFFFFF"/>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lastRenderedPageBreak/>
              <w:t>Registro de personas  capacitadas de la Comisión de Derechos Humanos del Estado de Yucatán</w:t>
            </w:r>
          </w:p>
        </w:tc>
      </w:tr>
      <w:tr w:rsidR="00842AEC" w:rsidRPr="00842AEC" w:rsidTr="00842AEC">
        <w:trPr>
          <w:trHeight w:val="255"/>
        </w:trPr>
        <w:tc>
          <w:tcPr>
            <w:tcW w:w="168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color w:val="000000"/>
                <w:sz w:val="20"/>
                <w:szCs w:val="20"/>
              </w:rPr>
            </w:pPr>
          </w:p>
        </w:tc>
        <w:tc>
          <w:tcPr>
            <w:tcW w:w="72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252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88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94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100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58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60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822"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56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66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66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56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r>
      <w:tr w:rsidR="00842AEC" w:rsidRPr="00842AEC" w:rsidTr="00842AEC">
        <w:trPr>
          <w:trHeight w:val="255"/>
        </w:trPr>
        <w:tc>
          <w:tcPr>
            <w:tcW w:w="1680" w:type="dxa"/>
            <w:tcBorders>
              <w:top w:val="single" w:sz="4" w:space="0" w:color="auto"/>
              <w:left w:val="single" w:sz="4" w:space="0" w:color="auto"/>
              <w:bottom w:val="nil"/>
              <w:right w:val="nil"/>
            </w:tcBorders>
            <w:shd w:val="clear" w:color="000000" w:fill="FFFFFF"/>
            <w:vAlign w:val="center"/>
            <w:hideMark/>
          </w:tcPr>
          <w:p w:rsidR="00842AEC" w:rsidRPr="00842AEC" w:rsidRDefault="00842AEC" w:rsidP="00842AEC">
            <w:pPr>
              <w:spacing w:after="0" w:line="240" w:lineRule="auto"/>
              <w:ind w:firstLineChars="100" w:firstLine="201"/>
              <w:rPr>
                <w:rFonts w:ascii="Barlow" w:hAnsi="Barlow" w:cs="Tahoma"/>
                <w:b/>
                <w:bCs/>
                <w:sz w:val="20"/>
                <w:szCs w:val="20"/>
              </w:rPr>
            </w:pPr>
            <w:r w:rsidRPr="00842AEC">
              <w:rPr>
                <w:rFonts w:ascii="Barlow" w:hAnsi="Barlow" w:cs="Tahoma"/>
                <w:b/>
                <w:bCs/>
                <w:sz w:val="20"/>
                <w:szCs w:val="20"/>
              </w:rPr>
              <w:t>Nombre:</w:t>
            </w:r>
          </w:p>
        </w:tc>
        <w:tc>
          <w:tcPr>
            <w:tcW w:w="7240" w:type="dxa"/>
            <w:gridSpan w:val="7"/>
            <w:tcBorders>
              <w:top w:val="single" w:sz="4" w:space="0" w:color="auto"/>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Variación porcentual  de Vinculación  entre instancias</w:t>
            </w:r>
          </w:p>
        </w:tc>
        <w:tc>
          <w:tcPr>
            <w:tcW w:w="822" w:type="dxa"/>
            <w:tcBorders>
              <w:top w:val="single" w:sz="4" w:space="0" w:color="auto"/>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560" w:type="dxa"/>
            <w:tcBorders>
              <w:top w:val="single" w:sz="4" w:space="0" w:color="auto"/>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660" w:type="dxa"/>
            <w:tcBorders>
              <w:top w:val="single" w:sz="4" w:space="0" w:color="auto"/>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660" w:type="dxa"/>
            <w:tcBorders>
              <w:top w:val="single" w:sz="4" w:space="0" w:color="auto"/>
              <w:left w:val="nil"/>
              <w:bottom w:val="nil"/>
              <w:right w:val="nil"/>
            </w:tcBorders>
            <w:shd w:val="clear" w:color="auto" w:fill="auto"/>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560" w:type="dxa"/>
            <w:tcBorders>
              <w:top w:val="single" w:sz="4" w:space="0" w:color="auto"/>
              <w:left w:val="nil"/>
              <w:bottom w:val="nil"/>
              <w:right w:val="single" w:sz="4" w:space="0" w:color="auto"/>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r>
      <w:tr w:rsidR="00842AEC" w:rsidRPr="00842AEC" w:rsidTr="00842AEC">
        <w:trPr>
          <w:trHeight w:val="255"/>
        </w:trPr>
        <w:tc>
          <w:tcPr>
            <w:tcW w:w="1680" w:type="dxa"/>
            <w:tcBorders>
              <w:top w:val="nil"/>
              <w:left w:val="single" w:sz="4" w:space="0" w:color="auto"/>
              <w:bottom w:val="nil"/>
              <w:right w:val="nil"/>
            </w:tcBorders>
            <w:shd w:val="clear" w:color="000000" w:fill="FFFFFF"/>
            <w:vAlign w:val="center"/>
            <w:hideMark/>
          </w:tcPr>
          <w:p w:rsidR="00842AEC" w:rsidRPr="00842AEC" w:rsidRDefault="00842AEC" w:rsidP="00842AEC">
            <w:pPr>
              <w:spacing w:after="0" w:line="240" w:lineRule="auto"/>
              <w:ind w:firstLineChars="100" w:firstLine="201"/>
              <w:rPr>
                <w:rFonts w:ascii="Barlow" w:hAnsi="Barlow" w:cs="Tahoma"/>
                <w:b/>
                <w:bCs/>
                <w:sz w:val="20"/>
                <w:szCs w:val="20"/>
              </w:rPr>
            </w:pPr>
            <w:r w:rsidRPr="00842AEC">
              <w:rPr>
                <w:rFonts w:ascii="Barlow" w:hAnsi="Barlow" w:cs="Tahoma"/>
                <w:b/>
                <w:bCs/>
                <w:sz w:val="20"/>
                <w:szCs w:val="20"/>
              </w:rPr>
              <w:t>Definición</w:t>
            </w:r>
          </w:p>
        </w:tc>
        <w:tc>
          <w:tcPr>
            <w:tcW w:w="7240" w:type="dxa"/>
            <w:gridSpan w:val="7"/>
            <w:tcBorders>
              <w:top w:val="nil"/>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Mide el cambio porcentual  de la vinculacion de la Comisión con otras instancias  de un año  respecto al interior</w:t>
            </w:r>
          </w:p>
        </w:tc>
        <w:tc>
          <w:tcPr>
            <w:tcW w:w="822"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56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66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660" w:type="dxa"/>
            <w:tcBorders>
              <w:top w:val="nil"/>
              <w:left w:val="nil"/>
              <w:bottom w:val="nil"/>
              <w:right w:val="nil"/>
            </w:tcBorders>
            <w:shd w:val="clear" w:color="000000" w:fill="FFFFFF"/>
            <w:noWrap/>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 </w:t>
            </w:r>
          </w:p>
        </w:tc>
        <w:tc>
          <w:tcPr>
            <w:tcW w:w="560" w:type="dxa"/>
            <w:tcBorders>
              <w:top w:val="nil"/>
              <w:left w:val="nil"/>
              <w:bottom w:val="nil"/>
              <w:right w:val="single" w:sz="4" w:space="0" w:color="auto"/>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r>
      <w:tr w:rsidR="00842AEC" w:rsidRPr="00842AEC" w:rsidTr="00842AEC">
        <w:trPr>
          <w:trHeight w:val="255"/>
        </w:trPr>
        <w:tc>
          <w:tcPr>
            <w:tcW w:w="1680" w:type="dxa"/>
            <w:tcBorders>
              <w:top w:val="nil"/>
              <w:left w:val="single" w:sz="4" w:space="0" w:color="auto"/>
              <w:bottom w:val="nil"/>
              <w:right w:val="nil"/>
            </w:tcBorders>
            <w:shd w:val="clear" w:color="000000" w:fill="FFFFFF"/>
            <w:vAlign w:val="center"/>
            <w:hideMark/>
          </w:tcPr>
          <w:p w:rsidR="00842AEC" w:rsidRPr="00842AEC" w:rsidRDefault="00842AEC" w:rsidP="00842AEC">
            <w:pPr>
              <w:spacing w:after="0" w:line="240" w:lineRule="auto"/>
              <w:ind w:firstLineChars="100" w:firstLine="201"/>
              <w:rPr>
                <w:rFonts w:ascii="Barlow" w:hAnsi="Barlow" w:cs="Tahoma"/>
                <w:b/>
                <w:bCs/>
                <w:sz w:val="20"/>
                <w:szCs w:val="20"/>
              </w:rPr>
            </w:pPr>
            <w:r w:rsidRPr="00842AEC">
              <w:rPr>
                <w:rFonts w:ascii="Barlow" w:hAnsi="Barlow" w:cs="Tahoma"/>
                <w:b/>
                <w:bCs/>
                <w:sz w:val="20"/>
                <w:szCs w:val="20"/>
              </w:rPr>
              <w:t>Fórmula</w:t>
            </w:r>
          </w:p>
        </w:tc>
        <w:tc>
          <w:tcPr>
            <w:tcW w:w="3240" w:type="dxa"/>
            <w:gridSpan w:val="2"/>
            <w:tcBorders>
              <w:top w:val="nil"/>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((B-C)/C)*100</w:t>
            </w:r>
          </w:p>
        </w:tc>
        <w:tc>
          <w:tcPr>
            <w:tcW w:w="1820" w:type="dxa"/>
            <w:gridSpan w:val="2"/>
            <w:tcBorders>
              <w:top w:val="nil"/>
              <w:left w:val="nil"/>
              <w:bottom w:val="nil"/>
              <w:right w:val="nil"/>
            </w:tcBorders>
            <w:shd w:val="clear" w:color="000000" w:fill="FFFFFF"/>
            <w:vAlign w:val="center"/>
            <w:hideMark/>
          </w:tcPr>
          <w:p w:rsidR="00842AEC" w:rsidRPr="00842AEC" w:rsidRDefault="00842AEC" w:rsidP="00842AEC">
            <w:pPr>
              <w:spacing w:after="0" w:line="240" w:lineRule="auto"/>
              <w:jc w:val="center"/>
              <w:rPr>
                <w:rFonts w:ascii="Barlow" w:hAnsi="Barlow" w:cs="Tahoma"/>
                <w:b/>
                <w:bCs/>
                <w:sz w:val="20"/>
                <w:szCs w:val="20"/>
              </w:rPr>
            </w:pPr>
            <w:r w:rsidRPr="00842AEC">
              <w:rPr>
                <w:rFonts w:ascii="Barlow" w:hAnsi="Barlow" w:cs="Tahoma"/>
                <w:b/>
                <w:bCs/>
                <w:sz w:val="20"/>
                <w:szCs w:val="20"/>
              </w:rPr>
              <w:t>Periodicidad  del calculo :</w:t>
            </w:r>
          </w:p>
        </w:tc>
        <w:tc>
          <w:tcPr>
            <w:tcW w:w="1000" w:type="dxa"/>
            <w:tcBorders>
              <w:top w:val="nil"/>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Trimestral</w:t>
            </w:r>
          </w:p>
        </w:tc>
        <w:tc>
          <w:tcPr>
            <w:tcW w:w="580" w:type="dxa"/>
            <w:tcBorders>
              <w:top w:val="nil"/>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1422" w:type="dxa"/>
            <w:gridSpan w:val="2"/>
            <w:tcBorders>
              <w:top w:val="nil"/>
              <w:left w:val="nil"/>
              <w:bottom w:val="nil"/>
              <w:right w:val="nil"/>
            </w:tcBorders>
            <w:shd w:val="clear" w:color="000000" w:fill="FFFFFF"/>
            <w:vAlign w:val="center"/>
            <w:hideMark/>
          </w:tcPr>
          <w:p w:rsidR="00842AEC" w:rsidRPr="00842AEC" w:rsidRDefault="00842AEC" w:rsidP="00842AEC">
            <w:pPr>
              <w:spacing w:after="0" w:line="240" w:lineRule="auto"/>
              <w:jc w:val="center"/>
              <w:rPr>
                <w:rFonts w:ascii="Barlow" w:hAnsi="Barlow" w:cs="Tahoma"/>
                <w:b/>
                <w:bCs/>
                <w:sz w:val="20"/>
                <w:szCs w:val="20"/>
              </w:rPr>
            </w:pPr>
            <w:r w:rsidRPr="00842AEC">
              <w:rPr>
                <w:rFonts w:ascii="Barlow" w:hAnsi="Barlow" w:cs="Tahoma"/>
                <w:b/>
                <w:bCs/>
                <w:sz w:val="20"/>
                <w:szCs w:val="20"/>
              </w:rPr>
              <w:t>Ámbito de Medición:</w:t>
            </w:r>
          </w:p>
        </w:tc>
        <w:tc>
          <w:tcPr>
            <w:tcW w:w="1880" w:type="dxa"/>
            <w:gridSpan w:val="3"/>
            <w:tcBorders>
              <w:top w:val="nil"/>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Resultados a corto plazo</w:t>
            </w:r>
          </w:p>
        </w:tc>
        <w:tc>
          <w:tcPr>
            <w:tcW w:w="560" w:type="dxa"/>
            <w:tcBorders>
              <w:top w:val="nil"/>
              <w:left w:val="nil"/>
              <w:bottom w:val="nil"/>
              <w:right w:val="single" w:sz="4" w:space="0" w:color="auto"/>
            </w:tcBorders>
            <w:shd w:val="clear" w:color="auto" w:fill="auto"/>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r>
      <w:tr w:rsidR="00842AEC" w:rsidRPr="00842AEC" w:rsidTr="00842AEC">
        <w:trPr>
          <w:trHeight w:val="330"/>
        </w:trPr>
        <w:tc>
          <w:tcPr>
            <w:tcW w:w="1680" w:type="dxa"/>
            <w:tcBorders>
              <w:top w:val="nil"/>
              <w:left w:val="single" w:sz="4" w:space="0" w:color="auto"/>
              <w:bottom w:val="nil"/>
              <w:right w:val="nil"/>
            </w:tcBorders>
            <w:shd w:val="clear" w:color="000000" w:fill="FFFFFF"/>
            <w:vAlign w:val="center"/>
            <w:hideMark/>
          </w:tcPr>
          <w:p w:rsidR="00842AEC" w:rsidRPr="00842AEC" w:rsidRDefault="00842AEC" w:rsidP="00842AEC">
            <w:pPr>
              <w:spacing w:after="0" w:line="240" w:lineRule="auto"/>
              <w:ind w:firstLineChars="100" w:firstLine="201"/>
              <w:rPr>
                <w:rFonts w:ascii="Barlow" w:hAnsi="Barlow" w:cs="Tahoma"/>
                <w:b/>
                <w:bCs/>
                <w:sz w:val="20"/>
                <w:szCs w:val="20"/>
              </w:rPr>
            </w:pPr>
            <w:r w:rsidRPr="00842AEC">
              <w:rPr>
                <w:rFonts w:ascii="Barlow" w:hAnsi="Barlow" w:cs="Tahoma"/>
                <w:b/>
                <w:bCs/>
                <w:sz w:val="20"/>
                <w:szCs w:val="20"/>
              </w:rPr>
              <w:t>Tendencia</w:t>
            </w:r>
          </w:p>
        </w:tc>
        <w:tc>
          <w:tcPr>
            <w:tcW w:w="720" w:type="dxa"/>
            <w:tcBorders>
              <w:top w:val="nil"/>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Ascendente</w:t>
            </w:r>
          </w:p>
        </w:tc>
        <w:tc>
          <w:tcPr>
            <w:tcW w:w="2520" w:type="dxa"/>
            <w:tcBorders>
              <w:top w:val="nil"/>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88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94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100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58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1422" w:type="dxa"/>
            <w:gridSpan w:val="2"/>
            <w:tcBorders>
              <w:top w:val="nil"/>
              <w:left w:val="nil"/>
              <w:bottom w:val="nil"/>
              <w:right w:val="nil"/>
            </w:tcBorders>
            <w:shd w:val="clear" w:color="000000" w:fill="FFFFFF"/>
            <w:vAlign w:val="center"/>
            <w:hideMark/>
          </w:tcPr>
          <w:p w:rsidR="00842AEC" w:rsidRPr="00842AEC" w:rsidRDefault="00842AEC" w:rsidP="00842AEC">
            <w:pPr>
              <w:spacing w:after="0" w:line="240" w:lineRule="auto"/>
              <w:jc w:val="center"/>
              <w:rPr>
                <w:rFonts w:ascii="Barlow" w:hAnsi="Barlow" w:cs="Tahoma"/>
                <w:b/>
                <w:bCs/>
                <w:sz w:val="20"/>
                <w:szCs w:val="20"/>
              </w:rPr>
            </w:pPr>
            <w:r w:rsidRPr="00842AEC">
              <w:rPr>
                <w:rFonts w:ascii="Barlow" w:hAnsi="Barlow" w:cs="Tahoma"/>
                <w:b/>
                <w:bCs/>
                <w:sz w:val="20"/>
                <w:szCs w:val="20"/>
              </w:rPr>
              <w:t>Dimensión:</w:t>
            </w:r>
          </w:p>
        </w:tc>
        <w:tc>
          <w:tcPr>
            <w:tcW w:w="1220" w:type="dxa"/>
            <w:gridSpan w:val="2"/>
            <w:tcBorders>
              <w:top w:val="nil"/>
              <w:left w:val="nil"/>
              <w:bottom w:val="nil"/>
              <w:right w:val="nil"/>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Eficacia</w:t>
            </w:r>
          </w:p>
        </w:tc>
        <w:tc>
          <w:tcPr>
            <w:tcW w:w="660" w:type="dxa"/>
            <w:tcBorders>
              <w:top w:val="nil"/>
              <w:left w:val="nil"/>
              <w:bottom w:val="nil"/>
              <w:right w:val="nil"/>
            </w:tcBorders>
            <w:shd w:val="clear" w:color="auto" w:fill="auto"/>
            <w:noWrap/>
            <w:hideMark/>
          </w:tcPr>
          <w:p w:rsidR="00842AEC" w:rsidRPr="00842AEC" w:rsidRDefault="00842AEC" w:rsidP="00842AEC">
            <w:pPr>
              <w:spacing w:after="0" w:line="240" w:lineRule="auto"/>
              <w:jc w:val="center"/>
              <w:rPr>
                <w:rFonts w:ascii="Barlow" w:hAnsi="Barlow"/>
                <w:color w:val="000000"/>
                <w:sz w:val="20"/>
                <w:szCs w:val="20"/>
              </w:rPr>
            </w:pPr>
          </w:p>
        </w:tc>
        <w:tc>
          <w:tcPr>
            <w:tcW w:w="560" w:type="dxa"/>
            <w:tcBorders>
              <w:top w:val="nil"/>
              <w:left w:val="nil"/>
              <w:bottom w:val="nil"/>
              <w:right w:val="single" w:sz="4" w:space="0" w:color="auto"/>
            </w:tcBorders>
            <w:shd w:val="clear" w:color="auto" w:fill="auto"/>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r>
      <w:tr w:rsidR="00842AEC" w:rsidRPr="00842AEC" w:rsidTr="00842AEC">
        <w:trPr>
          <w:trHeight w:val="330"/>
        </w:trPr>
        <w:tc>
          <w:tcPr>
            <w:tcW w:w="1680" w:type="dxa"/>
            <w:tcBorders>
              <w:top w:val="nil"/>
              <w:left w:val="single" w:sz="4" w:space="0" w:color="auto"/>
              <w:bottom w:val="single" w:sz="4" w:space="0" w:color="auto"/>
              <w:right w:val="nil"/>
            </w:tcBorders>
            <w:shd w:val="clear" w:color="000000" w:fill="FFFFFF"/>
            <w:vAlign w:val="center"/>
            <w:hideMark/>
          </w:tcPr>
          <w:p w:rsidR="00842AEC" w:rsidRPr="00842AEC" w:rsidRDefault="00842AEC" w:rsidP="00842AEC">
            <w:pPr>
              <w:spacing w:after="0" w:line="240" w:lineRule="auto"/>
              <w:ind w:firstLineChars="100" w:firstLine="201"/>
              <w:rPr>
                <w:rFonts w:ascii="Barlow" w:hAnsi="Barlow" w:cs="Tahoma"/>
                <w:b/>
                <w:bCs/>
                <w:sz w:val="20"/>
                <w:szCs w:val="20"/>
              </w:rPr>
            </w:pPr>
            <w:r w:rsidRPr="00842AEC">
              <w:rPr>
                <w:rFonts w:ascii="Barlow" w:hAnsi="Barlow" w:cs="Tahoma"/>
                <w:b/>
                <w:bCs/>
                <w:sz w:val="20"/>
                <w:szCs w:val="20"/>
              </w:rPr>
              <w:t>Medio de Verificación</w:t>
            </w:r>
          </w:p>
        </w:tc>
        <w:tc>
          <w:tcPr>
            <w:tcW w:w="10502" w:type="dxa"/>
            <w:gridSpan w:val="12"/>
            <w:tcBorders>
              <w:top w:val="nil"/>
              <w:left w:val="nil"/>
              <w:bottom w:val="single" w:sz="4" w:space="0" w:color="auto"/>
              <w:right w:val="single" w:sz="4" w:space="0" w:color="000000"/>
            </w:tcBorders>
            <w:shd w:val="clear" w:color="000000" w:fill="FFFFFF"/>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Registro de vinculación interinstitucional de la comision de Derechos Humanos del Estado de Yucatán (CODHEY)</w:t>
            </w:r>
          </w:p>
        </w:tc>
      </w:tr>
      <w:tr w:rsidR="00842AEC" w:rsidRPr="00842AEC" w:rsidTr="00842AEC">
        <w:trPr>
          <w:trHeight w:val="105"/>
        </w:trPr>
        <w:tc>
          <w:tcPr>
            <w:tcW w:w="1680" w:type="dxa"/>
            <w:tcBorders>
              <w:top w:val="nil"/>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cs="Tahoma"/>
                <w:b/>
                <w:bCs/>
                <w:sz w:val="20"/>
                <w:szCs w:val="20"/>
              </w:rPr>
            </w:pPr>
            <w:r w:rsidRPr="00842AEC">
              <w:rPr>
                <w:rFonts w:ascii="Barlow" w:hAnsi="Barlow" w:cs="Tahoma"/>
                <w:b/>
                <w:bCs/>
                <w:sz w:val="20"/>
                <w:szCs w:val="20"/>
              </w:rPr>
              <w:t> </w:t>
            </w:r>
          </w:p>
        </w:tc>
        <w:tc>
          <w:tcPr>
            <w:tcW w:w="720" w:type="dxa"/>
            <w:tcBorders>
              <w:top w:val="nil"/>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cs="Tahoma"/>
                <w:b/>
                <w:bCs/>
                <w:sz w:val="20"/>
                <w:szCs w:val="20"/>
              </w:rPr>
            </w:pPr>
            <w:r w:rsidRPr="00842AEC">
              <w:rPr>
                <w:rFonts w:ascii="Barlow" w:hAnsi="Barlow" w:cs="Tahoma"/>
                <w:b/>
                <w:bCs/>
                <w:sz w:val="20"/>
                <w:szCs w:val="20"/>
              </w:rPr>
              <w:t> </w:t>
            </w:r>
          </w:p>
        </w:tc>
        <w:tc>
          <w:tcPr>
            <w:tcW w:w="2520" w:type="dxa"/>
            <w:tcBorders>
              <w:top w:val="nil"/>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cs="Tahoma"/>
                <w:b/>
                <w:bCs/>
                <w:sz w:val="20"/>
                <w:szCs w:val="20"/>
              </w:rPr>
            </w:pPr>
            <w:r w:rsidRPr="00842AEC">
              <w:rPr>
                <w:rFonts w:ascii="Barlow" w:hAnsi="Barlow" w:cs="Tahoma"/>
                <w:b/>
                <w:bCs/>
                <w:sz w:val="20"/>
                <w:szCs w:val="20"/>
              </w:rPr>
              <w:t> </w:t>
            </w:r>
          </w:p>
        </w:tc>
        <w:tc>
          <w:tcPr>
            <w:tcW w:w="880" w:type="dxa"/>
            <w:tcBorders>
              <w:top w:val="nil"/>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cs="Tahoma"/>
                <w:b/>
                <w:bCs/>
                <w:sz w:val="20"/>
                <w:szCs w:val="20"/>
              </w:rPr>
            </w:pPr>
            <w:r w:rsidRPr="00842AEC">
              <w:rPr>
                <w:rFonts w:ascii="Barlow" w:hAnsi="Barlow" w:cs="Tahoma"/>
                <w:b/>
                <w:bCs/>
                <w:sz w:val="20"/>
                <w:szCs w:val="20"/>
              </w:rPr>
              <w:t> </w:t>
            </w:r>
          </w:p>
        </w:tc>
        <w:tc>
          <w:tcPr>
            <w:tcW w:w="940" w:type="dxa"/>
            <w:tcBorders>
              <w:top w:val="nil"/>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cs="Tahoma"/>
                <w:b/>
                <w:bCs/>
                <w:sz w:val="20"/>
                <w:szCs w:val="20"/>
              </w:rPr>
            </w:pPr>
            <w:r w:rsidRPr="00842AEC">
              <w:rPr>
                <w:rFonts w:ascii="Barlow" w:hAnsi="Barlow" w:cs="Tahoma"/>
                <w:b/>
                <w:bCs/>
                <w:sz w:val="20"/>
                <w:szCs w:val="20"/>
              </w:rPr>
              <w:t> </w:t>
            </w:r>
          </w:p>
        </w:tc>
        <w:tc>
          <w:tcPr>
            <w:tcW w:w="1000" w:type="dxa"/>
            <w:tcBorders>
              <w:top w:val="nil"/>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cs="Tahoma"/>
                <w:b/>
                <w:bCs/>
                <w:sz w:val="20"/>
                <w:szCs w:val="20"/>
              </w:rPr>
            </w:pPr>
            <w:r w:rsidRPr="00842AEC">
              <w:rPr>
                <w:rFonts w:ascii="Barlow" w:hAnsi="Barlow" w:cs="Tahoma"/>
                <w:b/>
                <w:bCs/>
                <w:sz w:val="20"/>
                <w:szCs w:val="20"/>
              </w:rPr>
              <w:t> </w:t>
            </w:r>
          </w:p>
        </w:tc>
        <w:tc>
          <w:tcPr>
            <w:tcW w:w="580" w:type="dxa"/>
            <w:tcBorders>
              <w:top w:val="nil"/>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cs="Tahoma"/>
                <w:b/>
                <w:bCs/>
                <w:sz w:val="20"/>
                <w:szCs w:val="20"/>
              </w:rPr>
            </w:pPr>
            <w:r w:rsidRPr="00842AEC">
              <w:rPr>
                <w:rFonts w:ascii="Barlow" w:hAnsi="Barlow" w:cs="Tahoma"/>
                <w:b/>
                <w:bCs/>
                <w:sz w:val="20"/>
                <w:szCs w:val="20"/>
              </w:rPr>
              <w:t> </w:t>
            </w:r>
          </w:p>
        </w:tc>
        <w:tc>
          <w:tcPr>
            <w:tcW w:w="600" w:type="dxa"/>
            <w:tcBorders>
              <w:top w:val="nil"/>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cs="Tahoma"/>
                <w:b/>
                <w:bCs/>
                <w:sz w:val="20"/>
                <w:szCs w:val="20"/>
              </w:rPr>
            </w:pPr>
            <w:r w:rsidRPr="00842AEC">
              <w:rPr>
                <w:rFonts w:ascii="Barlow" w:hAnsi="Barlow" w:cs="Tahoma"/>
                <w:b/>
                <w:bCs/>
                <w:sz w:val="20"/>
                <w:szCs w:val="20"/>
              </w:rPr>
              <w:t> </w:t>
            </w:r>
          </w:p>
        </w:tc>
        <w:tc>
          <w:tcPr>
            <w:tcW w:w="822" w:type="dxa"/>
            <w:tcBorders>
              <w:top w:val="nil"/>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cs="Tahoma"/>
                <w:b/>
                <w:bCs/>
                <w:sz w:val="20"/>
                <w:szCs w:val="20"/>
              </w:rPr>
            </w:pPr>
            <w:r w:rsidRPr="00842AEC">
              <w:rPr>
                <w:rFonts w:ascii="Barlow" w:hAnsi="Barlow" w:cs="Tahoma"/>
                <w:b/>
                <w:bCs/>
                <w:sz w:val="20"/>
                <w:szCs w:val="20"/>
              </w:rPr>
              <w:t> </w:t>
            </w:r>
          </w:p>
        </w:tc>
        <w:tc>
          <w:tcPr>
            <w:tcW w:w="560" w:type="dxa"/>
            <w:tcBorders>
              <w:top w:val="nil"/>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cs="Tahoma"/>
                <w:b/>
                <w:bCs/>
                <w:sz w:val="20"/>
                <w:szCs w:val="20"/>
              </w:rPr>
            </w:pPr>
            <w:r w:rsidRPr="00842AEC">
              <w:rPr>
                <w:rFonts w:ascii="Barlow" w:hAnsi="Barlow" w:cs="Tahoma"/>
                <w:b/>
                <w:bCs/>
                <w:sz w:val="20"/>
                <w:szCs w:val="20"/>
              </w:rPr>
              <w:t> </w:t>
            </w:r>
          </w:p>
        </w:tc>
        <w:tc>
          <w:tcPr>
            <w:tcW w:w="660" w:type="dxa"/>
            <w:tcBorders>
              <w:top w:val="nil"/>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cs="Tahoma"/>
                <w:b/>
                <w:bCs/>
                <w:sz w:val="20"/>
                <w:szCs w:val="20"/>
              </w:rPr>
            </w:pPr>
            <w:r w:rsidRPr="00842AEC">
              <w:rPr>
                <w:rFonts w:ascii="Barlow" w:hAnsi="Barlow" w:cs="Tahoma"/>
                <w:b/>
                <w:bCs/>
                <w:sz w:val="20"/>
                <w:szCs w:val="20"/>
              </w:rPr>
              <w:t> </w:t>
            </w:r>
          </w:p>
        </w:tc>
        <w:tc>
          <w:tcPr>
            <w:tcW w:w="660" w:type="dxa"/>
            <w:tcBorders>
              <w:top w:val="nil"/>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cs="Tahoma"/>
                <w:b/>
                <w:bCs/>
                <w:sz w:val="20"/>
                <w:szCs w:val="20"/>
              </w:rPr>
            </w:pPr>
            <w:r w:rsidRPr="00842AEC">
              <w:rPr>
                <w:rFonts w:ascii="Barlow" w:hAnsi="Barlow" w:cs="Tahoma"/>
                <w:b/>
                <w:bCs/>
                <w:sz w:val="20"/>
                <w:szCs w:val="20"/>
              </w:rPr>
              <w:t> </w:t>
            </w:r>
          </w:p>
        </w:tc>
        <w:tc>
          <w:tcPr>
            <w:tcW w:w="560" w:type="dxa"/>
            <w:tcBorders>
              <w:top w:val="nil"/>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cs="Tahoma"/>
                <w:b/>
                <w:bCs/>
                <w:sz w:val="20"/>
                <w:szCs w:val="20"/>
              </w:rPr>
            </w:pPr>
            <w:r w:rsidRPr="00842AEC">
              <w:rPr>
                <w:rFonts w:ascii="Barlow" w:hAnsi="Barlow" w:cs="Tahoma"/>
                <w:b/>
                <w:bCs/>
                <w:sz w:val="20"/>
                <w:szCs w:val="20"/>
              </w:rPr>
              <w:t> </w:t>
            </w:r>
          </w:p>
        </w:tc>
      </w:tr>
      <w:tr w:rsidR="00842AEC" w:rsidRPr="00842AEC" w:rsidTr="00842AEC">
        <w:trPr>
          <w:trHeight w:val="255"/>
        </w:trPr>
        <w:tc>
          <w:tcPr>
            <w:tcW w:w="1680" w:type="dxa"/>
            <w:tcBorders>
              <w:top w:val="nil"/>
              <w:left w:val="single" w:sz="4" w:space="0" w:color="auto"/>
              <w:bottom w:val="nil"/>
              <w:right w:val="nil"/>
            </w:tcBorders>
            <w:shd w:val="clear" w:color="000000" w:fill="FFFFFF"/>
            <w:vAlign w:val="center"/>
            <w:hideMark/>
          </w:tcPr>
          <w:p w:rsidR="00842AEC" w:rsidRPr="00842AEC" w:rsidRDefault="00842AEC" w:rsidP="00842AEC">
            <w:pPr>
              <w:spacing w:after="0" w:line="240" w:lineRule="auto"/>
              <w:ind w:firstLineChars="100" w:firstLine="201"/>
              <w:rPr>
                <w:rFonts w:ascii="Barlow" w:hAnsi="Barlow" w:cs="Tahoma"/>
                <w:b/>
                <w:bCs/>
                <w:sz w:val="20"/>
                <w:szCs w:val="20"/>
              </w:rPr>
            </w:pPr>
            <w:r w:rsidRPr="00842AEC">
              <w:rPr>
                <w:rFonts w:ascii="Barlow" w:hAnsi="Barlow" w:cs="Tahoma"/>
                <w:b/>
                <w:bCs/>
                <w:sz w:val="20"/>
                <w:szCs w:val="20"/>
              </w:rPr>
              <w:t>Nombre:</w:t>
            </w:r>
          </w:p>
        </w:tc>
        <w:tc>
          <w:tcPr>
            <w:tcW w:w="7240" w:type="dxa"/>
            <w:gridSpan w:val="7"/>
            <w:tcBorders>
              <w:top w:val="nil"/>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Variación porcentual de los servicios y procedimientos de asistencia legal</w:t>
            </w:r>
          </w:p>
        </w:tc>
        <w:tc>
          <w:tcPr>
            <w:tcW w:w="822"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56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66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66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560" w:type="dxa"/>
            <w:tcBorders>
              <w:top w:val="nil"/>
              <w:left w:val="nil"/>
              <w:bottom w:val="nil"/>
              <w:right w:val="single" w:sz="4" w:space="0" w:color="auto"/>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r>
      <w:tr w:rsidR="00842AEC" w:rsidRPr="00842AEC" w:rsidTr="00842AEC">
        <w:trPr>
          <w:trHeight w:val="255"/>
        </w:trPr>
        <w:tc>
          <w:tcPr>
            <w:tcW w:w="1680" w:type="dxa"/>
            <w:tcBorders>
              <w:top w:val="nil"/>
              <w:left w:val="single" w:sz="4" w:space="0" w:color="auto"/>
              <w:bottom w:val="nil"/>
              <w:right w:val="nil"/>
            </w:tcBorders>
            <w:shd w:val="clear" w:color="000000" w:fill="FFFFFF"/>
            <w:vAlign w:val="center"/>
            <w:hideMark/>
          </w:tcPr>
          <w:p w:rsidR="00842AEC" w:rsidRPr="00842AEC" w:rsidRDefault="00842AEC" w:rsidP="00842AEC">
            <w:pPr>
              <w:spacing w:after="0" w:line="240" w:lineRule="auto"/>
              <w:ind w:firstLineChars="100" w:firstLine="201"/>
              <w:rPr>
                <w:rFonts w:ascii="Barlow" w:hAnsi="Barlow" w:cs="Tahoma"/>
                <w:b/>
                <w:bCs/>
                <w:sz w:val="20"/>
                <w:szCs w:val="20"/>
              </w:rPr>
            </w:pPr>
            <w:r w:rsidRPr="00842AEC">
              <w:rPr>
                <w:rFonts w:ascii="Barlow" w:hAnsi="Barlow" w:cs="Tahoma"/>
                <w:b/>
                <w:bCs/>
                <w:sz w:val="20"/>
                <w:szCs w:val="20"/>
              </w:rPr>
              <w:t>Definición</w:t>
            </w:r>
          </w:p>
        </w:tc>
        <w:tc>
          <w:tcPr>
            <w:tcW w:w="7240" w:type="dxa"/>
            <w:gridSpan w:val="7"/>
            <w:tcBorders>
              <w:top w:val="nil"/>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Mide el cambio porcentual  de los servicios y procedimientos de asistencia legal proporcionados en un año respecto al año anterior</w:t>
            </w:r>
          </w:p>
        </w:tc>
        <w:tc>
          <w:tcPr>
            <w:tcW w:w="822"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56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66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660" w:type="dxa"/>
            <w:tcBorders>
              <w:top w:val="nil"/>
              <w:left w:val="nil"/>
              <w:bottom w:val="nil"/>
              <w:right w:val="nil"/>
            </w:tcBorders>
            <w:shd w:val="clear" w:color="000000" w:fill="FFFFFF"/>
            <w:noWrap/>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 </w:t>
            </w:r>
          </w:p>
        </w:tc>
        <w:tc>
          <w:tcPr>
            <w:tcW w:w="560" w:type="dxa"/>
            <w:tcBorders>
              <w:top w:val="nil"/>
              <w:left w:val="nil"/>
              <w:bottom w:val="nil"/>
              <w:right w:val="single" w:sz="4" w:space="0" w:color="auto"/>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r>
      <w:tr w:rsidR="00842AEC" w:rsidRPr="00842AEC" w:rsidTr="00842AEC">
        <w:trPr>
          <w:trHeight w:val="255"/>
        </w:trPr>
        <w:tc>
          <w:tcPr>
            <w:tcW w:w="1680" w:type="dxa"/>
            <w:tcBorders>
              <w:top w:val="nil"/>
              <w:left w:val="single" w:sz="4" w:space="0" w:color="auto"/>
              <w:bottom w:val="nil"/>
              <w:right w:val="nil"/>
            </w:tcBorders>
            <w:shd w:val="clear" w:color="000000" w:fill="FFFFFF"/>
            <w:vAlign w:val="center"/>
            <w:hideMark/>
          </w:tcPr>
          <w:p w:rsidR="00842AEC" w:rsidRPr="00842AEC" w:rsidRDefault="00842AEC" w:rsidP="00842AEC">
            <w:pPr>
              <w:spacing w:after="0" w:line="240" w:lineRule="auto"/>
              <w:ind w:firstLineChars="100" w:firstLine="201"/>
              <w:rPr>
                <w:rFonts w:ascii="Barlow" w:hAnsi="Barlow" w:cs="Tahoma"/>
                <w:b/>
                <w:bCs/>
                <w:sz w:val="20"/>
                <w:szCs w:val="20"/>
              </w:rPr>
            </w:pPr>
            <w:r w:rsidRPr="00842AEC">
              <w:rPr>
                <w:rFonts w:ascii="Barlow" w:hAnsi="Barlow" w:cs="Tahoma"/>
                <w:b/>
                <w:bCs/>
                <w:sz w:val="20"/>
                <w:szCs w:val="20"/>
              </w:rPr>
              <w:t>Fórmula</w:t>
            </w:r>
          </w:p>
        </w:tc>
        <w:tc>
          <w:tcPr>
            <w:tcW w:w="3240" w:type="dxa"/>
            <w:gridSpan w:val="2"/>
            <w:tcBorders>
              <w:top w:val="nil"/>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((B-C)/C)*100</w:t>
            </w:r>
          </w:p>
        </w:tc>
        <w:tc>
          <w:tcPr>
            <w:tcW w:w="1820" w:type="dxa"/>
            <w:gridSpan w:val="2"/>
            <w:tcBorders>
              <w:top w:val="nil"/>
              <w:left w:val="nil"/>
              <w:bottom w:val="nil"/>
              <w:right w:val="nil"/>
            </w:tcBorders>
            <w:shd w:val="clear" w:color="000000" w:fill="FFFFFF"/>
            <w:vAlign w:val="center"/>
            <w:hideMark/>
          </w:tcPr>
          <w:p w:rsidR="00842AEC" w:rsidRPr="00842AEC" w:rsidRDefault="00842AEC" w:rsidP="00842AEC">
            <w:pPr>
              <w:spacing w:after="0" w:line="240" w:lineRule="auto"/>
              <w:jc w:val="center"/>
              <w:rPr>
                <w:rFonts w:ascii="Barlow" w:hAnsi="Barlow" w:cs="Tahoma"/>
                <w:b/>
                <w:bCs/>
                <w:sz w:val="20"/>
                <w:szCs w:val="20"/>
              </w:rPr>
            </w:pPr>
            <w:r w:rsidRPr="00842AEC">
              <w:rPr>
                <w:rFonts w:ascii="Barlow" w:hAnsi="Barlow" w:cs="Tahoma"/>
                <w:b/>
                <w:bCs/>
                <w:sz w:val="20"/>
                <w:szCs w:val="20"/>
              </w:rPr>
              <w:t>Periodicidad  del calculo :</w:t>
            </w:r>
          </w:p>
        </w:tc>
        <w:tc>
          <w:tcPr>
            <w:tcW w:w="1000" w:type="dxa"/>
            <w:tcBorders>
              <w:top w:val="nil"/>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xml:space="preserve">Anual </w:t>
            </w:r>
          </w:p>
        </w:tc>
        <w:tc>
          <w:tcPr>
            <w:tcW w:w="580" w:type="dxa"/>
            <w:tcBorders>
              <w:top w:val="nil"/>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1422" w:type="dxa"/>
            <w:gridSpan w:val="2"/>
            <w:tcBorders>
              <w:top w:val="nil"/>
              <w:left w:val="nil"/>
              <w:bottom w:val="nil"/>
              <w:right w:val="nil"/>
            </w:tcBorders>
            <w:shd w:val="clear" w:color="000000" w:fill="FFFFFF"/>
            <w:vAlign w:val="center"/>
            <w:hideMark/>
          </w:tcPr>
          <w:p w:rsidR="00842AEC" w:rsidRPr="00842AEC" w:rsidRDefault="00842AEC" w:rsidP="00842AEC">
            <w:pPr>
              <w:spacing w:after="0" w:line="240" w:lineRule="auto"/>
              <w:jc w:val="center"/>
              <w:rPr>
                <w:rFonts w:ascii="Barlow" w:hAnsi="Barlow" w:cs="Tahoma"/>
                <w:b/>
                <w:bCs/>
                <w:sz w:val="20"/>
                <w:szCs w:val="20"/>
              </w:rPr>
            </w:pPr>
            <w:r w:rsidRPr="00842AEC">
              <w:rPr>
                <w:rFonts w:ascii="Barlow" w:hAnsi="Barlow" w:cs="Tahoma"/>
                <w:b/>
                <w:bCs/>
                <w:sz w:val="20"/>
                <w:szCs w:val="20"/>
              </w:rPr>
              <w:t>Ámbito de Medición:</w:t>
            </w:r>
          </w:p>
        </w:tc>
        <w:tc>
          <w:tcPr>
            <w:tcW w:w="1880" w:type="dxa"/>
            <w:gridSpan w:val="3"/>
            <w:tcBorders>
              <w:top w:val="nil"/>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xml:space="preserve">Servicios y Bienes </w:t>
            </w:r>
          </w:p>
        </w:tc>
        <w:tc>
          <w:tcPr>
            <w:tcW w:w="560" w:type="dxa"/>
            <w:tcBorders>
              <w:top w:val="nil"/>
              <w:left w:val="nil"/>
              <w:bottom w:val="nil"/>
              <w:right w:val="single" w:sz="4" w:space="0" w:color="auto"/>
            </w:tcBorders>
            <w:shd w:val="clear" w:color="auto" w:fill="auto"/>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r>
      <w:tr w:rsidR="00842AEC" w:rsidRPr="00842AEC" w:rsidTr="00842AEC">
        <w:trPr>
          <w:trHeight w:val="330"/>
        </w:trPr>
        <w:tc>
          <w:tcPr>
            <w:tcW w:w="1680" w:type="dxa"/>
            <w:tcBorders>
              <w:top w:val="nil"/>
              <w:left w:val="single" w:sz="4" w:space="0" w:color="auto"/>
              <w:bottom w:val="nil"/>
              <w:right w:val="nil"/>
            </w:tcBorders>
            <w:shd w:val="clear" w:color="000000" w:fill="FFFFFF"/>
            <w:vAlign w:val="center"/>
            <w:hideMark/>
          </w:tcPr>
          <w:p w:rsidR="00842AEC" w:rsidRPr="00842AEC" w:rsidRDefault="00842AEC" w:rsidP="00842AEC">
            <w:pPr>
              <w:spacing w:after="0" w:line="240" w:lineRule="auto"/>
              <w:ind w:firstLineChars="100" w:firstLine="201"/>
              <w:rPr>
                <w:rFonts w:ascii="Barlow" w:hAnsi="Barlow" w:cs="Tahoma"/>
                <w:b/>
                <w:bCs/>
                <w:sz w:val="20"/>
                <w:szCs w:val="20"/>
              </w:rPr>
            </w:pPr>
            <w:r w:rsidRPr="00842AEC">
              <w:rPr>
                <w:rFonts w:ascii="Barlow" w:hAnsi="Barlow" w:cs="Tahoma"/>
                <w:b/>
                <w:bCs/>
                <w:sz w:val="20"/>
                <w:szCs w:val="20"/>
              </w:rPr>
              <w:t>Tendencia</w:t>
            </w:r>
          </w:p>
        </w:tc>
        <w:tc>
          <w:tcPr>
            <w:tcW w:w="720" w:type="dxa"/>
            <w:tcBorders>
              <w:top w:val="nil"/>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Ascendente</w:t>
            </w:r>
          </w:p>
        </w:tc>
        <w:tc>
          <w:tcPr>
            <w:tcW w:w="2520" w:type="dxa"/>
            <w:tcBorders>
              <w:top w:val="nil"/>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88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94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100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580" w:type="dxa"/>
            <w:tcBorders>
              <w:top w:val="nil"/>
              <w:left w:val="nil"/>
              <w:bottom w:val="nil"/>
              <w:right w:val="nil"/>
            </w:tcBorders>
            <w:shd w:val="clear" w:color="000000" w:fill="FFFFFF"/>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1422" w:type="dxa"/>
            <w:gridSpan w:val="2"/>
            <w:tcBorders>
              <w:top w:val="nil"/>
              <w:left w:val="nil"/>
              <w:bottom w:val="nil"/>
              <w:right w:val="nil"/>
            </w:tcBorders>
            <w:shd w:val="clear" w:color="000000" w:fill="FFFFFF"/>
            <w:vAlign w:val="center"/>
            <w:hideMark/>
          </w:tcPr>
          <w:p w:rsidR="00842AEC" w:rsidRPr="00842AEC" w:rsidRDefault="00842AEC" w:rsidP="00842AEC">
            <w:pPr>
              <w:spacing w:after="0" w:line="240" w:lineRule="auto"/>
              <w:jc w:val="center"/>
              <w:rPr>
                <w:rFonts w:ascii="Barlow" w:hAnsi="Barlow" w:cs="Tahoma"/>
                <w:b/>
                <w:bCs/>
                <w:sz w:val="20"/>
                <w:szCs w:val="20"/>
              </w:rPr>
            </w:pPr>
            <w:r w:rsidRPr="00842AEC">
              <w:rPr>
                <w:rFonts w:ascii="Barlow" w:hAnsi="Barlow" w:cs="Tahoma"/>
                <w:b/>
                <w:bCs/>
                <w:sz w:val="20"/>
                <w:szCs w:val="20"/>
              </w:rPr>
              <w:t>Dimensión:</w:t>
            </w:r>
          </w:p>
        </w:tc>
        <w:tc>
          <w:tcPr>
            <w:tcW w:w="1220" w:type="dxa"/>
            <w:gridSpan w:val="2"/>
            <w:tcBorders>
              <w:top w:val="nil"/>
              <w:left w:val="nil"/>
              <w:bottom w:val="nil"/>
              <w:right w:val="nil"/>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Eficacia</w:t>
            </w:r>
          </w:p>
        </w:tc>
        <w:tc>
          <w:tcPr>
            <w:tcW w:w="660" w:type="dxa"/>
            <w:tcBorders>
              <w:top w:val="nil"/>
              <w:left w:val="nil"/>
              <w:bottom w:val="nil"/>
              <w:right w:val="nil"/>
            </w:tcBorders>
            <w:shd w:val="clear" w:color="auto" w:fill="auto"/>
            <w:noWrap/>
            <w:hideMark/>
          </w:tcPr>
          <w:p w:rsidR="00842AEC" w:rsidRPr="00842AEC" w:rsidRDefault="00842AEC" w:rsidP="00842AEC">
            <w:pPr>
              <w:spacing w:after="0" w:line="240" w:lineRule="auto"/>
              <w:jc w:val="center"/>
              <w:rPr>
                <w:rFonts w:ascii="Barlow" w:hAnsi="Barlow"/>
                <w:color w:val="000000"/>
                <w:sz w:val="20"/>
                <w:szCs w:val="20"/>
              </w:rPr>
            </w:pPr>
          </w:p>
        </w:tc>
        <w:tc>
          <w:tcPr>
            <w:tcW w:w="560" w:type="dxa"/>
            <w:tcBorders>
              <w:top w:val="nil"/>
              <w:left w:val="nil"/>
              <w:bottom w:val="nil"/>
              <w:right w:val="single" w:sz="4" w:space="0" w:color="auto"/>
            </w:tcBorders>
            <w:shd w:val="clear" w:color="auto" w:fill="auto"/>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r>
      <w:tr w:rsidR="00842AEC" w:rsidRPr="00842AEC" w:rsidTr="00842AEC">
        <w:trPr>
          <w:trHeight w:val="330"/>
        </w:trPr>
        <w:tc>
          <w:tcPr>
            <w:tcW w:w="1680" w:type="dxa"/>
            <w:tcBorders>
              <w:top w:val="nil"/>
              <w:left w:val="single" w:sz="4" w:space="0" w:color="auto"/>
              <w:bottom w:val="single" w:sz="4" w:space="0" w:color="auto"/>
              <w:right w:val="nil"/>
            </w:tcBorders>
            <w:shd w:val="clear" w:color="000000" w:fill="FFFFFF"/>
            <w:vAlign w:val="center"/>
            <w:hideMark/>
          </w:tcPr>
          <w:p w:rsidR="00842AEC" w:rsidRPr="00842AEC" w:rsidRDefault="00842AEC" w:rsidP="00842AEC">
            <w:pPr>
              <w:spacing w:after="0" w:line="240" w:lineRule="auto"/>
              <w:ind w:firstLineChars="100" w:firstLine="201"/>
              <w:rPr>
                <w:rFonts w:ascii="Barlow" w:hAnsi="Barlow" w:cs="Tahoma"/>
                <w:b/>
                <w:bCs/>
                <w:sz w:val="20"/>
                <w:szCs w:val="20"/>
              </w:rPr>
            </w:pPr>
            <w:r w:rsidRPr="00842AEC">
              <w:rPr>
                <w:rFonts w:ascii="Barlow" w:hAnsi="Barlow" w:cs="Tahoma"/>
                <w:b/>
                <w:bCs/>
                <w:sz w:val="20"/>
                <w:szCs w:val="20"/>
              </w:rPr>
              <w:t>Medio de Verificación</w:t>
            </w:r>
          </w:p>
        </w:tc>
        <w:tc>
          <w:tcPr>
            <w:tcW w:w="10502" w:type="dxa"/>
            <w:gridSpan w:val="12"/>
            <w:tcBorders>
              <w:top w:val="nil"/>
              <w:left w:val="nil"/>
              <w:bottom w:val="single" w:sz="4" w:space="0" w:color="auto"/>
              <w:right w:val="single" w:sz="4" w:space="0" w:color="000000"/>
            </w:tcBorders>
            <w:shd w:val="clear" w:color="000000" w:fill="FFFFFF"/>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Registro de vinculación interinstitucional de la comision de Derechos Humanos del Estado de Yucatán (CODHEY)</w:t>
            </w:r>
          </w:p>
        </w:tc>
      </w:tr>
      <w:tr w:rsidR="00842AEC" w:rsidRPr="00842AEC" w:rsidTr="00842AEC">
        <w:trPr>
          <w:trHeight w:val="120"/>
        </w:trPr>
        <w:tc>
          <w:tcPr>
            <w:tcW w:w="168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color w:val="000000"/>
                <w:sz w:val="20"/>
                <w:szCs w:val="20"/>
              </w:rPr>
            </w:pPr>
          </w:p>
        </w:tc>
        <w:tc>
          <w:tcPr>
            <w:tcW w:w="72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252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88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94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100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58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60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822"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56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66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66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56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r>
      <w:tr w:rsidR="00842AEC" w:rsidRPr="00842AEC" w:rsidTr="00842AEC">
        <w:trPr>
          <w:trHeight w:val="210"/>
        </w:trPr>
        <w:tc>
          <w:tcPr>
            <w:tcW w:w="12182" w:type="dxa"/>
            <w:gridSpan w:val="13"/>
            <w:tcBorders>
              <w:top w:val="nil"/>
              <w:left w:val="nil"/>
              <w:bottom w:val="nil"/>
              <w:right w:val="nil"/>
            </w:tcBorders>
            <w:shd w:val="clear" w:color="000000" w:fill="FFFFFF"/>
            <w:vAlign w:val="center"/>
            <w:hideMark/>
          </w:tcPr>
          <w:p w:rsidR="00842AEC" w:rsidRPr="00842AEC" w:rsidRDefault="00842AEC" w:rsidP="00842AEC">
            <w:pPr>
              <w:spacing w:after="0" w:line="240" w:lineRule="auto"/>
              <w:ind w:firstLineChars="200" w:firstLine="402"/>
              <w:rPr>
                <w:rFonts w:ascii="Barlow" w:hAnsi="Barlow"/>
                <w:b/>
                <w:bCs/>
                <w:color w:val="000000"/>
                <w:sz w:val="20"/>
                <w:szCs w:val="20"/>
              </w:rPr>
            </w:pPr>
            <w:r w:rsidRPr="00842AEC">
              <w:rPr>
                <w:rFonts w:ascii="Barlow" w:hAnsi="Barlow"/>
                <w:b/>
                <w:bCs/>
                <w:color w:val="000000"/>
                <w:sz w:val="20"/>
                <w:szCs w:val="20"/>
              </w:rPr>
              <w:t xml:space="preserve">Información estadistica del programa presupuestario </w:t>
            </w:r>
          </w:p>
        </w:tc>
      </w:tr>
      <w:tr w:rsidR="00842AEC" w:rsidRPr="00842AEC" w:rsidTr="00842AEC">
        <w:trPr>
          <w:trHeight w:val="240"/>
        </w:trPr>
        <w:tc>
          <w:tcPr>
            <w:tcW w:w="1680" w:type="dxa"/>
            <w:tcBorders>
              <w:top w:val="single" w:sz="4" w:space="0" w:color="auto"/>
              <w:left w:val="single" w:sz="4" w:space="0" w:color="auto"/>
              <w:bottom w:val="nil"/>
              <w:right w:val="nil"/>
            </w:tcBorders>
            <w:shd w:val="clear" w:color="000000" w:fill="FFFFFF"/>
            <w:vAlign w:val="center"/>
            <w:hideMark/>
          </w:tcPr>
          <w:p w:rsidR="00842AEC" w:rsidRPr="00842AEC" w:rsidRDefault="00842AEC" w:rsidP="00842AEC">
            <w:pPr>
              <w:spacing w:after="0" w:line="240" w:lineRule="auto"/>
              <w:rPr>
                <w:rFonts w:ascii="Barlow" w:hAnsi="Barlow"/>
                <w:b/>
                <w:bCs/>
                <w:color w:val="000000"/>
                <w:sz w:val="20"/>
                <w:szCs w:val="20"/>
              </w:rPr>
            </w:pPr>
            <w:r w:rsidRPr="00842AEC">
              <w:rPr>
                <w:rFonts w:ascii="Barlow" w:hAnsi="Barlow"/>
                <w:b/>
                <w:bCs/>
                <w:color w:val="000000"/>
                <w:sz w:val="20"/>
                <w:szCs w:val="20"/>
              </w:rPr>
              <w:t xml:space="preserve">        Variables</w:t>
            </w:r>
          </w:p>
        </w:tc>
        <w:tc>
          <w:tcPr>
            <w:tcW w:w="720" w:type="dxa"/>
            <w:tcBorders>
              <w:top w:val="single" w:sz="4" w:space="0" w:color="auto"/>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b/>
                <w:bCs/>
                <w:color w:val="000000"/>
                <w:sz w:val="20"/>
                <w:szCs w:val="20"/>
              </w:rPr>
            </w:pPr>
            <w:r w:rsidRPr="00842AEC">
              <w:rPr>
                <w:rFonts w:ascii="Barlow" w:hAnsi="Barlow"/>
                <w:b/>
                <w:bCs/>
                <w:color w:val="000000"/>
                <w:sz w:val="20"/>
                <w:szCs w:val="20"/>
              </w:rPr>
              <w:t> </w:t>
            </w:r>
          </w:p>
        </w:tc>
        <w:tc>
          <w:tcPr>
            <w:tcW w:w="2520" w:type="dxa"/>
            <w:tcBorders>
              <w:top w:val="single" w:sz="4" w:space="0" w:color="auto"/>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b/>
                <w:bCs/>
                <w:color w:val="000000"/>
                <w:sz w:val="20"/>
                <w:szCs w:val="20"/>
              </w:rPr>
            </w:pPr>
            <w:r w:rsidRPr="00842AEC">
              <w:rPr>
                <w:rFonts w:ascii="Barlow" w:hAnsi="Barlow"/>
                <w:b/>
                <w:bCs/>
                <w:color w:val="000000"/>
                <w:sz w:val="20"/>
                <w:szCs w:val="20"/>
              </w:rPr>
              <w:t> </w:t>
            </w:r>
          </w:p>
        </w:tc>
        <w:tc>
          <w:tcPr>
            <w:tcW w:w="880" w:type="dxa"/>
            <w:tcBorders>
              <w:top w:val="single" w:sz="4" w:space="0" w:color="auto"/>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b/>
                <w:bCs/>
                <w:color w:val="000000"/>
                <w:sz w:val="20"/>
                <w:szCs w:val="20"/>
              </w:rPr>
            </w:pPr>
            <w:r w:rsidRPr="00842AEC">
              <w:rPr>
                <w:rFonts w:ascii="Barlow" w:hAnsi="Barlow"/>
                <w:b/>
                <w:bCs/>
                <w:color w:val="000000"/>
                <w:sz w:val="20"/>
                <w:szCs w:val="20"/>
              </w:rPr>
              <w:t> </w:t>
            </w:r>
          </w:p>
        </w:tc>
        <w:tc>
          <w:tcPr>
            <w:tcW w:w="940" w:type="dxa"/>
            <w:tcBorders>
              <w:top w:val="single" w:sz="4" w:space="0" w:color="auto"/>
              <w:left w:val="nil"/>
              <w:bottom w:val="nil"/>
              <w:right w:val="nil"/>
            </w:tcBorders>
            <w:shd w:val="clear" w:color="000000" w:fill="FFFFFF"/>
            <w:vAlign w:val="center"/>
            <w:hideMark/>
          </w:tcPr>
          <w:p w:rsidR="00842AEC" w:rsidRPr="00842AEC" w:rsidRDefault="00842AEC" w:rsidP="00842AEC">
            <w:pPr>
              <w:spacing w:after="0" w:line="240" w:lineRule="auto"/>
              <w:rPr>
                <w:rFonts w:ascii="Barlow" w:hAnsi="Barlow"/>
                <w:b/>
                <w:bCs/>
                <w:color w:val="000000"/>
                <w:sz w:val="20"/>
                <w:szCs w:val="20"/>
              </w:rPr>
            </w:pPr>
            <w:r w:rsidRPr="00842AEC">
              <w:rPr>
                <w:rFonts w:ascii="Barlow" w:hAnsi="Barlow"/>
                <w:b/>
                <w:bCs/>
                <w:color w:val="000000"/>
                <w:sz w:val="20"/>
                <w:szCs w:val="20"/>
              </w:rPr>
              <w:t> </w:t>
            </w:r>
          </w:p>
        </w:tc>
        <w:tc>
          <w:tcPr>
            <w:tcW w:w="158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842AEC" w:rsidRPr="00842AEC" w:rsidRDefault="00842AEC" w:rsidP="00842AEC">
            <w:pPr>
              <w:spacing w:after="0" w:line="240" w:lineRule="auto"/>
              <w:jc w:val="center"/>
              <w:rPr>
                <w:rFonts w:ascii="Barlow" w:hAnsi="Barlow"/>
                <w:b/>
                <w:bCs/>
                <w:color w:val="000000"/>
                <w:sz w:val="20"/>
                <w:szCs w:val="20"/>
              </w:rPr>
            </w:pPr>
            <w:r w:rsidRPr="00842AEC">
              <w:rPr>
                <w:rFonts w:ascii="Barlow" w:hAnsi="Barlow"/>
                <w:b/>
                <w:bCs/>
                <w:color w:val="000000"/>
                <w:sz w:val="20"/>
                <w:szCs w:val="20"/>
              </w:rPr>
              <w:t>2013</w:t>
            </w:r>
          </w:p>
        </w:tc>
        <w:tc>
          <w:tcPr>
            <w:tcW w:w="1422" w:type="dxa"/>
            <w:gridSpan w:val="2"/>
            <w:tcBorders>
              <w:top w:val="single" w:sz="4" w:space="0" w:color="auto"/>
              <w:left w:val="nil"/>
              <w:bottom w:val="single" w:sz="4" w:space="0" w:color="auto"/>
              <w:right w:val="single" w:sz="4" w:space="0" w:color="000000"/>
            </w:tcBorders>
            <w:shd w:val="clear" w:color="000000" w:fill="FFFFFF"/>
            <w:vAlign w:val="center"/>
            <w:hideMark/>
          </w:tcPr>
          <w:p w:rsidR="00842AEC" w:rsidRPr="00842AEC" w:rsidRDefault="00842AEC" w:rsidP="00842AEC">
            <w:pPr>
              <w:spacing w:after="0" w:line="240" w:lineRule="auto"/>
              <w:jc w:val="center"/>
              <w:rPr>
                <w:rFonts w:ascii="Barlow" w:hAnsi="Barlow"/>
                <w:b/>
                <w:bCs/>
                <w:color w:val="000000"/>
                <w:sz w:val="20"/>
                <w:szCs w:val="20"/>
              </w:rPr>
            </w:pPr>
            <w:r w:rsidRPr="00842AEC">
              <w:rPr>
                <w:rFonts w:ascii="Barlow" w:hAnsi="Barlow"/>
                <w:b/>
                <w:bCs/>
                <w:color w:val="000000"/>
                <w:sz w:val="20"/>
                <w:szCs w:val="20"/>
              </w:rPr>
              <w:t>2014</w:t>
            </w:r>
          </w:p>
        </w:tc>
        <w:tc>
          <w:tcPr>
            <w:tcW w:w="560" w:type="dxa"/>
            <w:tcBorders>
              <w:top w:val="single" w:sz="4" w:space="0" w:color="auto"/>
              <w:left w:val="nil"/>
              <w:bottom w:val="single" w:sz="4" w:space="0" w:color="auto"/>
              <w:right w:val="nil"/>
            </w:tcBorders>
            <w:shd w:val="clear" w:color="000000" w:fill="FFFFFF"/>
            <w:vAlign w:val="center"/>
            <w:hideMark/>
          </w:tcPr>
          <w:p w:rsidR="00842AEC" w:rsidRPr="00842AEC" w:rsidRDefault="00842AEC" w:rsidP="00842AEC">
            <w:pPr>
              <w:spacing w:after="0" w:line="240" w:lineRule="auto"/>
              <w:jc w:val="center"/>
              <w:rPr>
                <w:rFonts w:ascii="Barlow" w:hAnsi="Barlow"/>
                <w:b/>
                <w:bCs/>
                <w:color w:val="000000"/>
                <w:sz w:val="20"/>
                <w:szCs w:val="20"/>
              </w:rPr>
            </w:pPr>
            <w:r w:rsidRPr="00842AEC">
              <w:rPr>
                <w:rFonts w:ascii="Barlow" w:hAnsi="Barlow"/>
                <w:b/>
                <w:bCs/>
                <w:color w:val="000000"/>
                <w:sz w:val="20"/>
                <w:szCs w:val="20"/>
              </w:rPr>
              <w:t>2015</w:t>
            </w:r>
          </w:p>
        </w:tc>
        <w:tc>
          <w:tcPr>
            <w:tcW w:w="660" w:type="dxa"/>
            <w:tcBorders>
              <w:top w:val="single" w:sz="4" w:space="0" w:color="auto"/>
              <w:left w:val="single" w:sz="4" w:space="0" w:color="auto"/>
              <w:bottom w:val="single" w:sz="4" w:space="0" w:color="auto"/>
              <w:right w:val="nil"/>
            </w:tcBorders>
            <w:shd w:val="clear" w:color="000000" w:fill="FFFFFF"/>
            <w:vAlign w:val="center"/>
            <w:hideMark/>
          </w:tcPr>
          <w:p w:rsidR="00842AEC" w:rsidRPr="00842AEC" w:rsidRDefault="00842AEC" w:rsidP="00842AEC">
            <w:pPr>
              <w:spacing w:after="0" w:line="240" w:lineRule="auto"/>
              <w:jc w:val="center"/>
              <w:rPr>
                <w:rFonts w:ascii="Barlow" w:hAnsi="Barlow"/>
                <w:b/>
                <w:bCs/>
                <w:color w:val="000000"/>
                <w:sz w:val="20"/>
                <w:szCs w:val="20"/>
              </w:rPr>
            </w:pPr>
            <w:r w:rsidRPr="00842AEC">
              <w:rPr>
                <w:rFonts w:ascii="Barlow" w:hAnsi="Barlow"/>
                <w:b/>
                <w:bCs/>
                <w:color w:val="000000"/>
                <w:sz w:val="20"/>
                <w:szCs w:val="20"/>
              </w:rPr>
              <w:t>2016</w:t>
            </w:r>
          </w:p>
        </w:tc>
        <w:tc>
          <w:tcPr>
            <w:tcW w:w="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b/>
                <w:bCs/>
                <w:color w:val="000000"/>
                <w:sz w:val="20"/>
                <w:szCs w:val="20"/>
              </w:rPr>
            </w:pPr>
            <w:r w:rsidRPr="00842AEC">
              <w:rPr>
                <w:rFonts w:ascii="Barlow" w:hAnsi="Barlow"/>
                <w:b/>
                <w:bCs/>
                <w:color w:val="000000"/>
                <w:sz w:val="20"/>
                <w:szCs w:val="20"/>
              </w:rPr>
              <w:t>2017</w:t>
            </w:r>
          </w:p>
        </w:tc>
        <w:tc>
          <w:tcPr>
            <w:tcW w:w="560" w:type="dxa"/>
            <w:tcBorders>
              <w:top w:val="single" w:sz="4" w:space="0" w:color="auto"/>
              <w:left w:val="nil"/>
              <w:bottom w:val="single" w:sz="4" w:space="0" w:color="auto"/>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b/>
                <w:bCs/>
                <w:color w:val="000000"/>
                <w:sz w:val="20"/>
                <w:szCs w:val="20"/>
              </w:rPr>
            </w:pPr>
            <w:r w:rsidRPr="00842AEC">
              <w:rPr>
                <w:rFonts w:ascii="Barlow" w:hAnsi="Barlow"/>
                <w:b/>
                <w:bCs/>
                <w:color w:val="000000"/>
                <w:sz w:val="20"/>
                <w:szCs w:val="20"/>
              </w:rPr>
              <w:t>2018</w:t>
            </w:r>
          </w:p>
        </w:tc>
      </w:tr>
      <w:tr w:rsidR="00842AEC" w:rsidRPr="00842AEC" w:rsidTr="00842AEC">
        <w:trPr>
          <w:trHeight w:val="240"/>
        </w:trPr>
        <w:tc>
          <w:tcPr>
            <w:tcW w:w="674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xml:space="preserve">         Personas capacitadas en materia de Derechos Humanos</w:t>
            </w:r>
          </w:p>
        </w:tc>
        <w:tc>
          <w:tcPr>
            <w:tcW w:w="1580" w:type="dxa"/>
            <w:gridSpan w:val="2"/>
            <w:tcBorders>
              <w:top w:val="single" w:sz="4" w:space="0" w:color="auto"/>
              <w:left w:val="nil"/>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ND</w:t>
            </w:r>
          </w:p>
        </w:tc>
        <w:tc>
          <w:tcPr>
            <w:tcW w:w="1422" w:type="dxa"/>
            <w:gridSpan w:val="2"/>
            <w:tcBorders>
              <w:top w:val="nil"/>
              <w:left w:val="nil"/>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62,478</w:t>
            </w:r>
          </w:p>
        </w:tc>
        <w:tc>
          <w:tcPr>
            <w:tcW w:w="560" w:type="dxa"/>
            <w:tcBorders>
              <w:top w:val="nil"/>
              <w:left w:val="nil"/>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40,231</w:t>
            </w:r>
          </w:p>
        </w:tc>
        <w:tc>
          <w:tcPr>
            <w:tcW w:w="660" w:type="dxa"/>
            <w:tcBorders>
              <w:top w:val="nil"/>
              <w:left w:val="nil"/>
              <w:bottom w:val="nil"/>
              <w:right w:val="nil"/>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9,645</w:t>
            </w:r>
          </w:p>
        </w:tc>
        <w:tc>
          <w:tcPr>
            <w:tcW w:w="660" w:type="dxa"/>
            <w:tcBorders>
              <w:top w:val="nil"/>
              <w:left w:val="single" w:sz="4" w:space="0" w:color="auto"/>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29,250</w:t>
            </w:r>
          </w:p>
        </w:tc>
        <w:tc>
          <w:tcPr>
            <w:tcW w:w="560" w:type="dxa"/>
            <w:tcBorders>
              <w:top w:val="nil"/>
              <w:left w:val="nil"/>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28,178</w:t>
            </w:r>
          </w:p>
        </w:tc>
      </w:tr>
      <w:tr w:rsidR="00842AEC" w:rsidRPr="00842AEC" w:rsidTr="00842AEC">
        <w:trPr>
          <w:trHeight w:val="240"/>
        </w:trPr>
        <w:tc>
          <w:tcPr>
            <w:tcW w:w="674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xml:space="preserve">         Mujeres capacitadas en materia de Derechos Humanos</w:t>
            </w:r>
          </w:p>
        </w:tc>
        <w:tc>
          <w:tcPr>
            <w:tcW w:w="1580" w:type="dxa"/>
            <w:gridSpan w:val="2"/>
            <w:tcBorders>
              <w:top w:val="nil"/>
              <w:left w:val="nil"/>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25,182</w:t>
            </w:r>
          </w:p>
        </w:tc>
        <w:tc>
          <w:tcPr>
            <w:tcW w:w="1422" w:type="dxa"/>
            <w:gridSpan w:val="2"/>
            <w:tcBorders>
              <w:top w:val="nil"/>
              <w:left w:val="nil"/>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34,309</w:t>
            </w:r>
          </w:p>
        </w:tc>
        <w:tc>
          <w:tcPr>
            <w:tcW w:w="560" w:type="dxa"/>
            <w:tcBorders>
              <w:top w:val="nil"/>
              <w:left w:val="nil"/>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27,229</w:t>
            </w:r>
          </w:p>
        </w:tc>
        <w:tc>
          <w:tcPr>
            <w:tcW w:w="660" w:type="dxa"/>
            <w:tcBorders>
              <w:top w:val="nil"/>
              <w:left w:val="nil"/>
              <w:bottom w:val="nil"/>
              <w:right w:val="nil"/>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10,529</w:t>
            </w:r>
          </w:p>
        </w:tc>
        <w:tc>
          <w:tcPr>
            <w:tcW w:w="660" w:type="dxa"/>
            <w:tcBorders>
              <w:top w:val="nil"/>
              <w:left w:val="single" w:sz="4" w:space="0" w:color="auto"/>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31,616</w:t>
            </w:r>
          </w:p>
        </w:tc>
        <w:tc>
          <w:tcPr>
            <w:tcW w:w="560" w:type="dxa"/>
            <w:tcBorders>
              <w:top w:val="nil"/>
              <w:left w:val="nil"/>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30,255</w:t>
            </w:r>
          </w:p>
        </w:tc>
      </w:tr>
      <w:tr w:rsidR="00842AEC" w:rsidRPr="00842AEC" w:rsidTr="00842AEC">
        <w:trPr>
          <w:trHeight w:val="240"/>
        </w:trPr>
        <w:tc>
          <w:tcPr>
            <w:tcW w:w="674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xml:space="preserve">         Participantes en la Red Estatal de niños, niñas  y adolescentes  Difusores  de sus Derechos y Deberes</w:t>
            </w:r>
          </w:p>
        </w:tc>
        <w:tc>
          <w:tcPr>
            <w:tcW w:w="1580" w:type="dxa"/>
            <w:gridSpan w:val="2"/>
            <w:tcBorders>
              <w:top w:val="nil"/>
              <w:left w:val="nil"/>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91</w:t>
            </w:r>
          </w:p>
        </w:tc>
        <w:tc>
          <w:tcPr>
            <w:tcW w:w="1422" w:type="dxa"/>
            <w:gridSpan w:val="2"/>
            <w:tcBorders>
              <w:top w:val="nil"/>
              <w:left w:val="nil"/>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ND</w:t>
            </w:r>
          </w:p>
        </w:tc>
        <w:tc>
          <w:tcPr>
            <w:tcW w:w="560" w:type="dxa"/>
            <w:tcBorders>
              <w:top w:val="nil"/>
              <w:left w:val="nil"/>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NA</w:t>
            </w:r>
          </w:p>
        </w:tc>
        <w:tc>
          <w:tcPr>
            <w:tcW w:w="660" w:type="dxa"/>
            <w:tcBorders>
              <w:top w:val="nil"/>
              <w:left w:val="nil"/>
              <w:bottom w:val="nil"/>
              <w:right w:val="nil"/>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NA</w:t>
            </w:r>
          </w:p>
        </w:tc>
        <w:tc>
          <w:tcPr>
            <w:tcW w:w="660" w:type="dxa"/>
            <w:tcBorders>
              <w:top w:val="nil"/>
              <w:left w:val="single" w:sz="4" w:space="0" w:color="auto"/>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NA</w:t>
            </w:r>
          </w:p>
        </w:tc>
        <w:tc>
          <w:tcPr>
            <w:tcW w:w="560" w:type="dxa"/>
            <w:tcBorders>
              <w:top w:val="nil"/>
              <w:left w:val="nil"/>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NA</w:t>
            </w:r>
          </w:p>
        </w:tc>
      </w:tr>
      <w:tr w:rsidR="00842AEC" w:rsidRPr="00842AEC" w:rsidTr="00842AEC">
        <w:trPr>
          <w:trHeight w:val="240"/>
        </w:trPr>
        <w:tc>
          <w:tcPr>
            <w:tcW w:w="674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xml:space="preserve">         Niños y niñas   promotores  de sus derechos y deberes </w:t>
            </w:r>
          </w:p>
        </w:tc>
        <w:tc>
          <w:tcPr>
            <w:tcW w:w="1580" w:type="dxa"/>
            <w:gridSpan w:val="2"/>
            <w:tcBorders>
              <w:top w:val="nil"/>
              <w:left w:val="nil"/>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8,565</w:t>
            </w:r>
          </w:p>
        </w:tc>
        <w:tc>
          <w:tcPr>
            <w:tcW w:w="1422" w:type="dxa"/>
            <w:gridSpan w:val="2"/>
            <w:tcBorders>
              <w:top w:val="nil"/>
              <w:left w:val="nil"/>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ND</w:t>
            </w:r>
          </w:p>
        </w:tc>
        <w:tc>
          <w:tcPr>
            <w:tcW w:w="560" w:type="dxa"/>
            <w:tcBorders>
              <w:top w:val="nil"/>
              <w:left w:val="nil"/>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NA</w:t>
            </w:r>
          </w:p>
        </w:tc>
        <w:tc>
          <w:tcPr>
            <w:tcW w:w="660" w:type="dxa"/>
            <w:tcBorders>
              <w:top w:val="nil"/>
              <w:left w:val="nil"/>
              <w:bottom w:val="nil"/>
              <w:right w:val="nil"/>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NA</w:t>
            </w:r>
          </w:p>
        </w:tc>
        <w:tc>
          <w:tcPr>
            <w:tcW w:w="660" w:type="dxa"/>
            <w:tcBorders>
              <w:top w:val="nil"/>
              <w:left w:val="single" w:sz="4" w:space="0" w:color="auto"/>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NA</w:t>
            </w:r>
          </w:p>
        </w:tc>
        <w:tc>
          <w:tcPr>
            <w:tcW w:w="560" w:type="dxa"/>
            <w:tcBorders>
              <w:top w:val="nil"/>
              <w:left w:val="nil"/>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NA</w:t>
            </w:r>
          </w:p>
        </w:tc>
      </w:tr>
      <w:tr w:rsidR="00842AEC" w:rsidRPr="00842AEC" w:rsidTr="00842AEC">
        <w:trPr>
          <w:trHeight w:val="240"/>
        </w:trPr>
        <w:tc>
          <w:tcPr>
            <w:tcW w:w="674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xml:space="preserve">         Pláticas  y talleres  para infantes  sobre sus derechos  y deberes </w:t>
            </w:r>
          </w:p>
        </w:tc>
        <w:tc>
          <w:tcPr>
            <w:tcW w:w="1580" w:type="dxa"/>
            <w:gridSpan w:val="2"/>
            <w:tcBorders>
              <w:top w:val="nil"/>
              <w:left w:val="nil"/>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1,507</w:t>
            </w:r>
          </w:p>
        </w:tc>
        <w:tc>
          <w:tcPr>
            <w:tcW w:w="1422" w:type="dxa"/>
            <w:gridSpan w:val="2"/>
            <w:tcBorders>
              <w:top w:val="nil"/>
              <w:left w:val="nil"/>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15,804</w:t>
            </w:r>
          </w:p>
        </w:tc>
        <w:tc>
          <w:tcPr>
            <w:tcW w:w="560" w:type="dxa"/>
            <w:tcBorders>
              <w:top w:val="nil"/>
              <w:left w:val="nil"/>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15,850</w:t>
            </w:r>
          </w:p>
        </w:tc>
        <w:tc>
          <w:tcPr>
            <w:tcW w:w="660" w:type="dxa"/>
            <w:tcBorders>
              <w:top w:val="nil"/>
              <w:left w:val="nil"/>
              <w:bottom w:val="nil"/>
              <w:right w:val="nil"/>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15,32</w:t>
            </w:r>
            <w:r w:rsidRPr="00842AEC">
              <w:rPr>
                <w:rFonts w:ascii="Barlow" w:hAnsi="Barlow"/>
                <w:color w:val="000000"/>
                <w:sz w:val="20"/>
                <w:szCs w:val="20"/>
              </w:rPr>
              <w:lastRenderedPageBreak/>
              <w:t>0</w:t>
            </w:r>
          </w:p>
        </w:tc>
        <w:tc>
          <w:tcPr>
            <w:tcW w:w="660" w:type="dxa"/>
            <w:tcBorders>
              <w:top w:val="nil"/>
              <w:left w:val="single" w:sz="4" w:space="0" w:color="auto"/>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lastRenderedPageBreak/>
              <w:t>19,199</w:t>
            </w:r>
          </w:p>
        </w:tc>
        <w:tc>
          <w:tcPr>
            <w:tcW w:w="560" w:type="dxa"/>
            <w:tcBorders>
              <w:top w:val="nil"/>
              <w:left w:val="nil"/>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25,142</w:t>
            </w:r>
          </w:p>
        </w:tc>
      </w:tr>
      <w:tr w:rsidR="00842AEC" w:rsidRPr="00842AEC" w:rsidTr="00842AEC">
        <w:trPr>
          <w:trHeight w:val="240"/>
        </w:trPr>
        <w:tc>
          <w:tcPr>
            <w:tcW w:w="674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lastRenderedPageBreak/>
              <w:t xml:space="preserve">         Personas de la población indigena con asistencia legal a/</w:t>
            </w:r>
          </w:p>
        </w:tc>
        <w:tc>
          <w:tcPr>
            <w:tcW w:w="1580" w:type="dxa"/>
            <w:gridSpan w:val="2"/>
            <w:tcBorders>
              <w:top w:val="nil"/>
              <w:left w:val="nil"/>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ND</w:t>
            </w:r>
          </w:p>
        </w:tc>
        <w:tc>
          <w:tcPr>
            <w:tcW w:w="1422" w:type="dxa"/>
            <w:gridSpan w:val="2"/>
            <w:tcBorders>
              <w:top w:val="nil"/>
              <w:left w:val="nil"/>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1,520</w:t>
            </w:r>
          </w:p>
        </w:tc>
        <w:tc>
          <w:tcPr>
            <w:tcW w:w="560" w:type="dxa"/>
            <w:tcBorders>
              <w:top w:val="nil"/>
              <w:left w:val="nil"/>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2,143</w:t>
            </w:r>
          </w:p>
        </w:tc>
        <w:tc>
          <w:tcPr>
            <w:tcW w:w="660" w:type="dxa"/>
            <w:tcBorders>
              <w:top w:val="nil"/>
              <w:left w:val="nil"/>
              <w:bottom w:val="nil"/>
              <w:right w:val="nil"/>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3,077</w:t>
            </w:r>
          </w:p>
        </w:tc>
        <w:tc>
          <w:tcPr>
            <w:tcW w:w="660" w:type="dxa"/>
            <w:tcBorders>
              <w:top w:val="nil"/>
              <w:left w:val="single" w:sz="4" w:space="0" w:color="auto"/>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15,954</w:t>
            </w:r>
          </w:p>
        </w:tc>
        <w:tc>
          <w:tcPr>
            <w:tcW w:w="560" w:type="dxa"/>
            <w:tcBorders>
              <w:top w:val="nil"/>
              <w:left w:val="nil"/>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13,320</w:t>
            </w:r>
          </w:p>
        </w:tc>
      </w:tr>
      <w:tr w:rsidR="00842AEC" w:rsidRPr="00842AEC" w:rsidTr="00842AEC">
        <w:trPr>
          <w:trHeight w:val="240"/>
        </w:trPr>
        <w:tc>
          <w:tcPr>
            <w:tcW w:w="674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xml:space="preserve">         Quejas ciudadanas atendidas </w:t>
            </w:r>
          </w:p>
        </w:tc>
        <w:tc>
          <w:tcPr>
            <w:tcW w:w="1580" w:type="dxa"/>
            <w:gridSpan w:val="2"/>
            <w:tcBorders>
              <w:top w:val="nil"/>
              <w:left w:val="nil"/>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ND</w:t>
            </w:r>
          </w:p>
        </w:tc>
        <w:tc>
          <w:tcPr>
            <w:tcW w:w="1422" w:type="dxa"/>
            <w:gridSpan w:val="2"/>
            <w:tcBorders>
              <w:top w:val="nil"/>
              <w:left w:val="nil"/>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1,804</w:t>
            </w:r>
          </w:p>
        </w:tc>
        <w:tc>
          <w:tcPr>
            <w:tcW w:w="560" w:type="dxa"/>
            <w:tcBorders>
              <w:top w:val="nil"/>
              <w:left w:val="nil"/>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4,338</w:t>
            </w:r>
          </w:p>
        </w:tc>
        <w:tc>
          <w:tcPr>
            <w:tcW w:w="660" w:type="dxa"/>
            <w:tcBorders>
              <w:top w:val="nil"/>
              <w:left w:val="nil"/>
              <w:bottom w:val="nil"/>
              <w:right w:val="nil"/>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92</w:t>
            </w:r>
          </w:p>
        </w:tc>
        <w:tc>
          <w:tcPr>
            <w:tcW w:w="660" w:type="dxa"/>
            <w:tcBorders>
              <w:top w:val="nil"/>
              <w:left w:val="single" w:sz="4" w:space="0" w:color="auto"/>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384</w:t>
            </w:r>
          </w:p>
        </w:tc>
        <w:tc>
          <w:tcPr>
            <w:tcW w:w="560" w:type="dxa"/>
            <w:tcBorders>
              <w:top w:val="nil"/>
              <w:left w:val="nil"/>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248</w:t>
            </w:r>
          </w:p>
        </w:tc>
      </w:tr>
      <w:tr w:rsidR="00842AEC" w:rsidRPr="00842AEC" w:rsidTr="00842AEC">
        <w:trPr>
          <w:trHeight w:val="240"/>
        </w:trPr>
        <w:tc>
          <w:tcPr>
            <w:tcW w:w="674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xml:space="preserve">         Acciones de vinculación con otras instancias</w:t>
            </w:r>
          </w:p>
        </w:tc>
        <w:tc>
          <w:tcPr>
            <w:tcW w:w="1580" w:type="dxa"/>
            <w:gridSpan w:val="2"/>
            <w:tcBorders>
              <w:top w:val="nil"/>
              <w:left w:val="nil"/>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ND</w:t>
            </w:r>
          </w:p>
        </w:tc>
        <w:tc>
          <w:tcPr>
            <w:tcW w:w="1422" w:type="dxa"/>
            <w:gridSpan w:val="2"/>
            <w:tcBorders>
              <w:top w:val="nil"/>
              <w:left w:val="nil"/>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33</w:t>
            </w:r>
          </w:p>
        </w:tc>
        <w:tc>
          <w:tcPr>
            <w:tcW w:w="560" w:type="dxa"/>
            <w:tcBorders>
              <w:top w:val="nil"/>
              <w:left w:val="nil"/>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5</w:t>
            </w:r>
          </w:p>
        </w:tc>
        <w:tc>
          <w:tcPr>
            <w:tcW w:w="660" w:type="dxa"/>
            <w:tcBorders>
              <w:top w:val="nil"/>
              <w:left w:val="nil"/>
              <w:bottom w:val="nil"/>
              <w:right w:val="nil"/>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22</w:t>
            </w:r>
          </w:p>
        </w:tc>
        <w:tc>
          <w:tcPr>
            <w:tcW w:w="660" w:type="dxa"/>
            <w:tcBorders>
              <w:top w:val="nil"/>
              <w:left w:val="single" w:sz="4" w:space="0" w:color="auto"/>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104</w:t>
            </w:r>
          </w:p>
        </w:tc>
        <w:tc>
          <w:tcPr>
            <w:tcW w:w="560" w:type="dxa"/>
            <w:tcBorders>
              <w:top w:val="nil"/>
              <w:left w:val="nil"/>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55</w:t>
            </w:r>
          </w:p>
        </w:tc>
      </w:tr>
      <w:tr w:rsidR="00842AEC" w:rsidRPr="00842AEC" w:rsidTr="00842AEC">
        <w:trPr>
          <w:trHeight w:val="240"/>
        </w:trPr>
        <w:tc>
          <w:tcPr>
            <w:tcW w:w="674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xml:space="preserve">         Servicios y procedimientos de asistencia legal</w:t>
            </w:r>
          </w:p>
        </w:tc>
        <w:tc>
          <w:tcPr>
            <w:tcW w:w="1580" w:type="dxa"/>
            <w:gridSpan w:val="2"/>
            <w:tcBorders>
              <w:top w:val="nil"/>
              <w:left w:val="nil"/>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1,612</w:t>
            </w:r>
          </w:p>
        </w:tc>
        <w:tc>
          <w:tcPr>
            <w:tcW w:w="1422" w:type="dxa"/>
            <w:gridSpan w:val="2"/>
            <w:tcBorders>
              <w:top w:val="nil"/>
              <w:left w:val="nil"/>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2,000</w:t>
            </w:r>
          </w:p>
        </w:tc>
        <w:tc>
          <w:tcPr>
            <w:tcW w:w="560" w:type="dxa"/>
            <w:tcBorders>
              <w:top w:val="nil"/>
              <w:left w:val="nil"/>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2,500</w:t>
            </w:r>
          </w:p>
        </w:tc>
        <w:tc>
          <w:tcPr>
            <w:tcW w:w="660" w:type="dxa"/>
            <w:tcBorders>
              <w:top w:val="nil"/>
              <w:left w:val="nil"/>
              <w:bottom w:val="nil"/>
              <w:right w:val="nil"/>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542</w:t>
            </w:r>
          </w:p>
        </w:tc>
        <w:tc>
          <w:tcPr>
            <w:tcW w:w="660" w:type="dxa"/>
            <w:tcBorders>
              <w:top w:val="nil"/>
              <w:left w:val="single" w:sz="4" w:space="0" w:color="auto"/>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3,742</w:t>
            </w:r>
          </w:p>
        </w:tc>
        <w:tc>
          <w:tcPr>
            <w:tcW w:w="560" w:type="dxa"/>
            <w:tcBorders>
              <w:top w:val="nil"/>
              <w:left w:val="nil"/>
              <w:bottom w:val="nil"/>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3,271</w:t>
            </w:r>
          </w:p>
        </w:tc>
      </w:tr>
      <w:tr w:rsidR="00842AEC" w:rsidRPr="00842AEC" w:rsidTr="00842AEC">
        <w:trPr>
          <w:trHeight w:val="135"/>
        </w:trPr>
        <w:tc>
          <w:tcPr>
            <w:tcW w:w="1680" w:type="dxa"/>
            <w:tcBorders>
              <w:top w:val="nil"/>
              <w:left w:val="single" w:sz="4" w:space="0" w:color="auto"/>
              <w:bottom w:val="single" w:sz="4" w:space="0" w:color="auto"/>
              <w:right w:val="nil"/>
            </w:tcBorders>
            <w:shd w:val="clear" w:color="auto" w:fill="auto"/>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720" w:type="dxa"/>
            <w:tcBorders>
              <w:top w:val="nil"/>
              <w:left w:val="nil"/>
              <w:bottom w:val="single" w:sz="4" w:space="0" w:color="auto"/>
              <w:right w:val="nil"/>
            </w:tcBorders>
            <w:shd w:val="clear" w:color="auto" w:fill="auto"/>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2520" w:type="dxa"/>
            <w:tcBorders>
              <w:top w:val="nil"/>
              <w:left w:val="nil"/>
              <w:bottom w:val="single" w:sz="4" w:space="0" w:color="auto"/>
              <w:right w:val="nil"/>
            </w:tcBorders>
            <w:shd w:val="clear" w:color="auto" w:fill="auto"/>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880" w:type="dxa"/>
            <w:tcBorders>
              <w:top w:val="nil"/>
              <w:left w:val="nil"/>
              <w:bottom w:val="single" w:sz="4" w:space="0" w:color="auto"/>
              <w:right w:val="nil"/>
            </w:tcBorders>
            <w:shd w:val="clear" w:color="auto" w:fill="auto"/>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940" w:type="dxa"/>
            <w:tcBorders>
              <w:top w:val="nil"/>
              <w:left w:val="nil"/>
              <w:bottom w:val="single" w:sz="4" w:space="0" w:color="auto"/>
              <w:right w:val="nil"/>
            </w:tcBorders>
            <w:shd w:val="clear" w:color="auto" w:fill="auto"/>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1000" w:type="dxa"/>
            <w:tcBorders>
              <w:top w:val="nil"/>
              <w:left w:val="nil"/>
              <w:bottom w:val="single" w:sz="4" w:space="0" w:color="auto"/>
              <w:right w:val="nil"/>
            </w:tcBorders>
            <w:shd w:val="clear" w:color="auto" w:fill="auto"/>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580" w:type="dxa"/>
            <w:tcBorders>
              <w:top w:val="nil"/>
              <w:left w:val="nil"/>
              <w:bottom w:val="single" w:sz="4" w:space="0" w:color="auto"/>
              <w:right w:val="nil"/>
            </w:tcBorders>
            <w:shd w:val="clear" w:color="auto" w:fill="auto"/>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600" w:type="dxa"/>
            <w:tcBorders>
              <w:top w:val="nil"/>
              <w:left w:val="single" w:sz="4" w:space="0" w:color="auto"/>
              <w:bottom w:val="single" w:sz="4" w:space="0" w:color="auto"/>
              <w:right w:val="nil"/>
            </w:tcBorders>
            <w:shd w:val="clear" w:color="auto" w:fill="auto"/>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822" w:type="dxa"/>
            <w:tcBorders>
              <w:top w:val="nil"/>
              <w:left w:val="nil"/>
              <w:bottom w:val="single" w:sz="4" w:space="0" w:color="auto"/>
              <w:right w:val="nil"/>
            </w:tcBorders>
            <w:shd w:val="clear" w:color="auto" w:fill="auto"/>
            <w:noWrap/>
            <w:hideMark/>
          </w:tcPr>
          <w:p w:rsidR="00842AEC" w:rsidRPr="00842AEC" w:rsidRDefault="00842AEC" w:rsidP="00842AEC">
            <w:pPr>
              <w:spacing w:after="0" w:line="240" w:lineRule="auto"/>
              <w:rPr>
                <w:rFonts w:ascii="Barlow" w:hAnsi="Barlow"/>
                <w:color w:val="000000"/>
                <w:sz w:val="20"/>
                <w:szCs w:val="20"/>
              </w:rPr>
            </w:pPr>
            <w:r w:rsidRPr="00842AEC">
              <w:rPr>
                <w:rFonts w:ascii="Barlow" w:hAnsi="Barlow"/>
                <w:color w:val="000000"/>
                <w:sz w:val="20"/>
                <w:szCs w:val="20"/>
              </w:rPr>
              <w:t> </w:t>
            </w:r>
          </w:p>
        </w:tc>
        <w:tc>
          <w:tcPr>
            <w:tcW w:w="560" w:type="dxa"/>
            <w:tcBorders>
              <w:top w:val="nil"/>
              <w:left w:val="single" w:sz="4" w:space="0" w:color="auto"/>
              <w:bottom w:val="single" w:sz="4" w:space="0" w:color="auto"/>
              <w:right w:val="nil"/>
            </w:tcBorders>
            <w:shd w:val="clear" w:color="auto" w:fill="auto"/>
            <w:noWrap/>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 </w:t>
            </w:r>
          </w:p>
        </w:tc>
        <w:tc>
          <w:tcPr>
            <w:tcW w:w="660" w:type="dxa"/>
            <w:tcBorders>
              <w:top w:val="nil"/>
              <w:left w:val="nil"/>
              <w:bottom w:val="single" w:sz="4" w:space="0" w:color="auto"/>
              <w:right w:val="nil"/>
            </w:tcBorders>
            <w:shd w:val="clear" w:color="auto" w:fill="auto"/>
            <w:noWrap/>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 </w:t>
            </w:r>
          </w:p>
        </w:tc>
        <w:tc>
          <w:tcPr>
            <w:tcW w:w="660" w:type="dxa"/>
            <w:tcBorders>
              <w:top w:val="nil"/>
              <w:left w:val="single" w:sz="4" w:space="0" w:color="auto"/>
              <w:bottom w:val="single" w:sz="4" w:space="0" w:color="auto"/>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 </w:t>
            </w:r>
          </w:p>
        </w:tc>
        <w:tc>
          <w:tcPr>
            <w:tcW w:w="560" w:type="dxa"/>
            <w:tcBorders>
              <w:top w:val="nil"/>
              <w:left w:val="nil"/>
              <w:bottom w:val="single" w:sz="4" w:space="0" w:color="auto"/>
              <w:right w:val="single" w:sz="4" w:space="0" w:color="auto"/>
            </w:tcBorders>
            <w:shd w:val="clear" w:color="000000" w:fill="FFFFFF"/>
            <w:vAlign w:val="center"/>
            <w:hideMark/>
          </w:tcPr>
          <w:p w:rsidR="00842AEC" w:rsidRPr="00842AEC" w:rsidRDefault="00842AEC" w:rsidP="00842AEC">
            <w:pPr>
              <w:spacing w:after="0" w:line="240" w:lineRule="auto"/>
              <w:jc w:val="center"/>
              <w:rPr>
                <w:rFonts w:ascii="Barlow" w:hAnsi="Barlow"/>
                <w:color w:val="000000"/>
                <w:sz w:val="20"/>
                <w:szCs w:val="20"/>
              </w:rPr>
            </w:pPr>
            <w:r w:rsidRPr="00842AEC">
              <w:rPr>
                <w:rFonts w:ascii="Barlow" w:hAnsi="Barlow"/>
                <w:color w:val="000000"/>
                <w:sz w:val="20"/>
                <w:szCs w:val="20"/>
              </w:rPr>
              <w:t> </w:t>
            </w:r>
          </w:p>
        </w:tc>
      </w:tr>
      <w:tr w:rsidR="00842AEC" w:rsidRPr="00842AEC" w:rsidTr="00842AEC">
        <w:trPr>
          <w:trHeight w:val="255"/>
        </w:trPr>
        <w:tc>
          <w:tcPr>
            <w:tcW w:w="12182" w:type="dxa"/>
            <w:gridSpan w:val="13"/>
            <w:tcBorders>
              <w:top w:val="nil"/>
              <w:left w:val="nil"/>
              <w:bottom w:val="nil"/>
              <w:right w:val="nil"/>
            </w:tcBorders>
            <w:shd w:val="clear" w:color="000000" w:fill="FFFFFF"/>
            <w:vAlign w:val="center"/>
            <w:hideMark/>
          </w:tcPr>
          <w:p w:rsidR="00842AEC" w:rsidRPr="00842AEC" w:rsidRDefault="00842AEC" w:rsidP="00842AEC">
            <w:pPr>
              <w:spacing w:after="0" w:line="240" w:lineRule="auto"/>
              <w:ind w:firstLineChars="200" w:firstLine="400"/>
              <w:rPr>
                <w:rFonts w:ascii="Barlow" w:hAnsi="Barlow"/>
                <w:color w:val="000000"/>
                <w:sz w:val="20"/>
                <w:szCs w:val="20"/>
              </w:rPr>
            </w:pPr>
            <w:r w:rsidRPr="00842AEC">
              <w:rPr>
                <w:rFonts w:ascii="Barlow" w:hAnsi="Barlow"/>
                <w:color w:val="000000"/>
                <w:sz w:val="20"/>
                <w:szCs w:val="20"/>
              </w:rPr>
              <w:t> </w:t>
            </w:r>
          </w:p>
        </w:tc>
      </w:tr>
      <w:tr w:rsidR="00842AEC" w:rsidRPr="00842AEC" w:rsidTr="00842AEC">
        <w:trPr>
          <w:trHeight w:val="255"/>
        </w:trPr>
        <w:tc>
          <w:tcPr>
            <w:tcW w:w="12182" w:type="dxa"/>
            <w:gridSpan w:val="13"/>
            <w:tcBorders>
              <w:top w:val="nil"/>
              <w:left w:val="nil"/>
              <w:bottom w:val="nil"/>
              <w:right w:val="nil"/>
            </w:tcBorders>
            <w:shd w:val="clear" w:color="000000" w:fill="FFFFFF"/>
            <w:vAlign w:val="center"/>
            <w:hideMark/>
          </w:tcPr>
          <w:p w:rsidR="00842AEC" w:rsidRPr="00842AEC" w:rsidRDefault="00842AEC" w:rsidP="00842AEC">
            <w:pPr>
              <w:spacing w:after="0" w:line="240" w:lineRule="auto"/>
              <w:ind w:firstLineChars="200" w:firstLine="400"/>
              <w:rPr>
                <w:rFonts w:ascii="Barlow" w:hAnsi="Barlow"/>
                <w:color w:val="000000"/>
                <w:sz w:val="20"/>
                <w:szCs w:val="20"/>
              </w:rPr>
            </w:pPr>
            <w:proofErr w:type="gramStart"/>
            <w:r w:rsidRPr="00842AEC">
              <w:rPr>
                <w:rFonts w:ascii="Barlow" w:hAnsi="Barlow"/>
                <w:color w:val="000000"/>
                <w:sz w:val="20"/>
                <w:szCs w:val="20"/>
              </w:rPr>
              <w:t>a</w:t>
            </w:r>
            <w:proofErr w:type="gramEnd"/>
            <w:r w:rsidRPr="00842AEC">
              <w:rPr>
                <w:rFonts w:ascii="Barlow" w:hAnsi="Barlow"/>
                <w:color w:val="000000"/>
                <w:sz w:val="20"/>
                <w:szCs w:val="20"/>
              </w:rPr>
              <w:t xml:space="preserve">/ se refiere  a personas , mujeres  y hombres mayas hablantes  con asistencia legal. </w:t>
            </w:r>
          </w:p>
        </w:tc>
      </w:tr>
      <w:tr w:rsidR="00842AEC" w:rsidRPr="00842AEC" w:rsidTr="00842AEC">
        <w:trPr>
          <w:trHeight w:val="255"/>
        </w:trPr>
        <w:tc>
          <w:tcPr>
            <w:tcW w:w="12182" w:type="dxa"/>
            <w:gridSpan w:val="13"/>
            <w:tcBorders>
              <w:top w:val="nil"/>
              <w:left w:val="nil"/>
              <w:bottom w:val="nil"/>
              <w:right w:val="nil"/>
            </w:tcBorders>
            <w:shd w:val="clear" w:color="000000" w:fill="FFFFFF"/>
            <w:vAlign w:val="center"/>
            <w:hideMark/>
          </w:tcPr>
          <w:p w:rsidR="00842AEC" w:rsidRPr="00842AEC" w:rsidRDefault="00842AEC" w:rsidP="00842AEC">
            <w:pPr>
              <w:spacing w:after="0" w:line="240" w:lineRule="auto"/>
              <w:ind w:firstLineChars="200" w:firstLine="400"/>
              <w:rPr>
                <w:rFonts w:ascii="Barlow" w:hAnsi="Barlow"/>
                <w:color w:val="000000"/>
                <w:sz w:val="20"/>
                <w:szCs w:val="20"/>
              </w:rPr>
            </w:pPr>
            <w:r w:rsidRPr="00842AEC">
              <w:rPr>
                <w:rFonts w:ascii="Barlow" w:hAnsi="Barlow"/>
                <w:color w:val="000000"/>
                <w:sz w:val="20"/>
                <w:szCs w:val="20"/>
              </w:rPr>
              <w:t>Fuente: Comisión de Derechos Humanos del Estado de Yucatán (Codhey); Presidencia, Oficialia de Quejas y Orientación</w:t>
            </w:r>
          </w:p>
        </w:tc>
      </w:tr>
      <w:tr w:rsidR="00842AEC" w:rsidRPr="00842AEC" w:rsidTr="00842AEC">
        <w:trPr>
          <w:trHeight w:val="255"/>
        </w:trPr>
        <w:tc>
          <w:tcPr>
            <w:tcW w:w="12182" w:type="dxa"/>
            <w:gridSpan w:val="13"/>
            <w:tcBorders>
              <w:top w:val="nil"/>
              <w:left w:val="nil"/>
              <w:bottom w:val="nil"/>
              <w:right w:val="nil"/>
            </w:tcBorders>
            <w:shd w:val="clear" w:color="000000" w:fill="FFFFFF"/>
            <w:vAlign w:val="center"/>
            <w:hideMark/>
          </w:tcPr>
          <w:p w:rsidR="00842AEC" w:rsidRPr="00842AEC" w:rsidRDefault="00842AEC" w:rsidP="00842AEC">
            <w:pPr>
              <w:spacing w:after="0" w:line="240" w:lineRule="auto"/>
              <w:ind w:firstLineChars="200" w:firstLine="400"/>
              <w:rPr>
                <w:rFonts w:ascii="Barlow" w:hAnsi="Barlow"/>
                <w:color w:val="000000"/>
                <w:sz w:val="20"/>
                <w:szCs w:val="20"/>
              </w:rPr>
            </w:pPr>
            <w:r w:rsidRPr="00842AEC">
              <w:rPr>
                <w:rFonts w:ascii="Barlow" w:hAnsi="Barlow"/>
                <w:color w:val="000000"/>
                <w:sz w:val="20"/>
                <w:szCs w:val="20"/>
              </w:rPr>
              <w:t xml:space="preserve">              Comisión de Derechos Humanos del Estado de Yucatán (Codhey); Presidencia, Oficialia de Quejas y Orientación</w:t>
            </w:r>
          </w:p>
        </w:tc>
      </w:tr>
      <w:tr w:rsidR="00842AEC" w:rsidRPr="00842AEC" w:rsidTr="00842AEC">
        <w:trPr>
          <w:trHeight w:val="255"/>
        </w:trPr>
        <w:tc>
          <w:tcPr>
            <w:tcW w:w="1680" w:type="dxa"/>
            <w:tcBorders>
              <w:top w:val="nil"/>
              <w:left w:val="nil"/>
              <w:bottom w:val="nil"/>
              <w:right w:val="nil"/>
            </w:tcBorders>
            <w:shd w:val="clear" w:color="auto" w:fill="auto"/>
            <w:noWrap/>
            <w:hideMark/>
          </w:tcPr>
          <w:p w:rsidR="00842AEC" w:rsidRPr="00842AEC" w:rsidRDefault="00842AEC" w:rsidP="00842AEC">
            <w:pPr>
              <w:spacing w:after="0" w:line="240" w:lineRule="auto"/>
              <w:ind w:firstLineChars="200" w:firstLine="400"/>
              <w:rPr>
                <w:rFonts w:ascii="Barlow" w:hAnsi="Barlow"/>
                <w:color w:val="000000"/>
                <w:sz w:val="20"/>
                <w:szCs w:val="20"/>
              </w:rPr>
            </w:pPr>
          </w:p>
        </w:tc>
        <w:tc>
          <w:tcPr>
            <w:tcW w:w="72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252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88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94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100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58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60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822"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56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66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66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c>
          <w:tcPr>
            <w:tcW w:w="560" w:type="dxa"/>
            <w:tcBorders>
              <w:top w:val="nil"/>
              <w:left w:val="nil"/>
              <w:bottom w:val="nil"/>
              <w:right w:val="nil"/>
            </w:tcBorders>
            <w:shd w:val="clear" w:color="auto" w:fill="auto"/>
            <w:noWrap/>
            <w:hideMark/>
          </w:tcPr>
          <w:p w:rsidR="00842AEC" w:rsidRPr="00842AEC" w:rsidRDefault="00842AEC" w:rsidP="00842AEC">
            <w:pPr>
              <w:spacing w:after="0" w:line="240" w:lineRule="auto"/>
              <w:rPr>
                <w:rFonts w:ascii="Barlow" w:hAnsi="Barlow"/>
                <w:sz w:val="20"/>
                <w:szCs w:val="20"/>
              </w:rPr>
            </w:pPr>
          </w:p>
        </w:tc>
      </w:tr>
    </w:tbl>
    <w:p w:rsidR="00842AEC" w:rsidRPr="00842AEC" w:rsidRDefault="00842AEC" w:rsidP="00842AEC">
      <w:pPr>
        <w:spacing w:line="240" w:lineRule="auto"/>
        <w:rPr>
          <w:rFonts w:ascii="Barlow" w:hAnsi="Barlow" w:cs="Arial"/>
          <w:b/>
          <w:sz w:val="20"/>
          <w:szCs w:val="20"/>
        </w:rPr>
      </w:pPr>
    </w:p>
    <w:p w:rsidR="00842AEC" w:rsidRPr="00842AEC" w:rsidRDefault="00842AEC" w:rsidP="00842AEC">
      <w:pPr>
        <w:spacing w:line="240" w:lineRule="auto"/>
        <w:rPr>
          <w:rFonts w:ascii="Barlow" w:hAnsi="Barlow" w:cs="Arial"/>
          <w:b/>
          <w:sz w:val="20"/>
          <w:szCs w:val="20"/>
        </w:rPr>
      </w:pPr>
      <w:r w:rsidRPr="00842AEC">
        <w:rPr>
          <w:rFonts w:ascii="Barlow" w:hAnsi="Barlow" w:cs="Arial"/>
          <w:b/>
          <w:sz w:val="20"/>
          <w:szCs w:val="20"/>
        </w:rPr>
        <w:t>14. No aplica</w:t>
      </w:r>
    </w:p>
    <w:p w:rsidR="00842AEC" w:rsidRPr="00842AEC" w:rsidRDefault="00842AEC" w:rsidP="00842AEC">
      <w:pPr>
        <w:spacing w:line="240" w:lineRule="auto"/>
        <w:rPr>
          <w:rFonts w:ascii="Barlow" w:hAnsi="Barlow" w:cs="Arial"/>
          <w:b/>
          <w:sz w:val="20"/>
          <w:szCs w:val="20"/>
        </w:rPr>
      </w:pPr>
      <w:r w:rsidRPr="00842AEC">
        <w:rPr>
          <w:rFonts w:ascii="Barlow" w:hAnsi="Barlow" w:cs="Arial"/>
          <w:b/>
          <w:sz w:val="20"/>
          <w:szCs w:val="20"/>
        </w:rPr>
        <w:t>15. No aplica</w:t>
      </w:r>
    </w:p>
    <w:p w:rsidR="00842AEC" w:rsidRPr="00842AEC" w:rsidRDefault="00842AEC" w:rsidP="00842AEC">
      <w:pPr>
        <w:spacing w:line="240" w:lineRule="auto"/>
        <w:rPr>
          <w:rFonts w:ascii="Barlow" w:hAnsi="Barlow" w:cs="Arial"/>
          <w:b/>
          <w:sz w:val="20"/>
          <w:szCs w:val="20"/>
        </w:rPr>
      </w:pPr>
      <w:r w:rsidRPr="00842AEC">
        <w:rPr>
          <w:rFonts w:ascii="Barlow" w:hAnsi="Barlow" w:cs="Arial"/>
          <w:b/>
          <w:sz w:val="20"/>
          <w:szCs w:val="20"/>
        </w:rPr>
        <w:t>16. No aplica</w:t>
      </w:r>
    </w:p>
    <w:p w:rsidR="00842AEC" w:rsidRPr="00842AEC" w:rsidRDefault="00842AEC" w:rsidP="00842AEC">
      <w:pPr>
        <w:spacing w:line="240" w:lineRule="auto"/>
        <w:rPr>
          <w:rFonts w:ascii="Barlow" w:hAnsi="Barlow" w:cs="Arial"/>
          <w:b/>
          <w:sz w:val="20"/>
          <w:szCs w:val="20"/>
        </w:rPr>
      </w:pPr>
      <w:r w:rsidRPr="00842AEC">
        <w:rPr>
          <w:rFonts w:ascii="Barlow" w:hAnsi="Barlow" w:cs="Arial"/>
          <w:b/>
          <w:sz w:val="20"/>
          <w:szCs w:val="20"/>
        </w:rPr>
        <w:t>17.- Responsabilidad sobre la presentación razonable de la información contable</w:t>
      </w:r>
    </w:p>
    <w:p w:rsidR="004155DB" w:rsidRPr="00842AEC" w:rsidRDefault="004155DB" w:rsidP="00842AEC">
      <w:pPr>
        <w:spacing w:line="240" w:lineRule="auto"/>
        <w:rPr>
          <w:rFonts w:ascii="Barlow" w:hAnsi="Barlow" w:cs="Arial"/>
          <w:b/>
          <w:sz w:val="20"/>
          <w:szCs w:val="20"/>
        </w:rPr>
      </w:pPr>
    </w:p>
    <w:p w:rsidR="00C650AD" w:rsidRPr="00842AEC" w:rsidRDefault="00C650AD" w:rsidP="004155DB">
      <w:pPr>
        <w:spacing w:line="240" w:lineRule="auto"/>
        <w:rPr>
          <w:rFonts w:ascii="Barlow" w:hAnsi="Barlow" w:cs="Arial"/>
          <w:b/>
          <w:sz w:val="20"/>
          <w:szCs w:val="20"/>
        </w:rPr>
      </w:pPr>
    </w:p>
    <w:p w:rsidR="00C650AD" w:rsidRPr="00842AEC" w:rsidRDefault="00C650AD" w:rsidP="006F3019">
      <w:pPr>
        <w:spacing w:line="240" w:lineRule="auto"/>
        <w:rPr>
          <w:rFonts w:ascii="Barlow" w:hAnsi="Barlow" w:cs="Arial"/>
          <w:b/>
          <w:sz w:val="20"/>
          <w:szCs w:val="20"/>
        </w:rPr>
      </w:pPr>
    </w:p>
    <w:p w:rsidR="00253EDE" w:rsidRPr="00842AEC" w:rsidRDefault="00253EDE" w:rsidP="006F3019">
      <w:pPr>
        <w:spacing w:line="240" w:lineRule="auto"/>
        <w:rPr>
          <w:rFonts w:ascii="Barlow" w:hAnsi="Barlow" w:cs="Arial"/>
          <w:sz w:val="20"/>
          <w:szCs w:val="20"/>
        </w:rPr>
      </w:pPr>
      <w:r w:rsidRPr="00842AEC">
        <w:rPr>
          <w:rFonts w:ascii="Barlow" w:hAnsi="Barlow" w:cs="Arial"/>
          <w:sz w:val="20"/>
          <w:szCs w:val="20"/>
        </w:rPr>
        <w:t>Bajo protesta de decir verdad declaramos que</w:t>
      </w:r>
      <w:r w:rsidR="008D6CEA" w:rsidRPr="00842AEC">
        <w:rPr>
          <w:rFonts w:ascii="Barlow" w:hAnsi="Barlow" w:cs="Arial"/>
          <w:sz w:val="20"/>
          <w:szCs w:val="20"/>
        </w:rPr>
        <w:t xml:space="preserve"> los Estados Financieros y sus N</w:t>
      </w:r>
      <w:r w:rsidRPr="00842AEC">
        <w:rPr>
          <w:rFonts w:ascii="Barlow" w:hAnsi="Barlow" w:cs="Arial"/>
          <w:sz w:val="20"/>
          <w:szCs w:val="20"/>
        </w:rPr>
        <w:t>otas son razonablemente correctos y responsabilidad</w:t>
      </w:r>
      <w:bookmarkStart w:id="0" w:name="_GoBack"/>
      <w:bookmarkEnd w:id="0"/>
      <w:r w:rsidRPr="00842AEC">
        <w:rPr>
          <w:rFonts w:ascii="Barlow" w:hAnsi="Barlow" w:cs="Arial"/>
          <w:sz w:val="20"/>
          <w:szCs w:val="20"/>
        </w:rPr>
        <w:t xml:space="preserve"> del emisor.</w:t>
      </w:r>
    </w:p>
    <w:sectPr w:rsidR="00253EDE" w:rsidRPr="00842AEC" w:rsidSect="00F52107">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A485B"/>
    <w:multiLevelType w:val="hybridMultilevel"/>
    <w:tmpl w:val="D6C27EFA"/>
    <w:lvl w:ilvl="0" w:tplc="FFFFFFFF">
      <w:start w:val="1"/>
      <w:numFmt w:val="lowerLetter"/>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379478A7"/>
    <w:multiLevelType w:val="hybridMultilevel"/>
    <w:tmpl w:val="B32C19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75F62B1B"/>
    <w:multiLevelType w:val="hybridMultilevel"/>
    <w:tmpl w:val="C16E11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0748"/>
    <w:rsid w:val="0000391A"/>
    <w:rsid w:val="00022C7F"/>
    <w:rsid w:val="00031D5D"/>
    <w:rsid w:val="00057721"/>
    <w:rsid w:val="000773CA"/>
    <w:rsid w:val="00093121"/>
    <w:rsid w:val="000B6821"/>
    <w:rsid w:val="00181EA4"/>
    <w:rsid w:val="001A4D37"/>
    <w:rsid w:val="001C042A"/>
    <w:rsid w:val="001D7289"/>
    <w:rsid w:val="00253EDE"/>
    <w:rsid w:val="00261B6F"/>
    <w:rsid w:val="00281971"/>
    <w:rsid w:val="00290CEF"/>
    <w:rsid w:val="002A23F8"/>
    <w:rsid w:val="002A4FB0"/>
    <w:rsid w:val="002B033D"/>
    <w:rsid w:val="002C58EF"/>
    <w:rsid w:val="002E4DDD"/>
    <w:rsid w:val="002F04C2"/>
    <w:rsid w:val="00302D2C"/>
    <w:rsid w:val="0030548C"/>
    <w:rsid w:val="003129FF"/>
    <w:rsid w:val="0036094C"/>
    <w:rsid w:val="00367291"/>
    <w:rsid w:val="00384B9D"/>
    <w:rsid w:val="00386166"/>
    <w:rsid w:val="003E2DC9"/>
    <w:rsid w:val="003E5BEC"/>
    <w:rsid w:val="003E7B74"/>
    <w:rsid w:val="004155DB"/>
    <w:rsid w:val="004279AE"/>
    <w:rsid w:val="004A1440"/>
    <w:rsid w:val="005620D4"/>
    <w:rsid w:val="00594617"/>
    <w:rsid w:val="005B49D1"/>
    <w:rsid w:val="00626DFB"/>
    <w:rsid w:val="0067300E"/>
    <w:rsid w:val="00681BB9"/>
    <w:rsid w:val="006F0BF0"/>
    <w:rsid w:val="006F3019"/>
    <w:rsid w:val="00727D05"/>
    <w:rsid w:val="007B29CC"/>
    <w:rsid w:val="007B46FA"/>
    <w:rsid w:val="008161B1"/>
    <w:rsid w:val="00837370"/>
    <w:rsid w:val="00842AEC"/>
    <w:rsid w:val="0086214F"/>
    <w:rsid w:val="00895A4B"/>
    <w:rsid w:val="008A1B98"/>
    <w:rsid w:val="008D6CEA"/>
    <w:rsid w:val="008E7C04"/>
    <w:rsid w:val="00902D2A"/>
    <w:rsid w:val="00915AD7"/>
    <w:rsid w:val="00936B7F"/>
    <w:rsid w:val="00946FC4"/>
    <w:rsid w:val="009635D8"/>
    <w:rsid w:val="0096778E"/>
    <w:rsid w:val="009803E0"/>
    <w:rsid w:val="009F0748"/>
    <w:rsid w:val="00A776A5"/>
    <w:rsid w:val="00AA1A5D"/>
    <w:rsid w:val="00AB29EA"/>
    <w:rsid w:val="00AC09A0"/>
    <w:rsid w:val="00B45C5C"/>
    <w:rsid w:val="00B56042"/>
    <w:rsid w:val="00BD16EF"/>
    <w:rsid w:val="00BD7992"/>
    <w:rsid w:val="00BF6CAF"/>
    <w:rsid w:val="00C35015"/>
    <w:rsid w:val="00C47BA5"/>
    <w:rsid w:val="00C6163C"/>
    <w:rsid w:val="00C650AD"/>
    <w:rsid w:val="00C676D4"/>
    <w:rsid w:val="00CF58E2"/>
    <w:rsid w:val="00D10CAB"/>
    <w:rsid w:val="00D23B68"/>
    <w:rsid w:val="00D555D4"/>
    <w:rsid w:val="00D575BE"/>
    <w:rsid w:val="00D83798"/>
    <w:rsid w:val="00DE0304"/>
    <w:rsid w:val="00E16CF0"/>
    <w:rsid w:val="00E37307"/>
    <w:rsid w:val="00E76056"/>
    <w:rsid w:val="00E80347"/>
    <w:rsid w:val="00E83E10"/>
    <w:rsid w:val="00EA3E8B"/>
    <w:rsid w:val="00EB1E74"/>
    <w:rsid w:val="00EC0252"/>
    <w:rsid w:val="00EC612E"/>
    <w:rsid w:val="00F00843"/>
    <w:rsid w:val="00F2067F"/>
    <w:rsid w:val="00F52107"/>
    <w:rsid w:val="00F82F7B"/>
    <w:rsid w:val="00FA3603"/>
    <w:rsid w:val="00FC38E5"/>
    <w:rsid w:val="00FF3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9"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63C"/>
    <w:pPr>
      <w:spacing w:after="200" w:line="276" w:lineRule="auto"/>
    </w:pPr>
    <w:rPr>
      <w:sz w:val="22"/>
      <w:szCs w:val="22"/>
    </w:rPr>
  </w:style>
  <w:style w:type="paragraph" w:styleId="Ttulo1">
    <w:name w:val="heading 1"/>
    <w:basedOn w:val="Normal"/>
    <w:next w:val="Normal"/>
    <w:link w:val="Ttulo1Car"/>
    <w:qFormat/>
    <w:rsid w:val="00FF3901"/>
    <w:pPr>
      <w:keepNext/>
      <w:spacing w:after="0" w:line="240" w:lineRule="auto"/>
      <w:outlineLvl w:val="0"/>
    </w:pPr>
    <w:rPr>
      <w:rFonts w:ascii="Times New Roman" w:hAnsi="Times New Roman"/>
      <w:b/>
      <w:bCs/>
      <w:sz w:val="24"/>
      <w:szCs w:val="24"/>
      <w:lang w:eastAsia="es-ES"/>
    </w:rPr>
  </w:style>
  <w:style w:type="paragraph" w:styleId="Ttulo4">
    <w:name w:val="heading 4"/>
    <w:basedOn w:val="Normal"/>
    <w:next w:val="Normal"/>
    <w:link w:val="Ttulo4Car"/>
    <w:uiPriority w:val="9"/>
    <w:qFormat/>
    <w:rsid w:val="007B29CC"/>
    <w:pPr>
      <w:keepNext/>
      <w:keepLines/>
      <w:spacing w:before="200" w:after="0"/>
      <w:outlineLvl w:val="3"/>
    </w:pPr>
    <w:rPr>
      <w:rFonts w:ascii="Cambria" w:hAnsi="Cambria"/>
      <w:b/>
      <w:bCs/>
      <w:i/>
      <w:iCs/>
      <w:color w:val="4F81BD"/>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hAnsi="Arial"/>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FF3901"/>
    <w:rPr>
      <w:rFonts w:ascii="Times New Roman" w:hAnsi="Times New Roman" w:cs="Times New Roman"/>
      <w:b/>
      <w:bCs/>
      <w:sz w:val="24"/>
      <w:szCs w:val="24"/>
      <w:lang w:eastAsia="es-ES"/>
    </w:rPr>
  </w:style>
  <w:style w:type="character" w:customStyle="1" w:styleId="Ttulo4Car">
    <w:name w:val="Título 4 Car"/>
    <w:link w:val="Ttulo4"/>
    <w:uiPriority w:val="9"/>
    <w:semiHidden/>
    <w:locked/>
    <w:rsid w:val="007B29CC"/>
    <w:rPr>
      <w:rFonts w:ascii="Cambria" w:hAnsi="Cambria" w:cs="Times New Roman"/>
      <w:b/>
      <w:bCs/>
      <w:i/>
      <w:iCs/>
      <w:color w:val="4F81BD"/>
    </w:rPr>
  </w:style>
  <w:style w:type="character" w:customStyle="1" w:styleId="Ttulo6Car">
    <w:name w:val="Título 6 Car"/>
    <w:link w:val="Ttulo6"/>
    <w:locked/>
    <w:rsid w:val="00FF3901"/>
    <w:rPr>
      <w:rFonts w:ascii="Arial" w:hAnsi="Arial" w:cs="Times New Roman"/>
      <w:b/>
      <w:sz w:val="24"/>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hAnsi="Times New Roman"/>
      <w:sz w:val="24"/>
      <w:szCs w:val="24"/>
      <w:lang w:eastAsia="es-ES"/>
    </w:rPr>
  </w:style>
  <w:style w:type="character" w:customStyle="1" w:styleId="SangradetextonormalCar">
    <w:name w:val="Sangría de texto normal Car"/>
    <w:link w:val="Sangradetextonormal"/>
    <w:locked/>
    <w:rsid w:val="00FF3901"/>
    <w:rPr>
      <w:rFonts w:ascii="Times New Roman" w:hAnsi="Times New Roman" w:cs="Times New Roman"/>
      <w:sz w:val="24"/>
      <w:szCs w:val="24"/>
      <w:lang w:eastAsia="es-ES"/>
    </w:rPr>
  </w:style>
  <w:style w:type="table" w:styleId="Tablaconcuadrcula">
    <w:name w:val="Table Grid"/>
    <w:basedOn w:val="Tablanormal"/>
    <w:rsid w:val="00FF3901"/>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4155DB"/>
    <w:pPr>
      <w:spacing w:after="0" w:line="240" w:lineRule="auto"/>
    </w:pPr>
    <w:rPr>
      <w:rFonts w:ascii="Tahoma" w:eastAsia="Calibri" w:hAnsi="Tahoma" w:cs="Tahoma"/>
      <w:sz w:val="16"/>
      <w:szCs w:val="16"/>
      <w:lang w:eastAsia="en-US"/>
    </w:rPr>
  </w:style>
  <w:style w:type="character" w:customStyle="1" w:styleId="TextodegloboCar">
    <w:name w:val="Texto de globo Car"/>
    <w:link w:val="Textodeglobo"/>
    <w:uiPriority w:val="99"/>
    <w:semiHidden/>
    <w:rsid w:val="004155DB"/>
    <w:rPr>
      <w:rFonts w:ascii="Tahoma" w:eastAsia="Calibri" w:hAnsi="Tahoma" w:cs="Tahoma"/>
      <w:sz w:val="16"/>
      <w:szCs w:val="16"/>
      <w:lang w:eastAsia="en-US"/>
    </w:rPr>
  </w:style>
  <w:style w:type="paragraph" w:styleId="Prrafodelista">
    <w:name w:val="List Paragraph"/>
    <w:basedOn w:val="Normal"/>
    <w:uiPriority w:val="34"/>
    <w:qFormat/>
    <w:rsid w:val="004155DB"/>
    <w:pPr>
      <w:ind w:left="720"/>
      <w:contextualSpacing/>
    </w:pPr>
    <w:rPr>
      <w:rFonts w:eastAsia="Calibri"/>
      <w:lang w:eastAsia="en-US"/>
    </w:rPr>
  </w:style>
  <w:style w:type="paragraph" w:styleId="Encabezado">
    <w:name w:val="header"/>
    <w:basedOn w:val="Normal"/>
    <w:link w:val="EncabezadoCar"/>
    <w:uiPriority w:val="99"/>
    <w:unhideWhenUsed/>
    <w:rsid w:val="004155DB"/>
    <w:pPr>
      <w:tabs>
        <w:tab w:val="center" w:pos="4419"/>
        <w:tab w:val="right" w:pos="8838"/>
      </w:tabs>
      <w:spacing w:after="0" w:line="240" w:lineRule="auto"/>
    </w:pPr>
    <w:rPr>
      <w:rFonts w:eastAsia="Calibri"/>
      <w:lang w:eastAsia="en-US"/>
    </w:rPr>
  </w:style>
  <w:style w:type="character" w:customStyle="1" w:styleId="EncabezadoCar">
    <w:name w:val="Encabezado Car"/>
    <w:link w:val="Encabezado"/>
    <w:uiPriority w:val="99"/>
    <w:rsid w:val="004155DB"/>
    <w:rPr>
      <w:rFonts w:eastAsia="Calibri"/>
      <w:sz w:val="22"/>
      <w:szCs w:val="22"/>
      <w:lang w:eastAsia="en-US"/>
    </w:rPr>
  </w:style>
  <w:style w:type="paragraph" w:styleId="Piedepgina">
    <w:name w:val="footer"/>
    <w:basedOn w:val="Normal"/>
    <w:link w:val="PiedepginaCar"/>
    <w:uiPriority w:val="99"/>
    <w:unhideWhenUsed/>
    <w:rsid w:val="004155DB"/>
    <w:pPr>
      <w:tabs>
        <w:tab w:val="center" w:pos="4419"/>
        <w:tab w:val="right" w:pos="8838"/>
      </w:tabs>
      <w:spacing w:after="0" w:line="240" w:lineRule="auto"/>
    </w:pPr>
    <w:rPr>
      <w:rFonts w:eastAsia="Calibri"/>
      <w:lang w:eastAsia="en-US"/>
    </w:rPr>
  </w:style>
  <w:style w:type="character" w:customStyle="1" w:styleId="PiedepginaCar">
    <w:name w:val="Pie de página Car"/>
    <w:link w:val="Piedepgina"/>
    <w:uiPriority w:val="99"/>
    <w:rsid w:val="004155DB"/>
    <w:rPr>
      <w:rFonts w:eastAsia="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547584">
      <w:bodyDiv w:val="1"/>
      <w:marLeft w:val="0"/>
      <w:marRight w:val="0"/>
      <w:marTop w:val="0"/>
      <w:marBottom w:val="0"/>
      <w:divBdr>
        <w:top w:val="none" w:sz="0" w:space="0" w:color="auto"/>
        <w:left w:val="none" w:sz="0" w:space="0" w:color="auto"/>
        <w:bottom w:val="none" w:sz="0" w:space="0" w:color="auto"/>
        <w:right w:val="none" w:sz="0" w:space="0" w:color="auto"/>
      </w:divBdr>
    </w:div>
    <w:div w:id="212750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3D003-77FB-49B7-A378-5AD308D2D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18</Pages>
  <Words>3359</Words>
  <Characters>18476</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Cuenta Pública 2015</vt:lpstr>
    </vt:vector>
  </TitlesOfParts>
  <Company/>
  <LinksUpToDate>false</LinksUpToDate>
  <CharactersWithSpaces>21792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Cuenta Pública 2015</dc:title>
  <dc:subject/>
  <dc:creator>Rita A. Hernandez Cruz</dc:creator>
  <cp:keywords/>
  <dc:description/>
  <cp:lastModifiedBy>Sharon Y. Lara Medrano</cp:lastModifiedBy>
  <cp:revision>18</cp:revision>
  <cp:lastPrinted>2017-03-07T17:45:00Z</cp:lastPrinted>
  <dcterms:created xsi:type="dcterms:W3CDTF">2016-03-08T22:46:00Z</dcterms:created>
  <dcterms:modified xsi:type="dcterms:W3CDTF">2019-05-03T21:59:00Z</dcterms:modified>
</cp:coreProperties>
</file>