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1328" w:rsidRDefault="003A1328" w:rsidP="003A1328">
      <w:pPr>
        <w:widowControl/>
        <w:autoSpaceDE/>
        <w:adjustRightInd/>
        <w:spacing w:after="200"/>
        <w:jc w:val="center"/>
        <w:rPr>
          <w:rFonts w:ascii="Barlow" w:eastAsia="Calibri" w:hAnsi="Barlow" w:cs="Arial"/>
          <w:b/>
          <w:sz w:val="20"/>
          <w:szCs w:val="20"/>
          <w:lang w:val="es-MX" w:eastAsia="en-US"/>
        </w:rPr>
      </w:pPr>
      <w:r>
        <w:rPr>
          <w:rFonts w:ascii="Barlow" w:eastAsia="Calibri" w:hAnsi="Barlow" w:cs="Arial"/>
          <w:b/>
          <w:sz w:val="20"/>
          <w:szCs w:val="20"/>
          <w:lang w:val="es-MX" w:eastAsia="en-US"/>
        </w:rPr>
        <w:t>Cuenta Pública 2019</w:t>
      </w:r>
    </w:p>
    <w:p w:rsidR="003A1328" w:rsidRDefault="003A1328" w:rsidP="003A1328">
      <w:pPr>
        <w:widowControl/>
        <w:autoSpaceDE/>
        <w:adjustRightInd/>
        <w:spacing w:after="200"/>
        <w:jc w:val="center"/>
        <w:rPr>
          <w:rFonts w:ascii="Barlow" w:eastAsia="Calibri" w:hAnsi="Barlow" w:cs="Arial"/>
          <w:b/>
          <w:sz w:val="20"/>
          <w:szCs w:val="20"/>
          <w:lang w:val="es-MX" w:eastAsia="en-US"/>
        </w:rPr>
      </w:pPr>
      <w:r>
        <w:rPr>
          <w:rFonts w:ascii="Barlow" w:eastAsia="Calibri" w:hAnsi="Barlow" w:cs="Arial"/>
          <w:b/>
          <w:sz w:val="20"/>
          <w:szCs w:val="20"/>
          <w:lang w:val="es-MX" w:eastAsia="en-US"/>
        </w:rPr>
        <w:t>Nota a los Estados Financieros</w:t>
      </w:r>
    </w:p>
    <w:p w:rsidR="003A1328" w:rsidRDefault="003A1328" w:rsidP="003A1328">
      <w:pPr>
        <w:widowControl/>
        <w:autoSpaceDE/>
        <w:adjustRightInd/>
        <w:spacing w:after="200"/>
        <w:jc w:val="center"/>
        <w:rPr>
          <w:rFonts w:ascii="Barlow" w:eastAsia="Calibri" w:hAnsi="Barlow" w:cs="Arial"/>
          <w:b/>
          <w:sz w:val="20"/>
          <w:szCs w:val="20"/>
          <w:lang w:val="es-MX" w:eastAsia="en-US"/>
        </w:rPr>
      </w:pPr>
      <w:r>
        <w:rPr>
          <w:rFonts w:ascii="Barlow" w:eastAsia="Calibri" w:hAnsi="Barlow" w:cs="Arial"/>
          <w:b/>
          <w:sz w:val="20"/>
          <w:szCs w:val="20"/>
          <w:lang w:val="es-MX" w:eastAsia="en-US"/>
        </w:rPr>
        <w:t>Al 31 de Marzo de 2019</w:t>
      </w:r>
    </w:p>
    <w:p w:rsidR="003A1328" w:rsidRDefault="003A1328" w:rsidP="003A1328">
      <w:pPr>
        <w:widowControl/>
        <w:autoSpaceDE/>
        <w:adjustRightInd/>
        <w:spacing w:after="200"/>
        <w:jc w:val="center"/>
        <w:rPr>
          <w:rFonts w:ascii="Barlow" w:eastAsia="Calibri" w:hAnsi="Barlow" w:cs="Arial"/>
          <w:b/>
          <w:sz w:val="20"/>
          <w:szCs w:val="20"/>
          <w:lang w:val="es-MX" w:eastAsia="en-US"/>
        </w:rPr>
      </w:pPr>
    </w:p>
    <w:p w:rsidR="003A1328" w:rsidRDefault="003A1328" w:rsidP="003A1328">
      <w:pPr>
        <w:widowControl/>
        <w:autoSpaceDE/>
        <w:adjustRightInd/>
        <w:spacing w:after="200"/>
        <w:rPr>
          <w:rFonts w:ascii="Barlow" w:eastAsia="Calibri" w:hAnsi="Barlow" w:cs="Arial"/>
          <w:b/>
          <w:sz w:val="20"/>
          <w:szCs w:val="20"/>
          <w:lang w:val="es-MX" w:eastAsia="en-US"/>
        </w:rPr>
      </w:pPr>
      <w:r>
        <w:rPr>
          <w:rFonts w:ascii="Barlow" w:eastAsia="Calibri" w:hAnsi="Barlow" w:cs="Arial"/>
          <w:b/>
          <w:sz w:val="20"/>
          <w:szCs w:val="20"/>
          <w:lang w:val="es-MX" w:eastAsia="en-US"/>
        </w:rPr>
        <w:t>Ente Público</w:t>
      </w:r>
      <w:proofErr w:type="gramStart"/>
      <w:r>
        <w:rPr>
          <w:rFonts w:ascii="Barlow" w:eastAsia="Calibri" w:hAnsi="Barlow" w:cs="Arial"/>
          <w:b/>
          <w:sz w:val="20"/>
          <w:szCs w:val="20"/>
          <w:lang w:val="es-MX" w:eastAsia="en-US"/>
        </w:rPr>
        <w:t>:  AGENCIA</w:t>
      </w:r>
      <w:proofErr w:type="gramEnd"/>
      <w:r>
        <w:rPr>
          <w:rFonts w:ascii="Barlow" w:eastAsia="Calibri" w:hAnsi="Barlow" w:cs="Arial"/>
          <w:b/>
          <w:sz w:val="20"/>
          <w:szCs w:val="20"/>
          <w:lang w:val="es-MX" w:eastAsia="en-US"/>
        </w:rPr>
        <w:t xml:space="preserve"> PARA EL DESARROLLO DE YUCATÁN</w:t>
      </w:r>
      <w:bookmarkStart w:id="0" w:name="_GoBack"/>
      <w:bookmarkEnd w:id="0"/>
    </w:p>
    <w:p w:rsidR="003A1328" w:rsidRDefault="003A1328" w:rsidP="003A1328">
      <w:pPr>
        <w:pStyle w:val="Prrafodelista"/>
        <w:rPr>
          <w:rStyle w:val="FontStyle16"/>
          <w:rFonts w:ascii="Barlow" w:hAnsi="Barlow" w:cs="Calibri"/>
          <w:sz w:val="20"/>
          <w:szCs w:val="20"/>
        </w:rPr>
      </w:pPr>
    </w:p>
    <w:tbl>
      <w:tblPr>
        <w:tblW w:w="5000" w:type="pct"/>
        <w:tblCellMar>
          <w:left w:w="70" w:type="dxa"/>
          <w:right w:w="70" w:type="dxa"/>
        </w:tblCellMar>
        <w:tblLook w:val="04A0" w:firstRow="1" w:lastRow="0" w:firstColumn="1" w:lastColumn="0" w:noHBand="0" w:noVBand="1"/>
      </w:tblPr>
      <w:tblGrid>
        <w:gridCol w:w="1248"/>
        <w:gridCol w:w="12464"/>
      </w:tblGrid>
      <w:tr w:rsidR="003A1328" w:rsidTr="003A1328">
        <w:trPr>
          <w:trHeight w:val="315"/>
        </w:trPr>
        <w:tc>
          <w:tcPr>
            <w:tcW w:w="4947" w:type="pct"/>
            <w:gridSpan w:val="2"/>
            <w:noWrap/>
            <w:vAlign w:val="bottom"/>
          </w:tcPr>
          <w:p w:rsidR="003A1328" w:rsidRDefault="003A1328">
            <w:pPr>
              <w:spacing w:line="276" w:lineRule="auto"/>
              <w:jc w:val="center"/>
              <w:rPr>
                <w:rFonts w:ascii="Barlow" w:hAnsi="Barlow" w:cs="Calibri"/>
                <w:b/>
                <w:bCs/>
                <w:sz w:val="20"/>
                <w:szCs w:val="20"/>
                <w:lang w:eastAsia="en-US"/>
              </w:rPr>
            </w:pPr>
          </w:p>
          <w:p w:rsidR="003A1328" w:rsidRDefault="003A1328">
            <w:pPr>
              <w:spacing w:line="276" w:lineRule="auto"/>
              <w:jc w:val="center"/>
              <w:rPr>
                <w:rFonts w:ascii="Barlow" w:hAnsi="Barlow" w:cs="Calibri"/>
                <w:b/>
                <w:bCs/>
                <w:sz w:val="20"/>
                <w:szCs w:val="20"/>
                <w:lang w:eastAsia="en-US"/>
              </w:rPr>
            </w:pPr>
          </w:p>
          <w:p w:rsidR="003A1328" w:rsidRDefault="003A1328">
            <w:pPr>
              <w:spacing w:line="276" w:lineRule="auto"/>
              <w:jc w:val="center"/>
              <w:rPr>
                <w:rFonts w:ascii="Barlow" w:hAnsi="Barlow" w:cs="Calibri"/>
                <w:b/>
                <w:bCs/>
                <w:sz w:val="20"/>
                <w:szCs w:val="20"/>
                <w:lang w:eastAsia="en-US"/>
              </w:rPr>
            </w:pPr>
          </w:p>
          <w:p w:rsidR="003A1328" w:rsidRDefault="003A1328">
            <w:pPr>
              <w:spacing w:line="276" w:lineRule="auto"/>
              <w:jc w:val="center"/>
              <w:rPr>
                <w:rFonts w:ascii="Barlow" w:hAnsi="Barlow" w:cs="Calibri"/>
                <w:b/>
                <w:bCs/>
                <w:sz w:val="20"/>
                <w:szCs w:val="20"/>
                <w:lang w:eastAsia="en-US"/>
              </w:rPr>
            </w:pPr>
          </w:p>
          <w:p w:rsidR="003A1328" w:rsidRDefault="003A1328">
            <w:pPr>
              <w:spacing w:line="276" w:lineRule="auto"/>
              <w:jc w:val="center"/>
              <w:rPr>
                <w:rFonts w:ascii="Barlow" w:hAnsi="Barlow" w:cs="Calibri"/>
                <w:b/>
                <w:bCs/>
                <w:sz w:val="20"/>
                <w:szCs w:val="20"/>
                <w:lang w:eastAsia="en-US"/>
              </w:rPr>
            </w:pPr>
          </w:p>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NOTAS AL ESTADO DE SITUACION FINANCIERA</w:t>
            </w:r>
          </w:p>
        </w:tc>
      </w:tr>
      <w:tr w:rsidR="003A1328" w:rsidTr="003A1328">
        <w:trPr>
          <w:gridAfter w:val="1"/>
          <w:wAfter w:w="12360" w:type="dxa"/>
          <w:trHeight w:val="270"/>
        </w:trPr>
        <w:tc>
          <w:tcPr>
            <w:tcW w:w="450"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trHeight w:val="270"/>
        </w:trPr>
        <w:tc>
          <w:tcPr>
            <w:tcW w:w="4947" w:type="pct"/>
            <w:gridSpan w:val="2"/>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w:t>
            </w:r>
          </w:p>
        </w:tc>
      </w:tr>
      <w:tr w:rsidR="003A1328" w:rsidTr="003A1328">
        <w:trPr>
          <w:trHeight w:val="270"/>
        </w:trPr>
        <w:tc>
          <w:tcPr>
            <w:tcW w:w="4947" w:type="pct"/>
            <w:gridSpan w:val="2"/>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EFECTIVO Y EQUIVALENTES</w:t>
            </w:r>
          </w:p>
        </w:tc>
      </w:tr>
      <w:tr w:rsidR="003A1328" w:rsidTr="003A1328">
        <w:trPr>
          <w:gridAfter w:val="1"/>
          <w:wAfter w:w="12360" w:type="dxa"/>
          <w:trHeight w:val="255"/>
        </w:trPr>
        <w:tc>
          <w:tcPr>
            <w:tcW w:w="450"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trHeight w:val="825"/>
        </w:trPr>
        <w:tc>
          <w:tcPr>
            <w:tcW w:w="4947" w:type="pct"/>
            <w:gridSpan w:val="2"/>
          </w:tcPr>
          <w:p w:rsidR="003A1328" w:rsidRDefault="003A1328">
            <w:pPr>
              <w:pStyle w:val="Textoindependiente2"/>
              <w:spacing w:line="276" w:lineRule="auto"/>
              <w:rPr>
                <w:rFonts w:ascii="Barlow" w:hAnsi="Barlow" w:cs="Calibri"/>
                <w:bCs/>
                <w:sz w:val="20"/>
                <w:szCs w:val="20"/>
              </w:rPr>
            </w:pPr>
            <w:r>
              <w:rPr>
                <w:rFonts w:ascii="Barlow" w:hAnsi="Barlow" w:cs="Calibri"/>
                <w:bCs/>
                <w:sz w:val="20"/>
                <w:szCs w:val="20"/>
              </w:rPr>
              <w:t xml:space="preserve">El activo circulante, está conformado por: </w:t>
            </w:r>
          </w:p>
          <w:p w:rsidR="003A1328" w:rsidRDefault="003A1328">
            <w:pPr>
              <w:pStyle w:val="Textoindependiente2"/>
              <w:spacing w:line="276" w:lineRule="auto"/>
              <w:rPr>
                <w:rFonts w:ascii="Barlow" w:hAnsi="Barlow" w:cs="Calibri"/>
                <w:bCs/>
                <w:sz w:val="20"/>
                <w:szCs w:val="20"/>
              </w:rPr>
            </w:pPr>
            <w:r>
              <w:rPr>
                <w:rFonts w:ascii="Barlow" w:hAnsi="Barlow" w:cs="Calibri"/>
                <w:bCs/>
                <w:sz w:val="20"/>
                <w:szCs w:val="20"/>
              </w:rPr>
              <w:t>Caja por $15,756.71</w:t>
            </w:r>
          </w:p>
          <w:p w:rsidR="003A1328" w:rsidRDefault="003A1328">
            <w:pPr>
              <w:pStyle w:val="Textoindependiente2"/>
              <w:spacing w:line="276" w:lineRule="auto"/>
              <w:rPr>
                <w:rFonts w:ascii="Barlow" w:hAnsi="Barlow" w:cs="Calibri"/>
                <w:sz w:val="20"/>
                <w:szCs w:val="20"/>
              </w:rPr>
            </w:pPr>
            <w:r>
              <w:rPr>
                <w:rFonts w:ascii="Barlow" w:hAnsi="Barlow" w:cs="Calibri"/>
                <w:bCs/>
                <w:sz w:val="20"/>
                <w:szCs w:val="20"/>
              </w:rPr>
              <w:t xml:space="preserve"> Bancos por </w:t>
            </w:r>
            <w:r>
              <w:rPr>
                <w:rFonts w:ascii="Barlow" w:hAnsi="Barlow" w:cs="Calibri"/>
                <w:sz w:val="20"/>
                <w:szCs w:val="20"/>
              </w:rPr>
              <w:t>$1,432,033.49</w:t>
            </w:r>
          </w:p>
          <w:p w:rsidR="003A1328" w:rsidRDefault="003A1328">
            <w:pPr>
              <w:pStyle w:val="Textoindependiente2"/>
              <w:spacing w:line="276" w:lineRule="auto"/>
              <w:rPr>
                <w:rFonts w:ascii="Barlow" w:hAnsi="Barlow" w:cs="Calibri"/>
                <w:bCs/>
                <w:sz w:val="20"/>
                <w:szCs w:val="20"/>
              </w:rPr>
            </w:pPr>
          </w:p>
          <w:p w:rsidR="003A1328" w:rsidRDefault="003A1328">
            <w:pPr>
              <w:pStyle w:val="Textoindependiente2"/>
              <w:spacing w:line="276" w:lineRule="auto"/>
              <w:rPr>
                <w:rFonts w:ascii="Barlow" w:hAnsi="Barlow" w:cs="Calibri"/>
                <w:bCs/>
                <w:sz w:val="20"/>
                <w:szCs w:val="20"/>
              </w:rPr>
            </w:pPr>
          </w:p>
          <w:tbl>
            <w:tblPr>
              <w:tblW w:w="5000" w:type="pct"/>
              <w:tblCellMar>
                <w:left w:w="70" w:type="dxa"/>
                <w:right w:w="70" w:type="dxa"/>
              </w:tblCellMar>
              <w:tblLook w:val="04A0" w:firstRow="1" w:lastRow="0" w:firstColumn="1" w:lastColumn="0" w:noHBand="0" w:noVBand="1"/>
            </w:tblPr>
            <w:tblGrid>
              <w:gridCol w:w="13552"/>
            </w:tblGrid>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 NOTA 2</w:t>
                  </w:r>
                </w:p>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DERECHOS A RECIBIR BIENES O SERVICIOS</w:t>
                  </w:r>
                </w:p>
              </w:tc>
            </w:tr>
            <w:tr w:rsidR="003A1328">
              <w:trPr>
                <w:trHeight w:val="615"/>
              </w:trPr>
              <w:tc>
                <w:tcPr>
                  <w:tcW w:w="4947" w:type="pct"/>
                </w:tcPr>
                <w:p w:rsidR="003A1328" w:rsidRDefault="003A1328">
                  <w:pPr>
                    <w:pStyle w:val="Textoindependiente2"/>
                    <w:spacing w:line="276" w:lineRule="auto"/>
                    <w:rPr>
                      <w:rFonts w:ascii="Barlow" w:hAnsi="Barlow" w:cs="Calibri"/>
                      <w:b/>
                      <w:bCs/>
                      <w:sz w:val="20"/>
                      <w:szCs w:val="20"/>
                      <w:highlight w:val="yellow"/>
                    </w:rPr>
                  </w:pPr>
                </w:p>
                <w:p w:rsidR="003A1328" w:rsidRDefault="003A1328">
                  <w:pPr>
                    <w:pStyle w:val="Textoindependiente2"/>
                    <w:spacing w:line="276" w:lineRule="auto"/>
                    <w:rPr>
                      <w:rFonts w:ascii="Barlow" w:hAnsi="Barlow" w:cs="Calibri"/>
                      <w:bCs/>
                      <w:sz w:val="20"/>
                      <w:szCs w:val="20"/>
                    </w:rPr>
                  </w:pPr>
                </w:p>
                <w:p w:rsidR="003A1328" w:rsidRDefault="003A1328">
                  <w:pPr>
                    <w:pStyle w:val="Textoindependiente2"/>
                    <w:spacing w:line="276" w:lineRule="auto"/>
                    <w:rPr>
                      <w:rFonts w:ascii="Barlow" w:hAnsi="Barlow" w:cs="Calibri"/>
                      <w:bCs/>
                      <w:sz w:val="20"/>
                      <w:szCs w:val="20"/>
                    </w:rPr>
                  </w:pPr>
                  <w:r>
                    <w:rPr>
                      <w:rFonts w:ascii="Barlow" w:hAnsi="Barlow" w:cs="Calibri"/>
                      <w:bCs/>
                      <w:sz w:val="20"/>
                      <w:szCs w:val="20"/>
                    </w:rPr>
                    <w:t>Este rubro está conformado por la cuenta:</w:t>
                  </w:r>
                </w:p>
                <w:p w:rsidR="003A1328" w:rsidRDefault="003A1328">
                  <w:pPr>
                    <w:pStyle w:val="Textoindependiente2"/>
                    <w:spacing w:line="276" w:lineRule="auto"/>
                    <w:rPr>
                      <w:rFonts w:ascii="Barlow" w:hAnsi="Barlow" w:cs="Calibri"/>
                      <w:bCs/>
                      <w:sz w:val="20"/>
                      <w:szCs w:val="20"/>
                    </w:rPr>
                  </w:pPr>
                </w:p>
                <w:p w:rsidR="003A1328" w:rsidRDefault="003A1328">
                  <w:pPr>
                    <w:pStyle w:val="Textoindependiente2"/>
                    <w:spacing w:line="276" w:lineRule="auto"/>
                    <w:rPr>
                      <w:rFonts w:ascii="Barlow" w:hAnsi="Barlow" w:cs="Calibri"/>
                      <w:bCs/>
                      <w:sz w:val="20"/>
                      <w:szCs w:val="20"/>
                    </w:rPr>
                  </w:pPr>
                  <w:r>
                    <w:rPr>
                      <w:rFonts w:ascii="Barlow" w:hAnsi="Barlow" w:cs="Calibri"/>
                      <w:bCs/>
                      <w:sz w:val="20"/>
                      <w:szCs w:val="20"/>
                    </w:rPr>
                    <w:t>Derechos a recibir efectivo y equivalente por $327,324.06</w:t>
                  </w:r>
                </w:p>
                <w:p w:rsidR="003A1328" w:rsidRDefault="003A1328">
                  <w:pPr>
                    <w:pStyle w:val="Textoindependiente2"/>
                    <w:spacing w:line="276" w:lineRule="auto"/>
                    <w:rPr>
                      <w:rFonts w:ascii="Barlow" w:hAnsi="Barlow" w:cs="Calibri"/>
                      <w:sz w:val="20"/>
                      <w:szCs w:val="20"/>
                    </w:rPr>
                  </w:pPr>
                  <w:r>
                    <w:rPr>
                      <w:rFonts w:ascii="Barlow" w:hAnsi="Barlow" w:cs="Calibri"/>
                      <w:b/>
                      <w:bCs/>
                      <w:sz w:val="20"/>
                      <w:szCs w:val="20"/>
                    </w:rPr>
                    <w:t xml:space="preserve"> </w:t>
                  </w:r>
                </w:p>
                <w:tbl>
                  <w:tblPr>
                    <w:tblW w:w="5000" w:type="pct"/>
                    <w:tblCellMar>
                      <w:left w:w="70" w:type="dxa"/>
                      <w:right w:w="70" w:type="dxa"/>
                    </w:tblCellMar>
                    <w:tblLook w:val="04A0" w:firstRow="1" w:lastRow="0" w:firstColumn="1" w:lastColumn="0" w:noHBand="0" w:noVBand="1"/>
                  </w:tblPr>
                  <w:tblGrid>
                    <w:gridCol w:w="13392"/>
                  </w:tblGrid>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3</w:t>
                        </w:r>
                      </w:p>
                    </w:tc>
                  </w:tr>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Bienes Muebles, Inmuebles e Intangibles</w:t>
                        </w:r>
                      </w:p>
                    </w:tc>
                  </w:tr>
                </w:tbl>
                <w:p w:rsidR="003A1328" w:rsidRDefault="003A1328">
                  <w:pPr>
                    <w:pStyle w:val="Textoindependiente2"/>
                    <w:spacing w:line="276" w:lineRule="auto"/>
                    <w:rPr>
                      <w:rFonts w:ascii="Barlow" w:hAnsi="Barlow" w:cs="Calibri"/>
                      <w:bCs/>
                      <w:sz w:val="20"/>
                      <w:szCs w:val="20"/>
                      <w:highlight w:val="yellow"/>
                      <w:lang w:val="es-ES_tradnl"/>
                    </w:rPr>
                  </w:pPr>
                </w:p>
                <w:p w:rsidR="003A1328" w:rsidRDefault="003A1328">
                  <w:pPr>
                    <w:pStyle w:val="Textoindependiente2"/>
                    <w:spacing w:line="276" w:lineRule="auto"/>
                    <w:rPr>
                      <w:rFonts w:ascii="Barlow" w:hAnsi="Barlow" w:cs="Calibri"/>
                      <w:bCs/>
                      <w:sz w:val="20"/>
                      <w:szCs w:val="20"/>
                      <w:highlight w:val="yellow"/>
                    </w:rPr>
                  </w:pPr>
                  <w:r>
                    <w:rPr>
                      <w:rFonts w:ascii="Barlow" w:hAnsi="Barlow" w:cs="Calibri"/>
                      <w:sz w:val="20"/>
                      <w:szCs w:val="20"/>
                    </w:rPr>
                    <w:t>Los Activos Fijos se presentan valuados a su precio de adquisición, en este caso se cuenta con mobiliario y equipo de administración, maquinaria y equipo. Las depreciaciones se realizan al momento de su adquisición de acuerdo a lo dispuesto en el código fiscal de la federación, y se encuentran en proceso la actualización de la depreciación de todos los bienes de años anteriores.</w:t>
                  </w:r>
                </w:p>
              </w:tc>
            </w:tr>
          </w:tbl>
          <w:p w:rsidR="003A1328" w:rsidRDefault="003A1328">
            <w:pPr>
              <w:pStyle w:val="Textoindependiente2"/>
              <w:spacing w:line="276" w:lineRule="auto"/>
              <w:rPr>
                <w:rFonts w:ascii="Barlow" w:hAnsi="Barlow" w:cs="Calibri"/>
                <w:bCs/>
                <w:sz w:val="20"/>
                <w:szCs w:val="20"/>
                <w:lang w:val="es-ES_tradnl"/>
              </w:rPr>
            </w:pPr>
          </w:p>
          <w:p w:rsidR="003A1328" w:rsidRDefault="003A1328">
            <w:pPr>
              <w:rPr>
                <w:rFonts w:ascii="Barlow" w:hAnsi="Barlow" w:cs="Calibri"/>
                <w:sz w:val="20"/>
                <w:szCs w:val="20"/>
              </w:rPr>
            </w:pPr>
            <w:r>
              <w:rPr>
                <w:rFonts w:ascii="Barlow" w:hAnsi="Barlow" w:cs="Calibri"/>
                <w:sz w:val="20"/>
                <w:szCs w:val="20"/>
              </w:rPr>
              <w:t>Asimismo, los bienes inmuebles, se encuentran en verificación por parte del área jurídica, para su incorporación a los Edos. Financieros y poder estar apegados a los lineamientos correspondientes.</w:t>
            </w:r>
          </w:p>
          <w:p w:rsidR="003A1328" w:rsidRDefault="003A1328">
            <w:pPr>
              <w:rPr>
                <w:rFonts w:ascii="Barlow" w:hAnsi="Barlow" w:cs="Calibri"/>
                <w:sz w:val="20"/>
                <w:szCs w:val="20"/>
              </w:rPr>
            </w:pPr>
            <w:r>
              <w:rPr>
                <w:rFonts w:ascii="Barlow" w:hAnsi="Barlow" w:cs="Calibri"/>
                <w:sz w:val="20"/>
                <w:szCs w:val="20"/>
              </w:rPr>
              <w:t>Actualmente los activos fijos se encuentran en actualización de sus depreciaciones</w:t>
            </w:r>
          </w:p>
          <w:p w:rsidR="003A1328" w:rsidRDefault="003A1328">
            <w:pPr>
              <w:pStyle w:val="Textoindependiente2"/>
              <w:spacing w:line="276" w:lineRule="auto"/>
              <w:rPr>
                <w:rFonts w:ascii="Barlow" w:hAnsi="Barlow" w:cs="Calibri"/>
                <w:bCs/>
                <w:sz w:val="20"/>
                <w:szCs w:val="20"/>
                <w:lang w:val="es-ES_tradnl"/>
              </w:rPr>
            </w:pPr>
          </w:p>
          <w:tbl>
            <w:tblPr>
              <w:tblW w:w="6167" w:type="dxa"/>
              <w:jc w:val="center"/>
              <w:tblInd w:w="846" w:type="dxa"/>
              <w:tblCellMar>
                <w:left w:w="70" w:type="dxa"/>
                <w:right w:w="70" w:type="dxa"/>
              </w:tblCellMar>
              <w:tblLook w:val="04A0" w:firstRow="1" w:lastRow="0" w:firstColumn="1" w:lastColumn="0" w:noHBand="0" w:noVBand="1"/>
            </w:tblPr>
            <w:tblGrid>
              <w:gridCol w:w="2268"/>
              <w:gridCol w:w="1915"/>
              <w:gridCol w:w="1984"/>
            </w:tblGrid>
            <w:tr w:rsidR="003A1328">
              <w:trPr>
                <w:trHeight w:val="495"/>
                <w:jc w:val="center"/>
              </w:trPr>
              <w:tc>
                <w:tcPr>
                  <w:tcW w:w="2268" w:type="dxa"/>
                  <w:tcBorders>
                    <w:top w:val="single" w:sz="4" w:space="0" w:color="auto"/>
                    <w:left w:val="single" w:sz="4" w:space="0" w:color="auto"/>
                    <w:bottom w:val="single" w:sz="4" w:space="0" w:color="auto"/>
                    <w:right w:val="single" w:sz="4" w:space="0" w:color="auto"/>
                  </w:tcBorders>
                  <w:noWrap/>
                  <w:vAlign w:val="bottom"/>
                  <w:hideMark/>
                </w:tcPr>
                <w:p w:rsidR="003A1328" w:rsidRDefault="003A1328">
                  <w:pPr>
                    <w:spacing w:line="276" w:lineRule="auto"/>
                    <w:jc w:val="center"/>
                    <w:rPr>
                      <w:rFonts w:ascii="Barlow" w:hAnsi="Barlow" w:cs="Calibri"/>
                      <w:b/>
                      <w:bCs/>
                      <w:color w:val="000000"/>
                      <w:sz w:val="20"/>
                      <w:szCs w:val="20"/>
                      <w:lang w:val="es-ES" w:eastAsia="es-ES"/>
                    </w:rPr>
                  </w:pPr>
                  <w:r>
                    <w:rPr>
                      <w:rFonts w:ascii="Barlow" w:hAnsi="Barlow" w:cs="Calibri"/>
                      <w:b/>
                      <w:bCs/>
                      <w:color w:val="000000"/>
                      <w:sz w:val="20"/>
                      <w:szCs w:val="20"/>
                      <w:lang w:val="es-ES" w:eastAsia="es-ES"/>
                    </w:rPr>
                    <w:t>TIPO</w:t>
                  </w:r>
                </w:p>
              </w:tc>
              <w:tc>
                <w:tcPr>
                  <w:tcW w:w="1915" w:type="dxa"/>
                  <w:tcBorders>
                    <w:top w:val="single" w:sz="4" w:space="0" w:color="auto"/>
                    <w:left w:val="nil"/>
                    <w:bottom w:val="single" w:sz="4" w:space="0" w:color="auto"/>
                    <w:right w:val="single" w:sz="4" w:space="0" w:color="auto"/>
                  </w:tcBorders>
                  <w:noWrap/>
                  <w:vAlign w:val="bottom"/>
                  <w:hideMark/>
                </w:tcPr>
                <w:p w:rsidR="003A1328" w:rsidRDefault="003A1328">
                  <w:pPr>
                    <w:spacing w:line="276" w:lineRule="auto"/>
                    <w:jc w:val="center"/>
                    <w:rPr>
                      <w:rFonts w:ascii="Barlow" w:hAnsi="Barlow" w:cs="Calibri"/>
                      <w:b/>
                      <w:bCs/>
                      <w:color w:val="000000"/>
                      <w:sz w:val="20"/>
                      <w:szCs w:val="20"/>
                      <w:lang w:val="es-ES" w:eastAsia="es-ES"/>
                    </w:rPr>
                  </w:pPr>
                  <w:r>
                    <w:rPr>
                      <w:rFonts w:ascii="Barlow" w:hAnsi="Barlow" w:cs="Calibri"/>
                      <w:b/>
                      <w:bCs/>
                      <w:color w:val="000000"/>
                      <w:sz w:val="20"/>
                      <w:szCs w:val="20"/>
                      <w:lang w:val="es-ES" w:eastAsia="es-ES"/>
                    </w:rPr>
                    <w:t>SALDO AL 31 DE DICIEMBRE 2017</w:t>
                  </w:r>
                </w:p>
              </w:tc>
              <w:tc>
                <w:tcPr>
                  <w:tcW w:w="1984" w:type="dxa"/>
                  <w:tcBorders>
                    <w:top w:val="single" w:sz="4" w:space="0" w:color="auto"/>
                    <w:left w:val="nil"/>
                    <w:bottom w:val="single" w:sz="4" w:space="0" w:color="auto"/>
                    <w:right w:val="single" w:sz="4" w:space="0" w:color="auto"/>
                  </w:tcBorders>
                  <w:vAlign w:val="bottom"/>
                  <w:hideMark/>
                </w:tcPr>
                <w:p w:rsidR="003A1328" w:rsidRDefault="003A1328">
                  <w:pPr>
                    <w:spacing w:line="276" w:lineRule="auto"/>
                    <w:jc w:val="center"/>
                    <w:rPr>
                      <w:rFonts w:ascii="Barlow" w:hAnsi="Barlow" w:cs="Calibri"/>
                      <w:b/>
                      <w:bCs/>
                      <w:color w:val="000000"/>
                      <w:sz w:val="20"/>
                      <w:szCs w:val="20"/>
                      <w:lang w:val="es-ES" w:eastAsia="es-ES"/>
                    </w:rPr>
                  </w:pPr>
                  <w:r>
                    <w:rPr>
                      <w:rFonts w:ascii="Barlow" w:hAnsi="Barlow" w:cs="Calibri"/>
                      <w:b/>
                      <w:bCs/>
                      <w:color w:val="000000"/>
                      <w:sz w:val="20"/>
                      <w:szCs w:val="20"/>
                      <w:lang w:val="es-ES" w:eastAsia="es-ES"/>
                    </w:rPr>
                    <w:t>DEPRECIACION ACUM.</w:t>
                  </w:r>
                </w:p>
              </w:tc>
            </w:tr>
            <w:tr w:rsidR="003A1328">
              <w:trPr>
                <w:trHeight w:val="284"/>
                <w:jc w:val="center"/>
              </w:trPr>
              <w:tc>
                <w:tcPr>
                  <w:tcW w:w="2268" w:type="dxa"/>
                  <w:tcBorders>
                    <w:top w:val="nil"/>
                    <w:left w:val="single" w:sz="4" w:space="0" w:color="auto"/>
                    <w:bottom w:val="single" w:sz="4" w:space="0" w:color="auto"/>
                    <w:right w:val="single" w:sz="4" w:space="0" w:color="auto"/>
                  </w:tcBorders>
                  <w:noWrap/>
                  <w:vAlign w:val="bottom"/>
                  <w:hideMark/>
                </w:tcPr>
                <w:p w:rsidR="003A1328" w:rsidRDefault="003A1328">
                  <w:pPr>
                    <w:spacing w:line="276" w:lineRule="auto"/>
                    <w:rPr>
                      <w:rFonts w:ascii="Barlow" w:hAnsi="Barlow" w:cs="Calibri"/>
                      <w:color w:val="000000"/>
                      <w:sz w:val="20"/>
                      <w:szCs w:val="20"/>
                      <w:lang w:val="es-ES" w:eastAsia="es-ES"/>
                    </w:rPr>
                  </w:pPr>
                  <w:r>
                    <w:rPr>
                      <w:rFonts w:ascii="Barlow" w:hAnsi="Barlow" w:cs="Calibri"/>
                      <w:color w:val="000000"/>
                      <w:sz w:val="20"/>
                      <w:szCs w:val="20"/>
                      <w:lang w:val="es-ES" w:eastAsia="es-ES"/>
                    </w:rPr>
                    <w:t>Mobiliario y equipo</w:t>
                  </w:r>
                </w:p>
              </w:tc>
              <w:tc>
                <w:tcPr>
                  <w:tcW w:w="1915"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color w:val="000000"/>
                      <w:sz w:val="20"/>
                      <w:szCs w:val="20"/>
                      <w:lang w:val="es-ES" w:eastAsia="es-ES"/>
                    </w:rPr>
                  </w:pPr>
                  <w:r>
                    <w:rPr>
                      <w:rFonts w:ascii="Barlow" w:hAnsi="Barlow" w:cs="Calibri"/>
                      <w:color w:val="000000"/>
                      <w:sz w:val="20"/>
                      <w:szCs w:val="20"/>
                      <w:lang w:val="es-ES" w:eastAsia="es-ES"/>
                    </w:rPr>
                    <w:t>10,336.76</w:t>
                  </w:r>
                </w:p>
              </w:tc>
              <w:tc>
                <w:tcPr>
                  <w:tcW w:w="1984"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color w:val="000000"/>
                      <w:sz w:val="20"/>
                      <w:szCs w:val="20"/>
                      <w:lang w:val="es-ES" w:eastAsia="es-ES"/>
                    </w:rPr>
                  </w:pPr>
                  <w:r>
                    <w:rPr>
                      <w:rFonts w:ascii="Barlow" w:hAnsi="Barlow" w:cs="Calibri"/>
                      <w:color w:val="000000"/>
                      <w:sz w:val="20"/>
                      <w:szCs w:val="20"/>
                      <w:lang w:val="es-ES" w:eastAsia="es-ES"/>
                    </w:rPr>
                    <w:t>-7,580.36</w:t>
                  </w:r>
                </w:p>
              </w:tc>
            </w:tr>
            <w:tr w:rsidR="003A1328">
              <w:trPr>
                <w:trHeight w:val="210"/>
                <w:jc w:val="center"/>
              </w:trPr>
              <w:tc>
                <w:tcPr>
                  <w:tcW w:w="2268" w:type="dxa"/>
                  <w:tcBorders>
                    <w:top w:val="nil"/>
                    <w:left w:val="single" w:sz="4" w:space="0" w:color="auto"/>
                    <w:bottom w:val="single" w:sz="4" w:space="0" w:color="auto"/>
                    <w:right w:val="single" w:sz="4" w:space="0" w:color="auto"/>
                  </w:tcBorders>
                  <w:noWrap/>
                  <w:vAlign w:val="bottom"/>
                  <w:hideMark/>
                </w:tcPr>
                <w:p w:rsidR="003A1328" w:rsidRDefault="003A1328">
                  <w:pPr>
                    <w:spacing w:line="276" w:lineRule="auto"/>
                    <w:rPr>
                      <w:rFonts w:ascii="Barlow" w:hAnsi="Barlow" w:cs="Calibri"/>
                      <w:color w:val="000000"/>
                      <w:sz w:val="20"/>
                      <w:szCs w:val="20"/>
                      <w:lang w:val="es-ES" w:eastAsia="es-ES"/>
                    </w:rPr>
                  </w:pPr>
                  <w:r>
                    <w:rPr>
                      <w:rFonts w:ascii="Barlow" w:hAnsi="Barlow" w:cs="Calibri"/>
                      <w:color w:val="000000"/>
                      <w:sz w:val="20"/>
                      <w:szCs w:val="20"/>
                      <w:lang w:val="es-ES" w:eastAsia="es-ES"/>
                    </w:rPr>
                    <w:t>Equipo de Cómputo</w:t>
                  </w:r>
                </w:p>
              </w:tc>
              <w:tc>
                <w:tcPr>
                  <w:tcW w:w="1915"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color w:val="000000"/>
                      <w:sz w:val="20"/>
                      <w:szCs w:val="20"/>
                      <w:lang w:val="es-ES" w:eastAsia="es-ES"/>
                    </w:rPr>
                  </w:pPr>
                  <w:r>
                    <w:rPr>
                      <w:rFonts w:ascii="Barlow" w:hAnsi="Barlow" w:cs="Calibri"/>
                      <w:color w:val="000000"/>
                      <w:sz w:val="20"/>
                      <w:szCs w:val="20"/>
                      <w:lang w:val="es-ES" w:eastAsia="es-ES"/>
                    </w:rPr>
                    <w:t>35,107.53</w:t>
                  </w:r>
                </w:p>
              </w:tc>
              <w:tc>
                <w:tcPr>
                  <w:tcW w:w="1984"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color w:val="000000"/>
                      <w:sz w:val="20"/>
                      <w:szCs w:val="20"/>
                      <w:lang w:val="es-ES" w:eastAsia="es-ES"/>
                    </w:rPr>
                  </w:pPr>
                  <w:r>
                    <w:rPr>
                      <w:rFonts w:ascii="Barlow" w:hAnsi="Barlow" w:cs="Calibri"/>
                      <w:color w:val="000000"/>
                      <w:sz w:val="20"/>
                      <w:szCs w:val="20"/>
                      <w:lang w:val="es-ES" w:eastAsia="es-ES"/>
                    </w:rPr>
                    <w:t>-24,442.50</w:t>
                  </w:r>
                </w:p>
              </w:tc>
            </w:tr>
            <w:tr w:rsidR="003A1328">
              <w:trPr>
                <w:trHeight w:val="240"/>
                <w:jc w:val="center"/>
              </w:trPr>
              <w:tc>
                <w:tcPr>
                  <w:tcW w:w="2268" w:type="dxa"/>
                  <w:tcBorders>
                    <w:top w:val="nil"/>
                    <w:left w:val="single" w:sz="4" w:space="0" w:color="auto"/>
                    <w:bottom w:val="single" w:sz="4" w:space="0" w:color="auto"/>
                    <w:right w:val="single" w:sz="4" w:space="0" w:color="auto"/>
                  </w:tcBorders>
                  <w:noWrap/>
                  <w:vAlign w:val="bottom"/>
                  <w:hideMark/>
                </w:tcPr>
                <w:p w:rsidR="003A1328" w:rsidRDefault="003A1328">
                  <w:pPr>
                    <w:spacing w:line="276" w:lineRule="auto"/>
                    <w:rPr>
                      <w:rFonts w:ascii="Barlow" w:hAnsi="Barlow" w:cs="Calibri"/>
                      <w:b/>
                      <w:color w:val="000000"/>
                      <w:sz w:val="20"/>
                      <w:szCs w:val="20"/>
                      <w:lang w:val="es-ES" w:eastAsia="es-ES"/>
                    </w:rPr>
                  </w:pPr>
                  <w:r>
                    <w:rPr>
                      <w:rFonts w:ascii="Barlow" w:hAnsi="Barlow" w:cs="Calibri"/>
                      <w:b/>
                      <w:color w:val="000000"/>
                      <w:sz w:val="20"/>
                      <w:szCs w:val="20"/>
                      <w:lang w:val="es-ES" w:eastAsia="es-ES"/>
                    </w:rPr>
                    <w:t>TOTAL</w:t>
                  </w:r>
                </w:p>
              </w:tc>
              <w:tc>
                <w:tcPr>
                  <w:tcW w:w="1915"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b/>
                      <w:sz w:val="20"/>
                      <w:szCs w:val="20"/>
                      <w:lang w:eastAsia="en-US"/>
                    </w:rPr>
                  </w:pPr>
                  <w:r>
                    <w:rPr>
                      <w:rFonts w:ascii="Barlow" w:hAnsi="Barlow" w:cs="Calibri"/>
                      <w:b/>
                      <w:sz w:val="20"/>
                      <w:szCs w:val="20"/>
                      <w:lang w:eastAsia="en-US"/>
                    </w:rPr>
                    <w:t>45,444.29</w:t>
                  </w:r>
                </w:p>
              </w:tc>
              <w:tc>
                <w:tcPr>
                  <w:tcW w:w="1984" w:type="dxa"/>
                  <w:tcBorders>
                    <w:top w:val="nil"/>
                    <w:left w:val="nil"/>
                    <w:bottom w:val="single" w:sz="4" w:space="0" w:color="auto"/>
                    <w:right w:val="single" w:sz="4" w:space="0" w:color="auto"/>
                  </w:tcBorders>
                  <w:noWrap/>
                  <w:vAlign w:val="bottom"/>
                  <w:hideMark/>
                </w:tcPr>
                <w:p w:rsidR="003A1328" w:rsidRDefault="003A1328">
                  <w:pPr>
                    <w:spacing w:line="276" w:lineRule="auto"/>
                    <w:jc w:val="right"/>
                    <w:rPr>
                      <w:rFonts w:ascii="Barlow" w:hAnsi="Barlow" w:cs="Calibri"/>
                      <w:b/>
                      <w:color w:val="000000"/>
                      <w:sz w:val="20"/>
                      <w:szCs w:val="20"/>
                      <w:lang w:val="es-ES" w:eastAsia="es-ES"/>
                    </w:rPr>
                  </w:pPr>
                  <w:r>
                    <w:rPr>
                      <w:rFonts w:ascii="Barlow" w:hAnsi="Barlow" w:cs="Calibri"/>
                      <w:b/>
                      <w:color w:val="000000"/>
                      <w:sz w:val="20"/>
                      <w:szCs w:val="20"/>
                      <w:lang w:val="es-ES" w:eastAsia="es-ES"/>
                    </w:rPr>
                    <w:t>-32,022.86</w:t>
                  </w:r>
                </w:p>
              </w:tc>
            </w:tr>
          </w:tbl>
          <w:p w:rsidR="003A1328" w:rsidRDefault="003A1328">
            <w:pPr>
              <w:pStyle w:val="Textoindependiente2"/>
              <w:spacing w:line="276" w:lineRule="auto"/>
              <w:rPr>
                <w:rFonts w:ascii="Barlow" w:hAnsi="Barlow" w:cs="Calibri"/>
                <w:bCs/>
                <w:sz w:val="20"/>
                <w:szCs w:val="20"/>
                <w:lang w:val="es-ES_tradnl"/>
              </w:rPr>
            </w:pPr>
          </w:p>
          <w:tbl>
            <w:tblPr>
              <w:tblW w:w="5000" w:type="pct"/>
              <w:tblCellMar>
                <w:left w:w="70" w:type="dxa"/>
                <w:right w:w="70" w:type="dxa"/>
              </w:tblCellMar>
              <w:tblLook w:val="04A0" w:firstRow="1" w:lastRow="0" w:firstColumn="1" w:lastColumn="0" w:noHBand="0" w:noVBand="1"/>
            </w:tblPr>
            <w:tblGrid>
              <w:gridCol w:w="13552"/>
            </w:tblGrid>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4</w:t>
                  </w:r>
                </w:p>
              </w:tc>
            </w:tr>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CUENTAS POR PAGAR A CORTO PLAZO</w:t>
                  </w:r>
                </w:p>
              </w:tc>
            </w:tr>
          </w:tbl>
          <w:p w:rsidR="003A1328" w:rsidRDefault="003A1328">
            <w:pPr>
              <w:pStyle w:val="Textoindependiente2"/>
              <w:spacing w:line="276" w:lineRule="auto"/>
              <w:rPr>
                <w:rFonts w:ascii="Barlow" w:hAnsi="Barlow" w:cs="Calibri"/>
                <w:bCs/>
                <w:sz w:val="20"/>
                <w:szCs w:val="20"/>
                <w:lang w:val="es-ES_tradnl"/>
              </w:rPr>
            </w:pPr>
          </w:p>
          <w:p w:rsidR="003A1328" w:rsidRDefault="003A1328">
            <w:pPr>
              <w:spacing w:line="276" w:lineRule="auto"/>
              <w:jc w:val="both"/>
              <w:rPr>
                <w:rFonts w:ascii="Barlow" w:hAnsi="Barlow" w:cs="Calibri"/>
                <w:sz w:val="20"/>
                <w:szCs w:val="20"/>
                <w:lang w:eastAsia="en-US"/>
              </w:rPr>
            </w:pPr>
            <w:r>
              <w:rPr>
                <w:rFonts w:ascii="Barlow" w:hAnsi="Barlow" w:cs="Calibri"/>
                <w:b/>
                <w:sz w:val="20"/>
                <w:szCs w:val="20"/>
                <w:lang w:eastAsia="en-US"/>
              </w:rPr>
              <w:t>Las cuentas por pagar a corto plazo</w:t>
            </w:r>
            <w:r>
              <w:rPr>
                <w:rFonts w:ascii="Barlow" w:hAnsi="Barlow" w:cs="Calibri"/>
                <w:sz w:val="20"/>
                <w:szCs w:val="20"/>
                <w:lang w:eastAsia="en-US"/>
              </w:rPr>
              <w:t xml:space="preserve"> se encuentra integrado por: </w:t>
            </w:r>
          </w:p>
          <w:p w:rsidR="003A1328" w:rsidRDefault="003A1328">
            <w:pPr>
              <w:spacing w:line="276" w:lineRule="auto"/>
              <w:jc w:val="both"/>
              <w:rPr>
                <w:rFonts w:ascii="Barlow" w:hAnsi="Barlow" w:cs="Calibri"/>
                <w:sz w:val="20"/>
                <w:szCs w:val="20"/>
                <w:lang w:eastAsia="en-US"/>
              </w:rPr>
            </w:pPr>
          </w:p>
          <w:p w:rsidR="003A1328" w:rsidRDefault="003A1328" w:rsidP="004A00BC">
            <w:pPr>
              <w:pStyle w:val="Prrafodelista"/>
              <w:widowControl/>
              <w:numPr>
                <w:ilvl w:val="0"/>
                <w:numId w:val="1"/>
              </w:numPr>
              <w:autoSpaceDE/>
              <w:adjustRightInd/>
              <w:spacing w:line="276" w:lineRule="auto"/>
              <w:jc w:val="both"/>
              <w:rPr>
                <w:rFonts w:ascii="Barlow" w:hAnsi="Barlow" w:cs="Calibri"/>
                <w:sz w:val="20"/>
                <w:szCs w:val="20"/>
                <w:lang w:eastAsia="es-ES"/>
              </w:rPr>
            </w:pPr>
            <w:r>
              <w:rPr>
                <w:rFonts w:ascii="Barlow" w:hAnsi="Barlow" w:cs="Calibri"/>
                <w:sz w:val="20"/>
                <w:szCs w:val="20"/>
              </w:rPr>
              <w:t>Impuestos por pagar (Impuestos derivados de Servicios personales) por $70,907.55 al cierre del periodo, los cuales serán enterados en el mes de abril 2019</w:t>
            </w:r>
          </w:p>
          <w:p w:rsidR="003A1328" w:rsidRDefault="003A1328">
            <w:pPr>
              <w:spacing w:line="276" w:lineRule="auto"/>
              <w:ind w:left="360"/>
              <w:jc w:val="both"/>
              <w:rPr>
                <w:rFonts w:ascii="Barlow" w:hAnsi="Barlow" w:cs="Calibri"/>
                <w:sz w:val="20"/>
                <w:szCs w:val="20"/>
                <w:lang w:eastAsia="en-US"/>
              </w:rPr>
            </w:pPr>
          </w:p>
          <w:p w:rsidR="003A1328" w:rsidRDefault="003A1328">
            <w:pPr>
              <w:jc w:val="center"/>
              <w:rPr>
                <w:rFonts w:ascii="Barlow" w:hAnsi="Barlow" w:cs="Calibri"/>
                <w:b/>
                <w:bCs/>
                <w:sz w:val="20"/>
                <w:szCs w:val="20"/>
              </w:rPr>
            </w:pPr>
            <w:r>
              <w:rPr>
                <w:rFonts w:ascii="Barlow" w:hAnsi="Barlow" w:cs="Calibri"/>
                <w:b/>
                <w:bCs/>
                <w:sz w:val="20"/>
                <w:szCs w:val="20"/>
              </w:rPr>
              <w:t>NOTAS AL ESTADO DE VARIACIONES EN LA</w:t>
            </w:r>
          </w:p>
          <w:p w:rsidR="003A1328" w:rsidRDefault="003A1328">
            <w:pPr>
              <w:pStyle w:val="Textoindependiente2"/>
              <w:spacing w:line="276" w:lineRule="auto"/>
              <w:jc w:val="center"/>
              <w:rPr>
                <w:rFonts w:ascii="Barlow" w:hAnsi="Barlow" w:cs="Calibri"/>
                <w:bCs/>
                <w:sz w:val="20"/>
                <w:szCs w:val="20"/>
                <w:lang w:val="es-ES_tradnl"/>
              </w:rPr>
            </w:pPr>
            <w:r>
              <w:rPr>
                <w:rFonts w:ascii="Barlow" w:hAnsi="Barlow" w:cs="Calibri"/>
                <w:b/>
                <w:bCs/>
                <w:sz w:val="20"/>
                <w:szCs w:val="20"/>
              </w:rPr>
              <w:t>HACIENDA PUBLICA/PATRIMONIO</w:t>
            </w:r>
          </w:p>
          <w:p w:rsidR="003A1328" w:rsidRDefault="003A1328">
            <w:pPr>
              <w:pStyle w:val="Textoindependiente2"/>
              <w:spacing w:line="276" w:lineRule="auto"/>
              <w:rPr>
                <w:rFonts w:ascii="Barlow" w:hAnsi="Barlow" w:cs="Calibri"/>
                <w:bCs/>
                <w:sz w:val="20"/>
                <w:szCs w:val="20"/>
              </w:rPr>
            </w:pPr>
          </w:p>
          <w:tbl>
            <w:tblPr>
              <w:tblW w:w="5000" w:type="pct"/>
              <w:tblCellMar>
                <w:left w:w="70" w:type="dxa"/>
                <w:right w:w="70" w:type="dxa"/>
              </w:tblCellMar>
              <w:tblLook w:val="04A0" w:firstRow="1" w:lastRow="0" w:firstColumn="1" w:lastColumn="0" w:noHBand="0" w:noVBand="1"/>
            </w:tblPr>
            <w:tblGrid>
              <w:gridCol w:w="13552"/>
            </w:tblGrid>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w:t>
                  </w:r>
                </w:p>
              </w:tc>
            </w:tr>
            <w:tr w:rsid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PROCEDENCIA DE LOS RECURSOS QUE MODIFICAN AL PATRIMONIO GENERADO</w:t>
                  </w:r>
                </w:p>
              </w:tc>
            </w:tr>
          </w:tbl>
          <w:p w:rsidR="003A1328" w:rsidRDefault="003A1328">
            <w:pPr>
              <w:pStyle w:val="Textoindependiente2"/>
              <w:spacing w:line="276" w:lineRule="auto"/>
              <w:rPr>
                <w:rFonts w:ascii="Barlow" w:hAnsi="Barlow" w:cs="Calibri"/>
                <w:sz w:val="20"/>
                <w:szCs w:val="20"/>
              </w:rPr>
            </w:pPr>
            <w:r>
              <w:rPr>
                <w:rFonts w:ascii="Barlow" w:hAnsi="Barlow" w:cs="Calibri"/>
                <w:sz w:val="20"/>
                <w:szCs w:val="20"/>
              </w:rPr>
              <w:t>Por lo que respecta al Patrimonio Generado, se modifica debido a los recursos recibidos de la Secretaría de Administración y Finanzas, lo cual genera un resultado del ejercicio acumulado al 31 de marzo de 2019 de $</w:t>
            </w:r>
            <w:r>
              <w:rPr>
                <w:rFonts w:ascii="Barlow" w:hAnsi="Barlow" w:cs="Calibri"/>
                <w:color w:val="000000"/>
                <w:sz w:val="20"/>
                <w:szCs w:val="20"/>
              </w:rPr>
              <w:t xml:space="preserve"> 13,421.43 </w:t>
            </w:r>
            <w:r>
              <w:rPr>
                <w:rFonts w:ascii="Barlow" w:hAnsi="Barlow" w:cs="Calibri"/>
                <w:sz w:val="20"/>
                <w:szCs w:val="20"/>
              </w:rPr>
              <w:t>que se refleja tanto en el Estado de Situación Financiera, así como en el Estado de Variaciones de la Hacienda Pública/Patrimonio.</w:t>
            </w:r>
          </w:p>
          <w:tbl>
            <w:tblPr>
              <w:tblW w:w="5000" w:type="pct"/>
              <w:tblCellMar>
                <w:left w:w="70" w:type="dxa"/>
                <w:right w:w="70" w:type="dxa"/>
              </w:tblCellMar>
              <w:tblLook w:val="04A0" w:firstRow="1" w:lastRow="0" w:firstColumn="1" w:lastColumn="0" w:noHBand="0" w:noVBand="1"/>
            </w:tblPr>
            <w:tblGrid>
              <w:gridCol w:w="6847"/>
              <w:gridCol w:w="1277"/>
              <w:gridCol w:w="1122"/>
              <w:gridCol w:w="1238"/>
              <w:gridCol w:w="624"/>
              <w:gridCol w:w="1235"/>
              <w:gridCol w:w="632"/>
              <w:gridCol w:w="597"/>
            </w:tblGrid>
            <w:tr w:rsidR="003A1328">
              <w:trPr>
                <w:trHeight w:val="315"/>
              </w:trPr>
              <w:tc>
                <w:tcPr>
                  <w:tcW w:w="4947" w:type="pct"/>
                  <w:gridSpan w:val="8"/>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NOTAS AL ESTADO DE ACTIVIDADES</w:t>
                  </w:r>
                </w:p>
              </w:tc>
            </w:tr>
            <w:tr w:rsidR="003A1328">
              <w:trPr>
                <w:trHeight w:val="270"/>
              </w:trPr>
              <w:tc>
                <w:tcPr>
                  <w:tcW w:w="2495" w:type="pct"/>
                  <w:noWrap/>
                  <w:vAlign w:val="bottom"/>
                  <w:hideMark/>
                </w:tcPr>
                <w:p w:rsidR="003A1328" w:rsidRDefault="003A1328">
                  <w:pPr>
                    <w:widowControl/>
                    <w:autoSpaceDE/>
                    <w:autoSpaceDN/>
                    <w:adjustRightInd/>
                    <w:rPr>
                      <w:rFonts w:hAnsi="Times New Roman"/>
                      <w:sz w:val="20"/>
                      <w:szCs w:val="20"/>
                      <w:lang w:val="es-MX" w:eastAsia="es-MX"/>
                    </w:rPr>
                  </w:pPr>
                </w:p>
              </w:tc>
              <w:tc>
                <w:tcPr>
                  <w:tcW w:w="465" w:type="pct"/>
                  <w:noWrap/>
                  <w:vAlign w:val="bottom"/>
                  <w:hideMark/>
                </w:tcPr>
                <w:p w:rsidR="003A1328" w:rsidRDefault="003A1328">
                  <w:pPr>
                    <w:widowControl/>
                    <w:autoSpaceDE/>
                    <w:autoSpaceDN/>
                    <w:adjustRightInd/>
                    <w:rPr>
                      <w:rFonts w:hAnsi="Times New Roman"/>
                      <w:sz w:val="20"/>
                      <w:szCs w:val="20"/>
                      <w:lang w:val="es-MX" w:eastAsia="es-MX"/>
                    </w:rPr>
                  </w:pPr>
                </w:p>
              </w:tc>
              <w:tc>
                <w:tcPr>
                  <w:tcW w:w="409" w:type="pct"/>
                  <w:noWrap/>
                  <w:vAlign w:val="bottom"/>
                  <w:hideMark/>
                </w:tcPr>
                <w:p w:rsidR="003A1328" w:rsidRDefault="003A1328">
                  <w:pPr>
                    <w:widowControl/>
                    <w:autoSpaceDE/>
                    <w:autoSpaceDN/>
                    <w:adjustRightInd/>
                    <w:rPr>
                      <w:rFonts w:hAnsi="Times New Roman"/>
                      <w:sz w:val="20"/>
                      <w:szCs w:val="20"/>
                      <w:lang w:val="es-MX" w:eastAsia="es-MX"/>
                    </w:rPr>
                  </w:pPr>
                </w:p>
              </w:tc>
              <w:tc>
                <w:tcPr>
                  <w:tcW w:w="451" w:type="pct"/>
                  <w:noWrap/>
                  <w:vAlign w:val="bottom"/>
                  <w:hideMark/>
                </w:tcPr>
                <w:p w:rsidR="003A1328" w:rsidRDefault="003A1328">
                  <w:pPr>
                    <w:widowControl/>
                    <w:autoSpaceDE/>
                    <w:autoSpaceDN/>
                    <w:adjustRightInd/>
                    <w:rPr>
                      <w:rFonts w:hAnsi="Times New Roman"/>
                      <w:sz w:val="20"/>
                      <w:szCs w:val="20"/>
                      <w:lang w:val="es-MX" w:eastAsia="es-MX"/>
                    </w:rPr>
                  </w:pPr>
                </w:p>
              </w:tc>
              <w:tc>
                <w:tcPr>
                  <w:tcW w:w="228" w:type="pct"/>
                  <w:noWrap/>
                  <w:vAlign w:val="bottom"/>
                  <w:hideMark/>
                </w:tcPr>
                <w:p w:rsidR="003A1328" w:rsidRDefault="003A1328">
                  <w:pPr>
                    <w:widowControl/>
                    <w:autoSpaceDE/>
                    <w:autoSpaceDN/>
                    <w:adjustRightInd/>
                    <w:rPr>
                      <w:rFonts w:hAnsi="Times New Roman"/>
                      <w:sz w:val="20"/>
                      <w:szCs w:val="20"/>
                      <w:lang w:val="es-MX" w:eastAsia="es-MX"/>
                    </w:rPr>
                  </w:pPr>
                </w:p>
              </w:tc>
              <w:tc>
                <w:tcPr>
                  <w:tcW w:w="450" w:type="pct"/>
                  <w:noWrap/>
                  <w:vAlign w:val="bottom"/>
                  <w:hideMark/>
                </w:tcPr>
                <w:p w:rsidR="003A1328" w:rsidRDefault="003A1328">
                  <w:pPr>
                    <w:widowControl/>
                    <w:autoSpaceDE/>
                    <w:autoSpaceDN/>
                    <w:adjustRightInd/>
                    <w:rPr>
                      <w:rFonts w:hAnsi="Times New Roman"/>
                      <w:sz w:val="20"/>
                      <w:szCs w:val="20"/>
                      <w:lang w:val="es-MX" w:eastAsia="es-MX"/>
                    </w:rPr>
                  </w:pPr>
                </w:p>
              </w:tc>
              <w:tc>
                <w:tcPr>
                  <w:tcW w:w="231" w:type="pct"/>
                  <w:noWrap/>
                  <w:vAlign w:val="bottom"/>
                  <w:hideMark/>
                </w:tcPr>
                <w:p w:rsidR="003A1328" w:rsidRDefault="003A1328">
                  <w:pPr>
                    <w:widowControl/>
                    <w:autoSpaceDE/>
                    <w:autoSpaceDN/>
                    <w:adjustRightInd/>
                    <w:rPr>
                      <w:rFonts w:hAnsi="Times New Roman"/>
                      <w:sz w:val="20"/>
                      <w:szCs w:val="20"/>
                      <w:lang w:val="es-MX" w:eastAsia="es-MX"/>
                    </w:rPr>
                  </w:pPr>
                </w:p>
              </w:tc>
              <w:tc>
                <w:tcPr>
                  <w:tcW w:w="218"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trPr>
                <w:trHeight w:val="270"/>
              </w:trPr>
              <w:tc>
                <w:tcPr>
                  <w:tcW w:w="4947" w:type="pct"/>
                  <w:gridSpan w:val="8"/>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w:t>
                  </w:r>
                </w:p>
              </w:tc>
            </w:tr>
            <w:tr w:rsidR="003A1328">
              <w:trPr>
                <w:trHeight w:val="270"/>
              </w:trPr>
              <w:tc>
                <w:tcPr>
                  <w:tcW w:w="4947" w:type="pct"/>
                  <w:gridSpan w:val="8"/>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INGRESOS DE GESTION</w:t>
                  </w:r>
                </w:p>
              </w:tc>
            </w:tr>
          </w:tbl>
          <w:p w:rsidR="003A1328" w:rsidRDefault="003A1328">
            <w:pPr>
              <w:pStyle w:val="Textoindependiente2"/>
              <w:spacing w:line="276" w:lineRule="auto"/>
              <w:rPr>
                <w:rFonts w:ascii="Barlow" w:hAnsi="Barlow" w:cs="Calibri"/>
                <w:sz w:val="20"/>
                <w:szCs w:val="20"/>
              </w:rPr>
            </w:pPr>
            <w:r>
              <w:rPr>
                <w:rFonts w:ascii="Barlow" w:hAnsi="Barlow" w:cs="Calibri"/>
                <w:sz w:val="20"/>
                <w:szCs w:val="20"/>
              </w:rPr>
              <w:t>La Agencia Para el Desarrollo de Yucatán, recibió recursos por parte del Gobierno del Estado por los importes contenidos en el Presupuesto de Egresos para el Ejercicio 2019 con el objeto de sufragar gastos inherentes a sus atribuciones, los cuales se registra contablemente como Ingresos.</w:t>
            </w:r>
          </w:p>
          <w:p w:rsidR="003A1328" w:rsidRDefault="003A1328">
            <w:pPr>
              <w:pStyle w:val="Textoindependiente2"/>
              <w:spacing w:line="276" w:lineRule="auto"/>
              <w:jc w:val="center"/>
              <w:rPr>
                <w:rFonts w:ascii="Barlow" w:hAnsi="Barlow" w:cs="Calibri"/>
                <w:b/>
                <w:bCs/>
                <w:sz w:val="20"/>
                <w:szCs w:val="20"/>
              </w:rPr>
            </w:pPr>
          </w:p>
          <w:p w:rsidR="003A1328" w:rsidRDefault="003A1328">
            <w:pPr>
              <w:pStyle w:val="Textoindependiente2"/>
              <w:spacing w:line="276" w:lineRule="auto"/>
              <w:jc w:val="center"/>
              <w:rPr>
                <w:rFonts w:ascii="Barlow" w:hAnsi="Barlow" w:cs="Calibri"/>
                <w:bCs/>
                <w:sz w:val="20"/>
                <w:szCs w:val="20"/>
                <w:lang w:val="es-ES_tradnl"/>
              </w:rPr>
            </w:pPr>
            <w:r>
              <w:rPr>
                <w:rFonts w:ascii="Barlow" w:hAnsi="Barlow" w:cs="Calibri"/>
                <w:b/>
                <w:bCs/>
                <w:sz w:val="20"/>
                <w:szCs w:val="20"/>
              </w:rPr>
              <w:t>NOTAS AL ESTADO DE FLUJOS DE EFECTIVO</w:t>
            </w:r>
          </w:p>
          <w:p w:rsidR="003A1328" w:rsidRDefault="003A1328">
            <w:pPr>
              <w:pStyle w:val="Textoindependiente2"/>
              <w:spacing w:line="276" w:lineRule="auto"/>
              <w:rPr>
                <w:rFonts w:ascii="Barlow" w:hAnsi="Barlow" w:cs="Calibri"/>
                <w:bCs/>
                <w:sz w:val="20"/>
                <w:szCs w:val="20"/>
              </w:rPr>
            </w:pPr>
          </w:p>
        </w:tc>
      </w:tr>
    </w:tbl>
    <w:p w:rsidR="003A1328" w:rsidRDefault="003A1328" w:rsidP="003A1328">
      <w:pPr>
        <w:pStyle w:val="Prrafodelista"/>
        <w:rPr>
          <w:rStyle w:val="FontStyle16"/>
          <w:rFonts w:ascii="Barlow" w:hAnsi="Barlow" w:cs="Calibri"/>
          <w:b/>
          <w:sz w:val="20"/>
          <w:szCs w:val="20"/>
          <w:lang w:val="es-MX"/>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w:t>
            </w:r>
          </w:p>
        </w:tc>
      </w:tr>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EFECTIVO Y EQUIVALENTES</w:t>
            </w:r>
          </w:p>
        </w:tc>
      </w:tr>
    </w:tbl>
    <w:p w:rsidR="003A1328" w:rsidRDefault="003A1328" w:rsidP="003A1328">
      <w:pPr>
        <w:rPr>
          <w:rFonts w:ascii="Barlow" w:hAnsi="Barlow" w:cs="Calibri"/>
          <w:sz w:val="20"/>
          <w:szCs w:val="20"/>
        </w:rPr>
      </w:pPr>
      <w:r>
        <w:rPr>
          <w:rFonts w:ascii="Barlow" w:hAnsi="Barlow" w:cs="Calibri"/>
          <w:sz w:val="20"/>
          <w:szCs w:val="20"/>
        </w:rPr>
        <w:t>Análisis de los Saldos inicial y final que figuran en la última parte del Estado de Flujo de Efectivo en la cuenta de efectivo y equivalentes</w:t>
      </w: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5000" w:type="pct"/>
        <w:tblCellMar>
          <w:left w:w="70" w:type="dxa"/>
          <w:right w:w="70" w:type="dxa"/>
        </w:tblCellMar>
        <w:tblLook w:val="04A0" w:firstRow="1" w:lastRow="0" w:firstColumn="1" w:lastColumn="0" w:noHBand="0" w:noVBand="1"/>
      </w:tblPr>
      <w:tblGrid>
        <w:gridCol w:w="6475"/>
        <w:gridCol w:w="2221"/>
        <w:gridCol w:w="941"/>
        <w:gridCol w:w="4075"/>
      </w:tblGrid>
      <w:tr w:rsidR="003A1328" w:rsidTr="003A1328">
        <w:trPr>
          <w:trHeight w:val="255"/>
        </w:trPr>
        <w:tc>
          <w:tcPr>
            <w:tcW w:w="3171" w:type="pct"/>
            <w:gridSpan w:val="2"/>
            <w:tcBorders>
              <w:top w:val="single" w:sz="8" w:space="0" w:color="auto"/>
              <w:left w:val="single" w:sz="8" w:space="0" w:color="auto"/>
              <w:bottom w:val="single" w:sz="4" w:space="0" w:color="auto"/>
              <w:right w:val="nil"/>
            </w:tcBorders>
            <w:noWrap/>
            <w:vAlign w:val="bottom"/>
            <w:hideMark/>
          </w:tcPr>
          <w:p w:rsidR="003A1328" w:rsidRDefault="003A1328">
            <w:pPr>
              <w:spacing w:line="276" w:lineRule="auto"/>
              <w:rPr>
                <w:rFonts w:ascii="Barlow" w:hAnsi="Barlow" w:cs="Calibri"/>
                <w:sz w:val="20"/>
                <w:szCs w:val="20"/>
                <w:lang w:eastAsia="en-US"/>
              </w:rPr>
            </w:pPr>
            <w:r>
              <w:rPr>
                <w:rFonts w:ascii="Barlow" w:hAnsi="Barlow" w:cs="Calibri"/>
                <w:sz w:val="20"/>
                <w:szCs w:val="20"/>
                <w:lang w:eastAsia="en-US"/>
              </w:rPr>
              <w:lastRenderedPageBreak/>
              <w:t>SALDO INICIAL DE EFECTIVO Y EQUIVALENTES DEL 1 DE ENERO 2019</w:t>
            </w:r>
          </w:p>
        </w:tc>
        <w:tc>
          <w:tcPr>
            <w:tcW w:w="343" w:type="pct"/>
            <w:tcBorders>
              <w:top w:val="single" w:sz="8" w:space="0" w:color="auto"/>
              <w:left w:val="nil"/>
              <w:bottom w:val="single" w:sz="4" w:space="0" w:color="auto"/>
              <w:right w:val="single" w:sz="8" w:space="0" w:color="auto"/>
            </w:tcBorders>
            <w:noWrap/>
            <w:vAlign w:val="bottom"/>
          </w:tcPr>
          <w:p w:rsidR="003A1328" w:rsidRDefault="003A1328">
            <w:pPr>
              <w:spacing w:line="276" w:lineRule="auto"/>
              <w:rPr>
                <w:rFonts w:ascii="Barlow" w:hAnsi="Barlow" w:cs="Calibri"/>
                <w:sz w:val="20"/>
                <w:szCs w:val="20"/>
                <w:lang w:eastAsia="en-US"/>
              </w:rPr>
            </w:pPr>
          </w:p>
        </w:tc>
        <w:tc>
          <w:tcPr>
            <w:tcW w:w="1486" w:type="pct"/>
            <w:tcBorders>
              <w:top w:val="single" w:sz="8" w:space="0" w:color="auto"/>
              <w:left w:val="nil"/>
              <w:bottom w:val="single" w:sz="4" w:space="0" w:color="auto"/>
              <w:right w:val="single" w:sz="8" w:space="0" w:color="auto"/>
            </w:tcBorders>
            <w:noWrap/>
            <w:vAlign w:val="bottom"/>
            <w:hideMark/>
          </w:tcPr>
          <w:p w:rsidR="003A1328" w:rsidRDefault="003A1328">
            <w:pPr>
              <w:spacing w:line="276" w:lineRule="auto"/>
              <w:jc w:val="right"/>
              <w:rPr>
                <w:rFonts w:ascii="Barlow" w:hAnsi="Barlow" w:cs="Calibri"/>
                <w:sz w:val="20"/>
                <w:szCs w:val="20"/>
                <w:lang w:eastAsia="en-US"/>
              </w:rPr>
            </w:pPr>
            <w:r>
              <w:rPr>
                <w:rFonts w:ascii="Barlow" w:hAnsi="Barlow" w:cs="Calibri"/>
                <w:sz w:val="20"/>
                <w:szCs w:val="20"/>
                <w:lang w:eastAsia="en-US"/>
              </w:rPr>
              <w:t>$1,121,020.97</w:t>
            </w:r>
          </w:p>
        </w:tc>
      </w:tr>
      <w:tr w:rsidR="003A1328" w:rsidTr="003A1328">
        <w:trPr>
          <w:trHeight w:val="270"/>
        </w:trPr>
        <w:tc>
          <w:tcPr>
            <w:tcW w:w="2361" w:type="pct"/>
            <w:tcBorders>
              <w:top w:val="nil"/>
              <w:left w:val="single" w:sz="8" w:space="0" w:color="auto"/>
              <w:bottom w:val="single" w:sz="8" w:space="0" w:color="auto"/>
              <w:right w:val="nil"/>
            </w:tcBorders>
            <w:noWrap/>
            <w:vAlign w:val="bottom"/>
            <w:hideMark/>
          </w:tcPr>
          <w:p w:rsidR="003A1328" w:rsidRDefault="003A1328">
            <w:pPr>
              <w:spacing w:line="276" w:lineRule="auto"/>
              <w:rPr>
                <w:rFonts w:ascii="Barlow" w:hAnsi="Barlow" w:cs="Calibri"/>
                <w:sz w:val="20"/>
                <w:szCs w:val="20"/>
                <w:lang w:eastAsia="en-US"/>
              </w:rPr>
            </w:pPr>
            <w:r>
              <w:rPr>
                <w:rFonts w:ascii="Barlow" w:hAnsi="Barlow" w:cs="Calibri"/>
                <w:sz w:val="20"/>
                <w:szCs w:val="20"/>
                <w:lang w:eastAsia="en-US"/>
              </w:rPr>
              <w:t>SALDO FINAL AL 31 DE MARZO DE 2019</w:t>
            </w:r>
          </w:p>
        </w:tc>
        <w:tc>
          <w:tcPr>
            <w:tcW w:w="809" w:type="pct"/>
            <w:tcBorders>
              <w:top w:val="nil"/>
              <w:left w:val="nil"/>
              <w:bottom w:val="single" w:sz="8" w:space="0" w:color="auto"/>
              <w:right w:val="nil"/>
            </w:tcBorders>
            <w:noWrap/>
            <w:vAlign w:val="bottom"/>
          </w:tcPr>
          <w:p w:rsidR="003A1328" w:rsidRDefault="003A1328">
            <w:pPr>
              <w:spacing w:line="276" w:lineRule="auto"/>
              <w:rPr>
                <w:rFonts w:ascii="Barlow" w:hAnsi="Barlow" w:cs="Calibri"/>
                <w:sz w:val="20"/>
                <w:szCs w:val="20"/>
                <w:lang w:eastAsia="en-US"/>
              </w:rPr>
            </w:pPr>
          </w:p>
        </w:tc>
        <w:tc>
          <w:tcPr>
            <w:tcW w:w="343" w:type="pct"/>
            <w:tcBorders>
              <w:top w:val="nil"/>
              <w:left w:val="nil"/>
              <w:bottom w:val="single" w:sz="8" w:space="0" w:color="auto"/>
              <w:right w:val="single" w:sz="8" w:space="0" w:color="auto"/>
            </w:tcBorders>
            <w:noWrap/>
            <w:vAlign w:val="bottom"/>
          </w:tcPr>
          <w:p w:rsidR="003A1328" w:rsidRDefault="003A1328">
            <w:pPr>
              <w:spacing w:line="276" w:lineRule="auto"/>
              <w:rPr>
                <w:rFonts w:ascii="Barlow" w:hAnsi="Barlow" w:cs="Calibri"/>
                <w:sz w:val="20"/>
                <w:szCs w:val="20"/>
                <w:lang w:eastAsia="en-US"/>
              </w:rPr>
            </w:pPr>
          </w:p>
        </w:tc>
        <w:tc>
          <w:tcPr>
            <w:tcW w:w="1486" w:type="pct"/>
            <w:tcBorders>
              <w:top w:val="nil"/>
              <w:left w:val="nil"/>
              <w:bottom w:val="single" w:sz="8" w:space="0" w:color="auto"/>
              <w:right w:val="single" w:sz="8" w:space="0" w:color="auto"/>
            </w:tcBorders>
            <w:noWrap/>
            <w:vAlign w:val="bottom"/>
            <w:hideMark/>
          </w:tcPr>
          <w:p w:rsidR="003A1328" w:rsidRDefault="003A1328">
            <w:pPr>
              <w:spacing w:line="276" w:lineRule="auto"/>
              <w:jc w:val="right"/>
              <w:rPr>
                <w:rFonts w:ascii="Barlow" w:hAnsi="Barlow" w:cs="Calibri"/>
                <w:sz w:val="20"/>
                <w:szCs w:val="20"/>
                <w:lang w:eastAsia="en-US"/>
              </w:rPr>
            </w:pPr>
            <w:r>
              <w:rPr>
                <w:rFonts w:ascii="Barlow" w:hAnsi="Barlow" w:cs="Calibri"/>
                <w:sz w:val="20"/>
                <w:szCs w:val="20"/>
                <w:lang w:eastAsia="en-US"/>
              </w:rPr>
              <w:t>$1,432,033.49</w:t>
            </w:r>
          </w:p>
        </w:tc>
      </w:tr>
    </w:tbl>
    <w:p w:rsidR="003A1328" w:rsidRDefault="003A1328" w:rsidP="003A1328">
      <w:pPr>
        <w:pStyle w:val="Style3"/>
        <w:widowControl/>
        <w:spacing w:before="24" w:line="276" w:lineRule="auto"/>
        <w:jc w:val="center"/>
        <w:rPr>
          <w:rFonts w:ascii="Barlow" w:hAnsi="Barlow" w:cs="Calibri"/>
          <w:b/>
          <w:bCs/>
          <w:sz w:val="20"/>
          <w:szCs w:val="20"/>
        </w:rPr>
      </w:pPr>
    </w:p>
    <w:p w:rsidR="003A1328" w:rsidRDefault="003A1328" w:rsidP="003A1328">
      <w:pPr>
        <w:pStyle w:val="Style3"/>
        <w:widowControl/>
        <w:spacing w:before="24" w:line="276" w:lineRule="auto"/>
        <w:jc w:val="center"/>
        <w:rPr>
          <w:rStyle w:val="FontStyle16"/>
          <w:rFonts w:ascii="Barlow" w:hAnsi="Barlow" w:cs="Calibri"/>
          <w:sz w:val="20"/>
          <w:szCs w:val="20"/>
        </w:rPr>
      </w:pPr>
      <w:r>
        <w:rPr>
          <w:rFonts w:ascii="Barlow" w:hAnsi="Barlow" w:cs="Calibri"/>
          <w:b/>
          <w:bCs/>
          <w:sz w:val="20"/>
          <w:szCs w:val="20"/>
        </w:rPr>
        <w:t>NOTAS DE GESTIÓN ADMINISTRATIVA</w:t>
      </w: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INTRODUCCION</w:t>
            </w:r>
          </w:p>
        </w:tc>
      </w:tr>
    </w:tbl>
    <w:p w:rsidR="003A1328" w:rsidRDefault="003A1328" w:rsidP="003A1328">
      <w:pPr>
        <w:pStyle w:val="Style3"/>
        <w:widowControl/>
        <w:spacing w:before="24" w:line="276" w:lineRule="auto"/>
        <w:ind w:left="720"/>
        <w:jc w:val="both"/>
        <w:rPr>
          <w:rStyle w:val="FontStyle16"/>
          <w:rFonts w:ascii="Barlow" w:hAnsi="Barlow" w:cs="Calibri"/>
          <w:b/>
          <w:sz w:val="20"/>
          <w:szCs w:val="20"/>
        </w:rPr>
      </w:pPr>
    </w:p>
    <w:p w:rsidR="003A1328" w:rsidRDefault="003A1328" w:rsidP="003A1328">
      <w:pPr>
        <w:pStyle w:val="Style3"/>
        <w:widowControl/>
        <w:spacing w:before="24" w:line="276" w:lineRule="auto"/>
        <w:jc w:val="both"/>
      </w:pPr>
      <w:r>
        <w:rPr>
          <w:rFonts w:ascii="Barlow" w:hAnsi="Barlow" w:cs="Calibri"/>
          <w:sz w:val="20"/>
          <w:szCs w:val="20"/>
        </w:rPr>
        <w:t>Los Estados Financieros de los entes públicos, proveen de información financiera a los principales usuarios de la misma, al Congreso y a los Ciudadanos.</w:t>
      </w:r>
    </w:p>
    <w:p w:rsidR="003A1328" w:rsidRDefault="003A1328" w:rsidP="003A1328">
      <w:pPr>
        <w:pStyle w:val="Style3"/>
        <w:widowControl/>
        <w:spacing w:before="24" w:line="276" w:lineRule="auto"/>
        <w:jc w:val="both"/>
        <w:rPr>
          <w:rFonts w:ascii="Barlow" w:hAnsi="Barlow" w:cs="Calibri"/>
          <w:sz w:val="20"/>
          <w:szCs w:val="20"/>
        </w:rPr>
      </w:pPr>
      <w:r>
        <w:rPr>
          <w:rFonts w:ascii="Barlow" w:hAnsi="Barlow" w:cs="Calibri"/>
          <w:sz w:val="20"/>
          <w:szCs w:val="20"/>
        </w:rPr>
        <w:t>El Objetivo del presente documento es la revelación del contexto y de los aspectos económicos-financieros más relevantes que influyeron en las decisiones del período y que deberán ser considerados en la elaboración de los estados financieros para la mayor comprensión de los mismos y sus particulares</w:t>
      </w:r>
    </w:p>
    <w:p w:rsidR="003A1328" w:rsidRDefault="003A1328" w:rsidP="003A1328">
      <w:pPr>
        <w:spacing w:line="276" w:lineRule="auto"/>
        <w:jc w:val="both"/>
        <w:rPr>
          <w:rFonts w:ascii="Barlow" w:hAnsi="Barlow" w:cs="Calibri"/>
          <w:sz w:val="20"/>
          <w:szCs w:val="20"/>
          <w:lang w:eastAsia="en-US"/>
        </w:rPr>
      </w:pPr>
      <w:r>
        <w:rPr>
          <w:rFonts w:ascii="Barlow" w:hAnsi="Barlow" w:cs="Calibri"/>
          <w:sz w:val="20"/>
          <w:szCs w:val="20"/>
          <w:lang w:eastAsia="en-US"/>
        </w:rPr>
        <w:t>De esta manera, se informa y se explica la respuesta del gobierno a las condiciones relacionadas con la información financiera de cada período de gestión; además, de exponer aquellas políticas que podrían afectar la toma de decisiones en períodos posteriores.</w:t>
      </w:r>
    </w:p>
    <w:p w:rsidR="003A1328" w:rsidRDefault="003A1328" w:rsidP="003A1328">
      <w:pPr>
        <w:spacing w:line="276" w:lineRule="auto"/>
        <w:jc w:val="both"/>
        <w:rPr>
          <w:rFonts w:ascii="Barlow" w:hAnsi="Barlow" w:cs="Calibri"/>
          <w:sz w:val="20"/>
          <w:szCs w:val="20"/>
          <w:lang w:eastAsia="en-US"/>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2</w:t>
            </w:r>
          </w:p>
        </w:tc>
      </w:tr>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PANORAMA ECONOMICO-FINANCIERO</w:t>
            </w:r>
          </w:p>
        </w:tc>
      </w:tr>
    </w:tbl>
    <w:p w:rsidR="003A1328" w:rsidRDefault="003A1328" w:rsidP="003A1328">
      <w:pPr>
        <w:jc w:val="both"/>
        <w:rPr>
          <w:rFonts w:ascii="Barlow" w:hAnsi="Barlow" w:cs="Calibri"/>
          <w:sz w:val="20"/>
          <w:szCs w:val="20"/>
        </w:rPr>
      </w:pPr>
    </w:p>
    <w:p w:rsidR="003A1328" w:rsidRDefault="003A1328" w:rsidP="003A1328">
      <w:pPr>
        <w:jc w:val="both"/>
        <w:rPr>
          <w:rFonts w:ascii="Barlow" w:hAnsi="Barlow" w:cs="Calibri"/>
          <w:sz w:val="20"/>
          <w:szCs w:val="20"/>
        </w:rPr>
      </w:pPr>
      <w:r>
        <w:rPr>
          <w:rFonts w:ascii="Barlow" w:hAnsi="Barlow" w:cs="Calibri"/>
          <w:sz w:val="20"/>
          <w:szCs w:val="20"/>
        </w:rPr>
        <w:t>La Agencia Para el Desarrollo de Yucatán, opera bajo condiciones económico-financieras para sus operaciones de acuerdo a lo contenido dentro del Decreto de Presupuesto de Egresos del Estado de Yucatán para el Ejercicio 2018 siempre apegándose al mismo y a las Leyes y Normas que rigen a la Dependencia y siempre tomado en consideración la salvaguarda y protección de los recursos del Estado.</w:t>
      </w:r>
    </w:p>
    <w:p w:rsidR="003A1328" w:rsidRDefault="003A1328" w:rsidP="003A1328">
      <w:pPr>
        <w:jc w:val="both"/>
        <w:rPr>
          <w:rFonts w:ascii="Barlow" w:hAnsi="Barlow" w:cs="Calibri"/>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3</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AUTORIZACION E HISTORIA</w:t>
            </w:r>
          </w:p>
        </w:tc>
      </w:tr>
    </w:tbl>
    <w:p w:rsidR="003A1328" w:rsidRDefault="003A1328" w:rsidP="003A1328">
      <w:pPr>
        <w:pStyle w:val="Style3"/>
        <w:widowControl/>
        <w:spacing w:before="24" w:line="276" w:lineRule="auto"/>
        <w:ind w:left="720"/>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lang w:eastAsia="es-ES"/>
        </w:rPr>
      </w:pPr>
      <w:r>
        <w:rPr>
          <w:rFonts w:ascii="Barlow" w:hAnsi="Barlow" w:cs="Calibri"/>
          <w:sz w:val="20"/>
          <w:szCs w:val="20"/>
          <w:lang w:eastAsia="es-ES"/>
        </w:rPr>
        <w:t>La Agencia para el Desarrollo de Yucatán, es un es un organismo público descentralizado de la Administración Pública estatal, con personalidad jurídica y patrimonio propio, en la ciudad de Mérida, Yucatán; se crea el 24 de noviembre de 2017, Según el decreto 549/2017 del Gobierno del Estado.</w:t>
      </w:r>
    </w:p>
    <w:p w:rsidR="003A1328" w:rsidRDefault="003A1328" w:rsidP="003A1328">
      <w:pPr>
        <w:pStyle w:val="Style3"/>
        <w:widowControl/>
        <w:spacing w:before="24" w:line="276" w:lineRule="auto"/>
        <w:jc w:val="both"/>
        <w:rPr>
          <w:rFonts w:ascii="Barlow" w:hAnsi="Barlow" w:cs="Calibri"/>
          <w:sz w:val="20"/>
          <w:szCs w:val="20"/>
          <w:lang w:eastAsia="es-ES"/>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lastRenderedPageBreak/>
              <w:t>NOTA 4</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ORGANIZACIÓN Y OBJETO SOCIAL</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spacing w:line="276" w:lineRule="auto"/>
        <w:jc w:val="both"/>
        <w:rPr>
          <w:lang w:eastAsia="en-US"/>
        </w:rPr>
      </w:pPr>
      <w:r>
        <w:rPr>
          <w:rFonts w:ascii="Barlow" w:hAnsi="Barlow" w:cs="Calibri"/>
          <w:sz w:val="20"/>
          <w:szCs w:val="20"/>
          <w:lang w:eastAsia="en-US"/>
        </w:rPr>
        <w:t>A.</w:t>
      </w:r>
      <w:r>
        <w:rPr>
          <w:rFonts w:ascii="Barlow" w:hAnsi="Barlow" w:cs="Calibri"/>
          <w:sz w:val="20"/>
          <w:szCs w:val="20"/>
          <w:lang w:eastAsia="en-US"/>
        </w:rPr>
        <w:tab/>
        <w:t>La Agencia para el Desarrollo de Yucatán tiene como objeto impulsar la inversión, productividad, la competitividad y el desarrollo de infraestructura, alentar potenciar y consolidar la económica del Estado de Yucatán.</w:t>
      </w:r>
    </w:p>
    <w:p w:rsidR="003A1328" w:rsidRDefault="003A1328" w:rsidP="003A1328">
      <w:pPr>
        <w:spacing w:line="276" w:lineRule="auto"/>
        <w:jc w:val="both"/>
        <w:rPr>
          <w:rFonts w:ascii="Barlow" w:hAnsi="Barlow" w:cs="Calibri"/>
          <w:sz w:val="20"/>
          <w:szCs w:val="20"/>
          <w:lang w:eastAsia="en-US"/>
        </w:rPr>
      </w:pPr>
      <w:r>
        <w:rPr>
          <w:rFonts w:ascii="Barlow" w:hAnsi="Barlow" w:cs="Calibri"/>
          <w:sz w:val="20"/>
          <w:szCs w:val="20"/>
          <w:lang w:eastAsia="en-US"/>
        </w:rPr>
        <w:t>B.</w:t>
      </w:r>
      <w:r>
        <w:rPr>
          <w:rFonts w:ascii="Barlow" w:hAnsi="Barlow" w:cs="Calibri"/>
          <w:sz w:val="20"/>
          <w:szCs w:val="20"/>
          <w:lang w:eastAsia="en-US"/>
        </w:rPr>
        <w:tab/>
        <w:t>La Agencia para el Desarrollo de Yucatán es un Ente Público que tiene las obligaciones de retener el ISR por concepto de honorarios por servicios, rentas, al igual que por sueldos y salarios que erogue y enterarlas al SAT.</w:t>
      </w:r>
    </w:p>
    <w:p w:rsidR="003A1328" w:rsidRDefault="003A1328" w:rsidP="003A1328">
      <w:pPr>
        <w:pStyle w:val="Style3"/>
        <w:widowControl/>
        <w:spacing w:before="24" w:line="276" w:lineRule="auto"/>
        <w:jc w:val="both"/>
        <w:rPr>
          <w:rFonts w:ascii="Barlow" w:hAnsi="Barlow" w:cs="Calibri"/>
          <w:sz w:val="20"/>
          <w:szCs w:val="20"/>
          <w:lang w:eastAsia="en-US"/>
        </w:rPr>
      </w:pPr>
      <w:r>
        <w:rPr>
          <w:rFonts w:ascii="Barlow" w:hAnsi="Barlow" w:cs="Calibri"/>
          <w:sz w:val="20"/>
          <w:szCs w:val="20"/>
          <w:lang w:eastAsia="en-US"/>
        </w:rPr>
        <w:t>C.</w:t>
      </w:r>
      <w:r>
        <w:rPr>
          <w:rFonts w:ascii="Barlow" w:hAnsi="Barlow" w:cs="Calibri"/>
          <w:sz w:val="20"/>
          <w:szCs w:val="20"/>
          <w:lang w:eastAsia="en-US"/>
        </w:rPr>
        <w:tab/>
        <w:t>La Agencia para el Desarrollo de Yucatán, cuenta con una estructura organización de la siguiente manera: Un Director General, cuenta con tres direcciones: Dirección de Proyectos, Dirección de Proyectos Social y Dirección de Administración y con dos jefaturas de las diferentes áreas.</w:t>
      </w:r>
    </w:p>
    <w:p w:rsidR="003A1328" w:rsidRDefault="003A1328" w:rsidP="003A1328">
      <w:pPr>
        <w:pStyle w:val="Style3"/>
        <w:widowControl/>
        <w:spacing w:before="24" w:line="276" w:lineRule="auto"/>
        <w:jc w:val="both"/>
        <w:rPr>
          <w:rFonts w:ascii="Barlow" w:hAnsi="Barlow" w:cs="Calibri"/>
          <w:sz w:val="20"/>
          <w:szCs w:val="20"/>
          <w:lang w:eastAsia="en-US"/>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5</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BASES DE PREPARACION DE LOS ESTADOS FINANCIEROS</w:t>
            </w:r>
          </w:p>
        </w:tc>
      </w:tr>
    </w:tbl>
    <w:p w:rsidR="003A1328" w:rsidRDefault="003A1328" w:rsidP="003A1328">
      <w:pPr>
        <w:pStyle w:val="Style3"/>
        <w:widowControl/>
        <w:spacing w:before="24" w:line="276" w:lineRule="auto"/>
        <w:jc w:val="both"/>
        <w:rPr>
          <w:rFonts w:ascii="Barlow" w:hAnsi="Barlow" w:cs="Calibri"/>
          <w:sz w:val="20"/>
          <w:szCs w:val="20"/>
          <w:lang w:eastAsia="en-US"/>
        </w:rPr>
      </w:pPr>
    </w:p>
    <w:p w:rsidR="003A1328" w:rsidRDefault="003A1328" w:rsidP="003A1328">
      <w:pPr>
        <w:spacing w:line="276" w:lineRule="auto"/>
        <w:jc w:val="both"/>
        <w:rPr>
          <w:rFonts w:ascii="Barlow" w:hAnsi="Barlow" w:cs="Calibri"/>
          <w:sz w:val="20"/>
          <w:szCs w:val="20"/>
          <w:lang w:eastAsia="en-US"/>
        </w:rPr>
      </w:pPr>
      <w:r>
        <w:rPr>
          <w:rFonts w:ascii="Barlow" w:hAnsi="Barlow" w:cs="Calibri"/>
          <w:sz w:val="20"/>
          <w:szCs w:val="20"/>
          <w:lang w:eastAsia="en-US"/>
        </w:rPr>
        <w:t>Para la preparación de los Estados Financieros se tomó como base la Ley de Contabilidad Gubernamental así como también regularizándose  con apego a la normatividad emitida por  CONAC y las disposiciones legales aplicables.</w:t>
      </w:r>
    </w:p>
    <w:p w:rsidR="003A1328" w:rsidRDefault="003A1328" w:rsidP="003A1328">
      <w:pPr>
        <w:pStyle w:val="Style3"/>
        <w:widowControl/>
        <w:spacing w:before="24" w:line="276" w:lineRule="auto"/>
        <w:jc w:val="both"/>
        <w:rPr>
          <w:rFonts w:ascii="Barlow" w:hAnsi="Barlow" w:cs="Calibri"/>
          <w:sz w:val="20"/>
          <w:szCs w:val="20"/>
          <w:lang w:eastAsia="en-US"/>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6</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POLITICAS DE CONTABILIDAD SIGNIFICATIVAS</w:t>
            </w:r>
          </w:p>
        </w:tc>
      </w:tr>
    </w:tbl>
    <w:p w:rsidR="003A1328" w:rsidRDefault="003A1328" w:rsidP="003A1328">
      <w:pPr>
        <w:pStyle w:val="Style3"/>
        <w:widowControl/>
        <w:spacing w:before="24" w:line="276" w:lineRule="auto"/>
        <w:jc w:val="both"/>
        <w:rPr>
          <w:rFonts w:ascii="Barlow" w:hAnsi="Barlow" w:cs="Calibri"/>
          <w:sz w:val="20"/>
          <w:szCs w:val="20"/>
          <w:lang w:eastAsia="en-US"/>
        </w:rPr>
      </w:pPr>
    </w:p>
    <w:tbl>
      <w:tblPr>
        <w:tblW w:w="5007" w:type="pct"/>
        <w:tblCellMar>
          <w:left w:w="70" w:type="dxa"/>
          <w:right w:w="70" w:type="dxa"/>
        </w:tblCellMar>
        <w:tblLook w:val="04A0" w:firstRow="1" w:lastRow="0" w:firstColumn="1" w:lastColumn="0" w:noHBand="0" w:noVBand="1"/>
      </w:tblPr>
      <w:tblGrid>
        <w:gridCol w:w="6404"/>
        <w:gridCol w:w="1195"/>
        <w:gridCol w:w="1051"/>
        <w:gridCol w:w="1126"/>
        <w:gridCol w:w="33"/>
        <w:gridCol w:w="586"/>
        <w:gridCol w:w="1156"/>
        <w:gridCol w:w="54"/>
        <w:gridCol w:w="534"/>
        <w:gridCol w:w="565"/>
        <w:gridCol w:w="331"/>
        <w:gridCol w:w="146"/>
        <w:gridCol w:w="258"/>
        <w:gridCol w:w="146"/>
        <w:gridCol w:w="146"/>
      </w:tblGrid>
      <w:tr w:rsidR="003A1328" w:rsidTr="003A1328">
        <w:trPr>
          <w:trHeight w:val="258"/>
        </w:trPr>
        <w:tc>
          <w:tcPr>
            <w:tcW w:w="3886" w:type="pct"/>
            <w:gridSpan w:val="8"/>
            <w:noWrap/>
            <w:vAlign w:val="bottom"/>
            <w:hideMark/>
          </w:tcPr>
          <w:p w:rsidR="003A1328" w:rsidRDefault="003A1328">
            <w:pPr>
              <w:spacing w:line="276" w:lineRule="auto"/>
              <w:rPr>
                <w:rFonts w:ascii="Barlow" w:hAnsi="Barlow" w:cs="Calibri"/>
                <w:sz w:val="20"/>
                <w:szCs w:val="20"/>
                <w:lang w:eastAsia="en-US"/>
              </w:rPr>
            </w:pPr>
            <w:r>
              <w:rPr>
                <w:rFonts w:ascii="Barlow" w:hAnsi="Barlow" w:cs="Calibri"/>
                <w:sz w:val="20"/>
                <w:szCs w:val="20"/>
                <w:lang w:eastAsia="en-US"/>
              </w:rPr>
              <w:t>a) Registro de los Ingresos</w:t>
            </w:r>
          </w:p>
        </w:tc>
        <w:tc>
          <w:tcPr>
            <w:tcW w:w="368"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259" w:type="pct"/>
            <w:noWrap/>
            <w:vAlign w:val="bottom"/>
            <w:hideMark/>
          </w:tcPr>
          <w:p w:rsidR="003A1328" w:rsidRDefault="003A1328">
            <w:pPr>
              <w:widowControl/>
              <w:autoSpaceDE/>
              <w:autoSpaceDN/>
              <w:adjustRightInd/>
              <w:rPr>
                <w:rFonts w:hAnsi="Times New Roman"/>
                <w:sz w:val="20"/>
                <w:szCs w:val="20"/>
                <w:lang w:val="es-MX" w:eastAsia="es-MX"/>
              </w:rPr>
            </w:pPr>
          </w:p>
        </w:tc>
        <w:tc>
          <w:tcPr>
            <w:tcW w:w="67" w:type="pct"/>
            <w:noWrap/>
            <w:vAlign w:val="bottom"/>
            <w:hideMark/>
          </w:tcPr>
          <w:p w:rsidR="003A1328" w:rsidRDefault="003A1328">
            <w:pPr>
              <w:widowControl/>
              <w:autoSpaceDE/>
              <w:autoSpaceDN/>
              <w:adjustRightInd/>
              <w:rPr>
                <w:rFonts w:hAnsi="Times New Roman"/>
                <w:sz w:val="20"/>
                <w:szCs w:val="20"/>
                <w:lang w:val="es-MX" w:eastAsia="es-MX"/>
              </w:rPr>
            </w:pPr>
          </w:p>
        </w:tc>
        <w:tc>
          <w:tcPr>
            <w:tcW w:w="292" w:type="pct"/>
            <w:noWrap/>
            <w:vAlign w:val="bottom"/>
            <w:hideMark/>
          </w:tcPr>
          <w:p w:rsidR="003A1328" w:rsidRDefault="003A1328">
            <w:pPr>
              <w:widowControl/>
              <w:autoSpaceDE/>
              <w:autoSpaceDN/>
              <w:adjustRightInd/>
              <w:rPr>
                <w:rFonts w:hAnsi="Times New Roman"/>
                <w:sz w:val="20"/>
                <w:szCs w:val="20"/>
                <w:lang w:val="es-MX" w:eastAsia="es-MX"/>
              </w:rPr>
            </w:pPr>
          </w:p>
        </w:tc>
        <w:tc>
          <w:tcPr>
            <w:tcW w:w="70" w:type="pct"/>
            <w:noWrap/>
            <w:vAlign w:val="bottom"/>
            <w:hideMark/>
          </w:tcPr>
          <w:p w:rsidR="003A1328" w:rsidRDefault="003A1328">
            <w:pPr>
              <w:widowControl/>
              <w:autoSpaceDE/>
              <w:autoSpaceDN/>
              <w:adjustRightInd/>
              <w:rPr>
                <w:rFonts w:hAnsi="Times New Roman"/>
                <w:sz w:val="20"/>
                <w:szCs w:val="20"/>
                <w:lang w:val="es-MX" w:eastAsia="es-MX"/>
              </w:rPr>
            </w:pPr>
          </w:p>
        </w:tc>
        <w:tc>
          <w:tcPr>
            <w:tcW w:w="57"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trHeight w:val="121"/>
        </w:trPr>
        <w:tc>
          <w:tcPr>
            <w:tcW w:w="3274" w:type="pct"/>
            <w:gridSpan w:val="4"/>
            <w:noWrap/>
            <w:vAlign w:val="bottom"/>
            <w:hideMark/>
          </w:tcPr>
          <w:p w:rsidR="003A1328" w:rsidRDefault="003A1328">
            <w:pPr>
              <w:widowControl/>
              <w:autoSpaceDE/>
              <w:autoSpaceDN/>
              <w:adjustRightInd/>
              <w:rPr>
                <w:rFonts w:hAnsi="Times New Roman"/>
                <w:sz w:val="20"/>
                <w:szCs w:val="20"/>
                <w:lang w:val="es-MX" w:eastAsia="es-MX"/>
              </w:rPr>
            </w:pPr>
          </w:p>
        </w:tc>
        <w:tc>
          <w:tcPr>
            <w:tcW w:w="611" w:type="pct"/>
            <w:gridSpan w:val="4"/>
            <w:noWrap/>
            <w:vAlign w:val="bottom"/>
            <w:hideMark/>
          </w:tcPr>
          <w:p w:rsidR="003A1328" w:rsidRDefault="003A1328">
            <w:pPr>
              <w:widowControl/>
              <w:autoSpaceDE/>
              <w:autoSpaceDN/>
              <w:adjustRightInd/>
              <w:rPr>
                <w:rFonts w:hAnsi="Times New Roman"/>
                <w:sz w:val="20"/>
                <w:szCs w:val="20"/>
                <w:lang w:val="es-MX" w:eastAsia="es-MX"/>
              </w:rPr>
            </w:pPr>
          </w:p>
        </w:tc>
        <w:tc>
          <w:tcPr>
            <w:tcW w:w="368"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259" w:type="pct"/>
            <w:noWrap/>
            <w:vAlign w:val="bottom"/>
            <w:hideMark/>
          </w:tcPr>
          <w:p w:rsidR="003A1328" w:rsidRDefault="003A1328">
            <w:pPr>
              <w:widowControl/>
              <w:autoSpaceDE/>
              <w:autoSpaceDN/>
              <w:adjustRightInd/>
              <w:rPr>
                <w:rFonts w:hAnsi="Times New Roman"/>
                <w:sz w:val="20"/>
                <w:szCs w:val="20"/>
                <w:lang w:val="es-MX" w:eastAsia="es-MX"/>
              </w:rPr>
            </w:pPr>
          </w:p>
        </w:tc>
        <w:tc>
          <w:tcPr>
            <w:tcW w:w="67" w:type="pct"/>
            <w:noWrap/>
            <w:vAlign w:val="bottom"/>
            <w:hideMark/>
          </w:tcPr>
          <w:p w:rsidR="003A1328" w:rsidRDefault="003A1328">
            <w:pPr>
              <w:widowControl/>
              <w:autoSpaceDE/>
              <w:autoSpaceDN/>
              <w:adjustRightInd/>
              <w:rPr>
                <w:rFonts w:hAnsi="Times New Roman"/>
                <w:sz w:val="20"/>
                <w:szCs w:val="20"/>
                <w:lang w:val="es-MX" w:eastAsia="es-MX"/>
              </w:rPr>
            </w:pPr>
          </w:p>
        </w:tc>
        <w:tc>
          <w:tcPr>
            <w:tcW w:w="292" w:type="pct"/>
            <w:noWrap/>
            <w:vAlign w:val="bottom"/>
            <w:hideMark/>
          </w:tcPr>
          <w:p w:rsidR="003A1328" w:rsidRDefault="003A1328">
            <w:pPr>
              <w:widowControl/>
              <w:autoSpaceDE/>
              <w:autoSpaceDN/>
              <w:adjustRightInd/>
              <w:rPr>
                <w:rFonts w:hAnsi="Times New Roman"/>
                <w:sz w:val="20"/>
                <w:szCs w:val="20"/>
                <w:lang w:val="es-MX" w:eastAsia="es-MX"/>
              </w:rPr>
            </w:pPr>
          </w:p>
        </w:tc>
        <w:tc>
          <w:tcPr>
            <w:tcW w:w="70" w:type="pct"/>
            <w:noWrap/>
            <w:vAlign w:val="bottom"/>
            <w:hideMark/>
          </w:tcPr>
          <w:p w:rsidR="003A1328" w:rsidRDefault="003A1328">
            <w:pPr>
              <w:widowControl/>
              <w:autoSpaceDE/>
              <w:autoSpaceDN/>
              <w:adjustRightInd/>
              <w:rPr>
                <w:rFonts w:hAnsi="Times New Roman"/>
                <w:sz w:val="20"/>
                <w:szCs w:val="20"/>
                <w:lang w:val="es-MX" w:eastAsia="es-MX"/>
              </w:rPr>
            </w:pPr>
          </w:p>
        </w:tc>
        <w:tc>
          <w:tcPr>
            <w:tcW w:w="57"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trHeight w:val="607"/>
        </w:trPr>
        <w:tc>
          <w:tcPr>
            <w:tcW w:w="5000" w:type="pct"/>
            <w:gridSpan w:val="15"/>
            <w:hideMark/>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Los Ingresos provienen de las transferencias recibidas del Gobierno del Estado, las cuales son registradas al momento de tener conocimiento del mismo. Asimismo esta información es conciliada de manera mensual con la Secretaría de Administración y Finanzas.</w:t>
            </w:r>
          </w:p>
        </w:tc>
      </w:tr>
      <w:tr w:rsidR="003A1328" w:rsidTr="003A1328">
        <w:trPr>
          <w:gridAfter w:val="5"/>
          <w:wAfter w:w="748" w:type="pct"/>
          <w:trHeight w:val="258"/>
        </w:trPr>
        <w:tc>
          <w:tcPr>
            <w:tcW w:w="2545" w:type="pct"/>
            <w:gridSpan w:val="2"/>
            <w:noWrap/>
            <w:vAlign w:val="bottom"/>
            <w:hideMark/>
          </w:tcPr>
          <w:p w:rsidR="003A1328" w:rsidRDefault="003A1328">
            <w:pPr>
              <w:spacing w:line="276" w:lineRule="auto"/>
              <w:rPr>
                <w:rFonts w:ascii="Barlow" w:hAnsi="Barlow" w:cs="Calibri"/>
                <w:sz w:val="20"/>
                <w:szCs w:val="20"/>
                <w:lang w:eastAsia="en-US"/>
              </w:rPr>
            </w:pPr>
            <w:r>
              <w:rPr>
                <w:rFonts w:ascii="Barlow" w:hAnsi="Barlow" w:cs="Calibri"/>
                <w:sz w:val="20"/>
                <w:szCs w:val="20"/>
                <w:lang w:eastAsia="en-US"/>
              </w:rPr>
              <w:t>b) Registro de los Egresos.</w:t>
            </w:r>
          </w:p>
        </w:tc>
        <w:tc>
          <w:tcPr>
            <w:tcW w:w="352" w:type="pct"/>
            <w:noWrap/>
            <w:vAlign w:val="bottom"/>
            <w:hideMark/>
          </w:tcPr>
          <w:p w:rsidR="003A1328" w:rsidRDefault="003A1328">
            <w:pPr>
              <w:widowControl/>
              <w:autoSpaceDE/>
              <w:autoSpaceDN/>
              <w:adjustRightInd/>
              <w:rPr>
                <w:rFonts w:hAnsi="Times New Roman"/>
                <w:sz w:val="20"/>
                <w:szCs w:val="20"/>
                <w:lang w:val="es-MX" w:eastAsia="es-MX"/>
              </w:rPr>
            </w:pPr>
          </w:p>
        </w:tc>
        <w:tc>
          <w:tcPr>
            <w:tcW w:w="388"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196" w:type="pct"/>
            <w:noWrap/>
            <w:vAlign w:val="bottom"/>
            <w:hideMark/>
          </w:tcPr>
          <w:p w:rsidR="003A1328" w:rsidRDefault="003A1328">
            <w:pPr>
              <w:widowControl/>
              <w:autoSpaceDE/>
              <w:autoSpaceDN/>
              <w:adjustRightInd/>
              <w:rPr>
                <w:rFonts w:hAnsi="Times New Roman"/>
                <w:sz w:val="20"/>
                <w:szCs w:val="20"/>
                <w:lang w:val="es-MX" w:eastAsia="es-MX"/>
              </w:rPr>
            </w:pPr>
          </w:p>
        </w:tc>
        <w:tc>
          <w:tcPr>
            <w:tcW w:w="387" w:type="pct"/>
            <w:noWrap/>
            <w:vAlign w:val="bottom"/>
            <w:hideMark/>
          </w:tcPr>
          <w:p w:rsidR="003A1328" w:rsidRDefault="003A1328">
            <w:pPr>
              <w:widowControl/>
              <w:autoSpaceDE/>
              <w:autoSpaceDN/>
              <w:adjustRightInd/>
              <w:rPr>
                <w:rFonts w:hAnsi="Times New Roman"/>
                <w:sz w:val="20"/>
                <w:szCs w:val="20"/>
                <w:lang w:val="es-MX" w:eastAsia="es-MX"/>
              </w:rPr>
            </w:pPr>
          </w:p>
        </w:tc>
        <w:tc>
          <w:tcPr>
            <w:tcW w:w="197"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188"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121"/>
        </w:trPr>
        <w:tc>
          <w:tcPr>
            <w:tcW w:w="2145" w:type="pct"/>
            <w:noWrap/>
            <w:vAlign w:val="bottom"/>
            <w:hideMark/>
          </w:tcPr>
          <w:p w:rsidR="003A1328" w:rsidRDefault="003A1328">
            <w:pPr>
              <w:widowControl/>
              <w:autoSpaceDE/>
              <w:autoSpaceDN/>
              <w:adjustRightInd/>
              <w:rPr>
                <w:rFonts w:hAnsi="Times New Roman"/>
                <w:sz w:val="20"/>
                <w:szCs w:val="20"/>
                <w:lang w:val="es-MX" w:eastAsia="es-MX"/>
              </w:rPr>
            </w:pPr>
          </w:p>
        </w:tc>
        <w:tc>
          <w:tcPr>
            <w:tcW w:w="400" w:type="pct"/>
            <w:noWrap/>
            <w:vAlign w:val="bottom"/>
            <w:hideMark/>
          </w:tcPr>
          <w:p w:rsidR="003A1328" w:rsidRDefault="003A1328">
            <w:pPr>
              <w:widowControl/>
              <w:autoSpaceDE/>
              <w:autoSpaceDN/>
              <w:adjustRightInd/>
              <w:rPr>
                <w:rFonts w:hAnsi="Times New Roman"/>
                <w:sz w:val="20"/>
                <w:szCs w:val="20"/>
                <w:lang w:val="es-MX" w:eastAsia="es-MX"/>
              </w:rPr>
            </w:pPr>
          </w:p>
        </w:tc>
        <w:tc>
          <w:tcPr>
            <w:tcW w:w="352" w:type="pct"/>
            <w:noWrap/>
            <w:vAlign w:val="bottom"/>
            <w:hideMark/>
          </w:tcPr>
          <w:p w:rsidR="003A1328" w:rsidRDefault="003A1328">
            <w:pPr>
              <w:widowControl/>
              <w:autoSpaceDE/>
              <w:autoSpaceDN/>
              <w:adjustRightInd/>
              <w:rPr>
                <w:rFonts w:hAnsi="Times New Roman"/>
                <w:sz w:val="20"/>
                <w:szCs w:val="20"/>
                <w:lang w:val="es-MX" w:eastAsia="es-MX"/>
              </w:rPr>
            </w:pPr>
          </w:p>
        </w:tc>
        <w:tc>
          <w:tcPr>
            <w:tcW w:w="388"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196" w:type="pct"/>
            <w:noWrap/>
            <w:vAlign w:val="bottom"/>
            <w:hideMark/>
          </w:tcPr>
          <w:p w:rsidR="003A1328" w:rsidRDefault="003A1328">
            <w:pPr>
              <w:widowControl/>
              <w:autoSpaceDE/>
              <w:autoSpaceDN/>
              <w:adjustRightInd/>
              <w:rPr>
                <w:rFonts w:hAnsi="Times New Roman"/>
                <w:sz w:val="20"/>
                <w:szCs w:val="20"/>
                <w:lang w:val="es-MX" w:eastAsia="es-MX"/>
              </w:rPr>
            </w:pPr>
          </w:p>
        </w:tc>
        <w:tc>
          <w:tcPr>
            <w:tcW w:w="387" w:type="pct"/>
            <w:noWrap/>
            <w:vAlign w:val="bottom"/>
            <w:hideMark/>
          </w:tcPr>
          <w:p w:rsidR="003A1328" w:rsidRDefault="003A1328">
            <w:pPr>
              <w:widowControl/>
              <w:autoSpaceDE/>
              <w:autoSpaceDN/>
              <w:adjustRightInd/>
              <w:rPr>
                <w:rFonts w:hAnsi="Times New Roman"/>
                <w:sz w:val="20"/>
                <w:szCs w:val="20"/>
                <w:lang w:val="es-MX" w:eastAsia="es-MX"/>
              </w:rPr>
            </w:pPr>
          </w:p>
        </w:tc>
        <w:tc>
          <w:tcPr>
            <w:tcW w:w="197" w:type="pct"/>
            <w:gridSpan w:val="2"/>
            <w:noWrap/>
            <w:vAlign w:val="bottom"/>
            <w:hideMark/>
          </w:tcPr>
          <w:p w:rsidR="003A1328" w:rsidRDefault="003A1328">
            <w:pPr>
              <w:widowControl/>
              <w:autoSpaceDE/>
              <w:autoSpaceDN/>
              <w:adjustRightInd/>
              <w:rPr>
                <w:rFonts w:hAnsi="Times New Roman"/>
                <w:sz w:val="20"/>
                <w:szCs w:val="20"/>
                <w:lang w:val="es-MX" w:eastAsia="es-MX"/>
              </w:rPr>
            </w:pPr>
          </w:p>
        </w:tc>
        <w:tc>
          <w:tcPr>
            <w:tcW w:w="188"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577"/>
        </w:trPr>
        <w:tc>
          <w:tcPr>
            <w:tcW w:w="4252" w:type="pct"/>
            <w:gridSpan w:val="10"/>
            <w:hideMark/>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Los egresos se registran en el momento que efectúa el gasto y se le anexa los documentos que amparan la adquisición de los bienes o la prestación del servicio.</w:t>
            </w:r>
          </w:p>
        </w:tc>
      </w:tr>
      <w:tr w:rsidR="003A1328" w:rsidTr="003A1328">
        <w:trPr>
          <w:gridAfter w:val="5"/>
          <w:wAfter w:w="748" w:type="pct"/>
          <w:trHeight w:val="577"/>
        </w:trPr>
        <w:tc>
          <w:tcPr>
            <w:tcW w:w="4252" w:type="pct"/>
            <w:gridSpan w:val="10"/>
            <w:hideMark/>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lastRenderedPageBreak/>
              <w:t>Las adquisiciones de materiales y suministros son consideradas directamente como egresos y su utilización es generalmente inmediata.</w:t>
            </w:r>
          </w:p>
        </w:tc>
      </w:tr>
      <w:tr w:rsidR="003A1328" w:rsidTr="003A1328">
        <w:trPr>
          <w:gridAfter w:val="5"/>
          <w:wAfter w:w="748" w:type="pct"/>
          <w:trHeight w:val="121"/>
        </w:trPr>
        <w:tc>
          <w:tcPr>
            <w:tcW w:w="2145" w:type="pct"/>
            <w:hideMark/>
          </w:tcPr>
          <w:p w:rsidR="003A1328" w:rsidRDefault="003A1328">
            <w:pPr>
              <w:widowControl/>
              <w:autoSpaceDE/>
              <w:autoSpaceDN/>
              <w:adjustRightInd/>
              <w:rPr>
                <w:rFonts w:hAnsi="Times New Roman"/>
                <w:sz w:val="20"/>
                <w:szCs w:val="20"/>
                <w:lang w:val="es-MX" w:eastAsia="es-MX"/>
              </w:rPr>
            </w:pPr>
          </w:p>
        </w:tc>
        <w:tc>
          <w:tcPr>
            <w:tcW w:w="400" w:type="pct"/>
            <w:hideMark/>
          </w:tcPr>
          <w:p w:rsidR="003A1328" w:rsidRDefault="003A1328">
            <w:pPr>
              <w:widowControl/>
              <w:autoSpaceDE/>
              <w:autoSpaceDN/>
              <w:adjustRightInd/>
              <w:rPr>
                <w:rFonts w:hAnsi="Times New Roman"/>
                <w:sz w:val="20"/>
                <w:szCs w:val="20"/>
                <w:lang w:val="es-MX" w:eastAsia="es-MX"/>
              </w:rPr>
            </w:pPr>
          </w:p>
        </w:tc>
        <w:tc>
          <w:tcPr>
            <w:tcW w:w="352" w:type="pct"/>
            <w:hideMark/>
          </w:tcPr>
          <w:p w:rsidR="003A1328" w:rsidRDefault="003A1328">
            <w:pPr>
              <w:widowControl/>
              <w:autoSpaceDE/>
              <w:autoSpaceDN/>
              <w:adjustRightInd/>
              <w:rPr>
                <w:rFonts w:hAnsi="Times New Roman"/>
                <w:sz w:val="20"/>
                <w:szCs w:val="20"/>
                <w:lang w:val="es-MX" w:eastAsia="es-MX"/>
              </w:rPr>
            </w:pPr>
          </w:p>
        </w:tc>
        <w:tc>
          <w:tcPr>
            <w:tcW w:w="388" w:type="pct"/>
            <w:gridSpan w:val="2"/>
            <w:hideMark/>
          </w:tcPr>
          <w:p w:rsidR="003A1328" w:rsidRDefault="003A1328">
            <w:pPr>
              <w:widowControl/>
              <w:autoSpaceDE/>
              <w:autoSpaceDN/>
              <w:adjustRightInd/>
              <w:rPr>
                <w:rFonts w:hAnsi="Times New Roman"/>
                <w:sz w:val="20"/>
                <w:szCs w:val="20"/>
                <w:lang w:val="es-MX" w:eastAsia="es-MX"/>
              </w:rPr>
            </w:pPr>
          </w:p>
        </w:tc>
        <w:tc>
          <w:tcPr>
            <w:tcW w:w="196" w:type="pct"/>
            <w:hideMark/>
          </w:tcPr>
          <w:p w:rsidR="003A1328" w:rsidRDefault="003A1328">
            <w:pPr>
              <w:widowControl/>
              <w:autoSpaceDE/>
              <w:autoSpaceDN/>
              <w:adjustRightInd/>
              <w:rPr>
                <w:rFonts w:hAnsi="Times New Roman"/>
                <w:sz w:val="20"/>
                <w:szCs w:val="20"/>
                <w:lang w:val="es-MX" w:eastAsia="es-MX"/>
              </w:rPr>
            </w:pPr>
          </w:p>
        </w:tc>
        <w:tc>
          <w:tcPr>
            <w:tcW w:w="387" w:type="pct"/>
            <w:hideMark/>
          </w:tcPr>
          <w:p w:rsidR="003A1328" w:rsidRDefault="003A1328">
            <w:pPr>
              <w:widowControl/>
              <w:autoSpaceDE/>
              <w:autoSpaceDN/>
              <w:adjustRightInd/>
              <w:rPr>
                <w:rFonts w:hAnsi="Times New Roman"/>
                <w:sz w:val="20"/>
                <w:szCs w:val="20"/>
                <w:lang w:val="es-MX" w:eastAsia="es-MX"/>
              </w:rPr>
            </w:pPr>
          </w:p>
        </w:tc>
        <w:tc>
          <w:tcPr>
            <w:tcW w:w="197" w:type="pct"/>
            <w:gridSpan w:val="2"/>
            <w:hideMark/>
          </w:tcPr>
          <w:p w:rsidR="003A1328" w:rsidRDefault="003A1328">
            <w:pPr>
              <w:widowControl/>
              <w:autoSpaceDE/>
              <w:autoSpaceDN/>
              <w:adjustRightInd/>
              <w:rPr>
                <w:rFonts w:hAnsi="Times New Roman"/>
                <w:sz w:val="20"/>
                <w:szCs w:val="20"/>
                <w:lang w:val="es-MX" w:eastAsia="es-MX"/>
              </w:rPr>
            </w:pPr>
          </w:p>
        </w:tc>
        <w:tc>
          <w:tcPr>
            <w:tcW w:w="188" w:type="pct"/>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258"/>
        </w:trPr>
        <w:tc>
          <w:tcPr>
            <w:tcW w:w="4252" w:type="pct"/>
            <w:gridSpan w:val="10"/>
            <w:hideMark/>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c) Control de Inversiones en Bienes Duraderos.</w:t>
            </w:r>
          </w:p>
        </w:tc>
      </w:tr>
      <w:tr w:rsidR="003A1328" w:rsidTr="003A1328">
        <w:trPr>
          <w:gridAfter w:val="5"/>
          <w:wAfter w:w="748" w:type="pct"/>
          <w:trHeight w:val="121"/>
        </w:trPr>
        <w:tc>
          <w:tcPr>
            <w:tcW w:w="2145" w:type="pct"/>
            <w:noWrap/>
            <w:vAlign w:val="bottom"/>
            <w:hideMark/>
          </w:tcPr>
          <w:p w:rsidR="003A1328" w:rsidRDefault="003A1328">
            <w:pPr>
              <w:widowControl/>
              <w:autoSpaceDE/>
              <w:autoSpaceDN/>
              <w:adjustRightInd/>
              <w:rPr>
                <w:rFonts w:hAnsi="Times New Roman"/>
                <w:sz w:val="20"/>
                <w:szCs w:val="20"/>
                <w:lang w:val="es-MX" w:eastAsia="es-MX"/>
              </w:rPr>
            </w:pPr>
          </w:p>
        </w:tc>
        <w:tc>
          <w:tcPr>
            <w:tcW w:w="400" w:type="pct"/>
            <w:noWrap/>
            <w:vAlign w:val="bottom"/>
            <w:hideMark/>
          </w:tcPr>
          <w:p w:rsidR="003A1328" w:rsidRDefault="003A1328">
            <w:pPr>
              <w:widowControl/>
              <w:autoSpaceDE/>
              <w:autoSpaceDN/>
              <w:adjustRightInd/>
              <w:rPr>
                <w:rFonts w:hAnsi="Times New Roman"/>
                <w:sz w:val="20"/>
                <w:szCs w:val="20"/>
                <w:lang w:val="es-MX" w:eastAsia="es-MX"/>
              </w:rPr>
            </w:pPr>
          </w:p>
        </w:tc>
        <w:tc>
          <w:tcPr>
            <w:tcW w:w="352" w:type="pct"/>
            <w:noWrap/>
            <w:vAlign w:val="bottom"/>
            <w:hideMark/>
          </w:tcPr>
          <w:p w:rsidR="003A1328" w:rsidRDefault="003A1328">
            <w:pPr>
              <w:widowControl/>
              <w:autoSpaceDE/>
              <w:autoSpaceDN/>
              <w:adjustRightInd/>
              <w:rPr>
                <w:rFonts w:hAnsi="Times New Roman"/>
                <w:sz w:val="20"/>
                <w:szCs w:val="20"/>
                <w:lang w:val="es-MX" w:eastAsia="es-MX"/>
              </w:rPr>
            </w:pPr>
          </w:p>
        </w:tc>
        <w:tc>
          <w:tcPr>
            <w:tcW w:w="388" w:type="pct"/>
            <w:gridSpan w:val="2"/>
            <w:hideMark/>
          </w:tcPr>
          <w:p w:rsidR="003A1328" w:rsidRDefault="003A1328">
            <w:pPr>
              <w:widowControl/>
              <w:autoSpaceDE/>
              <w:autoSpaceDN/>
              <w:adjustRightInd/>
              <w:rPr>
                <w:rFonts w:hAnsi="Times New Roman"/>
                <w:sz w:val="20"/>
                <w:szCs w:val="20"/>
                <w:lang w:val="es-MX" w:eastAsia="es-MX"/>
              </w:rPr>
            </w:pPr>
          </w:p>
        </w:tc>
        <w:tc>
          <w:tcPr>
            <w:tcW w:w="196" w:type="pct"/>
            <w:hideMark/>
          </w:tcPr>
          <w:p w:rsidR="003A1328" w:rsidRDefault="003A1328">
            <w:pPr>
              <w:widowControl/>
              <w:autoSpaceDE/>
              <w:autoSpaceDN/>
              <w:adjustRightInd/>
              <w:rPr>
                <w:rFonts w:hAnsi="Times New Roman"/>
                <w:sz w:val="20"/>
                <w:szCs w:val="20"/>
                <w:lang w:val="es-MX" w:eastAsia="es-MX"/>
              </w:rPr>
            </w:pPr>
          </w:p>
        </w:tc>
        <w:tc>
          <w:tcPr>
            <w:tcW w:w="387" w:type="pct"/>
            <w:hideMark/>
          </w:tcPr>
          <w:p w:rsidR="003A1328" w:rsidRDefault="003A1328">
            <w:pPr>
              <w:widowControl/>
              <w:autoSpaceDE/>
              <w:autoSpaceDN/>
              <w:adjustRightInd/>
              <w:rPr>
                <w:rFonts w:hAnsi="Times New Roman"/>
                <w:sz w:val="20"/>
                <w:szCs w:val="20"/>
                <w:lang w:val="es-MX" w:eastAsia="es-MX"/>
              </w:rPr>
            </w:pPr>
          </w:p>
        </w:tc>
        <w:tc>
          <w:tcPr>
            <w:tcW w:w="197" w:type="pct"/>
            <w:gridSpan w:val="2"/>
            <w:hideMark/>
          </w:tcPr>
          <w:p w:rsidR="003A1328" w:rsidRDefault="003A1328">
            <w:pPr>
              <w:widowControl/>
              <w:autoSpaceDE/>
              <w:autoSpaceDN/>
              <w:adjustRightInd/>
              <w:rPr>
                <w:rFonts w:hAnsi="Times New Roman"/>
                <w:sz w:val="20"/>
                <w:szCs w:val="20"/>
                <w:lang w:val="es-MX" w:eastAsia="es-MX"/>
              </w:rPr>
            </w:pPr>
          </w:p>
        </w:tc>
        <w:tc>
          <w:tcPr>
            <w:tcW w:w="188" w:type="pct"/>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258"/>
        </w:trPr>
        <w:tc>
          <w:tcPr>
            <w:tcW w:w="4252" w:type="pct"/>
            <w:gridSpan w:val="10"/>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Existen controles físicos de los bienes duraderos así como sus resguardos respectivos los cuales elabora y custodia la Subdirección de Recursos materiales.</w:t>
            </w:r>
          </w:p>
          <w:p w:rsidR="003A1328" w:rsidRDefault="003A1328">
            <w:pPr>
              <w:spacing w:line="276" w:lineRule="auto"/>
              <w:jc w:val="both"/>
              <w:rPr>
                <w:rFonts w:ascii="Barlow" w:hAnsi="Barlow" w:cs="Calibri"/>
                <w:sz w:val="20"/>
                <w:szCs w:val="20"/>
                <w:lang w:eastAsia="en-US"/>
              </w:rPr>
            </w:pPr>
          </w:p>
        </w:tc>
      </w:tr>
      <w:tr w:rsidR="003A1328" w:rsidTr="003A1328">
        <w:trPr>
          <w:gridAfter w:val="5"/>
          <w:wAfter w:w="748" w:type="pct"/>
          <w:trHeight w:val="258"/>
        </w:trPr>
        <w:tc>
          <w:tcPr>
            <w:tcW w:w="4252" w:type="pct"/>
            <w:gridSpan w:val="10"/>
          </w:tcPr>
          <w:p w:rsidR="003A1328" w:rsidRDefault="003A1328">
            <w:pPr>
              <w:spacing w:line="276" w:lineRule="auto"/>
              <w:jc w:val="both"/>
              <w:rPr>
                <w:rFonts w:ascii="Barlow" w:hAnsi="Barlow" w:cs="Calibri"/>
                <w:sz w:val="20"/>
                <w:szCs w:val="20"/>
                <w:lang w:eastAsia="en-US"/>
              </w:rPr>
            </w:pPr>
          </w:p>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d) Registro Contable</w:t>
            </w:r>
          </w:p>
        </w:tc>
      </w:tr>
      <w:tr w:rsidR="003A1328" w:rsidTr="003A1328">
        <w:trPr>
          <w:gridAfter w:val="13"/>
          <w:wAfter w:w="2455" w:type="pct"/>
          <w:trHeight w:val="121"/>
        </w:trPr>
        <w:tc>
          <w:tcPr>
            <w:tcW w:w="2145" w:type="pct"/>
            <w:noWrap/>
            <w:vAlign w:val="bottom"/>
            <w:hideMark/>
          </w:tcPr>
          <w:p w:rsidR="003A1328" w:rsidRDefault="003A1328">
            <w:pPr>
              <w:widowControl/>
              <w:autoSpaceDE/>
              <w:autoSpaceDN/>
              <w:adjustRightInd/>
              <w:rPr>
                <w:rFonts w:hAnsi="Times New Roman"/>
                <w:sz w:val="20"/>
                <w:szCs w:val="20"/>
                <w:lang w:val="es-MX" w:eastAsia="es-MX"/>
              </w:rPr>
            </w:pPr>
          </w:p>
        </w:tc>
        <w:tc>
          <w:tcPr>
            <w:tcW w:w="400"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258"/>
        </w:trPr>
        <w:tc>
          <w:tcPr>
            <w:tcW w:w="4252" w:type="pct"/>
            <w:gridSpan w:val="10"/>
            <w:noWrap/>
            <w:vAlign w:val="bottom"/>
            <w:hideMark/>
          </w:tcPr>
          <w:p w:rsidR="003A1328" w:rsidRDefault="003A1328">
            <w:pPr>
              <w:spacing w:line="276" w:lineRule="auto"/>
              <w:rPr>
                <w:rFonts w:ascii="Barlow" w:hAnsi="Barlow" w:cs="Calibri"/>
                <w:sz w:val="20"/>
                <w:szCs w:val="20"/>
                <w:lang w:eastAsia="en-US"/>
              </w:rPr>
            </w:pPr>
            <w:r>
              <w:rPr>
                <w:rFonts w:ascii="Barlow" w:hAnsi="Barlow" w:cs="Calibri"/>
                <w:sz w:val="20"/>
                <w:szCs w:val="20"/>
                <w:lang w:eastAsia="en-US"/>
              </w:rPr>
              <w:t>El registro contable está a cargo de un despacho externo:</w:t>
            </w:r>
          </w:p>
        </w:tc>
      </w:tr>
      <w:tr w:rsidR="003A1328" w:rsidTr="003A1328">
        <w:trPr>
          <w:gridAfter w:val="13"/>
          <w:wAfter w:w="2455" w:type="pct"/>
          <w:trHeight w:val="121"/>
        </w:trPr>
        <w:tc>
          <w:tcPr>
            <w:tcW w:w="2145" w:type="pct"/>
            <w:noWrap/>
            <w:vAlign w:val="bottom"/>
            <w:hideMark/>
          </w:tcPr>
          <w:p w:rsidR="003A1328" w:rsidRDefault="003A1328">
            <w:pPr>
              <w:widowControl/>
              <w:autoSpaceDE/>
              <w:autoSpaceDN/>
              <w:adjustRightInd/>
              <w:rPr>
                <w:rFonts w:hAnsi="Times New Roman"/>
                <w:sz w:val="20"/>
                <w:szCs w:val="20"/>
                <w:lang w:val="es-MX" w:eastAsia="es-MX"/>
              </w:rPr>
            </w:pPr>
          </w:p>
        </w:tc>
        <w:tc>
          <w:tcPr>
            <w:tcW w:w="400" w:type="pct"/>
            <w:noWrap/>
            <w:vAlign w:val="bottom"/>
            <w:hideMark/>
          </w:tcPr>
          <w:p w:rsidR="003A1328" w:rsidRDefault="003A1328">
            <w:pPr>
              <w:widowControl/>
              <w:autoSpaceDE/>
              <w:autoSpaceDN/>
              <w:adjustRightInd/>
              <w:rPr>
                <w:rFonts w:hAnsi="Times New Roman"/>
                <w:sz w:val="20"/>
                <w:szCs w:val="20"/>
                <w:lang w:val="es-MX" w:eastAsia="es-MX"/>
              </w:rPr>
            </w:pPr>
          </w:p>
        </w:tc>
      </w:tr>
      <w:tr w:rsidR="003A1328" w:rsidTr="003A1328">
        <w:trPr>
          <w:gridAfter w:val="5"/>
          <w:wAfter w:w="748" w:type="pct"/>
          <w:trHeight w:val="622"/>
        </w:trPr>
        <w:tc>
          <w:tcPr>
            <w:tcW w:w="4252" w:type="pct"/>
            <w:gridSpan w:val="10"/>
          </w:tcPr>
          <w:p w:rsidR="003A1328" w:rsidRDefault="003A1328">
            <w:pPr>
              <w:spacing w:line="276" w:lineRule="auto"/>
              <w:jc w:val="both"/>
              <w:rPr>
                <w:rFonts w:ascii="Barlow" w:hAnsi="Barlow" w:cs="Calibri"/>
                <w:sz w:val="20"/>
                <w:szCs w:val="20"/>
                <w:lang w:eastAsia="en-US"/>
              </w:rPr>
            </w:pPr>
            <w:r>
              <w:rPr>
                <w:rFonts w:ascii="Barlow" w:hAnsi="Barlow" w:cs="Calibri"/>
                <w:sz w:val="20"/>
                <w:szCs w:val="20"/>
                <w:lang w:eastAsia="en-US"/>
              </w:rPr>
              <w:t>Teniendo la custodia de la documentación soporte de dichas operaciones, emitir los Estados Financieros y enviarlos a los diferentes interesados para su revisión e integración a la cuenta pública, de lo cual la información emana de la Dirección de administración.</w:t>
            </w:r>
          </w:p>
          <w:p w:rsidR="003A1328" w:rsidRDefault="003A1328">
            <w:pPr>
              <w:spacing w:line="276" w:lineRule="auto"/>
              <w:jc w:val="both"/>
              <w:rPr>
                <w:rFonts w:ascii="Barlow" w:hAnsi="Barlow" w:cs="Calibri"/>
                <w:sz w:val="20"/>
                <w:szCs w:val="20"/>
                <w:lang w:eastAsia="en-US"/>
              </w:rPr>
            </w:pPr>
          </w:p>
          <w:tbl>
            <w:tblPr>
              <w:tblW w:w="8834" w:type="dxa"/>
              <w:tblInd w:w="2684" w:type="dxa"/>
              <w:tblCellMar>
                <w:left w:w="70" w:type="dxa"/>
                <w:right w:w="70" w:type="dxa"/>
              </w:tblCellMar>
              <w:tblLook w:val="04A0" w:firstRow="1" w:lastRow="0" w:firstColumn="1" w:lastColumn="0" w:noHBand="0" w:noVBand="1"/>
            </w:tblPr>
            <w:tblGrid>
              <w:gridCol w:w="8834"/>
            </w:tblGrid>
            <w:tr w:rsidR="003A1328">
              <w:trPr>
                <w:trHeight w:val="273"/>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7</w:t>
                  </w:r>
                </w:p>
              </w:tc>
            </w:tr>
            <w:tr w:rsidR="003A1328">
              <w:trPr>
                <w:trHeight w:val="273"/>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POSICION EN MONEDA EXTRANJERA Y PROTECCION POR RIESGO CAMBIARIO</w:t>
                  </w:r>
                </w:p>
              </w:tc>
            </w:tr>
          </w:tbl>
          <w:p w:rsidR="003A1328" w:rsidRDefault="003A1328">
            <w:pPr>
              <w:spacing w:line="276" w:lineRule="auto"/>
              <w:jc w:val="both"/>
              <w:rPr>
                <w:rFonts w:ascii="Barlow" w:hAnsi="Barlow" w:cs="Calibri"/>
                <w:sz w:val="20"/>
                <w:szCs w:val="20"/>
                <w:lang w:eastAsia="en-US"/>
              </w:rPr>
            </w:pPr>
          </w:p>
          <w:p w:rsidR="003A1328" w:rsidRDefault="003A1328">
            <w:pPr>
              <w:spacing w:line="276" w:lineRule="auto"/>
              <w:jc w:val="both"/>
              <w:rPr>
                <w:rFonts w:ascii="Barlow" w:hAnsi="Barlow" w:cs="Calibri"/>
                <w:sz w:val="20"/>
                <w:szCs w:val="20"/>
              </w:rPr>
            </w:pPr>
            <w:r>
              <w:rPr>
                <w:rFonts w:ascii="Barlow" w:hAnsi="Barlow" w:cs="Calibri"/>
                <w:sz w:val="20"/>
                <w:szCs w:val="20"/>
              </w:rPr>
              <w:t>La Agencia Para el Desarrollo de Yucatán no tiene operaciones en moneda extranjera por lo que no necesita de algún método de protección de riesgo por variaciones en el tipo de cambio.</w:t>
            </w:r>
          </w:p>
          <w:p w:rsidR="003A1328" w:rsidRDefault="003A1328">
            <w:pPr>
              <w:spacing w:line="276" w:lineRule="auto"/>
              <w:jc w:val="both"/>
              <w:rPr>
                <w:rFonts w:ascii="Barlow" w:hAnsi="Barlow" w:cs="Calibri"/>
                <w:sz w:val="20"/>
                <w:szCs w:val="20"/>
              </w:rPr>
            </w:pPr>
          </w:p>
          <w:tbl>
            <w:tblPr>
              <w:tblW w:w="11525" w:type="dxa"/>
              <w:tblInd w:w="1015" w:type="dxa"/>
              <w:tblCellMar>
                <w:left w:w="70" w:type="dxa"/>
                <w:right w:w="70" w:type="dxa"/>
              </w:tblCellMar>
              <w:tblLook w:val="04A0" w:firstRow="1" w:lastRow="0" w:firstColumn="1" w:lastColumn="0" w:noHBand="0" w:noVBand="1"/>
            </w:tblPr>
            <w:tblGrid>
              <w:gridCol w:w="11525"/>
            </w:tblGrid>
            <w:tr w:rsid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8</w:t>
                  </w:r>
                </w:p>
              </w:tc>
            </w:tr>
            <w:tr w:rsid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REPORTE ANALITICO DEL ACTIVO</w:t>
                  </w:r>
                </w:p>
              </w:tc>
            </w:tr>
          </w:tbl>
          <w:p w:rsidR="003A1328" w:rsidRDefault="003A1328">
            <w:pPr>
              <w:spacing w:line="276" w:lineRule="auto"/>
              <w:jc w:val="both"/>
              <w:rPr>
                <w:rFonts w:ascii="Barlow" w:hAnsi="Barlow" w:cs="Calibri"/>
                <w:sz w:val="20"/>
                <w:szCs w:val="20"/>
                <w:lang w:eastAsia="en-US"/>
              </w:rPr>
            </w:pPr>
          </w:p>
        </w:tc>
      </w:tr>
    </w:tbl>
    <w:p w:rsidR="003A1328" w:rsidRDefault="003A1328" w:rsidP="003A1328">
      <w:pPr>
        <w:pStyle w:val="Style3"/>
        <w:widowControl/>
        <w:spacing w:before="24" w:line="276" w:lineRule="auto"/>
        <w:jc w:val="both"/>
        <w:rPr>
          <w:rFonts w:ascii="Barlow" w:hAnsi="Barlow" w:cs="Calibri"/>
          <w:sz w:val="20"/>
          <w:szCs w:val="20"/>
          <w:lang w:eastAsia="en-US"/>
        </w:rPr>
      </w:pPr>
    </w:p>
    <w:p w:rsidR="003A1328" w:rsidRDefault="003A1328" w:rsidP="003A1328">
      <w:pPr>
        <w:jc w:val="both"/>
        <w:rPr>
          <w:rFonts w:ascii="Barlow" w:hAnsi="Barlow" w:cs="Calibri"/>
          <w:sz w:val="20"/>
          <w:szCs w:val="20"/>
        </w:rPr>
      </w:pPr>
      <w:r>
        <w:rPr>
          <w:rFonts w:ascii="Barlow" w:hAnsi="Barlow" w:cs="Calibri"/>
          <w:sz w:val="20"/>
          <w:szCs w:val="20"/>
        </w:rPr>
        <w:t>Los Activos Fijos se presentan valuados a su precio de adquisición.</w:t>
      </w: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lastRenderedPageBreak/>
              <w:t>NOTA 9</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FIDEICOMISOS, MANDATOS Y ANALOGOS</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jc w:val="both"/>
      </w:pPr>
      <w:r>
        <w:rPr>
          <w:rFonts w:ascii="Barlow" w:hAnsi="Barlow" w:cs="Calibri"/>
          <w:sz w:val="20"/>
          <w:szCs w:val="20"/>
        </w:rPr>
        <w:t>La Agencia Para el Desarrollo de Yucatán no realiza operaciones contables de ningún Fideicomiso, motivo por el cual no se informa situación alguna en esta nota.</w:t>
      </w: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10</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REPORTE DE RECAUDACION</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jc w:val="both"/>
      </w:pPr>
      <w:r>
        <w:rPr>
          <w:rFonts w:ascii="Barlow" w:hAnsi="Barlow" w:cs="Calibri"/>
          <w:sz w:val="20"/>
          <w:szCs w:val="20"/>
        </w:rPr>
        <w:t>La Agencia Para el Desarrollo de Yucatán no cuenta con reporte de recaudación.</w:t>
      </w: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11</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DEUDA PUBLICA Y REPORTE ANALITICO DE LA DEUDA</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pPr>
      <w:r>
        <w:rPr>
          <w:rFonts w:ascii="Barlow" w:hAnsi="Barlow" w:cs="Calibri"/>
          <w:sz w:val="20"/>
          <w:szCs w:val="20"/>
        </w:rPr>
        <w:t>La Agencia Para el Desarrollo de Yucatán no tiene deuda pública por lo que no se reporta información en esta nota.</w:t>
      </w:r>
    </w:p>
    <w:p w:rsidR="003A1328" w:rsidRDefault="003A1328" w:rsidP="003A1328">
      <w:pPr>
        <w:pStyle w:val="Style3"/>
        <w:widowControl/>
        <w:spacing w:before="24" w:line="276" w:lineRule="auto"/>
        <w:jc w:val="both"/>
        <w:rPr>
          <w:rFonts w:ascii="Barlow" w:hAnsi="Barlow" w:cs="Calibri"/>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12</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PROCESOS DE MEJORA</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jc w:val="both"/>
      </w:pPr>
      <w:r>
        <w:rPr>
          <w:rFonts w:ascii="Barlow" w:hAnsi="Barlow" w:cs="Calibri"/>
          <w:sz w:val="20"/>
          <w:szCs w:val="20"/>
        </w:rPr>
        <w:t>Actualmente La Agencia Para el Desarrollo de Yucatán, se encuentran implementando nuevos procesos administrativos para el mejoramiento de los controles internos, en todas las áreas para el registro de toda la información administrativa, contable y presupuestal para lograr estar apegados al 100% a los nuevos lineamientos de la CONAC.</w:t>
      </w: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5000" w:type="pct"/>
        <w:tblCellMar>
          <w:left w:w="70" w:type="dxa"/>
          <w:right w:w="70" w:type="dxa"/>
        </w:tblCellMar>
        <w:tblLook w:val="04A0" w:firstRow="1" w:lastRow="0" w:firstColumn="1" w:lastColumn="0" w:noHBand="0" w:noVBand="1"/>
      </w:tblPr>
      <w:tblGrid>
        <w:gridCol w:w="13712"/>
      </w:tblGrid>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13, 14y 15</w:t>
            </w:r>
          </w:p>
        </w:tc>
      </w:tr>
      <w:tr w:rsidR="003A1328" w:rsidTr="003A1328">
        <w:trPr>
          <w:trHeight w:val="270"/>
        </w:trPr>
        <w:tc>
          <w:tcPr>
            <w:tcW w:w="4947"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INFORMACION POR SEGMENTOS, EVENTOS POSTERIORES AL CIERRE Y PARTES RELACIONADAS</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jc w:val="both"/>
      </w:pPr>
      <w:r>
        <w:rPr>
          <w:rFonts w:ascii="Barlow" w:hAnsi="Barlow" w:cs="Calibri"/>
          <w:sz w:val="20"/>
          <w:szCs w:val="20"/>
        </w:rPr>
        <w:t>La información que presenta La Agencia Para el Desarrollo de Yucatán no contiene ningún evento posterior que afecte económicamente al mismo, tampoco realiza operaciones con partes relacionadas y debido al volumen de operaciones que tiene, no se ve en la necesidad de presentar la información de manera segmentada.</w:t>
      </w:r>
    </w:p>
    <w:p w:rsidR="003A1328" w:rsidRDefault="003A1328" w:rsidP="003A1328">
      <w:pPr>
        <w:pStyle w:val="Style3"/>
        <w:widowControl/>
        <w:spacing w:before="24" w:line="276" w:lineRule="auto"/>
        <w:jc w:val="both"/>
        <w:rPr>
          <w:rStyle w:val="FontStyle16"/>
          <w:rFonts w:ascii="Barlow" w:hAnsi="Barlow" w:cs="Calibri"/>
          <w:b/>
          <w:sz w:val="20"/>
          <w:szCs w:val="20"/>
        </w:rPr>
      </w:pPr>
    </w:p>
    <w:tbl>
      <w:tblPr>
        <w:tblW w:w="13457" w:type="dxa"/>
        <w:tblCellMar>
          <w:left w:w="70" w:type="dxa"/>
          <w:right w:w="70" w:type="dxa"/>
        </w:tblCellMar>
        <w:tblLook w:val="04A0" w:firstRow="1" w:lastRow="0" w:firstColumn="1" w:lastColumn="0" w:noHBand="0" w:noVBand="1"/>
      </w:tblPr>
      <w:tblGrid>
        <w:gridCol w:w="13457"/>
      </w:tblGrid>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jc w:val="center"/>
              <w:rPr>
                <w:rFonts w:ascii="Barlow" w:hAnsi="Barlow" w:cs="Calibri"/>
                <w:b/>
                <w:bCs/>
                <w:sz w:val="20"/>
                <w:szCs w:val="20"/>
                <w:lang w:eastAsia="en-US"/>
              </w:rPr>
            </w:pPr>
            <w:r>
              <w:rPr>
                <w:rFonts w:ascii="Barlow" w:hAnsi="Barlow" w:cs="Calibri"/>
                <w:b/>
                <w:bCs/>
                <w:sz w:val="20"/>
                <w:szCs w:val="20"/>
                <w:lang w:eastAsia="en-US"/>
              </w:rPr>
              <w:t>NOTA 16</w:t>
            </w:r>
          </w:p>
        </w:tc>
      </w:tr>
      <w:tr w:rsidR="003A1328" w:rsidTr="003A1328">
        <w:trPr>
          <w:trHeight w:val="270"/>
        </w:trPr>
        <w:tc>
          <w:tcPr>
            <w:tcW w:w="5000" w:type="pct"/>
            <w:tcBorders>
              <w:top w:val="single" w:sz="8" w:space="0" w:color="auto"/>
              <w:left w:val="single" w:sz="8" w:space="0" w:color="auto"/>
              <w:bottom w:val="single" w:sz="8" w:space="0" w:color="auto"/>
              <w:right w:val="single" w:sz="8" w:space="0" w:color="000000"/>
            </w:tcBorders>
            <w:noWrap/>
            <w:vAlign w:val="bottom"/>
            <w:hideMark/>
          </w:tcPr>
          <w:p w:rsidR="003A1328" w:rsidRDefault="003A1328">
            <w:pPr>
              <w:spacing w:line="276" w:lineRule="auto"/>
              <w:rPr>
                <w:rFonts w:ascii="Barlow" w:hAnsi="Barlow" w:cs="Calibri"/>
                <w:b/>
                <w:bCs/>
                <w:sz w:val="20"/>
                <w:szCs w:val="20"/>
                <w:lang w:eastAsia="en-US"/>
              </w:rPr>
            </w:pPr>
            <w:r>
              <w:rPr>
                <w:rFonts w:ascii="Barlow" w:hAnsi="Barlow" w:cs="Calibri"/>
                <w:b/>
                <w:bCs/>
                <w:sz w:val="20"/>
                <w:szCs w:val="20"/>
                <w:lang w:eastAsia="en-US"/>
              </w:rPr>
              <w:t>RESPONSABILIDAD SOBRE LA PRESENTACION RAZONABLE DE LOS ESTADOS FINANCIEROS</w:t>
            </w:r>
          </w:p>
        </w:tc>
      </w:tr>
    </w:tbl>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jc w:val="both"/>
      </w:pPr>
      <w:r>
        <w:rPr>
          <w:rFonts w:ascii="Barlow" w:hAnsi="Barlow" w:cs="Calibri"/>
          <w:sz w:val="20"/>
          <w:szCs w:val="20"/>
        </w:rPr>
        <w:t>Los Estados Financieros y sus notas están debidamente firmados por las autoridades correspondientes</w:t>
      </w: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b/>
          <w:sz w:val="20"/>
          <w:szCs w:val="20"/>
        </w:rPr>
      </w:pPr>
    </w:p>
    <w:p w:rsidR="003A1328" w:rsidRDefault="003A1328" w:rsidP="003A1328">
      <w:pPr>
        <w:pStyle w:val="Style3"/>
        <w:widowControl/>
        <w:spacing w:before="24" w:line="276" w:lineRule="auto"/>
        <w:jc w:val="both"/>
        <w:rPr>
          <w:rStyle w:val="FontStyle16"/>
          <w:rFonts w:ascii="Barlow" w:hAnsi="Barlow" w:cs="Calibri"/>
          <w:sz w:val="20"/>
          <w:szCs w:val="20"/>
        </w:rPr>
      </w:pPr>
      <w:r>
        <w:rPr>
          <w:rStyle w:val="FontStyle16"/>
          <w:rFonts w:ascii="Barlow" w:hAnsi="Barlow" w:cs="Calibri"/>
          <w:sz w:val="20"/>
          <w:szCs w:val="20"/>
        </w:rPr>
        <w:t>Bajo protesta de decir verdad declaramos que los Estados Financieros y sus Notas son razonablemente correctos y responsabilidad del emisor.</w:t>
      </w:r>
    </w:p>
    <w:p w:rsidR="008E7342" w:rsidRDefault="008E7342"/>
    <w:sectPr w:rsidR="008E7342" w:rsidSect="003A1328">
      <w:pgSz w:w="15840" w:h="12240" w:orient="landscape"/>
      <w:pgMar w:top="2835"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arlow">
    <w:panose1 w:val="00000500000000000000"/>
    <w:charset w:val="00"/>
    <w:family w:val="auto"/>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1D66CC"/>
    <w:multiLevelType w:val="hybridMultilevel"/>
    <w:tmpl w:val="5E72AA20"/>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328"/>
    <w:rsid w:val="003A1328"/>
    <w:rsid w:val="008E734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28"/>
    <w:pPr>
      <w:widowControl w:val="0"/>
      <w:autoSpaceDE w:val="0"/>
      <w:autoSpaceDN w:val="0"/>
      <w:adjustRightInd w:val="0"/>
      <w:spacing w:after="0" w:line="240" w:lineRule="auto"/>
    </w:pPr>
    <w:rPr>
      <w:rFonts w:ascii="Palatino Linotype" w:eastAsia="Times New Roman" w:hAnsi="Palatino Linotype"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3A1328"/>
    <w:pPr>
      <w:widowControl/>
      <w:autoSpaceDE/>
      <w:autoSpaceDN/>
      <w:adjustRightInd/>
      <w:jc w:val="both"/>
    </w:pPr>
    <w:rPr>
      <w:rFonts w:ascii="Arial" w:hAnsi="Arial" w:cs="Arial"/>
      <w:sz w:val="22"/>
      <w:szCs w:val="22"/>
      <w:lang w:val="es-MX" w:eastAsia="es-ES"/>
    </w:rPr>
  </w:style>
  <w:style w:type="character" w:customStyle="1" w:styleId="Textoindependiente2Car">
    <w:name w:val="Texto independiente 2 Car"/>
    <w:basedOn w:val="Fuentedeprrafopredeter"/>
    <w:link w:val="Textoindependiente2"/>
    <w:rsid w:val="003A1328"/>
    <w:rPr>
      <w:rFonts w:ascii="Arial" w:eastAsia="Times New Roman" w:hAnsi="Arial" w:cs="Arial"/>
      <w:lang w:eastAsia="es-ES"/>
    </w:rPr>
  </w:style>
  <w:style w:type="paragraph" w:styleId="Prrafodelista">
    <w:name w:val="List Paragraph"/>
    <w:basedOn w:val="Normal"/>
    <w:uiPriority w:val="34"/>
    <w:qFormat/>
    <w:rsid w:val="003A1328"/>
    <w:pPr>
      <w:ind w:left="708"/>
    </w:pPr>
  </w:style>
  <w:style w:type="paragraph" w:customStyle="1" w:styleId="Style3">
    <w:name w:val="Style3"/>
    <w:basedOn w:val="Normal"/>
    <w:rsid w:val="003A1328"/>
    <w:pPr>
      <w:spacing w:line="314" w:lineRule="exact"/>
      <w:jc w:val="right"/>
    </w:pPr>
  </w:style>
  <w:style w:type="character" w:customStyle="1" w:styleId="FontStyle16">
    <w:name w:val="Font Style16"/>
    <w:rsid w:val="003A1328"/>
    <w:rPr>
      <w:rFonts w:ascii="Bookman Old Style" w:hAnsi="Bookman Old Style" w:cs="Bookman Old Style"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1328"/>
    <w:pPr>
      <w:widowControl w:val="0"/>
      <w:autoSpaceDE w:val="0"/>
      <w:autoSpaceDN w:val="0"/>
      <w:adjustRightInd w:val="0"/>
      <w:spacing w:after="0" w:line="240" w:lineRule="auto"/>
    </w:pPr>
    <w:rPr>
      <w:rFonts w:ascii="Palatino Linotype" w:eastAsia="Times New Roman" w:hAnsi="Palatino Linotype" w:cs="Times New Roman"/>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link w:val="Textoindependiente2Car"/>
    <w:unhideWhenUsed/>
    <w:rsid w:val="003A1328"/>
    <w:pPr>
      <w:widowControl/>
      <w:autoSpaceDE/>
      <w:autoSpaceDN/>
      <w:adjustRightInd/>
      <w:jc w:val="both"/>
    </w:pPr>
    <w:rPr>
      <w:rFonts w:ascii="Arial" w:hAnsi="Arial" w:cs="Arial"/>
      <w:sz w:val="22"/>
      <w:szCs w:val="22"/>
      <w:lang w:val="es-MX" w:eastAsia="es-ES"/>
    </w:rPr>
  </w:style>
  <w:style w:type="character" w:customStyle="1" w:styleId="Textoindependiente2Car">
    <w:name w:val="Texto independiente 2 Car"/>
    <w:basedOn w:val="Fuentedeprrafopredeter"/>
    <w:link w:val="Textoindependiente2"/>
    <w:rsid w:val="003A1328"/>
    <w:rPr>
      <w:rFonts w:ascii="Arial" w:eastAsia="Times New Roman" w:hAnsi="Arial" w:cs="Arial"/>
      <w:lang w:eastAsia="es-ES"/>
    </w:rPr>
  </w:style>
  <w:style w:type="paragraph" w:styleId="Prrafodelista">
    <w:name w:val="List Paragraph"/>
    <w:basedOn w:val="Normal"/>
    <w:uiPriority w:val="34"/>
    <w:qFormat/>
    <w:rsid w:val="003A1328"/>
    <w:pPr>
      <w:ind w:left="708"/>
    </w:pPr>
  </w:style>
  <w:style w:type="paragraph" w:customStyle="1" w:styleId="Style3">
    <w:name w:val="Style3"/>
    <w:basedOn w:val="Normal"/>
    <w:rsid w:val="003A1328"/>
    <w:pPr>
      <w:spacing w:line="314" w:lineRule="exact"/>
      <w:jc w:val="right"/>
    </w:pPr>
  </w:style>
  <w:style w:type="character" w:customStyle="1" w:styleId="FontStyle16">
    <w:name w:val="Font Style16"/>
    <w:rsid w:val="003A1328"/>
    <w:rPr>
      <w:rFonts w:ascii="Bookman Old Style" w:hAnsi="Bookman Old Style" w:cs="Bookman Old Style"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504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1328</Words>
  <Characters>7307</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Y. Lara Medrano</dc:creator>
  <cp:lastModifiedBy>Sharon Y. Lara Medrano</cp:lastModifiedBy>
  <cp:revision>1</cp:revision>
  <dcterms:created xsi:type="dcterms:W3CDTF">2019-05-16T22:15:00Z</dcterms:created>
  <dcterms:modified xsi:type="dcterms:W3CDTF">2019-05-16T22:17:00Z</dcterms:modified>
</cp:coreProperties>
</file>