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D6" w:rsidRPr="00DF6E47" w:rsidRDefault="00DF6E47" w:rsidP="00590E7F">
      <w:pPr>
        <w:pStyle w:val="Texto"/>
        <w:spacing w:after="0" w:line="240" w:lineRule="exact"/>
        <w:jc w:val="center"/>
        <w:outlineLvl w:val="0"/>
        <w:rPr>
          <w:rFonts w:ascii="Barlow" w:hAnsi="Barlow"/>
          <w:b/>
          <w:sz w:val="20"/>
        </w:rPr>
      </w:pPr>
      <w:r w:rsidRPr="00DF6E47">
        <w:rPr>
          <w:rFonts w:ascii="Barlow" w:hAnsi="Barlow"/>
          <w:b/>
          <w:sz w:val="20"/>
        </w:rPr>
        <w:t>Cuenta Pública 2019</w:t>
      </w:r>
    </w:p>
    <w:p w:rsidR="005062D6" w:rsidRPr="00DF6E47" w:rsidRDefault="005062D6" w:rsidP="005062D6">
      <w:pPr>
        <w:pStyle w:val="Texto"/>
        <w:spacing w:after="0" w:line="240" w:lineRule="exact"/>
        <w:jc w:val="center"/>
        <w:rPr>
          <w:rFonts w:ascii="Barlow" w:hAnsi="Barlow"/>
          <w:b/>
          <w:sz w:val="20"/>
        </w:rPr>
      </w:pPr>
    </w:p>
    <w:p w:rsidR="005062D6" w:rsidRPr="00DF6E47" w:rsidRDefault="006A4AB4" w:rsidP="00590E7F">
      <w:pPr>
        <w:pStyle w:val="Texto"/>
        <w:spacing w:after="0" w:line="240" w:lineRule="exact"/>
        <w:jc w:val="center"/>
        <w:outlineLvl w:val="0"/>
        <w:rPr>
          <w:rFonts w:ascii="Barlow" w:hAnsi="Barlow"/>
          <w:b/>
          <w:sz w:val="20"/>
        </w:rPr>
      </w:pPr>
      <w:r w:rsidRPr="00DF6E47">
        <w:rPr>
          <w:rFonts w:ascii="Barlow" w:hAnsi="Barlow"/>
          <w:b/>
          <w:sz w:val="20"/>
        </w:rPr>
        <w:t>Notas a los Estados Financieros</w:t>
      </w:r>
    </w:p>
    <w:p w:rsidR="007200D9" w:rsidRPr="00DF6E47" w:rsidRDefault="007200D9" w:rsidP="007200D9">
      <w:pPr>
        <w:pStyle w:val="Texto"/>
        <w:spacing w:after="0" w:line="240" w:lineRule="exact"/>
        <w:ind w:firstLine="0"/>
        <w:outlineLvl w:val="0"/>
        <w:rPr>
          <w:rFonts w:ascii="Barlow" w:hAnsi="Barlow"/>
          <w:b/>
          <w:sz w:val="20"/>
        </w:rPr>
      </w:pPr>
    </w:p>
    <w:p w:rsidR="009C39A4" w:rsidRPr="00DF6E47" w:rsidRDefault="006A4AB4" w:rsidP="009C39A4">
      <w:pPr>
        <w:pStyle w:val="Texto"/>
        <w:spacing w:after="0" w:line="240" w:lineRule="exact"/>
        <w:ind w:firstLine="0"/>
        <w:jc w:val="center"/>
        <w:outlineLvl w:val="0"/>
        <w:rPr>
          <w:rFonts w:ascii="Barlow" w:hAnsi="Barlow"/>
          <w:b/>
          <w:sz w:val="20"/>
        </w:rPr>
      </w:pPr>
      <w:r w:rsidRPr="00DF6E47">
        <w:rPr>
          <w:rFonts w:ascii="Barlow" w:hAnsi="Barlow"/>
          <w:b/>
          <w:sz w:val="20"/>
        </w:rPr>
        <w:t xml:space="preserve">     </w:t>
      </w:r>
      <w:r w:rsidR="00DF6E47" w:rsidRPr="00DF6E47">
        <w:rPr>
          <w:rFonts w:ascii="Barlow" w:hAnsi="Barlow"/>
          <w:b/>
          <w:sz w:val="20"/>
        </w:rPr>
        <w:t>Al 31 de Marzo de 2019</w:t>
      </w:r>
    </w:p>
    <w:p w:rsidR="007200D9" w:rsidRPr="00DF6E47" w:rsidRDefault="007200D9" w:rsidP="00590E7F">
      <w:pPr>
        <w:pStyle w:val="Texto"/>
        <w:spacing w:after="0" w:line="240" w:lineRule="exact"/>
        <w:jc w:val="center"/>
        <w:outlineLvl w:val="0"/>
        <w:rPr>
          <w:rFonts w:ascii="Barlow" w:hAnsi="Barlow"/>
          <w:b/>
          <w:sz w:val="20"/>
        </w:rPr>
      </w:pPr>
    </w:p>
    <w:p w:rsidR="007200D9" w:rsidRPr="00DF6E47" w:rsidRDefault="006A4AB4" w:rsidP="007200D9">
      <w:pPr>
        <w:tabs>
          <w:tab w:val="left" w:pos="1032"/>
        </w:tabs>
        <w:jc w:val="center"/>
        <w:rPr>
          <w:rFonts w:ascii="Barlow" w:hAnsi="Barlow"/>
          <w:b/>
          <w:sz w:val="20"/>
          <w:szCs w:val="20"/>
        </w:rPr>
      </w:pPr>
      <w:r w:rsidRPr="00DF6E47">
        <w:rPr>
          <w:rFonts w:ascii="Barlow" w:hAnsi="Barlow"/>
          <w:b/>
          <w:sz w:val="20"/>
          <w:szCs w:val="20"/>
        </w:rPr>
        <w:t xml:space="preserve">   </w:t>
      </w:r>
      <w:r w:rsidR="009C39A4" w:rsidRPr="00DF6E47">
        <w:rPr>
          <w:rFonts w:ascii="Barlow" w:hAnsi="Barlow"/>
          <w:b/>
          <w:sz w:val="20"/>
          <w:szCs w:val="20"/>
        </w:rPr>
        <w:t>(Pesos)</w:t>
      </w:r>
    </w:p>
    <w:p w:rsidR="007200D9" w:rsidRPr="00DF6E47" w:rsidRDefault="009C39A4" w:rsidP="00E31C9D">
      <w:pPr>
        <w:tabs>
          <w:tab w:val="left" w:pos="1032"/>
        </w:tabs>
        <w:jc w:val="both"/>
        <w:rPr>
          <w:rFonts w:ascii="Barlow" w:hAnsi="Barlow"/>
          <w:b/>
          <w:sz w:val="20"/>
          <w:szCs w:val="20"/>
        </w:rPr>
      </w:pPr>
      <w:r w:rsidRPr="00DF6E47">
        <w:rPr>
          <w:rFonts w:ascii="Barlow" w:hAnsi="Barlow"/>
          <w:b/>
          <w:sz w:val="20"/>
          <w:szCs w:val="20"/>
        </w:rPr>
        <w:t>Ente Público</w:t>
      </w:r>
      <w:proofErr w:type="gramStart"/>
      <w:r w:rsidRPr="00DF6E47">
        <w:rPr>
          <w:rFonts w:ascii="Barlow" w:hAnsi="Barlow"/>
          <w:b/>
          <w:sz w:val="20"/>
          <w:szCs w:val="20"/>
        </w:rPr>
        <w:t>:  INSTITUTO</w:t>
      </w:r>
      <w:proofErr w:type="gramEnd"/>
      <w:r w:rsidRPr="00DF6E47">
        <w:rPr>
          <w:rFonts w:ascii="Barlow" w:hAnsi="Barlow"/>
          <w:b/>
          <w:sz w:val="20"/>
          <w:szCs w:val="20"/>
        </w:rPr>
        <w:t xml:space="preserve"> DE EDUCACIÓN PARA ADULTOS DEL ESTADO DE YUCATÁN</w:t>
      </w:r>
    </w:p>
    <w:p w:rsidR="00607361" w:rsidRPr="00DF6E47" w:rsidRDefault="00607361" w:rsidP="00607361">
      <w:pPr>
        <w:pStyle w:val="Texto"/>
        <w:spacing w:after="0" w:line="240" w:lineRule="exact"/>
        <w:jc w:val="center"/>
        <w:outlineLvl w:val="0"/>
        <w:rPr>
          <w:rFonts w:ascii="Barlow" w:hAnsi="Barlow"/>
          <w:b/>
          <w:sz w:val="20"/>
        </w:rPr>
      </w:pPr>
    </w:p>
    <w:p w:rsidR="00DF6E47" w:rsidRPr="00D938EE" w:rsidRDefault="00DF6E47" w:rsidP="00DF6E47">
      <w:pPr>
        <w:jc w:val="both"/>
        <w:rPr>
          <w:rFonts w:ascii="Barlow" w:hAnsi="Barlow" w:cs="Calibri"/>
          <w:sz w:val="20"/>
          <w:szCs w:val="20"/>
        </w:rPr>
      </w:pPr>
      <w:r w:rsidRPr="00D938EE">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DF6E47" w:rsidRPr="00D938EE" w:rsidRDefault="00DF6E47" w:rsidP="00DF6E47">
      <w:pPr>
        <w:rPr>
          <w:rFonts w:ascii="Barlow" w:hAnsi="Barlow" w:cs="Calibri"/>
          <w:sz w:val="20"/>
          <w:szCs w:val="20"/>
        </w:rPr>
      </w:pPr>
      <w:r w:rsidRPr="00D938EE">
        <w:rPr>
          <w:rFonts w:ascii="Barlow" w:hAnsi="Barlow" w:cs="Calibri"/>
          <w:sz w:val="20"/>
          <w:szCs w:val="20"/>
        </w:rPr>
        <w:t>A continuación se presenta los tres tipos de notas que acompañan a los estados, a saber:</w:t>
      </w:r>
    </w:p>
    <w:p w:rsidR="00DF6E47" w:rsidRPr="00D938EE" w:rsidRDefault="00DF6E47" w:rsidP="00DF6E47">
      <w:pPr>
        <w:pStyle w:val="Prrafodelista"/>
        <w:numPr>
          <w:ilvl w:val="0"/>
          <w:numId w:val="8"/>
        </w:numPr>
        <w:tabs>
          <w:tab w:val="left" w:pos="284"/>
        </w:tabs>
        <w:spacing w:after="0" w:line="240" w:lineRule="auto"/>
        <w:ind w:left="0" w:firstLine="0"/>
        <w:rPr>
          <w:rFonts w:ascii="Barlow" w:hAnsi="Barlow" w:cs="Calibri"/>
          <w:sz w:val="20"/>
          <w:szCs w:val="20"/>
        </w:rPr>
      </w:pPr>
      <w:r w:rsidRPr="00D938EE">
        <w:rPr>
          <w:rFonts w:ascii="Barlow" w:hAnsi="Barlow" w:cs="Calibri"/>
          <w:sz w:val="20"/>
          <w:szCs w:val="20"/>
        </w:rPr>
        <w:t xml:space="preserve">Notas de desglose, </w:t>
      </w:r>
    </w:p>
    <w:p w:rsidR="00DF6E47" w:rsidRPr="00D938EE" w:rsidRDefault="00DF6E47" w:rsidP="00DF6E47">
      <w:pPr>
        <w:pStyle w:val="Prrafodelista"/>
        <w:numPr>
          <w:ilvl w:val="0"/>
          <w:numId w:val="8"/>
        </w:numPr>
        <w:tabs>
          <w:tab w:val="left" w:pos="284"/>
        </w:tabs>
        <w:spacing w:after="0" w:line="240" w:lineRule="auto"/>
        <w:ind w:left="0" w:firstLine="0"/>
        <w:rPr>
          <w:rFonts w:ascii="Barlow" w:hAnsi="Barlow" w:cs="Calibri"/>
          <w:sz w:val="20"/>
          <w:szCs w:val="20"/>
        </w:rPr>
      </w:pPr>
      <w:r w:rsidRPr="00D938EE">
        <w:rPr>
          <w:rFonts w:ascii="Barlow" w:hAnsi="Barlow" w:cs="Calibri"/>
          <w:sz w:val="20"/>
          <w:szCs w:val="20"/>
        </w:rPr>
        <w:t>Notas de memoria (Cuentas de orden), Y</w:t>
      </w:r>
    </w:p>
    <w:p w:rsidR="00DF6E47" w:rsidRPr="00510F78" w:rsidRDefault="00DF6E47" w:rsidP="00510F78">
      <w:pPr>
        <w:pStyle w:val="Prrafodelista"/>
        <w:numPr>
          <w:ilvl w:val="0"/>
          <w:numId w:val="8"/>
        </w:numPr>
        <w:tabs>
          <w:tab w:val="left" w:pos="284"/>
        </w:tabs>
        <w:spacing w:after="0" w:line="240" w:lineRule="auto"/>
        <w:ind w:left="0" w:firstLine="0"/>
        <w:rPr>
          <w:rFonts w:ascii="Barlow" w:hAnsi="Barlow" w:cs="Calibri"/>
          <w:sz w:val="20"/>
          <w:szCs w:val="20"/>
        </w:rPr>
      </w:pPr>
      <w:r w:rsidRPr="00D938EE">
        <w:rPr>
          <w:rFonts w:ascii="Barlow" w:hAnsi="Barlow" w:cs="Calibri"/>
          <w:sz w:val="20"/>
          <w:szCs w:val="20"/>
        </w:rPr>
        <w:t>Notas de gestión administrativa.</w:t>
      </w:r>
    </w:p>
    <w:p w:rsidR="00DF6E47" w:rsidRPr="00D938EE" w:rsidRDefault="00DF6E47" w:rsidP="00DF6E47">
      <w:pPr>
        <w:pStyle w:val="Texto"/>
        <w:spacing w:after="0" w:line="240" w:lineRule="exact"/>
        <w:jc w:val="center"/>
        <w:outlineLvl w:val="0"/>
        <w:rPr>
          <w:rFonts w:ascii="Barlow" w:hAnsi="Barlow"/>
          <w:b/>
          <w:sz w:val="20"/>
        </w:rPr>
      </w:pPr>
    </w:p>
    <w:p w:rsidR="00DF6E47" w:rsidRPr="00D938EE" w:rsidRDefault="00DF6E47" w:rsidP="00DF6E47">
      <w:pPr>
        <w:pStyle w:val="Texto"/>
        <w:numPr>
          <w:ilvl w:val="0"/>
          <w:numId w:val="9"/>
        </w:numPr>
        <w:spacing w:after="0" w:line="240" w:lineRule="exact"/>
        <w:jc w:val="center"/>
        <w:outlineLvl w:val="0"/>
        <w:rPr>
          <w:rFonts w:ascii="Barlow" w:hAnsi="Barlow"/>
          <w:sz w:val="20"/>
        </w:rPr>
      </w:pPr>
      <w:r w:rsidRPr="00D938EE">
        <w:rPr>
          <w:rFonts w:ascii="Barlow" w:hAnsi="Barlow"/>
          <w:b/>
          <w:sz w:val="20"/>
        </w:rPr>
        <w:t>NOTAS DE DESGLOSE</w:t>
      </w:r>
    </w:p>
    <w:p w:rsidR="00DF6E47" w:rsidRPr="00D938EE" w:rsidRDefault="00DF6E47" w:rsidP="00DF6E47">
      <w:pPr>
        <w:pStyle w:val="Texto"/>
        <w:spacing w:after="0" w:line="240" w:lineRule="exact"/>
        <w:rPr>
          <w:rFonts w:ascii="Barlow" w:hAnsi="Barlow"/>
          <w:sz w:val="20"/>
        </w:rPr>
      </w:pPr>
    </w:p>
    <w:p w:rsidR="00DF6E47" w:rsidRPr="00D938EE" w:rsidRDefault="00DF6E47" w:rsidP="00DF6E47">
      <w:pPr>
        <w:pStyle w:val="INCISO"/>
        <w:spacing w:after="0" w:line="240" w:lineRule="exact"/>
        <w:ind w:left="648"/>
        <w:outlineLvl w:val="0"/>
        <w:rPr>
          <w:rFonts w:ascii="Barlow" w:hAnsi="Barlow"/>
          <w:b/>
          <w:smallCaps/>
          <w:sz w:val="20"/>
          <w:szCs w:val="20"/>
        </w:rPr>
      </w:pPr>
      <w:r w:rsidRPr="00D938EE">
        <w:rPr>
          <w:rFonts w:ascii="Barlow" w:hAnsi="Barlow"/>
          <w:b/>
          <w:smallCaps/>
          <w:sz w:val="20"/>
          <w:szCs w:val="20"/>
        </w:rPr>
        <w:t>I)</w:t>
      </w:r>
      <w:r w:rsidRPr="00D938EE">
        <w:rPr>
          <w:rFonts w:ascii="Barlow" w:hAnsi="Barlow"/>
          <w:b/>
          <w:smallCaps/>
          <w:sz w:val="20"/>
          <w:szCs w:val="20"/>
        </w:rPr>
        <w:tab/>
        <w:t>Notas al Estado de Situación Financiera</w:t>
      </w:r>
    </w:p>
    <w:p w:rsidR="00DF6E47" w:rsidRPr="00D938EE" w:rsidRDefault="00DF6E47" w:rsidP="00DF6E47">
      <w:pPr>
        <w:pStyle w:val="Texto"/>
        <w:spacing w:after="0" w:line="240" w:lineRule="exact"/>
        <w:rPr>
          <w:rFonts w:ascii="Barlow" w:hAnsi="Barlow"/>
          <w:b/>
          <w:sz w:val="20"/>
        </w:rPr>
      </w:pPr>
    </w:p>
    <w:p w:rsidR="00DF6E47" w:rsidRPr="00D938EE" w:rsidRDefault="00DF6E47" w:rsidP="00DF6E47">
      <w:pPr>
        <w:pStyle w:val="Texto"/>
        <w:spacing w:after="0" w:line="240" w:lineRule="exact"/>
        <w:outlineLvl w:val="0"/>
        <w:rPr>
          <w:rFonts w:ascii="Barlow" w:hAnsi="Barlow"/>
          <w:b/>
          <w:sz w:val="20"/>
        </w:rPr>
      </w:pPr>
      <w:r w:rsidRPr="00D938EE">
        <w:rPr>
          <w:rFonts w:ascii="Barlow" w:hAnsi="Barlow"/>
          <w:b/>
          <w:sz w:val="20"/>
        </w:rPr>
        <w:t>Activo</w:t>
      </w:r>
    </w:p>
    <w:p w:rsidR="00DF6E47" w:rsidRPr="00D938EE" w:rsidRDefault="00DF6E47" w:rsidP="00DF6E47">
      <w:pPr>
        <w:pStyle w:val="Texto"/>
        <w:spacing w:after="0" w:line="240" w:lineRule="exact"/>
        <w:rPr>
          <w:rFonts w:ascii="Barlow" w:hAnsi="Barlow"/>
          <w:b/>
          <w:sz w:val="20"/>
        </w:rPr>
      </w:pPr>
    </w:p>
    <w:p w:rsidR="00DF6E47" w:rsidRPr="00D938EE" w:rsidRDefault="00DF6E47" w:rsidP="00DF6E47">
      <w:pPr>
        <w:pStyle w:val="Texto"/>
        <w:numPr>
          <w:ilvl w:val="0"/>
          <w:numId w:val="6"/>
        </w:numPr>
        <w:spacing w:after="0" w:line="360" w:lineRule="auto"/>
        <w:rPr>
          <w:rFonts w:ascii="Barlow" w:hAnsi="Barlow"/>
          <w:b/>
          <w:sz w:val="20"/>
        </w:rPr>
      </w:pPr>
      <w:r w:rsidRPr="00D938EE">
        <w:rPr>
          <w:rFonts w:ascii="Barlow" w:hAnsi="Barlow"/>
          <w:b/>
          <w:sz w:val="20"/>
        </w:rPr>
        <w:t>Efectivo y Equivalentes</w:t>
      </w:r>
    </w:p>
    <w:p w:rsidR="00DF6E47" w:rsidRPr="00D938EE" w:rsidRDefault="00DF6E47" w:rsidP="00DF6E47">
      <w:pPr>
        <w:rPr>
          <w:rFonts w:ascii="Barlow" w:eastAsia="Times New Roman" w:hAnsi="Barlow" w:cs="Arial"/>
          <w:b/>
          <w:sz w:val="20"/>
          <w:szCs w:val="20"/>
          <w:lang w:val="es-ES" w:eastAsia="es-ES"/>
        </w:rPr>
      </w:pPr>
      <w:r w:rsidRPr="00D938EE">
        <w:rPr>
          <w:rFonts w:ascii="Barlow" w:hAnsi="Barlow"/>
          <w:sz w:val="20"/>
          <w:szCs w:val="20"/>
        </w:rPr>
        <w:t>Efectivo y equivalente por:</w:t>
      </w:r>
      <w:r w:rsidRPr="00D938EE">
        <w:rPr>
          <w:rFonts w:ascii="Barlow" w:eastAsia="Times New Roman" w:hAnsi="Barlow" w:cs="Arial"/>
          <w:b/>
          <w:bCs/>
          <w:sz w:val="20"/>
          <w:szCs w:val="20"/>
          <w:lang w:eastAsia="es-ES"/>
        </w:rPr>
        <w:t xml:space="preserve">                </w:t>
      </w:r>
      <w:r w:rsidRPr="00D938EE">
        <w:rPr>
          <w:rFonts w:ascii="Barlow" w:eastAsia="Times New Roman" w:hAnsi="Barlow" w:cs="Arial"/>
          <w:sz w:val="20"/>
          <w:szCs w:val="20"/>
          <w:lang w:val="es-ES" w:eastAsia="es-ES"/>
        </w:rPr>
        <w:t xml:space="preserve">               $  </w:t>
      </w:r>
      <w:r w:rsidRPr="00D938EE">
        <w:rPr>
          <w:rFonts w:ascii="Barlow" w:eastAsia="Times New Roman" w:hAnsi="Barlow" w:cs="Arial"/>
          <w:b/>
          <w:sz w:val="20"/>
          <w:szCs w:val="20"/>
          <w:lang w:val="es-ES" w:eastAsia="es-ES"/>
        </w:rPr>
        <w:t>8, 474604.90</w:t>
      </w:r>
    </w:p>
    <w:p w:rsidR="00DF6E47" w:rsidRPr="00D938EE" w:rsidRDefault="00DF6E47" w:rsidP="00DF6E47">
      <w:pPr>
        <w:spacing w:line="360" w:lineRule="auto"/>
        <w:jc w:val="center"/>
        <w:rPr>
          <w:rFonts w:ascii="Barlow" w:hAnsi="Barlow"/>
          <w:sz w:val="20"/>
          <w:szCs w:val="20"/>
        </w:rPr>
      </w:pPr>
      <w:r w:rsidRPr="00D938EE">
        <w:rPr>
          <w:rFonts w:ascii="Barlow" w:hAnsi="Barlow"/>
          <w:sz w:val="20"/>
          <w:szCs w:val="20"/>
        </w:rPr>
        <w:object w:dxaOrig="937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89.25pt" o:ole="">
            <v:imagedata r:id="rId10" o:title=""/>
          </v:shape>
          <o:OLEObject Type="Embed" ProgID="Excel.Sheet.12" ShapeID="_x0000_i1025" DrawAspect="Content" ObjectID="_1619945864" r:id="rId11"/>
        </w:object>
      </w:r>
    </w:p>
    <w:bookmarkStart w:id="0" w:name="_MON_1619431664"/>
    <w:bookmarkEnd w:id="0"/>
    <w:p w:rsidR="00DF6E47" w:rsidRPr="00D938EE" w:rsidRDefault="00DF6E47" w:rsidP="00DF6E47">
      <w:pPr>
        <w:spacing w:line="360" w:lineRule="auto"/>
        <w:jc w:val="center"/>
        <w:rPr>
          <w:rFonts w:ascii="Barlow" w:hAnsi="Barlow"/>
          <w:sz w:val="20"/>
          <w:szCs w:val="20"/>
        </w:rPr>
      </w:pPr>
      <w:r w:rsidRPr="00D938EE">
        <w:rPr>
          <w:rFonts w:ascii="Barlow" w:hAnsi="Barlow"/>
          <w:sz w:val="20"/>
          <w:szCs w:val="20"/>
        </w:rPr>
        <w:object w:dxaOrig="9200" w:dyaOrig="2814">
          <v:shape id="_x0000_i1026" type="#_x0000_t75" style="width:459.75pt;height:141pt" o:ole="">
            <v:imagedata r:id="rId12" o:title=""/>
          </v:shape>
          <o:OLEObject Type="Embed" ProgID="Excel.Sheet.12" ShapeID="_x0000_i1026" DrawAspect="Content" ObjectID="_1619945865" r:id="rId13"/>
        </w:object>
      </w:r>
    </w:p>
    <w:p w:rsidR="00DF6E47" w:rsidRPr="00D938EE" w:rsidRDefault="00DF6E47" w:rsidP="00DF6E47">
      <w:pPr>
        <w:spacing w:line="360" w:lineRule="auto"/>
        <w:jc w:val="center"/>
        <w:rPr>
          <w:rFonts w:ascii="Barlow" w:hAnsi="Barlow"/>
          <w:sz w:val="20"/>
          <w:szCs w:val="20"/>
        </w:rPr>
      </w:pPr>
      <w:r w:rsidRPr="00D938EE">
        <w:rPr>
          <w:rFonts w:ascii="Barlow" w:hAnsi="Barlow"/>
          <w:sz w:val="20"/>
          <w:szCs w:val="20"/>
        </w:rPr>
        <w:object w:dxaOrig="9135" w:dyaOrig="615">
          <v:shape id="_x0000_i1027" type="#_x0000_t75" style="width:456.75pt;height:30.75pt" o:ole="">
            <v:imagedata r:id="rId14" o:title=""/>
          </v:shape>
          <o:OLEObject Type="Embed" ProgID="Excel.Sheet.12" ShapeID="_x0000_i1027" DrawAspect="Content" ObjectID="_1619945866" r:id="rId15"/>
        </w:object>
      </w: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Derechos a recibir Efectivo y Equivalentes y Bienes o Servicios a Recibir</w: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jc w:val="both"/>
        <w:rPr>
          <w:rFonts w:ascii="Barlow" w:eastAsia="Times New Roman" w:hAnsi="Barlow" w:cs="Arial"/>
          <w:b/>
          <w:sz w:val="20"/>
          <w:szCs w:val="20"/>
          <w:lang w:val="es-ES" w:eastAsia="es-ES"/>
        </w:rPr>
      </w:pPr>
      <w:r w:rsidRPr="00D938EE">
        <w:rPr>
          <w:rFonts w:ascii="Barlow" w:hAnsi="Barlow"/>
          <w:sz w:val="20"/>
          <w:szCs w:val="20"/>
        </w:rPr>
        <w:t>El total de Derechos a recibir efectivo y equivalentes son:</w:t>
      </w:r>
      <w:r w:rsidRPr="00D938EE">
        <w:rPr>
          <w:rFonts w:ascii="Barlow" w:eastAsia="Times New Roman" w:hAnsi="Barlow" w:cs="Arial"/>
          <w:sz w:val="20"/>
          <w:szCs w:val="20"/>
          <w:lang w:val="es-ES" w:eastAsia="es-ES"/>
        </w:rPr>
        <w:t xml:space="preserve">                 </w:t>
      </w:r>
      <w:r w:rsidRPr="00D938EE">
        <w:rPr>
          <w:rFonts w:ascii="Barlow" w:eastAsia="Times New Roman" w:hAnsi="Barlow" w:cs="Arial"/>
          <w:b/>
          <w:sz w:val="20"/>
          <w:szCs w:val="20"/>
          <w:lang w:val="es-ES" w:eastAsia="es-ES"/>
        </w:rPr>
        <w:t>$2, 445,808.76</w:t>
      </w:r>
    </w:p>
    <w:p w:rsidR="00DF6E47" w:rsidRPr="00D938EE" w:rsidRDefault="00DF6E47" w:rsidP="00DF6E47">
      <w:pPr>
        <w:tabs>
          <w:tab w:val="left" w:pos="2664"/>
        </w:tabs>
        <w:jc w:val="both"/>
        <w:rPr>
          <w:rFonts w:ascii="Barlow" w:hAnsi="Barlow"/>
          <w:sz w:val="20"/>
          <w:szCs w:val="20"/>
        </w:rPr>
      </w:pPr>
      <w:r w:rsidRPr="00D938EE">
        <w:rPr>
          <w:rFonts w:ascii="Barlow" w:hAnsi="Barlow"/>
          <w:sz w:val="20"/>
          <w:szCs w:val="20"/>
        </w:rPr>
        <w:lastRenderedPageBreak/>
        <w:t xml:space="preserve">      Este apartado se integra principalmente por los recursos que se le entregan cada mes a las coordinaciones, así como gastos sujetos a       comprobación y se puede observar en el Estado de Situación Financiera con el sig. Importe:</w:t>
      </w:r>
    </w:p>
    <w:p w:rsidR="00DF6E47" w:rsidRPr="00D938EE" w:rsidRDefault="00DF6E47" w:rsidP="00DF6E47">
      <w:pPr>
        <w:tabs>
          <w:tab w:val="left" w:pos="2664"/>
        </w:tabs>
        <w:jc w:val="center"/>
        <w:rPr>
          <w:rFonts w:ascii="Barlow" w:hAnsi="Barlow"/>
          <w:b/>
          <w:sz w:val="20"/>
          <w:szCs w:val="20"/>
        </w:rPr>
      </w:pPr>
      <w:r w:rsidRPr="00D938EE">
        <w:rPr>
          <w:rFonts w:ascii="Barlow" w:hAnsi="Barlow"/>
          <w:b/>
          <w:sz w:val="20"/>
          <w:szCs w:val="20"/>
        </w:rPr>
        <w:object w:dxaOrig="3690" w:dyaOrig="930">
          <v:shape id="_x0000_i1028" type="#_x0000_t75" style="width:184.5pt;height:46.5pt" o:ole="">
            <v:imagedata r:id="rId16" o:title=""/>
          </v:shape>
          <o:OLEObject Type="Embed" ProgID="Excel.Sheet.12" ShapeID="_x0000_i1028" DrawAspect="Content" ObjectID="_1619945867" r:id="rId17"/>
        </w:object>
      </w:r>
    </w:p>
    <w:p w:rsidR="00DF6E47" w:rsidRPr="00D938EE" w:rsidRDefault="00DF6E47" w:rsidP="00DF6E47">
      <w:pPr>
        <w:pStyle w:val="ROMANOS"/>
        <w:spacing w:after="0" w:line="240" w:lineRule="exact"/>
        <w:ind w:left="0" w:firstLine="0"/>
        <w:rPr>
          <w:rFonts w:ascii="Barlow" w:eastAsiaTheme="minorHAnsi" w:hAnsi="Barlow" w:cstheme="minorBidi"/>
          <w:b/>
          <w:sz w:val="20"/>
          <w:szCs w:val="20"/>
          <w:lang w:eastAsia="en-US"/>
        </w:rPr>
      </w:pPr>
    </w:p>
    <w:p w:rsidR="00DF6E47" w:rsidRPr="00D938EE" w:rsidRDefault="00DF6E47" w:rsidP="00DF6E47">
      <w:pPr>
        <w:pStyle w:val="ROMANOS"/>
        <w:numPr>
          <w:ilvl w:val="0"/>
          <w:numId w:val="6"/>
        </w:numPr>
        <w:spacing w:after="0" w:line="240" w:lineRule="exact"/>
        <w:rPr>
          <w:rFonts w:ascii="Barlow" w:hAnsi="Barlow"/>
          <w:sz w:val="20"/>
          <w:szCs w:val="20"/>
        </w:rPr>
      </w:pPr>
      <w:r w:rsidRPr="00D938EE">
        <w:rPr>
          <w:rFonts w:ascii="Barlow" w:hAnsi="Barlow"/>
          <w:b/>
          <w:sz w:val="20"/>
          <w:szCs w:val="20"/>
        </w:rPr>
        <w:t>Bienes Disponibles para su Transformación o Consumo (inventarios)</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ab/>
        <w:t>El Instituto de Educación para Adultos no elabora bienes es una Institución de Servicios.</w:t>
      </w:r>
    </w:p>
    <w:p w:rsidR="00DF6E47" w:rsidRPr="00D938EE" w:rsidRDefault="00DF6E47" w:rsidP="00DF6E47">
      <w:pPr>
        <w:pStyle w:val="ROMANOS"/>
        <w:spacing w:after="0" w:line="240" w:lineRule="exact"/>
        <w:ind w:left="644" w:firstLine="0"/>
        <w:rPr>
          <w:rFonts w:ascii="Barlow" w:hAnsi="Barlow"/>
          <w:sz w:val="20"/>
          <w:szCs w:val="20"/>
        </w:rPr>
      </w:pPr>
    </w:p>
    <w:p w:rsidR="00DF6E47" w:rsidRPr="00D938EE" w:rsidRDefault="00DF6E47" w:rsidP="00DF6E47">
      <w:pPr>
        <w:pStyle w:val="ROMANOS"/>
        <w:numPr>
          <w:ilvl w:val="0"/>
          <w:numId w:val="6"/>
        </w:numPr>
        <w:spacing w:after="0" w:line="240" w:lineRule="exact"/>
        <w:rPr>
          <w:rFonts w:ascii="Barlow" w:hAnsi="Barlow"/>
          <w:sz w:val="20"/>
          <w:szCs w:val="20"/>
        </w:rPr>
      </w:pPr>
      <w:r w:rsidRPr="00D938EE">
        <w:rPr>
          <w:rFonts w:ascii="Barlow" w:hAnsi="Barlow"/>
          <w:b/>
          <w:sz w:val="20"/>
          <w:szCs w:val="20"/>
        </w:rPr>
        <w:t>Inversiones Financieras</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El Instituto de Educación para Adultos no cuenta con Inversiones Financieras.</w: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Bienes Muebles, Inmuebles e Intangibles</w:t>
      </w:r>
    </w:p>
    <w:p w:rsidR="00DF6E47" w:rsidRPr="00D938EE" w:rsidRDefault="00DF6E47" w:rsidP="00DF6E47">
      <w:pPr>
        <w:pStyle w:val="ROMANOS"/>
        <w:spacing w:after="0" w:line="240" w:lineRule="exact"/>
        <w:rPr>
          <w:rFonts w:ascii="Barlow" w:hAnsi="Barlow"/>
          <w:b/>
          <w:sz w:val="20"/>
          <w:szCs w:val="20"/>
        </w:rPr>
      </w:pP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El total de Bienes Muebles es de: </w:t>
      </w:r>
      <w:r w:rsidRPr="00D938EE">
        <w:rPr>
          <w:rFonts w:ascii="Barlow" w:hAnsi="Barlow"/>
          <w:b/>
          <w:sz w:val="20"/>
          <w:szCs w:val="20"/>
        </w:rPr>
        <w:t xml:space="preserve">9, 430,305.85 </w:t>
      </w:r>
      <w:r w:rsidRPr="00D938EE">
        <w:rPr>
          <w:rFonts w:ascii="Barlow" w:hAnsi="Barlow"/>
          <w:sz w:val="20"/>
          <w:szCs w:val="20"/>
        </w:rPr>
        <w:t>y se desglosa de la siguiente manera:</w:t>
      </w:r>
    </w:p>
    <w:p w:rsidR="00DF6E47" w:rsidRPr="00D938EE" w:rsidRDefault="00DF6E47" w:rsidP="00DF6E47">
      <w:pPr>
        <w:tabs>
          <w:tab w:val="left" w:pos="2664"/>
        </w:tabs>
        <w:jc w:val="center"/>
        <w:rPr>
          <w:rFonts w:ascii="Barlow" w:hAnsi="Barlow"/>
          <w:b/>
          <w:sz w:val="20"/>
          <w:szCs w:val="20"/>
        </w:rPr>
      </w:pPr>
      <w:r w:rsidRPr="00D938EE">
        <w:rPr>
          <w:rFonts w:ascii="Barlow" w:hAnsi="Barlow"/>
          <w:b/>
          <w:sz w:val="20"/>
          <w:szCs w:val="20"/>
        </w:rPr>
        <w:object w:dxaOrig="6180" w:dyaOrig="2700">
          <v:shape id="_x0000_i1029" type="#_x0000_t75" style="width:309pt;height:135pt" o:ole="">
            <v:imagedata r:id="rId18" o:title=""/>
          </v:shape>
          <o:OLEObject Type="Embed" ProgID="Excel.Sheet.12" ShapeID="_x0000_i1029" DrawAspect="Content" ObjectID="_1619945868" r:id="rId19"/>
        </w:object>
      </w:r>
    </w:p>
    <w:p w:rsidR="00DF6E47" w:rsidRPr="00D938EE" w:rsidRDefault="00DF6E47" w:rsidP="00DF6E47">
      <w:pPr>
        <w:pStyle w:val="ROMANOS"/>
        <w:spacing w:after="0" w:line="240" w:lineRule="exact"/>
        <w:outlineLvl w:val="0"/>
        <w:rPr>
          <w:rFonts w:ascii="Barlow" w:hAnsi="Barlow"/>
          <w:sz w:val="20"/>
          <w:szCs w:val="20"/>
        </w:rPr>
      </w:pPr>
      <w:r w:rsidRPr="00D938EE">
        <w:rPr>
          <w:rFonts w:ascii="Barlow" w:hAnsi="Barlow"/>
          <w:sz w:val="20"/>
          <w:szCs w:val="20"/>
        </w:rPr>
        <w:lastRenderedPageBreak/>
        <w:t>El Instituto de Educación para Adultos no cuenta con Activos Intangibles y diferidos.</w: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Depreciación, Deterioro y Amortización Acumulada de Bienes</w:t>
      </w:r>
    </w:p>
    <w:p w:rsidR="00DF6E47" w:rsidRPr="00D938EE" w:rsidRDefault="00DF6E47" w:rsidP="00DF6E47">
      <w:pPr>
        <w:pStyle w:val="ROMANOS"/>
        <w:spacing w:after="0" w:line="240" w:lineRule="exact"/>
        <w:rPr>
          <w:rFonts w:ascii="Barlow" w:hAnsi="Barlow"/>
          <w:b/>
          <w:sz w:val="20"/>
          <w:szCs w:val="20"/>
        </w:rPr>
      </w:pP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La Maquinaria y Equipo se presentan valuados a su precio de adquisición, la depreciación se calcula por el método de línea recta, con base en la vida útil de los activos, aplicando sobre el costo de adquisición histórico las tasas máximas autorizadas por la Ley del Impuesto sobre la Renta, iniciando la depreciación a partir del mes que empieza su utilización o uso. Los porcentajes de depreciación anual son las siguientes:</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Maquinaria y Equipo         10%</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Mobiliario y Equipo           10%</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Equipo de Cómputo          30%</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Equipo de Transporte       25%</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Equipo de Comunicación  10%</w:t>
      </w:r>
    </w:p>
    <w:p w:rsidR="00DF6E47" w:rsidRPr="00D938EE" w:rsidRDefault="00DF6E47" w:rsidP="00DF6E47">
      <w:pPr>
        <w:pStyle w:val="ROMANOS"/>
        <w:spacing w:after="0" w:line="240" w:lineRule="exact"/>
        <w:ind w:left="0" w:firstLine="0"/>
        <w:rPr>
          <w:rFonts w:ascii="Barlow" w:hAnsi="Barlow"/>
          <w:sz w:val="20"/>
          <w:szCs w:val="20"/>
        </w:rPr>
      </w:pPr>
    </w:p>
    <w:p w:rsidR="00DF6E47" w:rsidRPr="00D938EE" w:rsidRDefault="00635C99" w:rsidP="00DF6E47">
      <w:pPr>
        <w:pStyle w:val="ROMANOS"/>
        <w:spacing w:after="0" w:line="240" w:lineRule="exact"/>
        <w:rPr>
          <w:rFonts w:ascii="Barlow" w:hAnsi="Barlow"/>
          <w:sz w:val="20"/>
          <w:szCs w:val="20"/>
        </w:rPr>
      </w:pPr>
      <w:r>
        <w:rPr>
          <w:rFonts w:ascii="Barlow" w:hAnsi="Barlow"/>
          <w:sz w:val="20"/>
          <w:szCs w:val="20"/>
        </w:rPr>
        <w:pict>
          <v:shape id="_x0000_s1158" type="#_x0000_t75" style="position:absolute;left:0;text-align:left;margin-left:180.75pt;margin-top:.55pt;width:324.55pt;height:118.15pt;z-index:251654656">
            <v:imagedata r:id="rId20" o:title=""/>
            <w10:wrap type="square"/>
          </v:shape>
          <o:OLEObject Type="Embed" ProgID="Excel.Sheet.12" ShapeID="_x0000_s1158" DrawAspect="Content" ObjectID="_1619945869" r:id="rId21"/>
        </w:pic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spacing w:after="0" w:line="240" w:lineRule="exact"/>
        <w:rPr>
          <w:rFonts w:ascii="Barlow" w:hAnsi="Barlow"/>
          <w:sz w:val="20"/>
          <w:szCs w:val="20"/>
        </w:rPr>
      </w:pPr>
    </w:p>
    <w:p w:rsidR="00DF6E47" w:rsidRPr="00510F78" w:rsidRDefault="00DF6E47" w:rsidP="00510F78">
      <w:pPr>
        <w:pStyle w:val="ROMANOS"/>
        <w:spacing w:after="0" w:line="240" w:lineRule="exact"/>
        <w:jc w:val="center"/>
        <w:rPr>
          <w:rFonts w:ascii="Barlow" w:hAnsi="Barlow"/>
          <w:sz w:val="20"/>
          <w:szCs w:val="20"/>
        </w:rPr>
      </w:pPr>
      <w:r w:rsidRPr="00D938EE">
        <w:rPr>
          <w:rFonts w:ascii="Barlow" w:hAnsi="Barlow"/>
          <w:sz w:val="20"/>
          <w:szCs w:val="20"/>
        </w:rPr>
        <w:br w:type="textWrapping" w:clear="all"/>
      </w: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Estimaciones y Deterioros</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ab/>
        <w:t>El Instituto de Educación para Adultos no tiene cuentas incobrables ni inventarios, pues es una institución de servicios.</w:t>
      </w:r>
    </w:p>
    <w:p w:rsidR="00DF6E47" w:rsidRPr="00D938EE" w:rsidRDefault="00DF6E47" w:rsidP="00DF6E47">
      <w:pPr>
        <w:pStyle w:val="ROMANOS"/>
        <w:spacing w:after="0" w:line="240" w:lineRule="exact"/>
        <w:ind w:left="644" w:firstLine="0"/>
        <w:rPr>
          <w:rFonts w:ascii="Barlow" w:hAnsi="Barlow"/>
          <w:b/>
          <w:sz w:val="20"/>
          <w:szCs w:val="20"/>
        </w:rPr>
      </w:pP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Otros Activos</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ab/>
        <w:t>El Instituto de Educación para Adultos no cuenta con Otros Activos.</w:t>
      </w:r>
    </w:p>
    <w:p w:rsidR="00DF6E47" w:rsidRPr="00D938EE" w:rsidRDefault="00DF6E47" w:rsidP="00DF6E47">
      <w:pPr>
        <w:pStyle w:val="ROMANOS"/>
        <w:spacing w:after="0" w:line="240" w:lineRule="exact"/>
        <w:ind w:left="0" w:firstLine="0"/>
        <w:rPr>
          <w:rFonts w:ascii="Barlow" w:hAnsi="Barlow"/>
          <w:sz w:val="20"/>
          <w:szCs w:val="20"/>
        </w:rPr>
      </w:pPr>
    </w:p>
    <w:p w:rsidR="00DF6E47" w:rsidRPr="00D938EE" w:rsidRDefault="00DF6E47" w:rsidP="00DF6E47">
      <w:pPr>
        <w:pStyle w:val="ROMANOS"/>
        <w:spacing w:after="0" w:line="240" w:lineRule="exact"/>
        <w:ind w:left="0" w:firstLine="0"/>
        <w:rPr>
          <w:rFonts w:ascii="Barlow" w:hAnsi="Barlow"/>
          <w:sz w:val="20"/>
          <w:szCs w:val="20"/>
        </w:rPr>
      </w:pPr>
    </w:p>
    <w:p w:rsidR="00DF6E47" w:rsidRPr="00D938EE" w:rsidRDefault="00DF6E47" w:rsidP="00DF6E47">
      <w:pPr>
        <w:pStyle w:val="ROMANOS"/>
        <w:spacing w:after="0" w:line="240" w:lineRule="exact"/>
        <w:ind w:left="432"/>
        <w:outlineLvl w:val="0"/>
        <w:rPr>
          <w:rFonts w:ascii="Barlow" w:hAnsi="Barlow"/>
          <w:b/>
          <w:sz w:val="20"/>
          <w:szCs w:val="20"/>
        </w:rPr>
      </w:pPr>
      <w:r w:rsidRPr="00D938EE">
        <w:rPr>
          <w:rFonts w:ascii="Barlow" w:hAnsi="Barlow"/>
          <w:b/>
          <w:sz w:val="20"/>
          <w:szCs w:val="20"/>
        </w:rPr>
        <w:t>Pasivo</w: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numPr>
          <w:ilvl w:val="0"/>
          <w:numId w:val="6"/>
        </w:numPr>
        <w:spacing w:after="0" w:line="240" w:lineRule="exact"/>
        <w:rPr>
          <w:rFonts w:ascii="Barlow" w:hAnsi="Barlow"/>
          <w:b/>
          <w:sz w:val="20"/>
          <w:szCs w:val="20"/>
        </w:rPr>
      </w:pPr>
      <w:r w:rsidRPr="00D938EE">
        <w:rPr>
          <w:rFonts w:ascii="Barlow" w:hAnsi="Barlow"/>
          <w:b/>
          <w:sz w:val="20"/>
          <w:szCs w:val="20"/>
        </w:rPr>
        <w:t>Cuentas por Pagar a Corto Plazo</w:t>
      </w:r>
    </w:p>
    <w:p w:rsidR="00DF6E47" w:rsidRPr="00D938EE" w:rsidRDefault="00DF6E47" w:rsidP="00DF6E47">
      <w:pPr>
        <w:pStyle w:val="ROMANOS"/>
        <w:spacing w:after="0" w:line="240" w:lineRule="exact"/>
        <w:rPr>
          <w:rFonts w:ascii="Barlow" w:hAnsi="Barlow"/>
          <w:b/>
          <w:sz w:val="20"/>
          <w:szCs w:val="20"/>
        </w:rPr>
      </w:pPr>
      <w:r w:rsidRPr="00D938EE">
        <w:rPr>
          <w:rFonts w:ascii="Barlow" w:hAnsi="Barlow"/>
          <w:sz w:val="20"/>
          <w:szCs w:val="20"/>
        </w:rPr>
        <w:t xml:space="preserve"> El total de cuentas por pagar a corto plazo es de: </w:t>
      </w:r>
      <w:r w:rsidRPr="00D938EE">
        <w:rPr>
          <w:rFonts w:ascii="Barlow" w:hAnsi="Barlow"/>
          <w:b/>
          <w:sz w:val="20"/>
          <w:szCs w:val="20"/>
        </w:rPr>
        <w:t xml:space="preserve">1, 264,904.31 </w:t>
      </w:r>
      <w:r w:rsidRPr="00D938EE">
        <w:rPr>
          <w:rFonts w:ascii="Barlow" w:hAnsi="Barlow"/>
          <w:sz w:val="20"/>
          <w:szCs w:val="20"/>
        </w:rPr>
        <w:t>y se compone de la siguiente manera:</w:t>
      </w:r>
    </w:p>
    <w:p w:rsidR="00D938EE" w:rsidRPr="00D938EE" w:rsidRDefault="00D938EE" w:rsidP="00DF6E47">
      <w:pPr>
        <w:pStyle w:val="ROMANOS"/>
        <w:spacing w:after="0" w:line="240" w:lineRule="exact"/>
        <w:rPr>
          <w:rFonts w:ascii="Barlow" w:hAnsi="Barlow"/>
          <w:sz w:val="20"/>
          <w:szCs w:val="20"/>
        </w:rPr>
      </w:pPr>
    </w:p>
    <w:p w:rsidR="00DF6E47" w:rsidRPr="00D938EE" w:rsidRDefault="00635C99" w:rsidP="00DF6E47">
      <w:pPr>
        <w:pStyle w:val="ROMANOS"/>
        <w:spacing w:after="0" w:line="240" w:lineRule="exact"/>
        <w:rPr>
          <w:rFonts w:ascii="Barlow" w:hAnsi="Barlow"/>
          <w:sz w:val="20"/>
          <w:szCs w:val="20"/>
        </w:rPr>
      </w:pPr>
      <w:r>
        <w:rPr>
          <w:rFonts w:ascii="Barlow" w:hAnsi="Barlow"/>
          <w:sz w:val="20"/>
          <w:szCs w:val="20"/>
        </w:rPr>
        <w:pict>
          <v:shape id="_x0000_s1163" type="#_x0000_t75" style="position:absolute;left:0;text-align:left;margin-left:155.2pt;margin-top:10.15pt;width:260.5pt;height:103.65pt;z-index:251655680">
            <v:imagedata r:id="rId22" o:title=""/>
            <w10:wrap type="square"/>
          </v:shape>
          <o:OLEObject Type="Embed" ProgID="Excel.Sheet.12" ShapeID="_x0000_s1163" DrawAspect="Content" ObjectID="_1619945870" r:id="rId23"/>
        </w:pict>
      </w: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ROMANOS"/>
        <w:spacing w:after="0" w:line="240" w:lineRule="exact"/>
        <w:rPr>
          <w:rFonts w:ascii="Barlow" w:hAnsi="Barlow"/>
          <w:sz w:val="20"/>
          <w:szCs w:val="20"/>
        </w:rPr>
      </w:pPr>
    </w:p>
    <w:p w:rsidR="00DF6E47" w:rsidRPr="00D938EE" w:rsidRDefault="00DF6E47" w:rsidP="00DF6E47">
      <w:pPr>
        <w:pStyle w:val="INCISO"/>
        <w:spacing w:after="0" w:line="240" w:lineRule="exact"/>
        <w:ind w:left="0" w:firstLine="0"/>
        <w:rPr>
          <w:rFonts w:ascii="Barlow" w:hAnsi="Barlow"/>
          <w:b/>
          <w:smallCaps/>
          <w:sz w:val="20"/>
          <w:szCs w:val="20"/>
        </w:rPr>
      </w:pPr>
    </w:p>
    <w:p w:rsidR="00DF6E47" w:rsidRPr="00D938EE" w:rsidRDefault="00DF6E47" w:rsidP="00DF6E47">
      <w:pPr>
        <w:pStyle w:val="INCISO"/>
        <w:spacing w:after="0" w:line="240" w:lineRule="exact"/>
        <w:ind w:left="360"/>
        <w:rPr>
          <w:rFonts w:ascii="Barlow" w:hAnsi="Barlow"/>
          <w:b/>
          <w:smallCaps/>
          <w:sz w:val="20"/>
          <w:szCs w:val="20"/>
        </w:rPr>
      </w:pPr>
    </w:p>
    <w:p w:rsidR="00DF6E47" w:rsidRPr="00D938EE" w:rsidRDefault="00DF6E47" w:rsidP="00DF6E47">
      <w:pPr>
        <w:pStyle w:val="INCISO"/>
        <w:spacing w:after="0" w:line="240" w:lineRule="exact"/>
        <w:ind w:left="36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r w:rsidRPr="00D938EE">
        <w:rPr>
          <w:rFonts w:ascii="Barlow" w:hAnsi="Barlow"/>
          <w:b/>
          <w:smallCaps/>
          <w:sz w:val="20"/>
          <w:szCs w:val="20"/>
        </w:rPr>
        <w:t>II)</w:t>
      </w:r>
      <w:r w:rsidRPr="00D938EE">
        <w:rPr>
          <w:rFonts w:ascii="Barlow" w:hAnsi="Barlow"/>
          <w:b/>
          <w:smallCaps/>
          <w:sz w:val="20"/>
          <w:szCs w:val="20"/>
        </w:rPr>
        <w:tab/>
        <w:t>Notas al Estado de Actividades</w:t>
      </w:r>
    </w:p>
    <w:p w:rsidR="00DF6E47" w:rsidRPr="00D938EE" w:rsidRDefault="00DF6E47" w:rsidP="00DF6E47">
      <w:pPr>
        <w:pStyle w:val="INCISO"/>
        <w:spacing w:after="0" w:line="240" w:lineRule="exact"/>
        <w:ind w:left="360"/>
        <w:rPr>
          <w:rFonts w:ascii="Barlow" w:hAnsi="Barlow"/>
          <w:b/>
          <w:smallCaps/>
          <w:sz w:val="20"/>
          <w:szCs w:val="20"/>
        </w:rPr>
      </w:pPr>
    </w:p>
    <w:p w:rsidR="00DF6E47" w:rsidRPr="00D938EE" w:rsidRDefault="00DF6E47" w:rsidP="00DF6E47">
      <w:pPr>
        <w:pStyle w:val="ROMANOS"/>
        <w:spacing w:after="0" w:line="240" w:lineRule="exact"/>
        <w:jc w:val="left"/>
        <w:outlineLvl w:val="0"/>
        <w:rPr>
          <w:rFonts w:ascii="Barlow" w:hAnsi="Barlow"/>
          <w:b/>
          <w:sz w:val="20"/>
          <w:szCs w:val="20"/>
        </w:rPr>
      </w:pPr>
      <w:r w:rsidRPr="00D938EE">
        <w:rPr>
          <w:rFonts w:ascii="Barlow" w:hAnsi="Barlow"/>
          <w:b/>
          <w:sz w:val="20"/>
          <w:szCs w:val="20"/>
        </w:rPr>
        <w:t>Ingresos de Gestión</w:t>
      </w:r>
    </w:p>
    <w:p w:rsidR="00DF6E47" w:rsidRPr="00D938EE" w:rsidRDefault="00DF6E47" w:rsidP="00DF6E47">
      <w:pPr>
        <w:pStyle w:val="ROMANOS"/>
        <w:spacing w:after="0" w:line="240" w:lineRule="exact"/>
        <w:jc w:val="left"/>
        <w:rPr>
          <w:rFonts w:ascii="Barlow" w:hAnsi="Barlow"/>
          <w:sz w:val="20"/>
          <w:szCs w:val="20"/>
        </w:rPr>
      </w:pPr>
    </w:p>
    <w:p w:rsidR="00DF6E47" w:rsidRPr="00D938EE" w:rsidRDefault="00DF6E47" w:rsidP="00DF6E47">
      <w:pPr>
        <w:pStyle w:val="ROMANOS"/>
        <w:spacing w:after="0" w:line="240" w:lineRule="exact"/>
        <w:outlineLvl w:val="0"/>
        <w:rPr>
          <w:rFonts w:ascii="Barlow" w:hAnsi="Barlow"/>
          <w:sz w:val="20"/>
          <w:szCs w:val="20"/>
        </w:rPr>
      </w:pPr>
      <w:r w:rsidRPr="00D938EE">
        <w:rPr>
          <w:rFonts w:ascii="Barlow" w:hAnsi="Barlow"/>
          <w:sz w:val="20"/>
          <w:szCs w:val="20"/>
        </w:rPr>
        <w:t xml:space="preserve">         El total de Ingresos es de:</w:t>
      </w:r>
      <w:r w:rsidRPr="00D938EE">
        <w:rPr>
          <w:rFonts w:ascii="Barlow" w:hAnsi="Barlow"/>
          <w:b/>
          <w:sz w:val="20"/>
          <w:szCs w:val="20"/>
        </w:rPr>
        <w:t xml:space="preserve"> 0</w:t>
      </w:r>
    </w:p>
    <w:p w:rsidR="00DF6E47" w:rsidRPr="00D938EE" w:rsidRDefault="00DF6E47" w:rsidP="00DF6E47">
      <w:pPr>
        <w:rPr>
          <w:rFonts w:ascii="Barlow" w:hAnsi="Barlow"/>
          <w:sz w:val="20"/>
          <w:szCs w:val="20"/>
          <w:lang w:eastAsia="es-ES"/>
        </w:rPr>
      </w:pPr>
    </w:p>
    <w:p w:rsidR="00DF6E47" w:rsidRPr="00D938EE" w:rsidRDefault="00DF6E47" w:rsidP="00DF6E47">
      <w:pPr>
        <w:tabs>
          <w:tab w:val="left" w:pos="9180"/>
        </w:tabs>
        <w:rPr>
          <w:rFonts w:ascii="Barlow" w:hAnsi="Barlow"/>
          <w:b/>
          <w:sz w:val="20"/>
          <w:szCs w:val="20"/>
          <w:lang w:eastAsia="es-ES"/>
        </w:rPr>
      </w:pPr>
      <w:r w:rsidRPr="00D938EE">
        <w:rPr>
          <w:rFonts w:ascii="Barlow" w:hAnsi="Barlow"/>
          <w:b/>
          <w:sz w:val="20"/>
          <w:szCs w:val="20"/>
          <w:lang w:eastAsia="es-ES"/>
        </w:rPr>
        <w:t>Participaciones, aportaciones, convenios, incentivos derivados de la colaboración fiscal, Fondos distintos de aportaciones, transferencias, asignaciones, subsidios y subvenciones, y pensiones y jubilaciones.</w:t>
      </w:r>
    </w:p>
    <w:p w:rsidR="00DF6E47" w:rsidRPr="00D938EE" w:rsidRDefault="00DF6E47" w:rsidP="00DF6E47">
      <w:pPr>
        <w:pStyle w:val="ROMANOS"/>
        <w:spacing w:after="0" w:line="240" w:lineRule="exact"/>
        <w:outlineLvl w:val="0"/>
        <w:rPr>
          <w:rFonts w:ascii="Barlow" w:hAnsi="Barlow"/>
          <w:b/>
          <w:sz w:val="20"/>
          <w:szCs w:val="20"/>
        </w:rPr>
      </w:pPr>
      <w:r w:rsidRPr="00D938EE">
        <w:rPr>
          <w:rFonts w:ascii="Barlow" w:hAnsi="Barlow"/>
          <w:sz w:val="20"/>
          <w:szCs w:val="20"/>
        </w:rPr>
        <w:t>El total de Ingresos es de: $</w:t>
      </w:r>
      <w:r w:rsidRPr="00D938EE">
        <w:rPr>
          <w:rFonts w:ascii="Barlow" w:hAnsi="Barlow"/>
          <w:b/>
          <w:sz w:val="20"/>
          <w:szCs w:val="20"/>
        </w:rPr>
        <w:t xml:space="preserve"> 10, 756,002.80</w:t>
      </w:r>
    </w:p>
    <w:p w:rsidR="00DF6E47" w:rsidRPr="00D938EE" w:rsidRDefault="00DF6E47" w:rsidP="00DF6E47">
      <w:pPr>
        <w:pStyle w:val="ROMANOS"/>
        <w:spacing w:after="0" w:line="240" w:lineRule="exact"/>
        <w:outlineLvl w:val="0"/>
        <w:rPr>
          <w:rFonts w:ascii="Barlow" w:hAnsi="Barlow"/>
          <w:b/>
          <w:sz w:val="20"/>
          <w:szCs w:val="20"/>
        </w:rPr>
      </w:pPr>
      <w:r w:rsidRPr="00D938EE">
        <w:rPr>
          <w:rFonts w:ascii="Barlow" w:hAnsi="Barlow"/>
          <w:b/>
          <w:sz w:val="20"/>
          <w:szCs w:val="20"/>
        </w:rPr>
        <w:tab/>
      </w:r>
    </w:p>
    <w:p w:rsidR="00DF6E47" w:rsidRPr="00D938EE" w:rsidRDefault="00DF6E47" w:rsidP="00DF6E47">
      <w:pPr>
        <w:pStyle w:val="ROMANOS"/>
        <w:spacing w:after="0" w:line="240" w:lineRule="auto"/>
        <w:ind w:left="288" w:firstLine="0"/>
        <w:outlineLvl w:val="0"/>
        <w:rPr>
          <w:rFonts w:ascii="Barlow" w:hAnsi="Barlow"/>
          <w:sz w:val="20"/>
          <w:szCs w:val="20"/>
        </w:rPr>
      </w:pPr>
      <w:r w:rsidRPr="00D938EE">
        <w:rPr>
          <w:rFonts w:ascii="Barlow" w:hAnsi="Barlow"/>
          <w:sz w:val="20"/>
          <w:szCs w:val="20"/>
        </w:rPr>
        <w:lastRenderedPageBreak/>
        <w:t xml:space="preserve">Participaciones y aportaciones corresponde al monto de $ 1, 603,014.80  y Transferencia, Asignaciones, Subsidios y Otras ayudas corresponde al monto de </w:t>
      </w:r>
    </w:p>
    <w:p w:rsidR="00DF6E47" w:rsidRPr="00D938EE" w:rsidRDefault="00DF6E47" w:rsidP="00DF6E47">
      <w:pPr>
        <w:pStyle w:val="ROMANOS"/>
        <w:spacing w:after="0" w:line="240" w:lineRule="auto"/>
        <w:ind w:left="288" w:firstLine="0"/>
        <w:outlineLvl w:val="0"/>
        <w:rPr>
          <w:rFonts w:ascii="Barlow" w:hAnsi="Barlow"/>
          <w:sz w:val="20"/>
          <w:szCs w:val="20"/>
        </w:rPr>
      </w:pPr>
      <w:r w:rsidRPr="00D938EE">
        <w:rPr>
          <w:rFonts w:ascii="Barlow" w:hAnsi="Barlow"/>
          <w:sz w:val="20"/>
          <w:szCs w:val="20"/>
        </w:rPr>
        <w:t>$ 9, 152,988.</w:t>
      </w:r>
    </w:p>
    <w:p w:rsidR="00DF6E47" w:rsidRPr="00D938EE" w:rsidRDefault="00DF6E47" w:rsidP="00DF6E47">
      <w:pPr>
        <w:pStyle w:val="ROMANOS"/>
        <w:spacing w:after="0" w:line="240" w:lineRule="auto"/>
        <w:ind w:left="288" w:firstLine="0"/>
        <w:outlineLvl w:val="0"/>
        <w:rPr>
          <w:rFonts w:ascii="Barlow" w:hAnsi="Barlow"/>
          <w:b/>
          <w:sz w:val="20"/>
          <w:szCs w:val="20"/>
        </w:rPr>
      </w:pPr>
    </w:p>
    <w:p w:rsidR="00DF6E47" w:rsidRPr="00D938EE" w:rsidRDefault="00DF6E47" w:rsidP="00DF6E47">
      <w:pPr>
        <w:pStyle w:val="ROMANOS"/>
        <w:spacing w:after="0" w:line="240" w:lineRule="auto"/>
        <w:ind w:left="288" w:firstLine="0"/>
        <w:outlineLvl w:val="0"/>
        <w:rPr>
          <w:rFonts w:ascii="Barlow" w:hAnsi="Barlow"/>
          <w:b/>
          <w:sz w:val="20"/>
          <w:szCs w:val="20"/>
        </w:rPr>
      </w:pPr>
    </w:p>
    <w:p w:rsidR="00D938EE" w:rsidRPr="00D938EE" w:rsidRDefault="00D938EE" w:rsidP="00DF6E47">
      <w:pPr>
        <w:pStyle w:val="ROMANOS"/>
        <w:spacing w:after="0" w:line="240" w:lineRule="auto"/>
        <w:ind w:left="288" w:firstLine="0"/>
        <w:outlineLvl w:val="0"/>
        <w:rPr>
          <w:rFonts w:ascii="Barlow" w:hAnsi="Barlow"/>
          <w:b/>
          <w:sz w:val="20"/>
          <w:szCs w:val="20"/>
        </w:rPr>
      </w:pPr>
    </w:p>
    <w:p w:rsidR="00D938EE" w:rsidRPr="00D938EE" w:rsidRDefault="00D938EE" w:rsidP="00DF6E47">
      <w:pPr>
        <w:pStyle w:val="ROMANOS"/>
        <w:spacing w:after="0" w:line="240" w:lineRule="auto"/>
        <w:ind w:left="288" w:firstLine="0"/>
        <w:outlineLvl w:val="0"/>
        <w:rPr>
          <w:rFonts w:ascii="Barlow" w:hAnsi="Barlow"/>
          <w:b/>
          <w:sz w:val="20"/>
          <w:szCs w:val="20"/>
        </w:rPr>
      </w:pPr>
    </w:p>
    <w:p w:rsidR="00DF6E47" w:rsidRPr="00D938EE" w:rsidRDefault="00DF6E47" w:rsidP="00DF6E47">
      <w:pPr>
        <w:pStyle w:val="ROMANOS"/>
        <w:spacing w:after="0" w:line="240" w:lineRule="auto"/>
        <w:ind w:left="288" w:firstLine="0"/>
        <w:outlineLvl w:val="0"/>
        <w:rPr>
          <w:rFonts w:ascii="Barlow" w:hAnsi="Barlow"/>
          <w:b/>
          <w:sz w:val="20"/>
          <w:szCs w:val="20"/>
        </w:rPr>
      </w:pPr>
      <w:r w:rsidRPr="00D938EE">
        <w:rPr>
          <w:rFonts w:ascii="Barlow" w:hAnsi="Barlow"/>
          <w:b/>
          <w:sz w:val="20"/>
          <w:szCs w:val="20"/>
        </w:rPr>
        <w:t>Otros ingresos y beneficios</w:t>
      </w:r>
    </w:p>
    <w:p w:rsidR="00DF6E47" w:rsidRPr="00D938EE" w:rsidRDefault="00DF6E47" w:rsidP="00DF6E47">
      <w:pPr>
        <w:pStyle w:val="ROMANOS"/>
        <w:spacing w:after="0" w:line="240" w:lineRule="auto"/>
        <w:ind w:left="288" w:firstLine="0"/>
        <w:outlineLvl w:val="0"/>
        <w:rPr>
          <w:rFonts w:ascii="Barlow" w:hAnsi="Barlow"/>
          <w:b/>
          <w:sz w:val="20"/>
          <w:szCs w:val="20"/>
        </w:rPr>
      </w:pPr>
    </w:p>
    <w:p w:rsidR="00DF6E47" w:rsidRPr="00D938EE" w:rsidRDefault="00DF6E47" w:rsidP="00DF6E47">
      <w:pPr>
        <w:pStyle w:val="ROMANOS"/>
        <w:spacing w:after="0" w:line="240" w:lineRule="exact"/>
        <w:outlineLvl w:val="0"/>
        <w:rPr>
          <w:rFonts w:ascii="Barlow" w:hAnsi="Barlow"/>
          <w:b/>
          <w:sz w:val="20"/>
          <w:szCs w:val="20"/>
        </w:rPr>
      </w:pPr>
      <w:r w:rsidRPr="00D938EE">
        <w:rPr>
          <w:rFonts w:ascii="Barlow" w:hAnsi="Barlow"/>
          <w:sz w:val="20"/>
          <w:szCs w:val="20"/>
        </w:rPr>
        <w:t>El total de otros Ingresos y beneficios es de: $</w:t>
      </w:r>
      <w:r w:rsidRPr="00D938EE">
        <w:rPr>
          <w:rFonts w:ascii="Barlow" w:hAnsi="Barlow"/>
          <w:b/>
          <w:sz w:val="20"/>
          <w:szCs w:val="20"/>
        </w:rPr>
        <w:t xml:space="preserve"> 480.06</w:t>
      </w:r>
    </w:p>
    <w:p w:rsidR="00DF6E47" w:rsidRPr="00D938EE" w:rsidRDefault="00DF6E47" w:rsidP="00DF6E47">
      <w:pPr>
        <w:pStyle w:val="ROMANOS"/>
        <w:spacing w:after="0" w:line="240" w:lineRule="exact"/>
        <w:ind w:left="0" w:firstLine="0"/>
        <w:outlineLvl w:val="0"/>
        <w:rPr>
          <w:rFonts w:ascii="Barlow" w:hAnsi="Barlow"/>
          <w:b/>
          <w:sz w:val="20"/>
          <w:szCs w:val="20"/>
        </w:rPr>
      </w:pPr>
    </w:p>
    <w:p w:rsidR="00DF6E47" w:rsidRPr="00D938EE" w:rsidRDefault="00DF6E47" w:rsidP="00DF6E47">
      <w:pPr>
        <w:pStyle w:val="ROMANOS"/>
        <w:spacing w:after="0" w:line="240" w:lineRule="auto"/>
        <w:ind w:left="288" w:firstLine="0"/>
        <w:outlineLvl w:val="0"/>
        <w:rPr>
          <w:rFonts w:ascii="Barlow" w:hAnsi="Barlow"/>
          <w:b/>
          <w:sz w:val="20"/>
          <w:szCs w:val="20"/>
        </w:rPr>
      </w:pPr>
    </w:p>
    <w:p w:rsidR="00DF6E47" w:rsidRPr="00D938EE" w:rsidRDefault="00DF6E47" w:rsidP="00DF6E47">
      <w:pPr>
        <w:pStyle w:val="ROMANOS"/>
        <w:spacing w:after="0" w:line="240" w:lineRule="auto"/>
        <w:ind w:left="288" w:firstLine="0"/>
        <w:outlineLvl w:val="0"/>
        <w:rPr>
          <w:rFonts w:ascii="Barlow" w:hAnsi="Barlow"/>
          <w:b/>
          <w:sz w:val="20"/>
          <w:szCs w:val="20"/>
        </w:rPr>
      </w:pPr>
      <w:r w:rsidRPr="00D938EE">
        <w:rPr>
          <w:rFonts w:ascii="Barlow" w:hAnsi="Barlow"/>
          <w:b/>
          <w:sz w:val="20"/>
          <w:szCs w:val="20"/>
        </w:rPr>
        <w:t>Gastos y Otras Pérdidas:</w:t>
      </w:r>
    </w:p>
    <w:p w:rsidR="00DF6E47" w:rsidRPr="00D938EE" w:rsidRDefault="00DF6E47" w:rsidP="00DF6E47">
      <w:pPr>
        <w:tabs>
          <w:tab w:val="left" w:pos="9180"/>
        </w:tabs>
        <w:spacing w:after="0" w:line="240" w:lineRule="auto"/>
        <w:rPr>
          <w:rFonts w:ascii="Barlow" w:hAnsi="Barlow"/>
          <w:sz w:val="20"/>
          <w:szCs w:val="20"/>
          <w:lang w:eastAsia="es-ES"/>
        </w:rPr>
      </w:pPr>
    </w:p>
    <w:p w:rsidR="00DF6E47" w:rsidRPr="00D938EE" w:rsidRDefault="00DF6E47" w:rsidP="00DF6E47">
      <w:pPr>
        <w:tabs>
          <w:tab w:val="left" w:pos="9180"/>
        </w:tabs>
        <w:spacing w:line="240" w:lineRule="auto"/>
        <w:rPr>
          <w:rFonts w:ascii="Barlow" w:hAnsi="Barlow"/>
          <w:sz w:val="20"/>
          <w:szCs w:val="20"/>
          <w:lang w:eastAsia="es-ES"/>
        </w:rPr>
      </w:pPr>
      <w:r w:rsidRPr="00D938EE">
        <w:rPr>
          <w:rFonts w:ascii="Barlow" w:hAnsi="Barlow"/>
          <w:sz w:val="20"/>
          <w:szCs w:val="20"/>
          <w:lang w:eastAsia="es-ES"/>
        </w:rPr>
        <w:t>Gastos de Funcionamiento: $ 7, 337,262.74</w:t>
      </w:r>
    </w:p>
    <w:p w:rsidR="00DF6E47" w:rsidRPr="00D938EE" w:rsidRDefault="00DF6E47" w:rsidP="00DF6E47">
      <w:pPr>
        <w:tabs>
          <w:tab w:val="left" w:pos="9180"/>
        </w:tabs>
        <w:spacing w:line="240" w:lineRule="auto"/>
        <w:rPr>
          <w:rFonts w:ascii="Barlow" w:hAnsi="Barlow"/>
          <w:sz w:val="20"/>
          <w:szCs w:val="20"/>
          <w:lang w:eastAsia="es-ES"/>
        </w:rPr>
      </w:pPr>
      <w:r w:rsidRPr="00D938EE">
        <w:rPr>
          <w:rFonts w:ascii="Barlow" w:hAnsi="Barlow"/>
          <w:sz w:val="20"/>
          <w:szCs w:val="20"/>
          <w:lang w:eastAsia="es-ES"/>
        </w:rPr>
        <w:t>En el periodo presentado el importe correspondiente a Gastos de Funcionamiento de la entidad suma la cantidad de $5, 734,246.77.  Por Transferencias, Asignaciones, subsidios y Otras Ayudas $1, 603,014.80, Y otros gastos y perdidas extraordinarias $1.17</w:t>
      </w:r>
    </w:p>
    <w:p w:rsidR="00DF6E47" w:rsidRPr="00D938EE" w:rsidRDefault="00DF6E47" w:rsidP="00DF6E47">
      <w:pPr>
        <w:pStyle w:val="INCISO"/>
        <w:spacing w:after="0" w:line="240" w:lineRule="exact"/>
        <w:ind w:left="360"/>
        <w:outlineLvl w:val="0"/>
        <w:rPr>
          <w:rFonts w:ascii="Barlow" w:hAnsi="Barlow"/>
          <w:b/>
          <w:smallCaps/>
          <w:sz w:val="20"/>
          <w:szCs w:val="20"/>
        </w:rPr>
      </w:pPr>
      <w:r w:rsidRPr="00D938EE">
        <w:rPr>
          <w:rFonts w:ascii="Barlow" w:hAnsi="Barlow"/>
          <w:b/>
          <w:smallCaps/>
          <w:sz w:val="20"/>
          <w:szCs w:val="20"/>
        </w:rPr>
        <w:t>III)</w:t>
      </w:r>
      <w:r w:rsidRPr="00D938EE">
        <w:rPr>
          <w:rFonts w:ascii="Barlow" w:hAnsi="Barlow"/>
          <w:b/>
          <w:smallCaps/>
          <w:sz w:val="20"/>
          <w:szCs w:val="20"/>
        </w:rPr>
        <w:tab/>
        <w:t>Notas al Estado de Variación en la Hacienda Pública</w:t>
      </w:r>
    </w:p>
    <w:p w:rsidR="00DF6E47" w:rsidRPr="00D938EE" w:rsidRDefault="00DF6E47" w:rsidP="00DF6E47">
      <w:pPr>
        <w:pStyle w:val="INCISO"/>
        <w:spacing w:after="0" w:line="240" w:lineRule="exact"/>
        <w:ind w:left="360"/>
        <w:rPr>
          <w:rFonts w:ascii="Barlow" w:hAnsi="Barlow"/>
          <w:b/>
          <w:smallCaps/>
          <w:sz w:val="20"/>
          <w:szCs w:val="20"/>
        </w:rPr>
      </w:pPr>
    </w:p>
    <w:p w:rsidR="00DF6E47" w:rsidRPr="00D938EE" w:rsidRDefault="00DF6E47" w:rsidP="00DF6E47">
      <w:pPr>
        <w:pStyle w:val="ROMANOS"/>
        <w:spacing w:after="0" w:line="240" w:lineRule="exact"/>
        <w:ind w:left="288" w:firstLine="0"/>
        <w:rPr>
          <w:rFonts w:ascii="Barlow" w:hAnsi="Barlow"/>
          <w:sz w:val="20"/>
          <w:szCs w:val="20"/>
        </w:rPr>
      </w:pPr>
      <w:r w:rsidRPr="00D938EE">
        <w:rPr>
          <w:rFonts w:ascii="Barlow" w:hAnsi="Barlow"/>
          <w:sz w:val="20"/>
          <w:szCs w:val="20"/>
        </w:rPr>
        <w:t>El Patrimonio Contribuido neto es por un  importe de $12, 968,881.38 teniendo como Patrimonio Generado $ -8, 875,894.26 es de los cuales se componen de la siguiente manera: Resultados del Ejercicio (Ahorro/Desahorro) $- 8, 887,594.26; Resultado de Ejercicios Anteriores $ 11,700.</w:t>
      </w:r>
    </w:p>
    <w:p w:rsidR="00DF6E47" w:rsidRPr="00D938EE" w:rsidRDefault="00DF6E47" w:rsidP="00DF6E47">
      <w:pPr>
        <w:pStyle w:val="ROMANOS"/>
        <w:spacing w:after="0" w:line="240" w:lineRule="exact"/>
        <w:rPr>
          <w:rFonts w:ascii="Barlow" w:hAnsi="Barlow"/>
          <w:sz w:val="20"/>
          <w:szCs w:val="20"/>
        </w:rPr>
      </w:pPr>
      <w:r w:rsidRPr="00D938EE">
        <w:rPr>
          <w:rFonts w:ascii="Barlow" w:hAnsi="Barlow"/>
          <w:sz w:val="20"/>
          <w:szCs w:val="20"/>
        </w:rPr>
        <w:t xml:space="preserve"> </w:t>
      </w:r>
    </w:p>
    <w:p w:rsidR="00DF6E47" w:rsidRPr="00D938EE" w:rsidRDefault="00DF6E47" w:rsidP="00DF6E47">
      <w:pPr>
        <w:pStyle w:val="ROMANOS"/>
        <w:tabs>
          <w:tab w:val="clear" w:pos="720"/>
          <w:tab w:val="left" w:pos="880"/>
        </w:tabs>
        <w:spacing w:after="0" w:line="240" w:lineRule="exact"/>
        <w:ind w:left="770" w:right="34" w:firstLine="0"/>
        <w:rPr>
          <w:rFonts w:ascii="Barlow" w:hAnsi="Barlow"/>
          <w:sz w:val="20"/>
          <w:szCs w:val="20"/>
        </w:rPr>
      </w:pPr>
    </w:p>
    <w:p w:rsidR="00DF6E47" w:rsidRPr="00D938EE" w:rsidRDefault="00DF6E47" w:rsidP="00DF6E47">
      <w:pPr>
        <w:pStyle w:val="ROMANOS"/>
        <w:spacing w:after="0" w:line="240" w:lineRule="exact"/>
        <w:ind w:left="288" w:firstLine="0"/>
        <w:outlineLvl w:val="0"/>
        <w:rPr>
          <w:rFonts w:ascii="Barlow" w:hAnsi="Barlow"/>
          <w:b/>
          <w:sz w:val="20"/>
          <w:szCs w:val="20"/>
        </w:rPr>
      </w:pPr>
      <w:r w:rsidRPr="00D938EE">
        <w:rPr>
          <w:rFonts w:ascii="Barlow" w:hAnsi="Barlow"/>
          <w:sz w:val="20"/>
          <w:szCs w:val="20"/>
        </w:rPr>
        <w:t xml:space="preserve">Con lo que el cierre del periodo que se reporta se presenta un saldo neto al final de la HACIENDA PUBLICA/ PATRIMONIO por </w:t>
      </w:r>
      <w:r w:rsidRPr="00D938EE">
        <w:rPr>
          <w:rFonts w:ascii="Barlow" w:hAnsi="Barlow"/>
          <w:b/>
          <w:sz w:val="20"/>
          <w:szCs w:val="20"/>
        </w:rPr>
        <w:t>$ 10, 084,791.69</w:t>
      </w:r>
    </w:p>
    <w:p w:rsidR="00DF6E47" w:rsidRPr="00D938EE" w:rsidRDefault="00DF6E47" w:rsidP="00DF6E47">
      <w:pPr>
        <w:pStyle w:val="ROMANOS"/>
        <w:spacing w:after="0" w:line="240" w:lineRule="exact"/>
        <w:ind w:left="288" w:firstLine="0"/>
        <w:rPr>
          <w:rFonts w:ascii="Barlow" w:hAnsi="Barlow"/>
          <w:sz w:val="20"/>
          <w:szCs w:val="20"/>
        </w:rPr>
      </w:pPr>
    </w:p>
    <w:p w:rsidR="00DF6E47" w:rsidRPr="00D938EE" w:rsidRDefault="00DF6E47" w:rsidP="00DF6E47">
      <w:pPr>
        <w:pStyle w:val="ROMANOS"/>
        <w:spacing w:after="0" w:line="240" w:lineRule="exact"/>
        <w:ind w:left="288" w:firstLine="0"/>
        <w:rPr>
          <w:rFonts w:ascii="Barlow" w:hAnsi="Barlow"/>
          <w:sz w:val="20"/>
          <w:szCs w:val="20"/>
        </w:rPr>
      </w:pPr>
    </w:p>
    <w:p w:rsidR="00DF6E47" w:rsidRPr="00D938EE" w:rsidRDefault="00DF6E47" w:rsidP="00DF6E47">
      <w:pPr>
        <w:pStyle w:val="INCISO"/>
        <w:spacing w:after="0" w:line="240" w:lineRule="exact"/>
        <w:ind w:left="360"/>
        <w:outlineLvl w:val="0"/>
        <w:rPr>
          <w:rFonts w:ascii="Barlow" w:hAnsi="Barlow"/>
          <w:b/>
          <w:smallCaps/>
          <w:sz w:val="20"/>
          <w:szCs w:val="20"/>
        </w:rPr>
      </w:pPr>
      <w:r w:rsidRPr="00D938EE">
        <w:rPr>
          <w:rFonts w:ascii="Barlow" w:hAnsi="Barlow"/>
          <w:b/>
          <w:smallCaps/>
          <w:sz w:val="20"/>
          <w:szCs w:val="20"/>
        </w:rPr>
        <w:t>IV)</w:t>
      </w:r>
      <w:r w:rsidRPr="00D938EE">
        <w:rPr>
          <w:rFonts w:ascii="Barlow" w:hAnsi="Barlow"/>
          <w:b/>
          <w:smallCaps/>
          <w:sz w:val="20"/>
          <w:szCs w:val="20"/>
        </w:rPr>
        <w:tab/>
        <w:t xml:space="preserve">Notas al Estado de Flujos de Efectivo </w:t>
      </w:r>
    </w:p>
    <w:p w:rsidR="00DF6E47" w:rsidRPr="00D938EE" w:rsidRDefault="00DF6E47" w:rsidP="00DF6E47">
      <w:pPr>
        <w:pStyle w:val="ROMANOS"/>
        <w:spacing w:after="0" w:line="240" w:lineRule="exact"/>
        <w:outlineLvl w:val="0"/>
        <w:rPr>
          <w:rFonts w:ascii="Barlow" w:hAnsi="Barlow"/>
          <w:b/>
          <w:sz w:val="20"/>
          <w:szCs w:val="20"/>
        </w:rPr>
      </w:pPr>
      <w:r w:rsidRPr="00D938EE">
        <w:rPr>
          <w:rFonts w:ascii="Barlow" w:hAnsi="Barlow"/>
          <w:b/>
          <w:sz w:val="20"/>
          <w:szCs w:val="20"/>
        </w:rPr>
        <w:t>Efectivo y equivalentes</w:t>
      </w:r>
    </w:p>
    <w:p w:rsidR="00DF6E47" w:rsidRPr="00D938EE" w:rsidRDefault="00DF6E47" w:rsidP="00DF6E47">
      <w:pPr>
        <w:pStyle w:val="ROMANOS"/>
        <w:spacing w:after="0" w:line="240" w:lineRule="exact"/>
        <w:ind w:left="288" w:firstLine="0"/>
        <w:rPr>
          <w:rFonts w:ascii="Barlow" w:hAnsi="Barlow"/>
          <w:sz w:val="20"/>
          <w:szCs w:val="20"/>
        </w:rPr>
      </w:pPr>
    </w:p>
    <w:p w:rsidR="00DF6E47" w:rsidRPr="00D938EE" w:rsidRDefault="00DF6E47" w:rsidP="00DF6E47">
      <w:pPr>
        <w:pStyle w:val="ROMANOS"/>
        <w:numPr>
          <w:ilvl w:val="0"/>
          <w:numId w:val="7"/>
        </w:numPr>
        <w:spacing w:after="0" w:line="240" w:lineRule="exact"/>
        <w:rPr>
          <w:rFonts w:ascii="Barlow" w:hAnsi="Barlow"/>
          <w:sz w:val="20"/>
          <w:szCs w:val="20"/>
        </w:rPr>
      </w:pPr>
      <w:r w:rsidRPr="00D938EE">
        <w:rPr>
          <w:rFonts w:ascii="Barlow" w:hAnsi="Barlow"/>
          <w:sz w:val="20"/>
          <w:szCs w:val="20"/>
        </w:rPr>
        <w:t>El análisis de los saldos inicial y final que figuran en la última parte del Estado de Flujo de Efectivo en la cuenta de efectivo y equivalentes es como sigue:</w:t>
      </w:r>
    </w:p>
    <w:p w:rsidR="00D938EE" w:rsidRDefault="00D938EE" w:rsidP="00D938EE">
      <w:pPr>
        <w:pStyle w:val="ROMANOS"/>
        <w:spacing w:after="0" w:line="240" w:lineRule="exact"/>
        <w:ind w:left="0" w:firstLine="0"/>
        <w:rPr>
          <w:rFonts w:ascii="Barlow" w:hAnsi="Barlow"/>
          <w:sz w:val="20"/>
          <w:szCs w:val="20"/>
        </w:rPr>
      </w:pPr>
    </w:p>
    <w:p w:rsidR="00D938EE" w:rsidRDefault="00D938EE" w:rsidP="00D938EE">
      <w:pPr>
        <w:pStyle w:val="ROMANOS"/>
        <w:spacing w:after="0" w:line="240" w:lineRule="exact"/>
        <w:ind w:left="0" w:firstLine="0"/>
        <w:rPr>
          <w:rFonts w:ascii="Barlow" w:hAnsi="Barlow"/>
          <w:sz w:val="20"/>
          <w:szCs w:val="20"/>
        </w:rPr>
      </w:pPr>
    </w:p>
    <w:p w:rsidR="00D938EE" w:rsidRDefault="00D938EE" w:rsidP="00D938EE">
      <w:pPr>
        <w:pStyle w:val="ROMANOS"/>
        <w:spacing w:after="0" w:line="240" w:lineRule="exact"/>
        <w:ind w:left="0" w:firstLine="0"/>
        <w:rPr>
          <w:rFonts w:ascii="Barlow" w:hAnsi="Barlow"/>
          <w:sz w:val="20"/>
          <w:szCs w:val="20"/>
        </w:rPr>
      </w:pPr>
    </w:p>
    <w:p w:rsidR="00D938EE" w:rsidRDefault="00D938EE" w:rsidP="00D938EE">
      <w:pPr>
        <w:pStyle w:val="ROMANOS"/>
        <w:spacing w:after="0" w:line="240" w:lineRule="exact"/>
        <w:ind w:left="0" w:firstLine="0"/>
        <w:rPr>
          <w:rFonts w:ascii="Barlow" w:hAnsi="Barlow"/>
          <w:sz w:val="20"/>
          <w:szCs w:val="20"/>
        </w:rPr>
      </w:pPr>
    </w:p>
    <w:p w:rsidR="00D938EE" w:rsidRPr="00D938EE" w:rsidRDefault="00D938EE" w:rsidP="00D938EE">
      <w:pPr>
        <w:pStyle w:val="ROMANOS"/>
        <w:spacing w:after="0" w:line="240" w:lineRule="exact"/>
        <w:ind w:left="0" w:firstLine="0"/>
        <w:rPr>
          <w:rFonts w:ascii="Barlow" w:hAnsi="Barlow"/>
          <w:sz w:val="20"/>
          <w:szCs w:val="20"/>
        </w:rPr>
      </w:pPr>
    </w:p>
    <w:p w:rsidR="00DF6E47" w:rsidRPr="00D938EE" w:rsidRDefault="00DF6E47" w:rsidP="00D938EE">
      <w:pPr>
        <w:pStyle w:val="ROMANOS"/>
        <w:spacing w:after="0" w:line="240" w:lineRule="exact"/>
        <w:ind w:left="0" w:firstLine="0"/>
        <w:rPr>
          <w:rFonts w:ascii="Barlow" w:hAnsi="Barlow"/>
          <w:sz w:val="20"/>
          <w:szCs w:val="20"/>
        </w:rPr>
      </w:pPr>
    </w:p>
    <w:p w:rsidR="00DF6E47" w:rsidRPr="00D938EE" w:rsidRDefault="00635C99" w:rsidP="00D938EE">
      <w:pPr>
        <w:tabs>
          <w:tab w:val="left" w:pos="9180"/>
        </w:tabs>
        <w:spacing w:line="240" w:lineRule="auto"/>
        <w:rPr>
          <w:rFonts w:ascii="Barlow" w:hAnsi="Barlow"/>
          <w:sz w:val="20"/>
          <w:szCs w:val="20"/>
          <w:lang w:eastAsia="es-ES"/>
        </w:rPr>
      </w:pPr>
      <w:r>
        <w:rPr>
          <w:rFonts w:ascii="Barlow" w:hAnsi="Barlow"/>
          <w:sz w:val="20"/>
          <w:szCs w:val="20"/>
        </w:rPr>
        <w:pict>
          <v:shape id="_x0000_s1164" type="#_x0000_t75" style="position:absolute;margin-left:173.55pt;margin-top:-.6pt;width:351.5pt;height:89.75pt;z-index:251656704">
            <v:imagedata r:id="rId24" o:title=""/>
            <w10:wrap type="square" side="right"/>
          </v:shape>
          <o:OLEObject Type="Embed" ProgID="Excel.Sheet.12" ShapeID="_x0000_s1164" DrawAspect="Content" ObjectID="_1619945871" r:id="rId25"/>
        </w:pict>
      </w:r>
      <w:bookmarkStart w:id="1" w:name="_MON_1537702676"/>
      <w:bookmarkEnd w:id="1"/>
      <w:r w:rsidR="00DF6E47" w:rsidRPr="00D938EE">
        <w:rPr>
          <w:rFonts w:ascii="Barlow" w:hAnsi="Barlow"/>
          <w:sz w:val="20"/>
          <w:szCs w:val="20"/>
          <w:lang w:eastAsia="es-ES"/>
        </w:rPr>
        <w:br w:type="textWrapping" w:clear="all"/>
      </w:r>
    </w:p>
    <w:p w:rsidR="00DF6E47" w:rsidRPr="00D938EE" w:rsidRDefault="00DF6E47" w:rsidP="00DF6E47">
      <w:pPr>
        <w:pStyle w:val="ROMANOS"/>
        <w:numPr>
          <w:ilvl w:val="0"/>
          <w:numId w:val="7"/>
        </w:numPr>
        <w:spacing w:after="0" w:line="240" w:lineRule="exact"/>
        <w:rPr>
          <w:rFonts w:ascii="Barlow" w:hAnsi="Barlow"/>
          <w:sz w:val="20"/>
          <w:szCs w:val="20"/>
        </w:rPr>
      </w:pPr>
      <w:r w:rsidRPr="00D938EE">
        <w:rPr>
          <w:rFonts w:ascii="Barlow" w:hAnsi="Barlow"/>
          <w:sz w:val="20"/>
          <w:szCs w:val="20"/>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p>
    <w:p w:rsidR="00DF6E47" w:rsidRPr="00D938EE" w:rsidRDefault="00DF6E47" w:rsidP="00D938EE">
      <w:pPr>
        <w:pStyle w:val="ROMANOS"/>
        <w:spacing w:after="0" w:line="240" w:lineRule="exact"/>
        <w:ind w:left="0" w:firstLine="0"/>
        <w:rPr>
          <w:rFonts w:ascii="Barlow" w:hAnsi="Barlow"/>
          <w:sz w:val="20"/>
          <w:szCs w:val="20"/>
        </w:rPr>
      </w:pPr>
    </w:p>
    <w:p w:rsidR="00DF6E47" w:rsidRPr="00D938EE" w:rsidRDefault="00DF6E47" w:rsidP="00D938EE">
      <w:pPr>
        <w:pStyle w:val="ROMANOS"/>
        <w:numPr>
          <w:ilvl w:val="0"/>
          <w:numId w:val="7"/>
        </w:numPr>
        <w:spacing w:after="0" w:line="240" w:lineRule="exact"/>
        <w:rPr>
          <w:rFonts w:ascii="Barlow" w:hAnsi="Barlow"/>
          <w:sz w:val="20"/>
          <w:szCs w:val="20"/>
        </w:rPr>
      </w:pPr>
      <w:r w:rsidRPr="00D938EE">
        <w:rPr>
          <w:rFonts w:ascii="Barlow" w:hAnsi="Barlow"/>
          <w:sz w:val="20"/>
          <w:szCs w:val="20"/>
        </w:rPr>
        <w:t>Conciliación de los Flujos de Efectivo Netos de las Actividades de Operación y la cuenta de Ahorro/Desahorro antes de Rubros Extraordinarios. A continuación se presenta un ejemplo de la elaboración de la conciliación.</w:t>
      </w:r>
    </w:p>
    <w:p w:rsidR="00DF6E47" w:rsidRPr="00D938EE" w:rsidRDefault="00635C99" w:rsidP="00DF6E47">
      <w:pPr>
        <w:tabs>
          <w:tab w:val="left" w:pos="9180"/>
        </w:tabs>
        <w:spacing w:line="240" w:lineRule="auto"/>
        <w:rPr>
          <w:rFonts w:ascii="Barlow" w:hAnsi="Barlow"/>
          <w:sz w:val="20"/>
          <w:szCs w:val="20"/>
          <w:lang w:eastAsia="es-ES"/>
        </w:rPr>
      </w:pPr>
      <w:r>
        <w:rPr>
          <w:rFonts w:ascii="Barlow" w:hAnsi="Barlow"/>
          <w:sz w:val="20"/>
          <w:szCs w:val="20"/>
        </w:rPr>
        <w:pict>
          <v:shape id="_x0000_s1159" type="#_x0000_t75" style="position:absolute;margin-left:137.45pt;margin-top:13.05pt;width:538.85pt;height:163.45pt;z-index:251657728">
            <v:imagedata r:id="rId26" o:title=""/>
            <w10:wrap type="square"/>
          </v:shape>
          <o:OLEObject Type="Embed" ProgID="Excel.Sheet.12" ShapeID="_x0000_s1159" DrawAspect="Content" ObjectID="_1619945872" r:id="rId27"/>
        </w:pict>
      </w:r>
    </w:p>
    <w:p w:rsidR="00DF6E47" w:rsidRPr="00D938EE" w:rsidRDefault="00DF6E47" w:rsidP="00DF6E47">
      <w:pPr>
        <w:tabs>
          <w:tab w:val="left" w:pos="9180"/>
        </w:tabs>
        <w:jc w:val="center"/>
        <w:rPr>
          <w:rFonts w:ascii="Barlow" w:hAnsi="Barlow"/>
          <w:sz w:val="20"/>
          <w:szCs w:val="20"/>
          <w:lang w:eastAsia="es-ES"/>
        </w:rPr>
      </w:pPr>
    </w:p>
    <w:p w:rsidR="00DF6E47" w:rsidRPr="00D938EE" w:rsidRDefault="00DF6E47" w:rsidP="00DF6E47">
      <w:pPr>
        <w:tabs>
          <w:tab w:val="left" w:pos="9180"/>
        </w:tabs>
        <w:jc w:val="center"/>
        <w:rPr>
          <w:rFonts w:ascii="Barlow" w:hAnsi="Barlow"/>
          <w:sz w:val="20"/>
          <w:szCs w:val="20"/>
          <w:lang w:eastAsia="es-ES"/>
        </w:rPr>
      </w:pPr>
    </w:p>
    <w:p w:rsidR="00DF6E47" w:rsidRPr="00D938EE" w:rsidRDefault="00DF6E47" w:rsidP="00DF6E47">
      <w:pPr>
        <w:tabs>
          <w:tab w:val="left" w:pos="9180"/>
        </w:tabs>
        <w:jc w:val="center"/>
        <w:rPr>
          <w:rFonts w:ascii="Barlow" w:hAnsi="Barlow"/>
          <w:sz w:val="20"/>
          <w:szCs w:val="20"/>
          <w:lang w:eastAsia="es-ES"/>
        </w:rPr>
      </w:pPr>
    </w:p>
    <w:p w:rsidR="00DF6E47" w:rsidRPr="00D938EE" w:rsidRDefault="00DF6E47" w:rsidP="00DF6E47">
      <w:pPr>
        <w:tabs>
          <w:tab w:val="left" w:pos="9180"/>
        </w:tabs>
        <w:jc w:val="center"/>
        <w:rPr>
          <w:rFonts w:ascii="Barlow" w:hAnsi="Barlow"/>
          <w:sz w:val="20"/>
          <w:szCs w:val="20"/>
          <w:lang w:eastAsia="es-ES"/>
        </w:rPr>
      </w:pPr>
    </w:p>
    <w:p w:rsidR="00DF6E47" w:rsidRDefault="00DF6E47" w:rsidP="00DF6E47">
      <w:pPr>
        <w:pStyle w:val="INCISO"/>
        <w:spacing w:after="0" w:line="240" w:lineRule="exact"/>
        <w:ind w:left="360"/>
        <w:rPr>
          <w:rFonts w:ascii="Barlow" w:hAnsi="Barlow"/>
          <w:b/>
          <w:smallCaps/>
          <w:sz w:val="20"/>
          <w:szCs w:val="20"/>
        </w:rPr>
      </w:pPr>
    </w:p>
    <w:p w:rsidR="00D938EE" w:rsidRDefault="00D938EE" w:rsidP="00DF6E47">
      <w:pPr>
        <w:pStyle w:val="INCISO"/>
        <w:spacing w:after="0" w:line="240" w:lineRule="exact"/>
        <w:ind w:left="360"/>
        <w:rPr>
          <w:rFonts w:ascii="Barlow" w:hAnsi="Barlow"/>
          <w:b/>
          <w:smallCaps/>
          <w:sz w:val="20"/>
          <w:szCs w:val="20"/>
        </w:rPr>
      </w:pPr>
    </w:p>
    <w:p w:rsidR="00D938EE" w:rsidRDefault="00D938EE" w:rsidP="00DF6E47">
      <w:pPr>
        <w:pStyle w:val="INCISO"/>
        <w:spacing w:after="0" w:line="240" w:lineRule="exact"/>
        <w:ind w:left="360"/>
        <w:rPr>
          <w:rFonts w:ascii="Barlow" w:hAnsi="Barlow"/>
          <w:b/>
          <w:smallCaps/>
          <w:sz w:val="20"/>
          <w:szCs w:val="20"/>
        </w:rPr>
      </w:pPr>
    </w:p>
    <w:p w:rsidR="00D938EE" w:rsidRDefault="00D938EE" w:rsidP="00DF6E47">
      <w:pPr>
        <w:pStyle w:val="INCISO"/>
        <w:spacing w:after="0" w:line="240" w:lineRule="exact"/>
        <w:ind w:left="360"/>
        <w:rPr>
          <w:rFonts w:ascii="Barlow" w:hAnsi="Barlow"/>
          <w:b/>
          <w:smallCaps/>
          <w:sz w:val="20"/>
          <w:szCs w:val="20"/>
        </w:rPr>
      </w:pPr>
    </w:p>
    <w:p w:rsidR="00D938EE" w:rsidRDefault="00D938EE" w:rsidP="00DF6E47">
      <w:pPr>
        <w:pStyle w:val="INCISO"/>
        <w:spacing w:after="0" w:line="240" w:lineRule="exact"/>
        <w:ind w:left="360"/>
        <w:rPr>
          <w:rFonts w:ascii="Barlow" w:hAnsi="Barlow"/>
          <w:b/>
          <w:smallCaps/>
          <w:sz w:val="20"/>
          <w:szCs w:val="20"/>
        </w:rPr>
      </w:pPr>
    </w:p>
    <w:p w:rsidR="00D938EE" w:rsidRDefault="00D938EE" w:rsidP="00DF6E47">
      <w:pPr>
        <w:pStyle w:val="INCISO"/>
        <w:spacing w:after="0" w:line="240" w:lineRule="exact"/>
        <w:ind w:left="0" w:firstLine="0"/>
        <w:rPr>
          <w:rFonts w:ascii="Barlow" w:hAnsi="Barlow"/>
          <w:b/>
          <w:smallCaps/>
          <w:sz w:val="20"/>
          <w:szCs w:val="20"/>
        </w:rPr>
      </w:pPr>
    </w:p>
    <w:p w:rsidR="00DF6E47" w:rsidRPr="00D938EE" w:rsidRDefault="00DF6E47" w:rsidP="00DF6E47">
      <w:pPr>
        <w:pStyle w:val="INCISO"/>
        <w:spacing w:after="0" w:line="240" w:lineRule="exact"/>
        <w:ind w:left="0" w:firstLine="0"/>
        <w:rPr>
          <w:rFonts w:ascii="Barlow" w:hAnsi="Barlow"/>
          <w:b/>
          <w:smallCaps/>
          <w:sz w:val="20"/>
          <w:szCs w:val="20"/>
        </w:rPr>
      </w:pPr>
      <w:r w:rsidRPr="00D938EE">
        <w:rPr>
          <w:rFonts w:ascii="Barlow" w:hAnsi="Barlow"/>
          <w:b/>
          <w:smallCaps/>
          <w:sz w:val="20"/>
          <w:szCs w:val="20"/>
        </w:rPr>
        <w:t>V) Conciliación entre los ingresos presupuestarios y contables, así como entre los egresos presupuestarios y los gastos contables</w:t>
      </w:r>
    </w:p>
    <w:p w:rsidR="00DF6E47" w:rsidRPr="00D938EE" w:rsidRDefault="00DF6E47" w:rsidP="00DF6E47">
      <w:pPr>
        <w:pStyle w:val="Texto"/>
        <w:spacing w:after="0" w:line="240" w:lineRule="exact"/>
        <w:jc w:val="center"/>
        <w:rPr>
          <w:rFonts w:ascii="Barlow" w:hAnsi="Barlow"/>
          <w:b/>
          <w:smallCaps/>
          <w:sz w:val="20"/>
        </w:rPr>
      </w:pPr>
    </w:p>
    <w:p w:rsidR="00DF6E47" w:rsidRPr="00D938EE" w:rsidRDefault="00DF6E47" w:rsidP="00DF6E47">
      <w:pPr>
        <w:pStyle w:val="Texto"/>
        <w:spacing w:after="0" w:line="240" w:lineRule="exact"/>
        <w:rPr>
          <w:rFonts w:ascii="Barlow" w:hAnsi="Barlow"/>
          <w:sz w:val="20"/>
        </w:rPr>
      </w:pPr>
      <w:r w:rsidRPr="00D938EE">
        <w:rPr>
          <w:rFonts w:ascii="Barlow" w:hAnsi="Barlow"/>
          <w:sz w:val="20"/>
        </w:rPr>
        <w:t>La conciliación se presentará atendiendo a lo dispuesto por la Acuerdo por el que se emite el formato de conciliación entre los ingresos presupuestarios y contables, así como entre los egresos presupuestarios y los gastos contables.</w:t>
      </w:r>
    </w:p>
    <w:p w:rsidR="00DF6E47" w:rsidRPr="00D938EE" w:rsidRDefault="00DF6E47" w:rsidP="00DF6E47">
      <w:pPr>
        <w:pStyle w:val="Texto"/>
        <w:spacing w:after="0" w:line="240" w:lineRule="exact"/>
        <w:rPr>
          <w:rFonts w:ascii="Barlow" w:hAnsi="Barlow"/>
          <w:sz w:val="20"/>
        </w:rPr>
      </w:pPr>
    </w:p>
    <w:p w:rsidR="00DF6E47" w:rsidRPr="00D938EE" w:rsidRDefault="00DF6E47" w:rsidP="00DF6E47">
      <w:pPr>
        <w:pStyle w:val="Texto"/>
        <w:spacing w:after="0" w:line="240" w:lineRule="exact"/>
        <w:rPr>
          <w:rFonts w:ascii="Barlow" w:hAnsi="Barlow"/>
          <w:sz w:val="20"/>
        </w:rPr>
      </w:pPr>
    </w:p>
    <w:p w:rsidR="00DF6E47" w:rsidRPr="00D938EE" w:rsidRDefault="00635C99" w:rsidP="00DF6E47">
      <w:pPr>
        <w:pStyle w:val="Texto"/>
        <w:spacing w:after="0" w:line="240" w:lineRule="exact"/>
        <w:ind w:right="-314"/>
        <w:rPr>
          <w:rFonts w:ascii="Barlow" w:hAnsi="Barlow"/>
          <w:sz w:val="20"/>
        </w:rPr>
      </w:pPr>
      <w:bookmarkStart w:id="2" w:name="_GoBack"/>
      <w:r>
        <w:rPr>
          <w:rFonts w:ascii="Barlow" w:hAnsi="Barlow"/>
          <w:sz w:val="20"/>
        </w:rPr>
        <w:lastRenderedPageBreak/>
        <w:pict>
          <v:shape id="_x0000_s1161" type="#_x0000_t75" style="position:absolute;left:0;text-align:left;margin-left:308.2pt;margin-top:-15.15pt;width:391.85pt;height:400.85pt;z-index:251658752">
            <v:imagedata r:id="rId28" o:title=""/>
            <w10:wrap type="topAndBottom"/>
          </v:shape>
          <o:OLEObject Type="Embed" ProgID="Excel.Sheet.12" ShapeID="_x0000_s1161" DrawAspect="Content" ObjectID="_1619945873" r:id="rId29"/>
        </w:pict>
      </w:r>
      <w:bookmarkEnd w:id="2"/>
      <w:r>
        <w:rPr>
          <w:rFonts w:ascii="Barlow" w:hAnsi="Barlow"/>
          <w:sz w:val="20"/>
        </w:rPr>
        <w:pict>
          <v:shape id="_x0000_s1160" type="#_x0000_t75" style="position:absolute;left:0;text-align:left;margin-left:-23.2pt;margin-top:-15.15pt;width:331.4pt;height:347.7pt;z-index:251659776">
            <v:imagedata r:id="rId30" o:title=""/>
            <w10:wrap type="topAndBottom"/>
          </v:shape>
          <o:OLEObject Type="Embed" ProgID="Excel.Sheet.12" ShapeID="_x0000_s1160" DrawAspect="Content" ObjectID="_1619945874" r:id="rId31"/>
        </w:pict>
      </w:r>
    </w:p>
    <w:p w:rsidR="00DF6E47" w:rsidRPr="00D938EE" w:rsidRDefault="00DF6E47" w:rsidP="00DF6E47">
      <w:pPr>
        <w:tabs>
          <w:tab w:val="left" w:pos="8400"/>
        </w:tabs>
        <w:rPr>
          <w:rFonts w:ascii="Barlow" w:hAnsi="Barlow"/>
          <w:sz w:val="20"/>
          <w:szCs w:val="20"/>
          <w:lang w:eastAsia="es-ES"/>
        </w:rPr>
      </w:pPr>
      <w:r w:rsidRPr="00D938EE">
        <w:rPr>
          <w:rFonts w:ascii="Barlow" w:hAnsi="Barlow"/>
          <w:sz w:val="20"/>
          <w:szCs w:val="20"/>
          <w:lang w:eastAsia="es-ES"/>
        </w:rPr>
        <w:lastRenderedPageBreak/>
        <w:tab/>
      </w:r>
    </w:p>
    <w:p w:rsidR="00DF6E47" w:rsidRPr="00D938EE" w:rsidRDefault="00DF6E47" w:rsidP="00DF6E47">
      <w:pPr>
        <w:pStyle w:val="Texto"/>
        <w:numPr>
          <w:ilvl w:val="0"/>
          <w:numId w:val="9"/>
        </w:numPr>
        <w:spacing w:after="0" w:line="240" w:lineRule="exact"/>
        <w:jc w:val="center"/>
        <w:rPr>
          <w:rFonts w:ascii="Barlow" w:hAnsi="Barlow"/>
          <w:b/>
          <w:sz w:val="20"/>
        </w:rPr>
      </w:pPr>
      <w:r w:rsidRPr="00D938EE">
        <w:rPr>
          <w:rFonts w:ascii="Barlow" w:hAnsi="Barlow"/>
          <w:sz w:val="20"/>
        </w:rPr>
        <w:t xml:space="preserve"> </w:t>
      </w:r>
      <w:r w:rsidRPr="00D938EE">
        <w:rPr>
          <w:rFonts w:ascii="Barlow" w:hAnsi="Barlow"/>
          <w:b/>
          <w:sz w:val="20"/>
        </w:rPr>
        <w:t>NOTAS DE MEMORIA (CUENTAS DE ORDEN)</w:t>
      </w:r>
    </w:p>
    <w:p w:rsidR="00DF6E47" w:rsidRPr="00D938EE" w:rsidRDefault="00DF6E47" w:rsidP="00DF6E47">
      <w:pPr>
        <w:pStyle w:val="Texto"/>
        <w:spacing w:after="0" w:line="240" w:lineRule="exact"/>
        <w:rPr>
          <w:rFonts w:ascii="Barlow" w:hAnsi="Barlow"/>
          <w:sz w:val="20"/>
          <w:highlight w:val="yellow"/>
        </w:rPr>
      </w:pPr>
    </w:p>
    <w:p w:rsidR="00DF6E47" w:rsidRPr="00D938EE" w:rsidRDefault="00DF6E47" w:rsidP="00DF6E47">
      <w:pPr>
        <w:pStyle w:val="Texto"/>
        <w:spacing w:after="0" w:line="240" w:lineRule="exact"/>
        <w:rPr>
          <w:rFonts w:ascii="Barlow" w:hAnsi="Barlow"/>
          <w:sz w:val="20"/>
          <w:highlight w:val="yellow"/>
        </w:rPr>
      </w:pPr>
    </w:p>
    <w:p w:rsidR="00DF6E47" w:rsidRPr="00D938EE" w:rsidRDefault="00DF6E47" w:rsidP="00DF6E47">
      <w:pPr>
        <w:pStyle w:val="Texto"/>
        <w:spacing w:after="0" w:line="240" w:lineRule="exact"/>
        <w:rPr>
          <w:rFonts w:ascii="Barlow" w:hAnsi="Barlow"/>
          <w:sz w:val="20"/>
        </w:rPr>
      </w:pPr>
      <w:r w:rsidRPr="00D938EE">
        <w:rPr>
          <w:rFonts w:ascii="Barlow" w:hAnsi="Barlow"/>
          <w:sz w:val="20"/>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DF6E47" w:rsidRPr="00D938EE" w:rsidRDefault="00DF6E47" w:rsidP="00DF6E47">
      <w:pPr>
        <w:pStyle w:val="Texto"/>
        <w:spacing w:after="0" w:line="240" w:lineRule="exact"/>
        <w:rPr>
          <w:rFonts w:ascii="Barlow" w:hAnsi="Barlow"/>
          <w:sz w:val="20"/>
        </w:rPr>
      </w:pPr>
    </w:p>
    <w:p w:rsidR="00DF6E47" w:rsidRPr="00D938EE" w:rsidRDefault="00DF6E47" w:rsidP="00DF6E47">
      <w:pPr>
        <w:pStyle w:val="Texto"/>
        <w:spacing w:after="0" w:line="240" w:lineRule="exact"/>
        <w:rPr>
          <w:rFonts w:ascii="Barlow" w:hAnsi="Barlow"/>
          <w:sz w:val="20"/>
        </w:rPr>
      </w:pPr>
    </w:p>
    <w:p w:rsidR="00DF6E47" w:rsidRPr="00D938EE" w:rsidRDefault="00635C99" w:rsidP="00DF6E47">
      <w:pPr>
        <w:pStyle w:val="Texto"/>
        <w:spacing w:after="0" w:line="240" w:lineRule="exact"/>
        <w:ind w:firstLine="0"/>
        <w:jc w:val="center"/>
        <w:rPr>
          <w:rFonts w:ascii="Barlow" w:hAnsi="Barlow"/>
          <w:b/>
          <w:sz w:val="20"/>
        </w:rPr>
      </w:pPr>
      <w:r>
        <w:rPr>
          <w:rFonts w:ascii="Barlow" w:hAnsi="Barlow"/>
          <w:sz w:val="20"/>
        </w:rPr>
        <w:pict>
          <v:shape id="_x0000_s1162" type="#_x0000_t75" style="position:absolute;left:0;text-align:left;margin-left:76.05pt;margin-top:8.5pt;width:470.85pt;height:189.45pt;z-index:251660800">
            <v:imagedata r:id="rId32" o:title=""/>
            <w10:wrap type="square"/>
          </v:shape>
          <o:OLEObject Type="Embed" ProgID="Excel.Sheet.12" ShapeID="_x0000_s1162" DrawAspect="Content" ObjectID="_1619945875" r:id="rId33"/>
        </w:pict>
      </w:r>
    </w:p>
    <w:p w:rsidR="00DF6E47" w:rsidRPr="00D938EE" w:rsidRDefault="00DF6E47" w:rsidP="00DF6E47">
      <w:pPr>
        <w:pStyle w:val="Texto"/>
        <w:spacing w:after="0" w:line="240" w:lineRule="exact"/>
        <w:ind w:firstLine="0"/>
        <w:jc w:val="center"/>
        <w:rPr>
          <w:rFonts w:ascii="Barlow" w:hAnsi="Barlow"/>
          <w:b/>
          <w:sz w:val="20"/>
        </w:rPr>
      </w:pPr>
    </w:p>
    <w:p w:rsidR="00DF6E47" w:rsidRPr="00D938EE" w:rsidRDefault="00DF6E47" w:rsidP="00DF6E47">
      <w:pPr>
        <w:pStyle w:val="Texto"/>
        <w:spacing w:after="0" w:line="240" w:lineRule="exact"/>
        <w:ind w:firstLine="0"/>
        <w:jc w:val="center"/>
        <w:rPr>
          <w:rFonts w:ascii="Barlow" w:hAnsi="Barlow"/>
          <w:b/>
          <w:sz w:val="20"/>
        </w:rPr>
      </w:pPr>
    </w:p>
    <w:p w:rsidR="00DF6E47" w:rsidRPr="00D938EE" w:rsidRDefault="00DF6E47" w:rsidP="00DF6E47">
      <w:pPr>
        <w:pStyle w:val="Texto"/>
        <w:spacing w:after="0" w:line="240" w:lineRule="exact"/>
        <w:ind w:firstLine="0"/>
        <w:rPr>
          <w:rFonts w:ascii="Barlow" w:hAnsi="Barlow"/>
          <w:b/>
          <w:sz w:val="20"/>
        </w:rPr>
      </w:pPr>
    </w:p>
    <w:p w:rsidR="00DF6E47" w:rsidRPr="00D938EE" w:rsidRDefault="00DF6E47" w:rsidP="00DF6E47">
      <w:pPr>
        <w:tabs>
          <w:tab w:val="left" w:pos="9180"/>
        </w:tabs>
        <w:jc w:val="both"/>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F6E47">
      <w:pPr>
        <w:rPr>
          <w:rFonts w:ascii="Barlow" w:hAnsi="Barlow"/>
          <w:sz w:val="20"/>
          <w:szCs w:val="20"/>
          <w:lang w:eastAsia="es-ES"/>
        </w:rPr>
      </w:pPr>
    </w:p>
    <w:p w:rsidR="00DF6E47" w:rsidRPr="00D938EE" w:rsidRDefault="00DF6E47" w:rsidP="00D938EE">
      <w:pPr>
        <w:pStyle w:val="Texto"/>
        <w:spacing w:after="0" w:line="240" w:lineRule="exact"/>
        <w:ind w:firstLine="0"/>
        <w:outlineLvl w:val="0"/>
        <w:rPr>
          <w:rFonts w:ascii="Barlow" w:eastAsiaTheme="minorEastAsia" w:hAnsi="Barlow" w:cstheme="minorBidi"/>
          <w:sz w:val="20"/>
        </w:rPr>
      </w:pPr>
    </w:p>
    <w:p w:rsidR="00D938EE" w:rsidRPr="00D938EE" w:rsidRDefault="00D938EE" w:rsidP="00D938EE">
      <w:pPr>
        <w:pStyle w:val="Texto"/>
        <w:spacing w:after="0" w:line="240" w:lineRule="exact"/>
        <w:ind w:firstLine="0"/>
        <w:outlineLvl w:val="0"/>
        <w:rPr>
          <w:rFonts w:ascii="Barlow" w:eastAsiaTheme="minorEastAsia" w:hAnsi="Barlow" w:cstheme="minorBidi"/>
          <w:sz w:val="20"/>
        </w:rPr>
      </w:pPr>
    </w:p>
    <w:p w:rsidR="00D938EE" w:rsidRPr="00D938EE" w:rsidRDefault="00D938EE" w:rsidP="00D938EE">
      <w:pPr>
        <w:pStyle w:val="Texto"/>
        <w:spacing w:after="0" w:line="240" w:lineRule="exact"/>
        <w:ind w:firstLine="0"/>
        <w:outlineLvl w:val="0"/>
        <w:rPr>
          <w:rFonts w:ascii="Barlow" w:eastAsiaTheme="minorEastAsia" w:hAnsi="Barlow" w:cstheme="minorBidi"/>
          <w:sz w:val="20"/>
        </w:rPr>
      </w:pPr>
    </w:p>
    <w:p w:rsidR="00D938EE" w:rsidRPr="00D938EE" w:rsidRDefault="00D938EE" w:rsidP="00D938EE">
      <w:pPr>
        <w:pStyle w:val="Texto"/>
        <w:spacing w:after="0" w:line="240" w:lineRule="exact"/>
        <w:ind w:firstLine="0"/>
        <w:outlineLvl w:val="0"/>
        <w:rPr>
          <w:rFonts w:ascii="Barlow" w:hAnsi="Barlow"/>
          <w:b/>
          <w:sz w:val="20"/>
        </w:rPr>
      </w:pPr>
    </w:p>
    <w:p w:rsidR="00DF6E47" w:rsidRPr="00D938EE" w:rsidRDefault="00DF6E47" w:rsidP="00DF6E47">
      <w:pPr>
        <w:pStyle w:val="Prrafodelista"/>
        <w:numPr>
          <w:ilvl w:val="0"/>
          <w:numId w:val="9"/>
        </w:numPr>
        <w:tabs>
          <w:tab w:val="left" w:pos="1032"/>
        </w:tabs>
        <w:jc w:val="center"/>
        <w:rPr>
          <w:rFonts w:ascii="Barlow" w:hAnsi="Barlow"/>
          <w:b/>
          <w:sz w:val="20"/>
          <w:szCs w:val="20"/>
        </w:rPr>
      </w:pPr>
      <w:r w:rsidRPr="00D938EE">
        <w:rPr>
          <w:rFonts w:ascii="Barlow" w:hAnsi="Barlow"/>
          <w:b/>
          <w:sz w:val="20"/>
          <w:szCs w:val="20"/>
        </w:rPr>
        <w:t xml:space="preserve"> NOTAS DE GESTIÓN ADMINISTRATIVA</w:t>
      </w:r>
    </w:p>
    <w:p w:rsidR="00DF6E47" w:rsidRPr="00D938EE" w:rsidRDefault="00DF6E47" w:rsidP="00DF6E47">
      <w:pPr>
        <w:tabs>
          <w:tab w:val="left" w:pos="1032"/>
        </w:tabs>
        <w:jc w:val="center"/>
        <w:rPr>
          <w:rFonts w:ascii="Barlow" w:hAnsi="Barlow"/>
          <w:b/>
          <w:sz w:val="20"/>
          <w:szCs w:val="20"/>
        </w:rPr>
      </w:pPr>
    </w:p>
    <w:p w:rsidR="00DF6E47" w:rsidRPr="00D938EE" w:rsidRDefault="00DF6E47" w:rsidP="00DF6E47">
      <w:pPr>
        <w:pStyle w:val="Texto"/>
        <w:spacing w:after="0" w:line="240" w:lineRule="exact"/>
        <w:rPr>
          <w:rFonts w:ascii="Barlow" w:hAnsi="Barlow"/>
          <w:b/>
          <w:sz w:val="20"/>
        </w:rPr>
      </w:pPr>
      <w:r w:rsidRPr="00D938EE">
        <w:rPr>
          <w:rFonts w:ascii="Barlow" w:hAnsi="Barlow"/>
          <w:b/>
          <w:sz w:val="20"/>
        </w:rPr>
        <w:t>1.</w:t>
      </w:r>
      <w:r w:rsidRPr="00D938EE">
        <w:rPr>
          <w:rFonts w:ascii="Barlow" w:hAnsi="Barlow"/>
          <w:b/>
          <w:sz w:val="20"/>
        </w:rPr>
        <w:tab/>
        <w:t>Introducción</w:t>
      </w:r>
    </w:p>
    <w:p w:rsidR="00DF6E47" w:rsidRPr="00D938EE" w:rsidRDefault="00DF6E47" w:rsidP="00DF6E47">
      <w:pPr>
        <w:pStyle w:val="Texto"/>
        <w:spacing w:after="0" w:line="240" w:lineRule="exact"/>
        <w:ind w:firstLine="0"/>
        <w:rPr>
          <w:rFonts w:ascii="Barlow" w:hAnsi="Barlow"/>
          <w:sz w:val="20"/>
        </w:rPr>
      </w:pPr>
    </w:p>
    <w:p w:rsidR="00DF6E47" w:rsidRPr="00D938EE" w:rsidRDefault="00DF6E47" w:rsidP="00DF6E47">
      <w:pPr>
        <w:pStyle w:val="Texto"/>
        <w:spacing w:after="0" w:line="240" w:lineRule="exact"/>
        <w:ind w:left="426" w:firstLine="0"/>
        <w:rPr>
          <w:rFonts w:ascii="Barlow" w:hAnsi="Barlow"/>
          <w:sz w:val="20"/>
        </w:rPr>
      </w:pPr>
      <w:r w:rsidRPr="00D938EE">
        <w:rPr>
          <w:rFonts w:ascii="Barlow" w:hAnsi="Barlow"/>
          <w:sz w:val="20"/>
        </w:rPr>
        <w:t>Los Estados Financieros del Instituto de Educación para Adultos del Estado de Yucatán, proveen de información financiera a los principales usuarios de la misma, al Congreso y a los ciudadanos.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DF6E47" w:rsidRPr="00D938EE" w:rsidRDefault="00DF6E47" w:rsidP="00DF6E47">
      <w:pPr>
        <w:pStyle w:val="Texto"/>
        <w:spacing w:after="0" w:line="240" w:lineRule="exact"/>
        <w:ind w:firstLine="0"/>
        <w:rPr>
          <w:rFonts w:ascii="Barlow" w:hAnsi="Barlow"/>
          <w:sz w:val="20"/>
        </w:rPr>
      </w:pPr>
    </w:p>
    <w:p w:rsidR="00DF6E47" w:rsidRPr="00D938EE" w:rsidRDefault="00DF6E47" w:rsidP="00DF6E47">
      <w:pPr>
        <w:pStyle w:val="Texto"/>
        <w:spacing w:after="0" w:line="240" w:lineRule="exact"/>
        <w:ind w:left="426" w:firstLine="0"/>
        <w:rPr>
          <w:rFonts w:ascii="Barlow" w:hAnsi="Barlow"/>
          <w:sz w:val="20"/>
        </w:rPr>
      </w:pPr>
      <w:r w:rsidRPr="00D938EE">
        <w:rPr>
          <w:rFonts w:ascii="Barlow" w:hAnsi="Barlow"/>
          <w:sz w:val="20"/>
        </w:rPr>
        <w:t>De esta manera, se informa y explica la respuesta del Instituto de Educación para Adultos del Estado de Yucatán a las condiciones relacionadas con la información financiera de cada período de gestión; además, de exponer aquellas políticas que podrían afectar la toma de decisiones en períodos posteriores.</w:t>
      </w:r>
    </w:p>
    <w:p w:rsidR="00DF6E47" w:rsidRPr="00D938EE" w:rsidRDefault="00DF6E47" w:rsidP="00DF6E47">
      <w:pPr>
        <w:pStyle w:val="Texto"/>
        <w:spacing w:after="0" w:line="240" w:lineRule="exact"/>
        <w:rPr>
          <w:rFonts w:ascii="Barlow" w:hAnsi="Barlow"/>
          <w:sz w:val="20"/>
        </w:rPr>
      </w:pPr>
    </w:p>
    <w:p w:rsidR="00DF6E47" w:rsidRPr="00D938EE" w:rsidRDefault="00DF6E47" w:rsidP="00DF6E47">
      <w:pPr>
        <w:pStyle w:val="Texto"/>
        <w:spacing w:after="0" w:line="240" w:lineRule="exact"/>
        <w:rPr>
          <w:rFonts w:ascii="Barlow" w:hAnsi="Barlow"/>
          <w:b/>
          <w:sz w:val="20"/>
        </w:rPr>
      </w:pPr>
      <w:r w:rsidRPr="00D938EE">
        <w:rPr>
          <w:rFonts w:ascii="Barlow" w:hAnsi="Barlow"/>
          <w:b/>
          <w:sz w:val="20"/>
        </w:rPr>
        <w:t>2.</w:t>
      </w:r>
      <w:r w:rsidRPr="00D938EE">
        <w:rPr>
          <w:rFonts w:ascii="Barlow" w:hAnsi="Barlow"/>
          <w:b/>
          <w:sz w:val="20"/>
        </w:rPr>
        <w:tab/>
        <w:t>Panorama Económico y Financiero</w:t>
      </w:r>
    </w:p>
    <w:p w:rsidR="00DF6E47" w:rsidRPr="00D938EE" w:rsidRDefault="00DF6E47" w:rsidP="00DF6E47">
      <w:pPr>
        <w:pStyle w:val="Texto"/>
        <w:spacing w:after="0" w:line="240" w:lineRule="exact"/>
        <w:ind w:firstLine="0"/>
        <w:rPr>
          <w:rFonts w:ascii="Barlow" w:hAnsi="Barlow"/>
          <w:sz w:val="20"/>
        </w:rPr>
      </w:pPr>
    </w:p>
    <w:p w:rsidR="00DF6E47" w:rsidRPr="00D938EE" w:rsidRDefault="00DF6E47" w:rsidP="00DF6E47">
      <w:pPr>
        <w:pStyle w:val="Texto"/>
        <w:spacing w:after="0" w:line="240" w:lineRule="exact"/>
        <w:ind w:left="426" w:firstLine="0"/>
        <w:rPr>
          <w:rFonts w:ascii="Barlow" w:hAnsi="Barlow"/>
          <w:sz w:val="20"/>
        </w:rPr>
      </w:pPr>
      <w:r w:rsidRPr="00D938EE">
        <w:rPr>
          <w:rFonts w:ascii="Barlow" w:hAnsi="Barlow"/>
          <w:sz w:val="20"/>
        </w:rPr>
        <w:t>Las condiciones económicas y financieras bajo las cuales el Instituto de Educación para Adultos del Estado de Yucatán estuvo operando, son las mismas a las que se sujeta el Presupuesto Federal.</w:t>
      </w:r>
    </w:p>
    <w:p w:rsidR="00DF6E47" w:rsidRPr="00D938EE" w:rsidRDefault="00DF6E47" w:rsidP="00DF6E47">
      <w:pPr>
        <w:pStyle w:val="Texto"/>
        <w:spacing w:after="0" w:line="240" w:lineRule="exact"/>
        <w:ind w:firstLine="0"/>
        <w:rPr>
          <w:rFonts w:ascii="Barlow" w:hAnsi="Barlow"/>
          <w:sz w:val="20"/>
        </w:rPr>
      </w:pPr>
    </w:p>
    <w:p w:rsidR="00DF6E47" w:rsidRPr="00D938EE" w:rsidRDefault="00DF6E47" w:rsidP="00DF6E47">
      <w:pPr>
        <w:pStyle w:val="Texto"/>
        <w:spacing w:after="0" w:line="240" w:lineRule="exact"/>
        <w:rPr>
          <w:rFonts w:ascii="Barlow" w:hAnsi="Barlow"/>
          <w:sz w:val="20"/>
        </w:rPr>
      </w:pPr>
    </w:p>
    <w:p w:rsidR="00DF6E47" w:rsidRPr="00D938EE" w:rsidRDefault="00DF6E47" w:rsidP="00DF6E47">
      <w:pPr>
        <w:pStyle w:val="Texto"/>
        <w:spacing w:after="0" w:line="240" w:lineRule="exact"/>
        <w:rPr>
          <w:rFonts w:ascii="Barlow" w:hAnsi="Barlow"/>
          <w:b/>
          <w:sz w:val="20"/>
        </w:rPr>
      </w:pPr>
      <w:r w:rsidRPr="00D938EE">
        <w:rPr>
          <w:rFonts w:ascii="Barlow" w:hAnsi="Barlow"/>
          <w:b/>
          <w:sz w:val="20"/>
        </w:rPr>
        <w:t>3.</w:t>
      </w:r>
      <w:r w:rsidRPr="00D938EE">
        <w:rPr>
          <w:rFonts w:ascii="Barlow" w:hAnsi="Barlow"/>
          <w:b/>
          <w:sz w:val="20"/>
        </w:rPr>
        <w:tab/>
        <w:t>Autorización e Historia</w:t>
      </w:r>
    </w:p>
    <w:p w:rsidR="00DF6E47" w:rsidRPr="00D938EE" w:rsidRDefault="00DF6E47" w:rsidP="00DF6E47">
      <w:pPr>
        <w:spacing w:after="0"/>
        <w:ind w:left="360"/>
        <w:jc w:val="both"/>
        <w:rPr>
          <w:rFonts w:ascii="Barlow" w:hAnsi="Barlow" w:cs="Arial"/>
          <w:color w:val="000000"/>
          <w:sz w:val="20"/>
          <w:szCs w:val="20"/>
        </w:rPr>
      </w:pPr>
    </w:p>
    <w:p w:rsidR="00DF6E47" w:rsidRPr="00D938EE" w:rsidRDefault="00DF6E47" w:rsidP="00DF6E47">
      <w:pPr>
        <w:ind w:left="360"/>
        <w:jc w:val="both"/>
        <w:rPr>
          <w:rFonts w:ascii="Barlow" w:hAnsi="Barlow" w:cs="Arial"/>
          <w:color w:val="000000"/>
          <w:sz w:val="20"/>
          <w:szCs w:val="20"/>
        </w:rPr>
      </w:pPr>
      <w:r w:rsidRPr="00D938EE">
        <w:rPr>
          <w:rFonts w:ascii="Barlow" w:hAnsi="Barlow" w:cs="Arial"/>
          <w:color w:val="000000"/>
          <w:sz w:val="20"/>
          <w:szCs w:val="20"/>
        </w:rPr>
        <w:t>El Instituto de Educación para Adultos del Estado de Yucatán (IEAEY) se crea el 22 de junio del 2000, como organismo público descentralizado del Gobierno del Estado de Yucatán, con personalidad jurídica y patrimonio propio, perteneciendo al sector coordinado por la Secretaría de Educación del Gobierno del Estado de Yucatán, con el propósito de lograr la distribución de la función social educativa entre la Federación, los Estados y los Municipios, así como de unificar y coordinar la educación en toda la República.</w:t>
      </w:r>
    </w:p>
    <w:p w:rsidR="00DF6E47" w:rsidRPr="00D938EE" w:rsidRDefault="00DF6E47" w:rsidP="00DF6E47">
      <w:pPr>
        <w:jc w:val="both"/>
        <w:rPr>
          <w:rFonts w:ascii="Barlow" w:hAnsi="Barlow" w:cs="Arial"/>
          <w:color w:val="000000"/>
          <w:sz w:val="20"/>
          <w:szCs w:val="20"/>
        </w:rPr>
      </w:pPr>
    </w:p>
    <w:p w:rsidR="00DF6E47" w:rsidRPr="00D938EE" w:rsidRDefault="00DF6E47" w:rsidP="00DF6E47">
      <w:pPr>
        <w:jc w:val="both"/>
        <w:rPr>
          <w:rFonts w:ascii="Barlow" w:hAnsi="Barlow" w:cs="Arial"/>
          <w:color w:val="000000"/>
          <w:sz w:val="20"/>
          <w:szCs w:val="20"/>
        </w:rPr>
      </w:pPr>
    </w:p>
    <w:p w:rsidR="00DF6E47" w:rsidRPr="00D938EE" w:rsidRDefault="00DF6E47" w:rsidP="00DF6E47">
      <w:pPr>
        <w:pStyle w:val="Texto"/>
        <w:numPr>
          <w:ilvl w:val="0"/>
          <w:numId w:val="5"/>
        </w:numPr>
        <w:spacing w:after="0" w:line="240" w:lineRule="exact"/>
        <w:rPr>
          <w:rFonts w:ascii="Barlow" w:hAnsi="Barlow"/>
          <w:b/>
          <w:sz w:val="20"/>
        </w:rPr>
      </w:pPr>
      <w:r w:rsidRPr="00D938EE">
        <w:rPr>
          <w:rFonts w:ascii="Barlow" w:hAnsi="Barlow"/>
          <w:b/>
          <w:sz w:val="20"/>
        </w:rPr>
        <w:t>Organización y Objeto Social</w:t>
      </w:r>
    </w:p>
    <w:p w:rsidR="00DF6E47" w:rsidRPr="00D938EE" w:rsidRDefault="00DF6E47" w:rsidP="00DF6E47">
      <w:pPr>
        <w:ind w:left="648"/>
        <w:rPr>
          <w:rStyle w:val="Textoennegrita"/>
          <w:rFonts w:ascii="Barlow" w:hAnsi="Barlow"/>
          <w:bCs w:val="0"/>
          <w:color w:val="000000"/>
          <w:sz w:val="20"/>
          <w:szCs w:val="20"/>
        </w:rPr>
      </w:pPr>
    </w:p>
    <w:p w:rsidR="00DF6E47" w:rsidRPr="00D938EE" w:rsidRDefault="00DF6E47" w:rsidP="00DF6E47">
      <w:pPr>
        <w:ind w:left="648"/>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Instituto tendrá como objeto prestar los servicios de educación básica para adultos del Estado de Yucatán, comprendiendo la alfabetización, la educación primaria y a secundaria, así como la información para el trabajo, con los contenidos particulares para atender las necesidades educativas específicas de ese sector de la población.</w:t>
      </w:r>
    </w:p>
    <w:p w:rsidR="00DF6E47" w:rsidRPr="00D938EE" w:rsidRDefault="00DF6E47" w:rsidP="00DF6E47">
      <w:pPr>
        <w:ind w:left="648"/>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Ejercicio fiscal 2018</w:t>
      </w:r>
    </w:p>
    <w:p w:rsidR="00DF6E47" w:rsidRPr="00D938EE" w:rsidRDefault="00DF6E47" w:rsidP="00DF6E47">
      <w:pPr>
        <w:ind w:left="648"/>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Organización: Las autoridades y órganos de administración de El Instituto, serán: 1. El consejo educativo para adultos. 2. El director general.</w:t>
      </w:r>
    </w:p>
    <w:p w:rsidR="00DF6E47" w:rsidRPr="00D938EE" w:rsidRDefault="00DF6E47" w:rsidP="00DF6E47">
      <w:pPr>
        <w:ind w:left="648"/>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 xml:space="preserve">El consejo educativo para adultos será la máxima autoridad de El Instituto, y estará formado por ocho integrantes: </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Un presidente, que lo será el gobernador del estado.</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secretario general del gobierno.</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secretario de educación.</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secretario de hacienda y planeación.</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secretario de la contraloría general.</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representante de la secretaria de educación pública en el estado.</w:t>
      </w:r>
    </w:p>
    <w:p w:rsidR="00DF6E47" w:rsidRPr="00D938EE" w:rsidRDefault="00DF6E47" w:rsidP="00DF6E47">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Un representante del instituto nacional para la educación de los adultos.</w:t>
      </w:r>
    </w:p>
    <w:p w:rsidR="00D938EE" w:rsidRPr="00D938EE" w:rsidRDefault="00DF6E47" w:rsidP="00D938EE">
      <w:pPr>
        <w:pStyle w:val="Prrafodelista"/>
        <w:numPr>
          <w:ilvl w:val="0"/>
          <w:numId w:val="10"/>
        </w:numPr>
        <w:rPr>
          <w:rStyle w:val="Textoennegrita"/>
          <w:rFonts w:ascii="Barlow" w:hAnsi="Barlow"/>
          <w:b w:val="0"/>
          <w:bCs w:val="0"/>
          <w:color w:val="000000"/>
          <w:sz w:val="20"/>
          <w:szCs w:val="20"/>
        </w:rPr>
      </w:pPr>
      <w:r w:rsidRPr="00D938EE">
        <w:rPr>
          <w:rStyle w:val="Textoennegrita"/>
          <w:rFonts w:ascii="Barlow" w:hAnsi="Barlow"/>
          <w:b w:val="0"/>
          <w:color w:val="000000"/>
          <w:sz w:val="20"/>
          <w:szCs w:val="20"/>
        </w:rPr>
        <w:t>El presidente ejecutivo del patronato pro educación de los adultos del estado de Yucatán.</w:t>
      </w:r>
    </w:p>
    <w:p w:rsidR="00D938EE" w:rsidRPr="00D938EE" w:rsidRDefault="00D938EE" w:rsidP="00D938EE">
      <w:pPr>
        <w:pStyle w:val="Prrafodelista"/>
        <w:ind w:left="1008"/>
        <w:rPr>
          <w:rStyle w:val="Textoennegrita"/>
          <w:rFonts w:ascii="Barlow" w:hAnsi="Barlow"/>
          <w:b w:val="0"/>
          <w:bCs w:val="0"/>
          <w:color w:val="000000"/>
          <w:sz w:val="20"/>
          <w:szCs w:val="20"/>
        </w:rPr>
      </w:pPr>
    </w:p>
    <w:p w:rsidR="00DF6E47" w:rsidRPr="00D938EE" w:rsidRDefault="00DF6E47" w:rsidP="00D938EE">
      <w:pPr>
        <w:ind w:left="648"/>
        <w:rPr>
          <w:rFonts w:ascii="Barlow" w:hAnsi="Barlow" w:cs="Arial"/>
          <w:color w:val="000000"/>
          <w:sz w:val="20"/>
          <w:szCs w:val="20"/>
        </w:rPr>
      </w:pPr>
      <w:r w:rsidRPr="00D938EE">
        <w:rPr>
          <w:rStyle w:val="Textoennegrita"/>
          <w:rFonts w:ascii="Barlow" w:hAnsi="Barlow"/>
          <w:sz w:val="20"/>
          <w:szCs w:val="20"/>
        </w:rPr>
        <w:t>MISIÓN</w:t>
      </w:r>
    </w:p>
    <w:p w:rsidR="00DF6E47" w:rsidRPr="00D938EE" w:rsidRDefault="00DF6E47" w:rsidP="00DF6E47">
      <w:pPr>
        <w:ind w:left="648"/>
        <w:jc w:val="both"/>
        <w:rPr>
          <w:rFonts w:ascii="Barlow" w:hAnsi="Barlow" w:cs="Arial"/>
          <w:color w:val="000000"/>
          <w:sz w:val="20"/>
          <w:szCs w:val="20"/>
        </w:rPr>
      </w:pPr>
      <w:r w:rsidRPr="00D938EE">
        <w:rPr>
          <w:rFonts w:ascii="Barlow" w:hAnsi="Barlow" w:cs="Arial"/>
          <w:color w:val="000000"/>
          <w:sz w:val="20"/>
          <w:szCs w:val="20"/>
        </w:rPr>
        <w:lastRenderedPageBreak/>
        <w:t>El Instituto de Educación para Adultos del Estado de Yucatán (IEAEY) tiene como misión 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DF6E47" w:rsidRPr="00D938EE" w:rsidRDefault="00DF6E47" w:rsidP="00DF6E47">
      <w:pPr>
        <w:ind w:left="648"/>
        <w:rPr>
          <w:rFonts w:ascii="Barlow" w:hAnsi="Barlow" w:cs="Arial"/>
          <w:color w:val="000000"/>
          <w:sz w:val="20"/>
          <w:szCs w:val="20"/>
        </w:rPr>
      </w:pPr>
      <w:r w:rsidRPr="00D938EE">
        <w:rPr>
          <w:rStyle w:val="Textoennegrita"/>
          <w:rFonts w:ascii="Barlow" w:hAnsi="Barlow"/>
          <w:sz w:val="20"/>
          <w:szCs w:val="20"/>
        </w:rPr>
        <w:t>VALORES</w:t>
      </w:r>
    </w:p>
    <w:p w:rsidR="00DF6E47" w:rsidRPr="00D938EE" w:rsidRDefault="00DF6E47" w:rsidP="00DF6E47">
      <w:pPr>
        <w:ind w:left="648"/>
        <w:rPr>
          <w:rFonts w:ascii="Barlow" w:hAnsi="Barlow" w:cs="Arial"/>
          <w:color w:val="000000"/>
          <w:sz w:val="20"/>
          <w:szCs w:val="20"/>
        </w:rPr>
      </w:pPr>
      <w:r w:rsidRPr="00D938EE">
        <w:rPr>
          <w:rFonts w:ascii="Barlow" w:hAnsi="Barlow" w:cs="Arial"/>
          <w:color w:val="000000"/>
          <w:sz w:val="20"/>
          <w:szCs w:val="20"/>
        </w:rPr>
        <w:t>Actitud de Servicio</w:t>
      </w:r>
      <w:r w:rsidRPr="00D938EE">
        <w:rPr>
          <w:rFonts w:ascii="Barlow" w:hAnsi="Barlow" w:cs="Arial"/>
          <w:color w:val="000000"/>
          <w:sz w:val="20"/>
          <w:szCs w:val="20"/>
        </w:rPr>
        <w:br/>
        <w:t>Honestidad</w:t>
      </w:r>
      <w:r w:rsidRPr="00D938EE">
        <w:rPr>
          <w:rFonts w:ascii="Barlow" w:hAnsi="Barlow" w:cs="Arial"/>
          <w:color w:val="000000"/>
          <w:sz w:val="20"/>
          <w:szCs w:val="20"/>
        </w:rPr>
        <w:br/>
        <w:t>Perseverancia</w:t>
      </w:r>
      <w:r w:rsidRPr="00D938EE">
        <w:rPr>
          <w:rFonts w:ascii="Barlow" w:hAnsi="Barlow" w:cs="Arial"/>
          <w:color w:val="000000"/>
          <w:sz w:val="20"/>
          <w:szCs w:val="20"/>
        </w:rPr>
        <w:br/>
        <w:t>Responsabilidad</w:t>
      </w:r>
      <w:r w:rsidRPr="00D938EE">
        <w:rPr>
          <w:rFonts w:ascii="Barlow" w:hAnsi="Barlow" w:cs="Arial"/>
          <w:color w:val="000000"/>
          <w:sz w:val="20"/>
          <w:szCs w:val="20"/>
        </w:rPr>
        <w:br/>
        <w:t>Amor y entrega</w:t>
      </w:r>
      <w:r w:rsidRPr="00D938EE">
        <w:rPr>
          <w:rFonts w:ascii="Barlow" w:hAnsi="Barlow" w:cs="Arial"/>
          <w:color w:val="000000"/>
          <w:sz w:val="20"/>
          <w:szCs w:val="20"/>
        </w:rPr>
        <w:br/>
        <w:t>Calidad de cooperación</w:t>
      </w:r>
      <w:r w:rsidRPr="00D938EE">
        <w:rPr>
          <w:rFonts w:ascii="Barlow" w:hAnsi="Barlow" w:cs="Arial"/>
          <w:color w:val="000000"/>
          <w:sz w:val="20"/>
          <w:szCs w:val="20"/>
        </w:rPr>
        <w:br/>
        <w:t>Mejora</w:t>
      </w:r>
      <w:r w:rsidRPr="00D938EE">
        <w:rPr>
          <w:rFonts w:ascii="Barlow" w:hAnsi="Barlow" w:cs="Arial"/>
          <w:color w:val="000000"/>
          <w:sz w:val="20"/>
          <w:szCs w:val="20"/>
        </w:rPr>
        <w:br/>
        <w:t>Continua</w:t>
      </w:r>
    </w:p>
    <w:p w:rsidR="00DF6E47" w:rsidRPr="00D938EE" w:rsidRDefault="00DF6E47" w:rsidP="00DF6E47">
      <w:pPr>
        <w:ind w:left="648"/>
        <w:jc w:val="both"/>
        <w:rPr>
          <w:rFonts w:ascii="Barlow" w:hAnsi="Barlow" w:cs="Arial"/>
          <w:color w:val="000000"/>
          <w:sz w:val="20"/>
          <w:szCs w:val="20"/>
        </w:rPr>
      </w:pPr>
      <w:r w:rsidRPr="00D938EE">
        <w:rPr>
          <w:rFonts w:ascii="Barlow" w:hAnsi="Barlow" w:cs="Arial"/>
          <w:color w:val="000000"/>
          <w:sz w:val="20"/>
          <w:szCs w:val="20"/>
        </w:rPr>
        <w:t>Lograr que toda persona de 15 o más años de edad, que carecen de las habilidades necesarias para el dominio de la lecto-escritura y el cálculo básico las aprenda y las aplique a su vida cotidiana.</w:t>
      </w:r>
    </w:p>
    <w:p w:rsidR="00DF6E47" w:rsidRPr="00D938EE" w:rsidRDefault="00DF6E47" w:rsidP="00D938EE">
      <w:pPr>
        <w:ind w:left="648"/>
        <w:jc w:val="both"/>
        <w:rPr>
          <w:rFonts w:ascii="Barlow" w:hAnsi="Barlow" w:cs="Arial"/>
          <w:color w:val="000000"/>
          <w:sz w:val="20"/>
          <w:szCs w:val="20"/>
        </w:rPr>
      </w:pPr>
      <w:r w:rsidRPr="00D938EE">
        <w:rPr>
          <w:rFonts w:ascii="Barlow" w:hAnsi="Barlow" w:cs="Arial"/>
          <w:color w:val="000000"/>
          <w:sz w:val="20"/>
          <w:szCs w:val="20"/>
        </w:rPr>
        <w:t>Poner a disposición de toda persona joven o adulta los medios necesarios para  quienes no han podido iniciar o concluir su educación primaria o secundaria puedan hacerlo incluso en lengua maya</w:t>
      </w:r>
    </w:p>
    <w:p w:rsidR="00DF6E47" w:rsidRPr="00D938EE" w:rsidRDefault="00DF6E47" w:rsidP="00DF6E47">
      <w:pPr>
        <w:pStyle w:val="Prrafodelista"/>
        <w:numPr>
          <w:ilvl w:val="0"/>
          <w:numId w:val="5"/>
        </w:numPr>
        <w:rPr>
          <w:rFonts w:ascii="Barlow" w:hAnsi="Barlow" w:cs="Arial"/>
          <w:b/>
          <w:sz w:val="20"/>
          <w:szCs w:val="20"/>
        </w:rPr>
      </w:pPr>
      <w:r w:rsidRPr="00D938EE">
        <w:rPr>
          <w:rFonts w:ascii="Barlow" w:hAnsi="Barlow" w:cs="Arial"/>
          <w:b/>
          <w:sz w:val="20"/>
          <w:szCs w:val="20"/>
        </w:rPr>
        <w:t>Principales Políticas y Prácticas Contables</w:t>
      </w:r>
    </w:p>
    <w:p w:rsidR="00301D61" w:rsidRDefault="00DF6E47" w:rsidP="00DF6E47">
      <w:pPr>
        <w:rPr>
          <w:rFonts w:ascii="Barlow" w:hAnsi="Barlow" w:cs="Tahoma"/>
          <w:sz w:val="20"/>
          <w:szCs w:val="20"/>
        </w:rPr>
      </w:pPr>
      <w:r w:rsidRPr="00D938EE">
        <w:rPr>
          <w:rFonts w:ascii="Barlow" w:hAnsi="Barlow" w:cs="Tahoma"/>
          <w:sz w:val="20"/>
          <w:szCs w:val="20"/>
        </w:rPr>
        <w:t xml:space="preserve">           Las principales prácticas contables son, el registrar los ingresos hasta el momento de entrar el efectivo a nuestras chequeras o tener aviso de    autorización de las radicaciones  correspondientes, así como cargar los gastos en el momento que sea devengado.</w:t>
      </w:r>
    </w:p>
    <w:p w:rsidR="00D938EE" w:rsidRPr="00D938EE" w:rsidRDefault="00D938EE" w:rsidP="00DF6E47">
      <w:pPr>
        <w:rPr>
          <w:rFonts w:ascii="Barlow" w:hAnsi="Barlow"/>
          <w:sz w:val="20"/>
          <w:szCs w:val="20"/>
          <w:lang w:eastAsia="es-ES"/>
        </w:rPr>
      </w:pPr>
    </w:p>
    <w:p w:rsidR="007200D9" w:rsidRPr="00D938EE" w:rsidRDefault="00956BDF" w:rsidP="00E31C9D">
      <w:pPr>
        <w:spacing w:line="240" w:lineRule="auto"/>
        <w:rPr>
          <w:rFonts w:ascii="Barlow" w:hAnsi="Barlow" w:cs="Arial"/>
          <w:sz w:val="20"/>
          <w:szCs w:val="20"/>
        </w:rPr>
      </w:pPr>
      <w:r w:rsidRPr="00D938EE">
        <w:rPr>
          <w:rFonts w:ascii="Barlow" w:hAnsi="Barlow" w:cs="Arial"/>
          <w:sz w:val="20"/>
          <w:szCs w:val="20"/>
        </w:rPr>
        <w:t xml:space="preserve">Bajo protesta de decir  </w:t>
      </w:r>
      <w:r w:rsidR="007200D9" w:rsidRPr="00D938EE">
        <w:rPr>
          <w:rFonts w:ascii="Barlow" w:hAnsi="Barlow" w:cs="Arial"/>
          <w:sz w:val="20"/>
          <w:szCs w:val="20"/>
        </w:rPr>
        <w:t>verdad declaramos que</w:t>
      </w:r>
      <w:r w:rsidR="009C39A4" w:rsidRPr="00D938EE">
        <w:rPr>
          <w:rFonts w:ascii="Barlow" w:hAnsi="Barlow" w:cs="Arial"/>
          <w:sz w:val="20"/>
          <w:szCs w:val="20"/>
        </w:rPr>
        <w:t xml:space="preserve"> los Estados Financieros y sus N</w:t>
      </w:r>
      <w:r w:rsidR="007200D9" w:rsidRPr="00D938EE">
        <w:rPr>
          <w:rFonts w:ascii="Barlow" w:hAnsi="Barlow" w:cs="Arial"/>
          <w:sz w:val="20"/>
          <w:szCs w:val="20"/>
        </w:rPr>
        <w:t>otas son razonablemente correctos y responsabilidad del emisor.</w:t>
      </w:r>
    </w:p>
    <w:p w:rsidR="001839A6" w:rsidRPr="00D938EE" w:rsidRDefault="001839A6" w:rsidP="001839A6">
      <w:pPr>
        <w:tabs>
          <w:tab w:val="left" w:pos="1032"/>
        </w:tabs>
        <w:rPr>
          <w:sz w:val="20"/>
          <w:szCs w:val="20"/>
          <w:lang w:eastAsia="es-ES"/>
        </w:rPr>
      </w:pPr>
    </w:p>
    <w:sectPr w:rsidR="001839A6" w:rsidRPr="00D938EE" w:rsidSect="00AC2C6B">
      <w:pgSz w:w="16838" w:h="11906"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C99" w:rsidRDefault="00635C99" w:rsidP="004C69F1">
      <w:pPr>
        <w:spacing w:after="0" w:line="240" w:lineRule="auto"/>
      </w:pPr>
      <w:r>
        <w:separator/>
      </w:r>
    </w:p>
  </w:endnote>
  <w:endnote w:type="continuationSeparator" w:id="0">
    <w:p w:rsidR="00635C99" w:rsidRDefault="00635C99" w:rsidP="004C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C99" w:rsidRDefault="00635C99" w:rsidP="004C69F1">
      <w:pPr>
        <w:spacing w:after="0" w:line="240" w:lineRule="auto"/>
      </w:pPr>
      <w:r>
        <w:separator/>
      </w:r>
    </w:p>
  </w:footnote>
  <w:footnote w:type="continuationSeparator" w:id="0">
    <w:p w:rsidR="00635C99" w:rsidRDefault="00635C99" w:rsidP="004C6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3C3"/>
    <w:multiLevelType w:val="hybridMultilevel"/>
    <w:tmpl w:val="19F06EA0"/>
    <w:lvl w:ilvl="0" w:tplc="90662FFA">
      <w:start w:val="1"/>
      <w:numFmt w:val="decimal"/>
      <w:lvlText w:val="%1."/>
      <w:lvlJc w:val="left"/>
      <w:pPr>
        <w:ind w:left="1008" w:hanging="360"/>
      </w:pPr>
    </w:lvl>
    <w:lvl w:ilvl="1" w:tplc="0C0A0019">
      <w:start w:val="1"/>
      <w:numFmt w:val="lowerLetter"/>
      <w:lvlText w:val="%2."/>
      <w:lvlJc w:val="left"/>
      <w:pPr>
        <w:ind w:left="1728" w:hanging="360"/>
      </w:pPr>
    </w:lvl>
    <w:lvl w:ilvl="2" w:tplc="0C0A001B">
      <w:start w:val="1"/>
      <w:numFmt w:val="lowerRoman"/>
      <w:lvlText w:val="%3."/>
      <w:lvlJc w:val="right"/>
      <w:pPr>
        <w:ind w:left="2448" w:hanging="180"/>
      </w:pPr>
    </w:lvl>
    <w:lvl w:ilvl="3" w:tplc="0C0A000F">
      <w:start w:val="1"/>
      <w:numFmt w:val="decimal"/>
      <w:lvlText w:val="%4."/>
      <w:lvlJc w:val="left"/>
      <w:pPr>
        <w:ind w:left="3168" w:hanging="360"/>
      </w:pPr>
    </w:lvl>
    <w:lvl w:ilvl="4" w:tplc="0C0A0019">
      <w:start w:val="1"/>
      <w:numFmt w:val="lowerLetter"/>
      <w:lvlText w:val="%5."/>
      <w:lvlJc w:val="left"/>
      <w:pPr>
        <w:ind w:left="3888" w:hanging="360"/>
      </w:pPr>
    </w:lvl>
    <w:lvl w:ilvl="5" w:tplc="0C0A001B">
      <w:start w:val="1"/>
      <w:numFmt w:val="lowerRoman"/>
      <w:lvlText w:val="%6."/>
      <w:lvlJc w:val="right"/>
      <w:pPr>
        <w:ind w:left="4608" w:hanging="180"/>
      </w:pPr>
    </w:lvl>
    <w:lvl w:ilvl="6" w:tplc="0C0A000F">
      <w:start w:val="1"/>
      <w:numFmt w:val="decimal"/>
      <w:lvlText w:val="%7."/>
      <w:lvlJc w:val="left"/>
      <w:pPr>
        <w:ind w:left="5328" w:hanging="360"/>
      </w:pPr>
    </w:lvl>
    <w:lvl w:ilvl="7" w:tplc="0C0A0019">
      <w:start w:val="1"/>
      <w:numFmt w:val="lowerLetter"/>
      <w:lvlText w:val="%8."/>
      <w:lvlJc w:val="left"/>
      <w:pPr>
        <w:ind w:left="6048" w:hanging="360"/>
      </w:pPr>
    </w:lvl>
    <w:lvl w:ilvl="8" w:tplc="0C0A001B">
      <w:start w:val="1"/>
      <w:numFmt w:val="lowerRoman"/>
      <w:lvlText w:val="%9."/>
      <w:lvlJc w:val="right"/>
      <w:pPr>
        <w:ind w:left="6768" w:hanging="180"/>
      </w:pPr>
    </w:lvl>
  </w:abstractNum>
  <w:abstractNum w:abstractNumId="1">
    <w:nsid w:val="187C713A"/>
    <w:multiLevelType w:val="hybridMultilevel"/>
    <w:tmpl w:val="4C94454C"/>
    <w:lvl w:ilvl="0" w:tplc="CB006F2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1F6E075F"/>
    <w:multiLevelType w:val="hybridMultilevel"/>
    <w:tmpl w:val="1BC47B3C"/>
    <w:lvl w:ilvl="0" w:tplc="08D082E6">
      <w:start w:val="4"/>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
    <w:nsid w:val="2E047960"/>
    <w:multiLevelType w:val="hybridMultilevel"/>
    <w:tmpl w:val="45149A00"/>
    <w:lvl w:ilvl="0" w:tplc="A2B0A5C2">
      <w:start w:val="1"/>
      <w:numFmt w:val="decimal"/>
      <w:lvlText w:val="%1."/>
      <w:lvlJc w:val="left"/>
      <w:pPr>
        <w:ind w:left="1008" w:hanging="360"/>
      </w:pPr>
      <w:rPr>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4">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56566115"/>
    <w:multiLevelType w:val="hybridMultilevel"/>
    <w:tmpl w:val="25E63D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E686BFB"/>
    <w:multiLevelType w:val="hybridMultilevel"/>
    <w:tmpl w:val="C6A080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D6"/>
    <w:rsid w:val="0001227D"/>
    <w:rsid w:val="00015958"/>
    <w:rsid w:val="00034DE6"/>
    <w:rsid w:val="00054A64"/>
    <w:rsid w:val="00065C97"/>
    <w:rsid w:val="0008021C"/>
    <w:rsid w:val="00087206"/>
    <w:rsid w:val="000A104C"/>
    <w:rsid w:val="000A1BBB"/>
    <w:rsid w:val="000A484C"/>
    <w:rsid w:val="000D2C79"/>
    <w:rsid w:val="000D2CB0"/>
    <w:rsid w:val="000D55E4"/>
    <w:rsid w:val="000D68CC"/>
    <w:rsid w:val="000D70B0"/>
    <w:rsid w:val="000E10CB"/>
    <w:rsid w:val="000E4E29"/>
    <w:rsid w:val="000E7394"/>
    <w:rsid w:val="000F477F"/>
    <w:rsid w:val="000F5097"/>
    <w:rsid w:val="000F5E6B"/>
    <w:rsid w:val="000F6E57"/>
    <w:rsid w:val="00107B5A"/>
    <w:rsid w:val="00110BDA"/>
    <w:rsid w:val="0011103D"/>
    <w:rsid w:val="00130447"/>
    <w:rsid w:val="0013703D"/>
    <w:rsid w:val="00137778"/>
    <w:rsid w:val="00143F3B"/>
    <w:rsid w:val="001448F7"/>
    <w:rsid w:val="00146F66"/>
    <w:rsid w:val="001473C9"/>
    <w:rsid w:val="001549B5"/>
    <w:rsid w:val="0016424E"/>
    <w:rsid w:val="00164C60"/>
    <w:rsid w:val="001775B8"/>
    <w:rsid w:val="00182F9D"/>
    <w:rsid w:val="001839A6"/>
    <w:rsid w:val="00187C4D"/>
    <w:rsid w:val="00191E23"/>
    <w:rsid w:val="001969F7"/>
    <w:rsid w:val="001A2A8F"/>
    <w:rsid w:val="001A5054"/>
    <w:rsid w:val="001A530A"/>
    <w:rsid w:val="001B1ADB"/>
    <w:rsid w:val="001C2B66"/>
    <w:rsid w:val="001D7B55"/>
    <w:rsid w:val="001E0974"/>
    <w:rsid w:val="001E3B0A"/>
    <w:rsid w:val="001F0A67"/>
    <w:rsid w:val="001F33C1"/>
    <w:rsid w:val="00200C7B"/>
    <w:rsid w:val="002100D9"/>
    <w:rsid w:val="0023480D"/>
    <w:rsid w:val="00240227"/>
    <w:rsid w:val="00245395"/>
    <w:rsid w:val="002730ED"/>
    <w:rsid w:val="00280C4D"/>
    <w:rsid w:val="00297270"/>
    <w:rsid w:val="002B6731"/>
    <w:rsid w:val="002F3898"/>
    <w:rsid w:val="00301D61"/>
    <w:rsid w:val="00303CD2"/>
    <w:rsid w:val="00306205"/>
    <w:rsid w:val="00335E4F"/>
    <w:rsid w:val="0034623D"/>
    <w:rsid w:val="00356877"/>
    <w:rsid w:val="00374D8F"/>
    <w:rsid w:val="00380417"/>
    <w:rsid w:val="00380E89"/>
    <w:rsid w:val="00380EAA"/>
    <w:rsid w:val="00385232"/>
    <w:rsid w:val="00391847"/>
    <w:rsid w:val="003A49FC"/>
    <w:rsid w:val="003B1B66"/>
    <w:rsid w:val="003C1C31"/>
    <w:rsid w:val="003C4EDC"/>
    <w:rsid w:val="003D25DF"/>
    <w:rsid w:val="003D4D94"/>
    <w:rsid w:val="003D678B"/>
    <w:rsid w:val="003E2ACB"/>
    <w:rsid w:val="003E7905"/>
    <w:rsid w:val="003F3857"/>
    <w:rsid w:val="003F4E91"/>
    <w:rsid w:val="003F7650"/>
    <w:rsid w:val="004110CA"/>
    <w:rsid w:val="00412EC0"/>
    <w:rsid w:val="00416D7F"/>
    <w:rsid w:val="0042307E"/>
    <w:rsid w:val="00424A7C"/>
    <w:rsid w:val="00425E61"/>
    <w:rsid w:val="00441E1F"/>
    <w:rsid w:val="0044720A"/>
    <w:rsid w:val="004529A8"/>
    <w:rsid w:val="00456E21"/>
    <w:rsid w:val="004571D3"/>
    <w:rsid w:val="0046583D"/>
    <w:rsid w:val="00470C66"/>
    <w:rsid w:val="00490E5C"/>
    <w:rsid w:val="004956F5"/>
    <w:rsid w:val="00496BF4"/>
    <w:rsid w:val="004A506E"/>
    <w:rsid w:val="004B548D"/>
    <w:rsid w:val="004B6C09"/>
    <w:rsid w:val="004C4CA0"/>
    <w:rsid w:val="004C5E2F"/>
    <w:rsid w:val="004C69F1"/>
    <w:rsid w:val="004D61E4"/>
    <w:rsid w:val="004F5235"/>
    <w:rsid w:val="004F78ED"/>
    <w:rsid w:val="00503BF0"/>
    <w:rsid w:val="005060DA"/>
    <w:rsid w:val="005062D6"/>
    <w:rsid w:val="00506607"/>
    <w:rsid w:val="00510F78"/>
    <w:rsid w:val="00516D14"/>
    <w:rsid w:val="00552FD7"/>
    <w:rsid w:val="005563B0"/>
    <w:rsid w:val="00556A9D"/>
    <w:rsid w:val="0057104D"/>
    <w:rsid w:val="0057281B"/>
    <w:rsid w:val="00576220"/>
    <w:rsid w:val="00580149"/>
    <w:rsid w:val="00584920"/>
    <w:rsid w:val="00590E7F"/>
    <w:rsid w:val="00592F94"/>
    <w:rsid w:val="005A2BD2"/>
    <w:rsid w:val="005A2F40"/>
    <w:rsid w:val="005A3231"/>
    <w:rsid w:val="005A61CB"/>
    <w:rsid w:val="005B5912"/>
    <w:rsid w:val="005D5875"/>
    <w:rsid w:val="005D5FDF"/>
    <w:rsid w:val="005D6ADA"/>
    <w:rsid w:val="005E3967"/>
    <w:rsid w:val="005E3C03"/>
    <w:rsid w:val="005E7FEB"/>
    <w:rsid w:val="00607361"/>
    <w:rsid w:val="00607418"/>
    <w:rsid w:val="0062043A"/>
    <w:rsid w:val="00635C99"/>
    <w:rsid w:val="00637FD8"/>
    <w:rsid w:val="0064030D"/>
    <w:rsid w:val="00643D6E"/>
    <w:rsid w:val="00644D8D"/>
    <w:rsid w:val="00646088"/>
    <w:rsid w:val="00653CB2"/>
    <w:rsid w:val="00656283"/>
    <w:rsid w:val="0065631A"/>
    <w:rsid w:val="00656B8E"/>
    <w:rsid w:val="006964C6"/>
    <w:rsid w:val="0069723C"/>
    <w:rsid w:val="006A4AB4"/>
    <w:rsid w:val="006A4DB7"/>
    <w:rsid w:val="006B1AF2"/>
    <w:rsid w:val="006C04F2"/>
    <w:rsid w:val="006C3346"/>
    <w:rsid w:val="006C5955"/>
    <w:rsid w:val="006E2F93"/>
    <w:rsid w:val="006F002C"/>
    <w:rsid w:val="00704206"/>
    <w:rsid w:val="00717247"/>
    <w:rsid w:val="007200D9"/>
    <w:rsid w:val="007261C1"/>
    <w:rsid w:val="007444E2"/>
    <w:rsid w:val="00745553"/>
    <w:rsid w:val="00755F61"/>
    <w:rsid w:val="00761CAA"/>
    <w:rsid w:val="00766146"/>
    <w:rsid w:val="00780D6D"/>
    <w:rsid w:val="007928FD"/>
    <w:rsid w:val="007A1876"/>
    <w:rsid w:val="007B0BA1"/>
    <w:rsid w:val="007D2E8A"/>
    <w:rsid w:val="007D75C3"/>
    <w:rsid w:val="007E7AD7"/>
    <w:rsid w:val="007F3093"/>
    <w:rsid w:val="007F6722"/>
    <w:rsid w:val="00801F49"/>
    <w:rsid w:val="00804186"/>
    <w:rsid w:val="00812AF6"/>
    <w:rsid w:val="008203D6"/>
    <w:rsid w:val="008371F8"/>
    <w:rsid w:val="00843C67"/>
    <w:rsid w:val="0085385C"/>
    <w:rsid w:val="00855A91"/>
    <w:rsid w:val="00855B23"/>
    <w:rsid w:val="008567A1"/>
    <w:rsid w:val="0086219C"/>
    <w:rsid w:val="008654FE"/>
    <w:rsid w:val="008716E9"/>
    <w:rsid w:val="00887B93"/>
    <w:rsid w:val="00893580"/>
    <w:rsid w:val="008A09E5"/>
    <w:rsid w:val="008A3D88"/>
    <w:rsid w:val="008B2504"/>
    <w:rsid w:val="008B3067"/>
    <w:rsid w:val="008C05B2"/>
    <w:rsid w:val="008D3779"/>
    <w:rsid w:val="008F6F68"/>
    <w:rsid w:val="009006C3"/>
    <w:rsid w:val="00901CCC"/>
    <w:rsid w:val="00906933"/>
    <w:rsid w:val="0090778F"/>
    <w:rsid w:val="00923B5F"/>
    <w:rsid w:val="00927F36"/>
    <w:rsid w:val="00931206"/>
    <w:rsid w:val="0093142A"/>
    <w:rsid w:val="00933688"/>
    <w:rsid w:val="0095049D"/>
    <w:rsid w:val="00950C01"/>
    <w:rsid w:val="00954056"/>
    <w:rsid w:val="0095499F"/>
    <w:rsid w:val="00954A32"/>
    <w:rsid w:val="0095598A"/>
    <w:rsid w:val="00956BDF"/>
    <w:rsid w:val="009621A5"/>
    <w:rsid w:val="0097037B"/>
    <w:rsid w:val="00972997"/>
    <w:rsid w:val="009827D4"/>
    <w:rsid w:val="00986451"/>
    <w:rsid w:val="009A4F0D"/>
    <w:rsid w:val="009A5874"/>
    <w:rsid w:val="009B54EC"/>
    <w:rsid w:val="009B66D3"/>
    <w:rsid w:val="009B7E5D"/>
    <w:rsid w:val="009C39A4"/>
    <w:rsid w:val="009E506A"/>
    <w:rsid w:val="009E5074"/>
    <w:rsid w:val="009E5E98"/>
    <w:rsid w:val="009E75D2"/>
    <w:rsid w:val="009F75D9"/>
    <w:rsid w:val="009F761F"/>
    <w:rsid w:val="00A00DA4"/>
    <w:rsid w:val="00A15405"/>
    <w:rsid w:val="00A15F16"/>
    <w:rsid w:val="00A43415"/>
    <w:rsid w:val="00A440BC"/>
    <w:rsid w:val="00A54478"/>
    <w:rsid w:val="00A63E14"/>
    <w:rsid w:val="00A6662D"/>
    <w:rsid w:val="00A7049C"/>
    <w:rsid w:val="00A925BB"/>
    <w:rsid w:val="00AA379B"/>
    <w:rsid w:val="00AA5CCD"/>
    <w:rsid w:val="00AA7F9D"/>
    <w:rsid w:val="00AC13D3"/>
    <w:rsid w:val="00AC296F"/>
    <w:rsid w:val="00AC2C6B"/>
    <w:rsid w:val="00AC704B"/>
    <w:rsid w:val="00AD0B97"/>
    <w:rsid w:val="00AE3BEB"/>
    <w:rsid w:val="00AF1226"/>
    <w:rsid w:val="00B04053"/>
    <w:rsid w:val="00B16D6F"/>
    <w:rsid w:val="00B32084"/>
    <w:rsid w:val="00B44430"/>
    <w:rsid w:val="00B53B5C"/>
    <w:rsid w:val="00B7433B"/>
    <w:rsid w:val="00B81041"/>
    <w:rsid w:val="00B86F94"/>
    <w:rsid w:val="00BA17C7"/>
    <w:rsid w:val="00BC0837"/>
    <w:rsid w:val="00BD50FB"/>
    <w:rsid w:val="00BE7CEB"/>
    <w:rsid w:val="00C00D3F"/>
    <w:rsid w:val="00C1024F"/>
    <w:rsid w:val="00C1656E"/>
    <w:rsid w:val="00C330B4"/>
    <w:rsid w:val="00C40302"/>
    <w:rsid w:val="00C40843"/>
    <w:rsid w:val="00C46638"/>
    <w:rsid w:val="00C47AFB"/>
    <w:rsid w:val="00C5282B"/>
    <w:rsid w:val="00C52914"/>
    <w:rsid w:val="00C5406E"/>
    <w:rsid w:val="00C621D4"/>
    <w:rsid w:val="00C62FE8"/>
    <w:rsid w:val="00C65EEE"/>
    <w:rsid w:val="00C75422"/>
    <w:rsid w:val="00C87129"/>
    <w:rsid w:val="00C95A32"/>
    <w:rsid w:val="00CA41C6"/>
    <w:rsid w:val="00CA550D"/>
    <w:rsid w:val="00CA6692"/>
    <w:rsid w:val="00CB0520"/>
    <w:rsid w:val="00CB48D7"/>
    <w:rsid w:val="00CD3CD3"/>
    <w:rsid w:val="00CD453B"/>
    <w:rsid w:val="00CD5103"/>
    <w:rsid w:val="00CD7655"/>
    <w:rsid w:val="00CE47B8"/>
    <w:rsid w:val="00CF0F78"/>
    <w:rsid w:val="00D01F58"/>
    <w:rsid w:val="00D21237"/>
    <w:rsid w:val="00D269F9"/>
    <w:rsid w:val="00D26CEB"/>
    <w:rsid w:val="00D279C1"/>
    <w:rsid w:val="00D34C25"/>
    <w:rsid w:val="00D37B2B"/>
    <w:rsid w:val="00D42E0B"/>
    <w:rsid w:val="00D438D1"/>
    <w:rsid w:val="00D46E11"/>
    <w:rsid w:val="00D47151"/>
    <w:rsid w:val="00D500E5"/>
    <w:rsid w:val="00D54C28"/>
    <w:rsid w:val="00D74D97"/>
    <w:rsid w:val="00D87970"/>
    <w:rsid w:val="00D938EE"/>
    <w:rsid w:val="00D945F7"/>
    <w:rsid w:val="00D95075"/>
    <w:rsid w:val="00D963D5"/>
    <w:rsid w:val="00D978EC"/>
    <w:rsid w:val="00DA57B4"/>
    <w:rsid w:val="00DA7921"/>
    <w:rsid w:val="00DB2370"/>
    <w:rsid w:val="00DC0B3B"/>
    <w:rsid w:val="00DC3109"/>
    <w:rsid w:val="00DD7CF1"/>
    <w:rsid w:val="00DE20F2"/>
    <w:rsid w:val="00DF1874"/>
    <w:rsid w:val="00DF6E47"/>
    <w:rsid w:val="00E00070"/>
    <w:rsid w:val="00E042EA"/>
    <w:rsid w:val="00E10F8D"/>
    <w:rsid w:val="00E114AE"/>
    <w:rsid w:val="00E1236F"/>
    <w:rsid w:val="00E31C9D"/>
    <w:rsid w:val="00E3495D"/>
    <w:rsid w:val="00E47945"/>
    <w:rsid w:val="00E512B2"/>
    <w:rsid w:val="00E57117"/>
    <w:rsid w:val="00E5743B"/>
    <w:rsid w:val="00E606A1"/>
    <w:rsid w:val="00E64FF8"/>
    <w:rsid w:val="00E7103B"/>
    <w:rsid w:val="00E7455B"/>
    <w:rsid w:val="00E86FEC"/>
    <w:rsid w:val="00E931C0"/>
    <w:rsid w:val="00E93BA3"/>
    <w:rsid w:val="00E97925"/>
    <w:rsid w:val="00EA003F"/>
    <w:rsid w:val="00EB306B"/>
    <w:rsid w:val="00EB4284"/>
    <w:rsid w:val="00EB4D35"/>
    <w:rsid w:val="00EC0B1A"/>
    <w:rsid w:val="00ED1548"/>
    <w:rsid w:val="00ED5067"/>
    <w:rsid w:val="00EE05CF"/>
    <w:rsid w:val="00EE3F90"/>
    <w:rsid w:val="00EF4DC6"/>
    <w:rsid w:val="00F12B9B"/>
    <w:rsid w:val="00F304B6"/>
    <w:rsid w:val="00F45228"/>
    <w:rsid w:val="00F743E9"/>
    <w:rsid w:val="00F84135"/>
    <w:rsid w:val="00F85458"/>
    <w:rsid w:val="00F9022B"/>
    <w:rsid w:val="00F95F1F"/>
    <w:rsid w:val="00F97F14"/>
    <w:rsid w:val="00F97F81"/>
    <w:rsid w:val="00FA7D9C"/>
    <w:rsid w:val="00FB4249"/>
    <w:rsid w:val="00FB6294"/>
    <w:rsid w:val="00FD7512"/>
    <w:rsid w:val="00FE51FB"/>
    <w:rsid w:val="00FF1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2788">
      <w:bodyDiv w:val="1"/>
      <w:marLeft w:val="0"/>
      <w:marRight w:val="0"/>
      <w:marTop w:val="0"/>
      <w:marBottom w:val="0"/>
      <w:divBdr>
        <w:top w:val="none" w:sz="0" w:space="0" w:color="auto"/>
        <w:left w:val="none" w:sz="0" w:space="0" w:color="auto"/>
        <w:bottom w:val="none" w:sz="0" w:space="0" w:color="auto"/>
        <w:right w:val="none" w:sz="0" w:space="0" w:color="auto"/>
      </w:divBdr>
    </w:div>
    <w:div w:id="217210421">
      <w:bodyDiv w:val="1"/>
      <w:marLeft w:val="0"/>
      <w:marRight w:val="0"/>
      <w:marTop w:val="0"/>
      <w:marBottom w:val="0"/>
      <w:divBdr>
        <w:top w:val="none" w:sz="0" w:space="0" w:color="auto"/>
        <w:left w:val="none" w:sz="0" w:space="0" w:color="auto"/>
        <w:bottom w:val="none" w:sz="0" w:space="0" w:color="auto"/>
        <w:right w:val="none" w:sz="0" w:space="0" w:color="auto"/>
      </w:divBdr>
    </w:div>
    <w:div w:id="307246383">
      <w:bodyDiv w:val="1"/>
      <w:marLeft w:val="0"/>
      <w:marRight w:val="0"/>
      <w:marTop w:val="0"/>
      <w:marBottom w:val="0"/>
      <w:divBdr>
        <w:top w:val="none" w:sz="0" w:space="0" w:color="auto"/>
        <w:left w:val="none" w:sz="0" w:space="0" w:color="auto"/>
        <w:bottom w:val="none" w:sz="0" w:space="0" w:color="auto"/>
        <w:right w:val="none" w:sz="0" w:space="0" w:color="auto"/>
      </w:divBdr>
    </w:div>
    <w:div w:id="566232650">
      <w:bodyDiv w:val="1"/>
      <w:marLeft w:val="0"/>
      <w:marRight w:val="0"/>
      <w:marTop w:val="0"/>
      <w:marBottom w:val="0"/>
      <w:divBdr>
        <w:top w:val="none" w:sz="0" w:space="0" w:color="auto"/>
        <w:left w:val="none" w:sz="0" w:space="0" w:color="auto"/>
        <w:bottom w:val="none" w:sz="0" w:space="0" w:color="auto"/>
        <w:right w:val="none" w:sz="0" w:space="0" w:color="auto"/>
      </w:divBdr>
    </w:div>
    <w:div w:id="1293439282">
      <w:bodyDiv w:val="1"/>
      <w:marLeft w:val="0"/>
      <w:marRight w:val="0"/>
      <w:marTop w:val="0"/>
      <w:marBottom w:val="0"/>
      <w:divBdr>
        <w:top w:val="none" w:sz="0" w:space="0" w:color="auto"/>
        <w:left w:val="none" w:sz="0" w:space="0" w:color="auto"/>
        <w:bottom w:val="none" w:sz="0" w:space="0" w:color="auto"/>
        <w:right w:val="none" w:sz="0" w:space="0" w:color="auto"/>
      </w:divBdr>
    </w:div>
    <w:div w:id="16500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2.xlsx"/><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Excel_Worksheet6.xlsx"/><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Excel_Worksheet10.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1.xlsx"/><Relationship Id="rId24" Type="http://schemas.openxmlformats.org/officeDocument/2006/relationships/image" Target="media/image8.emf"/><Relationship Id="rId32" Type="http://schemas.openxmlformats.org/officeDocument/2006/relationships/image" Target="media/image12.emf"/><Relationship Id="rId5" Type="http://schemas.microsoft.com/office/2007/relationships/stylesWithEffects" Target="stylesWithEffect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9.xlsx"/><Relationship Id="rId30" Type="http://schemas.openxmlformats.org/officeDocument/2006/relationships/image" Target="media/image11.emf"/><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9CE887-28B6-4F39-AE92-FC74DBD1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1547</Words>
  <Characters>8512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CUENTA PÚBLICA</vt:lpstr>
    </vt:vector>
  </TitlesOfParts>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dc:title>
  <dc:creator>Usuario</dc:creator>
  <cp:lastModifiedBy>Sharon Y. Lara Medrano</cp:lastModifiedBy>
  <cp:revision>5</cp:revision>
  <cp:lastPrinted>2017-01-05T17:55:00Z</cp:lastPrinted>
  <dcterms:created xsi:type="dcterms:W3CDTF">2019-05-15T18:27:00Z</dcterms:created>
  <dcterms:modified xsi:type="dcterms:W3CDTF">2019-05-21T17:11:00Z</dcterms:modified>
</cp:coreProperties>
</file>