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5A" w:rsidRPr="00DD485D" w:rsidRDefault="00DD485D" w:rsidP="006F3019">
      <w:pPr>
        <w:spacing w:line="240" w:lineRule="auto"/>
        <w:jc w:val="center"/>
        <w:rPr>
          <w:rFonts w:ascii="Barlow" w:hAnsi="Barlow" w:cs="Arial"/>
          <w:b/>
          <w:sz w:val="20"/>
          <w:szCs w:val="20"/>
          <w:lang w:val="es-ES"/>
        </w:rPr>
      </w:pPr>
      <w:r w:rsidRPr="00DD485D">
        <w:rPr>
          <w:rFonts w:ascii="Barlow" w:hAnsi="Barlow" w:cs="Arial"/>
          <w:b/>
          <w:sz w:val="20"/>
          <w:szCs w:val="20"/>
          <w:lang w:val="es-ES"/>
        </w:rPr>
        <w:t>Cuenta Pública 2019</w:t>
      </w:r>
    </w:p>
    <w:p w:rsidR="006F355A" w:rsidRPr="00DD485D" w:rsidRDefault="006F355A" w:rsidP="006F3019">
      <w:pPr>
        <w:spacing w:line="240" w:lineRule="auto"/>
        <w:jc w:val="center"/>
        <w:rPr>
          <w:rFonts w:ascii="Barlow" w:hAnsi="Barlow" w:cs="Arial"/>
          <w:b/>
          <w:sz w:val="20"/>
          <w:szCs w:val="20"/>
          <w:lang w:val="es-ES"/>
        </w:rPr>
      </w:pPr>
      <w:r w:rsidRPr="00DD485D">
        <w:rPr>
          <w:rFonts w:ascii="Barlow" w:hAnsi="Barlow" w:cs="Arial"/>
          <w:b/>
          <w:sz w:val="20"/>
          <w:szCs w:val="20"/>
          <w:lang w:val="es-ES"/>
        </w:rPr>
        <w:t>Notas a los Estados Financieros</w:t>
      </w:r>
    </w:p>
    <w:p w:rsidR="006F355A" w:rsidRPr="00DD485D" w:rsidRDefault="00DD485D" w:rsidP="0098250A">
      <w:pPr>
        <w:spacing w:line="240" w:lineRule="auto"/>
        <w:jc w:val="center"/>
        <w:rPr>
          <w:rFonts w:ascii="Barlow" w:hAnsi="Barlow" w:cs="Arial"/>
          <w:b/>
          <w:sz w:val="20"/>
          <w:szCs w:val="20"/>
          <w:lang w:val="es-ES"/>
        </w:rPr>
      </w:pPr>
      <w:r w:rsidRPr="00DD485D">
        <w:rPr>
          <w:rFonts w:ascii="Barlow" w:hAnsi="Barlow" w:cs="Arial"/>
          <w:b/>
          <w:sz w:val="20"/>
          <w:szCs w:val="20"/>
          <w:lang w:val="es-ES"/>
        </w:rPr>
        <w:t>Al 31 de Marzo de 2019</w:t>
      </w:r>
    </w:p>
    <w:p w:rsidR="006F355A" w:rsidRPr="00DD485D" w:rsidRDefault="006F355A" w:rsidP="006F3019">
      <w:pPr>
        <w:spacing w:line="240" w:lineRule="auto"/>
        <w:jc w:val="center"/>
        <w:rPr>
          <w:rFonts w:ascii="Barlow" w:hAnsi="Barlow" w:cs="Arial"/>
          <w:b/>
          <w:sz w:val="20"/>
          <w:szCs w:val="20"/>
          <w:lang w:val="es-ES"/>
        </w:rPr>
      </w:pPr>
      <w:r w:rsidRPr="00DD485D">
        <w:rPr>
          <w:rFonts w:ascii="Barlow" w:hAnsi="Barlow" w:cs="Arial"/>
          <w:b/>
          <w:sz w:val="20"/>
          <w:szCs w:val="20"/>
          <w:lang w:val="es-ES"/>
        </w:rPr>
        <w:t>(Pesos)</w:t>
      </w:r>
    </w:p>
    <w:p w:rsidR="006F355A" w:rsidRPr="00DD485D" w:rsidRDefault="006F355A" w:rsidP="006F3019">
      <w:pPr>
        <w:spacing w:line="240" w:lineRule="auto"/>
        <w:jc w:val="center"/>
        <w:rPr>
          <w:rFonts w:ascii="Barlow" w:hAnsi="Barlow" w:cs="Arial"/>
          <w:b/>
          <w:sz w:val="20"/>
          <w:szCs w:val="20"/>
          <w:lang w:val="es-ES"/>
        </w:rPr>
      </w:pPr>
    </w:p>
    <w:p w:rsidR="006F355A" w:rsidRPr="00DD485D" w:rsidRDefault="006F355A" w:rsidP="006F3019">
      <w:pPr>
        <w:spacing w:line="240" w:lineRule="auto"/>
        <w:rPr>
          <w:rFonts w:ascii="Barlow" w:hAnsi="Barlow" w:cs="Arial"/>
          <w:b/>
          <w:sz w:val="20"/>
          <w:szCs w:val="20"/>
        </w:rPr>
      </w:pPr>
      <w:r w:rsidRPr="00DD485D">
        <w:rPr>
          <w:rFonts w:ascii="Barlow" w:hAnsi="Barlow" w:cs="Arial"/>
          <w:b/>
          <w:sz w:val="20"/>
          <w:szCs w:val="20"/>
        </w:rPr>
        <w:t>Ente Público</w:t>
      </w:r>
      <w:r w:rsidR="006D037C" w:rsidRPr="00DD485D">
        <w:rPr>
          <w:rFonts w:ascii="Barlow" w:hAnsi="Barlow" w:cs="Arial"/>
          <w:b/>
          <w:sz w:val="20"/>
          <w:szCs w:val="20"/>
        </w:rPr>
        <w:t>: INSTITUTO</w:t>
      </w:r>
      <w:r w:rsidRPr="00DD485D">
        <w:rPr>
          <w:rFonts w:ascii="Barlow" w:hAnsi="Barlow" w:cs="Arial"/>
          <w:b/>
          <w:sz w:val="20"/>
          <w:szCs w:val="20"/>
        </w:rPr>
        <w:t xml:space="preserve"> TECNOLÓGICO SUPERIOR DE VALLADOLID          </w:t>
      </w:r>
      <w:r w:rsidR="00403D41" w:rsidRPr="00DD485D">
        <w:rPr>
          <w:rFonts w:ascii="Barlow" w:hAnsi="Barlow" w:cs="Arial"/>
          <w:b/>
          <w:sz w:val="20"/>
          <w:szCs w:val="20"/>
        </w:rPr>
        <w:tab/>
      </w:r>
    </w:p>
    <w:p w:rsidR="00DD485D" w:rsidRPr="00DD485D" w:rsidRDefault="00DD485D" w:rsidP="00DD485D">
      <w:pPr>
        <w:pStyle w:val="Prrafodelista"/>
        <w:numPr>
          <w:ilvl w:val="0"/>
          <w:numId w:val="18"/>
        </w:numPr>
        <w:spacing w:after="0" w:line="240" w:lineRule="auto"/>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Notas al Estado de situación Financiera</w:t>
      </w:r>
    </w:p>
    <w:p w:rsidR="00DD485D" w:rsidRPr="00DD485D" w:rsidRDefault="00DD485D" w:rsidP="00DD485D">
      <w:pPr>
        <w:spacing w:after="0" w:line="240" w:lineRule="auto"/>
        <w:ind w:left="360"/>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Activo</w:t>
      </w:r>
      <w:r w:rsidRPr="00DD485D">
        <w:rPr>
          <w:rFonts w:ascii="Barlow" w:eastAsia="Times New Roman" w:hAnsi="Barlow" w:cs="Arial"/>
          <w:b/>
          <w:sz w:val="20"/>
          <w:szCs w:val="20"/>
          <w:lang w:val="es-ES" w:eastAsia="es-ES"/>
        </w:rPr>
        <w:tab/>
      </w:r>
    </w:p>
    <w:p w:rsidR="00DD485D" w:rsidRPr="00DD485D" w:rsidRDefault="00DD485D" w:rsidP="00DD485D">
      <w:pPr>
        <w:spacing w:before="240" w:after="60" w:line="240" w:lineRule="auto"/>
        <w:ind w:firstLine="360"/>
        <w:jc w:val="both"/>
        <w:outlineLvl w:val="4"/>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 xml:space="preserve">Efectivo y Equivalentes </w:t>
      </w: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El rubro de efectivo y equivalentes refleja los siguientes saldos para cada tipo de recursos con los que cuenta la institución: </w:t>
      </w:r>
    </w:p>
    <w:p w:rsidR="00DD485D" w:rsidRPr="00DD485D" w:rsidRDefault="00DD485D" w:rsidP="00DD485D">
      <w:pPr>
        <w:spacing w:after="0" w:line="240" w:lineRule="auto"/>
        <w:jc w:val="both"/>
        <w:rPr>
          <w:rFonts w:ascii="Barlow" w:eastAsia="Times New Roman" w:hAnsi="Barlow" w:cs="Arial"/>
          <w:sz w:val="20"/>
          <w:szCs w:val="20"/>
          <w:lang w:val="es-ES" w:eastAsia="es-ES"/>
        </w:rPr>
      </w:pPr>
    </w:p>
    <w:tbl>
      <w:tblPr>
        <w:tblW w:w="0" w:type="auto"/>
        <w:jc w:val="center"/>
        <w:tblLook w:val="01E0" w:firstRow="1" w:lastRow="1" w:firstColumn="1" w:lastColumn="1" w:noHBand="0" w:noVBand="0"/>
      </w:tblPr>
      <w:tblGrid>
        <w:gridCol w:w="2840"/>
        <w:gridCol w:w="1752"/>
        <w:gridCol w:w="2037"/>
        <w:gridCol w:w="2035"/>
        <w:gridCol w:w="1977"/>
      </w:tblGrid>
      <w:tr w:rsidR="00DD485D" w:rsidRPr="00DD485D" w:rsidTr="00DD485D">
        <w:trPr>
          <w:jc w:val="center"/>
        </w:trPr>
        <w:tc>
          <w:tcPr>
            <w:tcW w:w="2840" w:type="dxa"/>
            <w:tcBorders>
              <w:top w:val="single" w:sz="4" w:space="0" w:color="auto"/>
              <w:left w:val="single" w:sz="4" w:space="0" w:color="auto"/>
              <w:bottom w:val="single" w:sz="4" w:space="0" w:color="auto"/>
              <w:right w:val="single" w:sz="4" w:space="0" w:color="auto"/>
            </w:tcBorders>
          </w:tcPr>
          <w:p w:rsidR="00DD485D" w:rsidRPr="00DD485D" w:rsidRDefault="00DD485D">
            <w:pPr>
              <w:spacing w:after="0" w:line="240" w:lineRule="auto"/>
              <w:jc w:val="both"/>
              <w:rPr>
                <w:rFonts w:ascii="Barlow" w:eastAsia="Times New Roman" w:hAnsi="Barlow" w:cs="Arial"/>
                <w:sz w:val="20"/>
                <w:szCs w:val="20"/>
                <w:lang w:val="es-ES" w:eastAsia="es-ES"/>
              </w:rPr>
            </w:pPr>
          </w:p>
        </w:tc>
        <w:tc>
          <w:tcPr>
            <w:tcW w:w="1752"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Recurso Estatal</w:t>
            </w:r>
          </w:p>
        </w:tc>
        <w:tc>
          <w:tcPr>
            <w:tcW w:w="203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Recurso Federal</w:t>
            </w:r>
          </w:p>
        </w:tc>
        <w:tc>
          <w:tcPr>
            <w:tcW w:w="203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Recursos Propios</w:t>
            </w:r>
          </w:p>
        </w:tc>
        <w:tc>
          <w:tcPr>
            <w:tcW w:w="197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Suma</w:t>
            </w:r>
          </w:p>
        </w:tc>
      </w:tr>
      <w:tr w:rsidR="00DD485D" w:rsidRPr="00DD485D" w:rsidTr="00DD485D">
        <w:trPr>
          <w:jc w:val="center"/>
        </w:trPr>
        <w:tc>
          <w:tcPr>
            <w:tcW w:w="2840"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Efectivo</w:t>
            </w:r>
          </w:p>
        </w:tc>
        <w:tc>
          <w:tcPr>
            <w:tcW w:w="1752" w:type="dxa"/>
            <w:tcBorders>
              <w:top w:val="single" w:sz="4" w:space="0" w:color="auto"/>
              <w:left w:val="single" w:sz="4" w:space="0" w:color="auto"/>
              <w:bottom w:val="single" w:sz="4" w:space="0" w:color="auto"/>
              <w:right w:val="single" w:sz="4" w:space="0" w:color="auto"/>
            </w:tcBorders>
          </w:tcPr>
          <w:p w:rsidR="00DD485D" w:rsidRPr="00DD485D" w:rsidRDefault="00DD485D">
            <w:pPr>
              <w:spacing w:after="0" w:line="240" w:lineRule="auto"/>
              <w:rPr>
                <w:rFonts w:ascii="Barlow" w:eastAsia="Times New Roman" w:hAnsi="Barlow" w:cs="Arial"/>
                <w:sz w:val="20"/>
                <w:szCs w:val="20"/>
                <w:highlight w:val="yellow"/>
                <w:lang w:val="es-ES" w:eastAsia="es-ES"/>
              </w:rPr>
            </w:pPr>
          </w:p>
        </w:tc>
        <w:tc>
          <w:tcPr>
            <w:tcW w:w="2037" w:type="dxa"/>
            <w:tcBorders>
              <w:top w:val="single" w:sz="4" w:space="0" w:color="auto"/>
              <w:left w:val="single" w:sz="4" w:space="0" w:color="auto"/>
              <w:bottom w:val="single" w:sz="4" w:space="0" w:color="auto"/>
              <w:right w:val="single" w:sz="4" w:space="0" w:color="auto"/>
            </w:tcBorders>
          </w:tcPr>
          <w:p w:rsidR="00DD485D" w:rsidRPr="00DD485D" w:rsidRDefault="00DD485D">
            <w:pPr>
              <w:spacing w:after="0" w:line="240" w:lineRule="auto"/>
              <w:jc w:val="center"/>
              <w:rPr>
                <w:rFonts w:ascii="Barlow" w:eastAsia="Times New Roman" w:hAnsi="Barlow" w:cs="Arial"/>
                <w:sz w:val="20"/>
                <w:szCs w:val="20"/>
                <w:highlight w:val="yellow"/>
                <w:lang w:val="es-ES" w:eastAsia="es-ES"/>
              </w:rPr>
            </w:pPr>
          </w:p>
        </w:tc>
        <w:tc>
          <w:tcPr>
            <w:tcW w:w="203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15,507.11</w:t>
            </w:r>
          </w:p>
        </w:tc>
        <w:tc>
          <w:tcPr>
            <w:tcW w:w="197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15,507.11</w:t>
            </w:r>
          </w:p>
        </w:tc>
      </w:tr>
      <w:tr w:rsidR="00DD485D" w:rsidRPr="00DD485D" w:rsidTr="00DD485D">
        <w:trPr>
          <w:jc w:val="center"/>
        </w:trPr>
        <w:tc>
          <w:tcPr>
            <w:tcW w:w="2840"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Bancos</w:t>
            </w:r>
          </w:p>
        </w:tc>
        <w:tc>
          <w:tcPr>
            <w:tcW w:w="1752"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lang w:val="es-ES"/>
              </w:rPr>
              <w:t>2,168,390.64</w:t>
            </w:r>
          </w:p>
        </w:tc>
        <w:tc>
          <w:tcPr>
            <w:tcW w:w="203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lang w:val="es-ES"/>
              </w:rPr>
              <w:t>3,298,206.97</w:t>
            </w:r>
          </w:p>
        </w:tc>
        <w:tc>
          <w:tcPr>
            <w:tcW w:w="203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lang w:val="es-ES"/>
              </w:rPr>
              <w:t>1,901,812.48</w:t>
            </w:r>
          </w:p>
        </w:tc>
        <w:tc>
          <w:tcPr>
            <w:tcW w:w="197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7,368,410.09</w:t>
            </w:r>
          </w:p>
        </w:tc>
      </w:tr>
      <w:tr w:rsidR="00DD485D" w:rsidRPr="00DD485D" w:rsidTr="00DD485D">
        <w:trPr>
          <w:jc w:val="center"/>
        </w:trPr>
        <w:tc>
          <w:tcPr>
            <w:tcW w:w="2840"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Inversiones Temporales</w:t>
            </w:r>
          </w:p>
        </w:tc>
        <w:tc>
          <w:tcPr>
            <w:tcW w:w="1752"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lang w:val="es-ES"/>
              </w:rPr>
              <w:t>593,433.71</w:t>
            </w:r>
          </w:p>
        </w:tc>
        <w:tc>
          <w:tcPr>
            <w:tcW w:w="203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lang w:val="es-ES"/>
              </w:rPr>
              <w:t>3,314,327.78</w:t>
            </w:r>
          </w:p>
        </w:tc>
        <w:tc>
          <w:tcPr>
            <w:tcW w:w="203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lang w:val="es-ES"/>
              </w:rPr>
              <w:t>2,012,173.49</w:t>
            </w:r>
          </w:p>
        </w:tc>
        <w:tc>
          <w:tcPr>
            <w:tcW w:w="197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18"/>
                <w:szCs w:val="20"/>
                <w:lang w:val="es-ES" w:eastAsia="es-ES"/>
              </w:rPr>
            </w:pPr>
            <w:r w:rsidRPr="00DD485D">
              <w:rPr>
                <w:rFonts w:ascii="Barlow" w:eastAsia="Times New Roman" w:hAnsi="Barlow" w:cs="Arial"/>
                <w:sz w:val="18"/>
                <w:szCs w:val="20"/>
                <w:lang w:val="es-ES" w:eastAsia="es-ES"/>
              </w:rPr>
              <w:t>5,919,934.98</w:t>
            </w:r>
          </w:p>
        </w:tc>
      </w:tr>
      <w:tr w:rsidR="00DD485D" w:rsidRPr="00DD485D" w:rsidTr="00DD485D">
        <w:trPr>
          <w:jc w:val="center"/>
        </w:trPr>
        <w:tc>
          <w:tcPr>
            <w:tcW w:w="2840"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Total</w:t>
            </w:r>
          </w:p>
        </w:tc>
        <w:tc>
          <w:tcPr>
            <w:tcW w:w="1752"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2,553,889.35</w:t>
            </w:r>
          </w:p>
        </w:tc>
        <w:tc>
          <w:tcPr>
            <w:tcW w:w="203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6,612,534.75</w:t>
            </w:r>
          </w:p>
        </w:tc>
        <w:tc>
          <w:tcPr>
            <w:tcW w:w="203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3,929,493.08</w:t>
            </w:r>
          </w:p>
        </w:tc>
        <w:tc>
          <w:tcPr>
            <w:tcW w:w="1977"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13,303,852.18</w:t>
            </w:r>
          </w:p>
        </w:tc>
      </w:tr>
      <w:tr w:rsidR="00DD485D" w:rsidRPr="00DD485D" w:rsidTr="00DD485D">
        <w:trPr>
          <w:jc w:val="center"/>
        </w:trPr>
        <w:tc>
          <w:tcPr>
            <w:tcW w:w="2840" w:type="dxa"/>
            <w:tcBorders>
              <w:top w:val="single" w:sz="4" w:space="0" w:color="auto"/>
              <w:left w:val="nil"/>
              <w:bottom w:val="nil"/>
              <w:right w:val="nil"/>
            </w:tcBorders>
          </w:tcPr>
          <w:p w:rsidR="00DD485D" w:rsidRPr="00DD485D" w:rsidRDefault="00DD485D">
            <w:pPr>
              <w:spacing w:after="0" w:line="240" w:lineRule="auto"/>
              <w:jc w:val="both"/>
              <w:rPr>
                <w:rFonts w:ascii="Barlow" w:eastAsia="Times New Roman" w:hAnsi="Barlow" w:cs="Arial"/>
                <w:sz w:val="20"/>
                <w:szCs w:val="20"/>
                <w:lang w:val="es-ES" w:eastAsia="es-ES"/>
              </w:rPr>
            </w:pPr>
          </w:p>
        </w:tc>
        <w:tc>
          <w:tcPr>
            <w:tcW w:w="1752" w:type="dxa"/>
            <w:tcBorders>
              <w:top w:val="single" w:sz="4" w:space="0" w:color="auto"/>
              <w:left w:val="nil"/>
              <w:bottom w:val="nil"/>
              <w:right w:val="nil"/>
            </w:tcBorders>
          </w:tcPr>
          <w:p w:rsidR="00DD485D" w:rsidRPr="00DD485D" w:rsidRDefault="00DD485D">
            <w:pPr>
              <w:spacing w:after="0" w:line="240" w:lineRule="auto"/>
              <w:jc w:val="right"/>
              <w:rPr>
                <w:rFonts w:ascii="Barlow" w:eastAsia="Times New Roman" w:hAnsi="Barlow" w:cs="Arial"/>
                <w:sz w:val="20"/>
                <w:szCs w:val="20"/>
                <w:lang w:val="es-ES" w:eastAsia="es-ES"/>
              </w:rPr>
            </w:pPr>
          </w:p>
        </w:tc>
        <w:tc>
          <w:tcPr>
            <w:tcW w:w="2037" w:type="dxa"/>
            <w:tcBorders>
              <w:top w:val="single" w:sz="4" w:space="0" w:color="auto"/>
              <w:left w:val="nil"/>
              <w:bottom w:val="nil"/>
              <w:right w:val="nil"/>
            </w:tcBorders>
          </w:tcPr>
          <w:p w:rsidR="00DD485D" w:rsidRPr="00DD485D" w:rsidRDefault="00DD485D">
            <w:pPr>
              <w:spacing w:after="0" w:line="240" w:lineRule="auto"/>
              <w:jc w:val="right"/>
              <w:rPr>
                <w:rFonts w:ascii="Barlow" w:eastAsia="Times New Roman" w:hAnsi="Barlow" w:cs="Arial"/>
                <w:sz w:val="20"/>
                <w:szCs w:val="20"/>
                <w:lang w:val="es-ES" w:eastAsia="es-ES"/>
              </w:rPr>
            </w:pPr>
          </w:p>
        </w:tc>
        <w:tc>
          <w:tcPr>
            <w:tcW w:w="2035" w:type="dxa"/>
            <w:tcBorders>
              <w:top w:val="single" w:sz="4" w:space="0" w:color="auto"/>
              <w:left w:val="nil"/>
              <w:bottom w:val="nil"/>
              <w:right w:val="nil"/>
            </w:tcBorders>
          </w:tcPr>
          <w:p w:rsidR="00DD485D" w:rsidRPr="00DD485D" w:rsidRDefault="00DD485D">
            <w:pPr>
              <w:spacing w:after="0" w:line="240" w:lineRule="auto"/>
              <w:jc w:val="right"/>
              <w:rPr>
                <w:rFonts w:ascii="Barlow" w:eastAsia="Times New Roman" w:hAnsi="Barlow" w:cs="Arial"/>
                <w:sz w:val="20"/>
                <w:szCs w:val="20"/>
                <w:lang w:val="es-ES" w:eastAsia="es-ES"/>
              </w:rPr>
            </w:pPr>
          </w:p>
        </w:tc>
        <w:tc>
          <w:tcPr>
            <w:tcW w:w="1977" w:type="dxa"/>
            <w:tcBorders>
              <w:top w:val="single" w:sz="4" w:space="0" w:color="auto"/>
              <w:left w:val="nil"/>
              <w:bottom w:val="nil"/>
              <w:right w:val="nil"/>
            </w:tcBorders>
          </w:tcPr>
          <w:p w:rsidR="00DD485D" w:rsidRPr="00DD485D" w:rsidRDefault="00DD485D">
            <w:pPr>
              <w:spacing w:after="0" w:line="240" w:lineRule="auto"/>
              <w:jc w:val="right"/>
              <w:rPr>
                <w:rFonts w:ascii="Barlow" w:eastAsia="Times New Roman" w:hAnsi="Barlow" w:cs="Arial"/>
                <w:sz w:val="20"/>
                <w:szCs w:val="20"/>
                <w:lang w:val="es-ES" w:eastAsia="es-ES"/>
              </w:rPr>
            </w:pPr>
          </w:p>
        </w:tc>
      </w:tr>
    </w:tbl>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Instituto Tecnológico Superior de Valladolid optó por invertir sus recursos en Fondos de Inversión en Operadora GBM, S.A. de C.V., Sociedad Operadora de Sociedades de Inversión.</w:t>
      </w: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Los fondos del Instituto son de renta fija (deuda) y no de renta variable, ya que los de renta fija son más seguros; otra característica que da mayor seguridad a la inversión es que dichos fondos son 100% gubernamentales y fueron creados para personas morales no contribuyentes entre ellas las descentralizadas. Los Fondos de Inversión es un mecanismo de ahorro que aporta más rendimientos que una cuenta simple de ahorro. La disponibilidad de las inversiones es a siete días, esto es, para garantizar la liquidez que tiene el Instituto, es decir, la capacidad que tiene de pagar en el corto plazo lo que debe. </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Las características de los fondos del Instituto son las siguientes:</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lastRenderedPageBreak/>
        <w:t>Fondo:</w:t>
      </w:r>
      <w:r w:rsidRPr="00DD485D">
        <w:rPr>
          <w:rFonts w:ascii="Barlow" w:eastAsia="Times New Roman" w:hAnsi="Barlow" w:cs="Arial"/>
          <w:sz w:val="20"/>
          <w:szCs w:val="20"/>
          <w:lang w:val="es-ES" w:eastAsia="es-ES"/>
        </w:rPr>
        <w:t xml:space="preserve"> GBMGUB BE</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Operadora del Fondo:</w:t>
      </w:r>
      <w:r w:rsidRPr="00DD485D">
        <w:rPr>
          <w:rFonts w:ascii="Barlow" w:eastAsia="Times New Roman" w:hAnsi="Barlow" w:cs="Arial"/>
          <w:sz w:val="20"/>
          <w:szCs w:val="20"/>
          <w:lang w:val="es-ES" w:eastAsia="es-ES"/>
        </w:rPr>
        <w:t xml:space="preserve"> Operadora GBM</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Clasificación:</w:t>
      </w:r>
      <w:r w:rsidRPr="00DD485D">
        <w:rPr>
          <w:rFonts w:ascii="Barlow" w:eastAsia="Times New Roman" w:hAnsi="Barlow" w:cs="Arial"/>
          <w:sz w:val="20"/>
          <w:szCs w:val="20"/>
          <w:lang w:val="es-ES" w:eastAsia="es-ES"/>
        </w:rPr>
        <w:t xml:space="preserve"> 100% gubernamental</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Disponibilidad:</w:t>
      </w:r>
      <w:r w:rsidRPr="00DD485D">
        <w:rPr>
          <w:rFonts w:ascii="Barlow" w:eastAsia="Times New Roman" w:hAnsi="Barlow" w:cs="Arial"/>
          <w:sz w:val="20"/>
          <w:szCs w:val="20"/>
          <w:lang w:val="es-ES" w:eastAsia="es-ES"/>
        </w:rPr>
        <w:t xml:space="preserve"> semanal</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Calificación crediticia:</w:t>
      </w:r>
      <w:r w:rsidRPr="00DD485D">
        <w:rPr>
          <w:rFonts w:ascii="Barlow" w:eastAsia="Times New Roman" w:hAnsi="Barlow" w:cs="Arial"/>
          <w:sz w:val="20"/>
          <w:szCs w:val="20"/>
          <w:lang w:val="es-ES" w:eastAsia="es-ES"/>
        </w:rPr>
        <w:t xml:space="preserve"> AAA (sobresaliente)</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Calificación riesgo de mercado:</w:t>
      </w:r>
      <w:r w:rsidRPr="00DD485D">
        <w:rPr>
          <w:rFonts w:ascii="Barlow" w:eastAsia="Times New Roman" w:hAnsi="Barlow" w:cs="Arial"/>
          <w:sz w:val="20"/>
          <w:szCs w:val="20"/>
          <w:lang w:val="es-ES" w:eastAsia="es-ES"/>
        </w:rPr>
        <w:t xml:space="preserve"> 3</w:t>
      </w:r>
    </w:p>
    <w:p w:rsidR="00DD485D" w:rsidRPr="00DD485D" w:rsidRDefault="00DD485D" w:rsidP="00DD485D">
      <w:pPr>
        <w:spacing w:after="0" w:line="240" w:lineRule="auto"/>
        <w:ind w:left="709"/>
        <w:jc w:val="both"/>
        <w:rPr>
          <w:rFonts w:ascii="Barlow" w:eastAsia="Times New Roman" w:hAnsi="Barlow" w:cs="Arial"/>
          <w:sz w:val="20"/>
          <w:szCs w:val="20"/>
          <w:lang w:val="es-ES" w:eastAsia="es-ES"/>
        </w:rPr>
      </w:pPr>
    </w:p>
    <w:p w:rsidR="00DD485D" w:rsidRPr="00DD485D" w:rsidRDefault="00DD485D" w:rsidP="00DD485D">
      <w:pPr>
        <w:spacing w:before="240" w:after="60" w:line="240" w:lineRule="auto"/>
        <w:ind w:firstLine="708"/>
        <w:jc w:val="both"/>
        <w:outlineLvl w:val="4"/>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Derechos a recibir Efectivo o Equivalentes</w:t>
      </w: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Representa los derechos a favor del Instituto por gastos sujetos a comprobación, por traspasos realizados entre fuentes de financiamiento para el pago a proveedores, este apartado se integra de la siguiente manera:</w:t>
      </w:r>
    </w:p>
    <w:p w:rsidR="00DD485D" w:rsidRPr="00DD485D" w:rsidRDefault="00DD485D" w:rsidP="00DD485D">
      <w:pPr>
        <w:spacing w:after="0" w:line="240" w:lineRule="auto"/>
        <w:ind w:firstLine="708"/>
        <w:jc w:val="both"/>
        <w:rPr>
          <w:rFonts w:ascii="Barlow" w:eastAsia="Times New Roman" w:hAnsi="Barlow" w:cs="Tahoma"/>
          <w:color w:val="000000"/>
          <w:sz w:val="20"/>
          <w:szCs w:val="20"/>
          <w:lang w:val="es-ES" w:eastAsia="es-ES"/>
        </w:rPr>
      </w:pPr>
    </w:p>
    <w:tbl>
      <w:tblPr>
        <w:tblW w:w="0" w:type="auto"/>
        <w:jc w:val="center"/>
        <w:tblLook w:val="01E0" w:firstRow="1" w:lastRow="1" w:firstColumn="1" w:lastColumn="1" w:noHBand="0" w:noVBand="0"/>
      </w:tblPr>
      <w:tblGrid>
        <w:gridCol w:w="2943"/>
        <w:gridCol w:w="1701"/>
        <w:gridCol w:w="1985"/>
        <w:gridCol w:w="1984"/>
        <w:gridCol w:w="1985"/>
      </w:tblGrid>
      <w:tr w:rsidR="00DD485D" w:rsidRPr="00DD485D" w:rsidTr="00DD485D">
        <w:trPr>
          <w:jc w:val="center"/>
        </w:trPr>
        <w:tc>
          <w:tcPr>
            <w:tcW w:w="2943" w:type="dxa"/>
            <w:tcBorders>
              <w:top w:val="single" w:sz="4" w:space="0" w:color="auto"/>
              <w:left w:val="single" w:sz="4" w:space="0" w:color="auto"/>
              <w:bottom w:val="single" w:sz="4" w:space="0" w:color="auto"/>
              <w:right w:val="single" w:sz="4" w:space="0" w:color="auto"/>
            </w:tcBorders>
          </w:tcPr>
          <w:p w:rsidR="00DD485D" w:rsidRPr="00DD485D" w:rsidRDefault="00DD485D">
            <w:pPr>
              <w:spacing w:after="0" w:line="240" w:lineRule="auto"/>
              <w:jc w:val="both"/>
              <w:rPr>
                <w:rFonts w:ascii="Barlow" w:eastAsia="Times New Roman" w:hAnsi="Barlow" w:cs="Tahoma"/>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Recurso Estatal</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Recurso Federal</w:t>
            </w:r>
          </w:p>
        </w:tc>
        <w:tc>
          <w:tcPr>
            <w:tcW w:w="1984"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Recursos Propios</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Suma</w:t>
            </w:r>
          </w:p>
        </w:tc>
      </w:tr>
      <w:tr w:rsidR="00DD485D" w:rsidRPr="00DD485D" w:rsidTr="00DD485D">
        <w:trPr>
          <w:jc w:val="center"/>
        </w:trPr>
        <w:tc>
          <w:tcPr>
            <w:tcW w:w="2943"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Deudores diversos</w:t>
            </w:r>
          </w:p>
        </w:tc>
        <w:tc>
          <w:tcPr>
            <w:tcW w:w="1701"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sz w:val="20"/>
                <w:szCs w:val="20"/>
                <w:lang w:val="es-ES"/>
              </w:rPr>
              <w:t>3,491,253.62</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sz w:val="20"/>
                <w:szCs w:val="20"/>
                <w:lang w:val="es-ES"/>
              </w:rPr>
              <w:t>7,807,702.66</w:t>
            </w:r>
          </w:p>
        </w:tc>
        <w:tc>
          <w:tcPr>
            <w:tcW w:w="1984"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sz w:val="20"/>
                <w:szCs w:val="20"/>
                <w:lang w:val="es-ES"/>
              </w:rPr>
              <w:t>3,561,757.48</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hAnsi="Barlow"/>
                <w:sz w:val="20"/>
                <w:szCs w:val="20"/>
                <w:lang w:val="es-ES"/>
              </w:rPr>
              <w:t>14,860,713.76</w:t>
            </w:r>
          </w:p>
        </w:tc>
      </w:tr>
      <w:tr w:rsidR="00DD485D" w:rsidRPr="00DD485D" w:rsidTr="00DD485D">
        <w:trPr>
          <w:jc w:val="center"/>
        </w:trPr>
        <w:tc>
          <w:tcPr>
            <w:tcW w:w="2943"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Deudores por anticipos a la Tesorería</w:t>
            </w:r>
          </w:p>
        </w:tc>
        <w:tc>
          <w:tcPr>
            <w:tcW w:w="1701"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0.00</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10,000.00</w:t>
            </w:r>
          </w:p>
        </w:tc>
        <w:tc>
          <w:tcPr>
            <w:tcW w:w="1984"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30,000.00</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40,000.00</w:t>
            </w:r>
          </w:p>
        </w:tc>
      </w:tr>
      <w:tr w:rsidR="00DD485D" w:rsidRPr="00DD485D" w:rsidTr="00DD485D">
        <w:trPr>
          <w:jc w:val="center"/>
        </w:trPr>
        <w:tc>
          <w:tcPr>
            <w:tcW w:w="2943"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Cuentas por cobrar por venta de bienes y prestación de servicios</w:t>
            </w:r>
          </w:p>
        </w:tc>
        <w:tc>
          <w:tcPr>
            <w:tcW w:w="1701"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hAnsi="Barlow"/>
                <w:sz w:val="20"/>
                <w:szCs w:val="20"/>
                <w:lang w:val="es-ES"/>
              </w:rPr>
            </w:pPr>
            <w:r w:rsidRPr="00DD485D">
              <w:rPr>
                <w:rFonts w:ascii="Barlow" w:hAnsi="Barlow"/>
                <w:sz w:val="20"/>
                <w:szCs w:val="20"/>
                <w:lang w:val="es-ES"/>
              </w:rPr>
              <w:t>210,000.00</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270,000.00</w:t>
            </w:r>
          </w:p>
        </w:tc>
        <w:tc>
          <w:tcPr>
            <w:tcW w:w="1984" w:type="dxa"/>
            <w:tcBorders>
              <w:top w:val="single" w:sz="4" w:space="0" w:color="auto"/>
              <w:left w:val="single" w:sz="4" w:space="0" w:color="auto"/>
              <w:bottom w:val="single" w:sz="4" w:space="0" w:color="auto"/>
              <w:right w:val="single" w:sz="4" w:space="0" w:color="auto"/>
            </w:tcBorders>
          </w:tcPr>
          <w:p w:rsidR="00DD485D" w:rsidRPr="00DD485D" w:rsidRDefault="00DD485D">
            <w:pPr>
              <w:spacing w:after="0" w:line="240" w:lineRule="auto"/>
              <w:jc w:val="right"/>
              <w:rPr>
                <w:rFonts w:ascii="Barlow" w:eastAsia="Times New Roman" w:hAnsi="Barlow" w:cs="Arial"/>
                <w:sz w:val="20"/>
                <w:szCs w:val="20"/>
                <w:lang w:val="es-ES" w:eastAsia="es-ES"/>
              </w:rPr>
            </w:pPr>
          </w:p>
        </w:tc>
        <w:tc>
          <w:tcPr>
            <w:tcW w:w="1985" w:type="dxa"/>
            <w:tcBorders>
              <w:top w:val="single" w:sz="4" w:space="0" w:color="auto"/>
              <w:left w:val="single" w:sz="4" w:space="0" w:color="auto"/>
              <w:bottom w:val="single" w:sz="4" w:space="0" w:color="auto"/>
              <w:right w:val="single" w:sz="4" w:space="0" w:color="auto"/>
            </w:tcBorders>
          </w:tcPr>
          <w:p w:rsidR="00DD485D" w:rsidRPr="00DD485D" w:rsidRDefault="00DD485D">
            <w:pPr>
              <w:spacing w:after="0" w:line="240" w:lineRule="auto"/>
              <w:jc w:val="right"/>
              <w:rPr>
                <w:rFonts w:ascii="Barlow" w:hAnsi="Barlow"/>
                <w:sz w:val="20"/>
                <w:szCs w:val="20"/>
                <w:lang w:val="es-ES"/>
              </w:rPr>
            </w:pPr>
            <w:r w:rsidRPr="00DD485D">
              <w:rPr>
                <w:rFonts w:ascii="Barlow" w:hAnsi="Barlow"/>
                <w:sz w:val="20"/>
                <w:szCs w:val="20"/>
                <w:lang w:val="es-ES"/>
              </w:rPr>
              <w:t>480,000.00</w:t>
            </w:r>
          </w:p>
          <w:p w:rsidR="00DD485D" w:rsidRPr="00DD485D" w:rsidRDefault="00DD485D">
            <w:pPr>
              <w:spacing w:after="0" w:line="240" w:lineRule="auto"/>
              <w:jc w:val="center"/>
              <w:rPr>
                <w:rFonts w:ascii="Barlow" w:hAnsi="Barlow"/>
                <w:sz w:val="20"/>
                <w:szCs w:val="20"/>
                <w:lang w:val="es-ES"/>
              </w:rPr>
            </w:pPr>
          </w:p>
        </w:tc>
      </w:tr>
      <w:tr w:rsidR="00DD485D" w:rsidRPr="00DD485D" w:rsidTr="00DD485D">
        <w:trPr>
          <w:trHeight w:val="200"/>
          <w:jc w:val="center"/>
        </w:trPr>
        <w:tc>
          <w:tcPr>
            <w:tcW w:w="2943"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center"/>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Total</w:t>
            </w:r>
          </w:p>
        </w:tc>
        <w:tc>
          <w:tcPr>
            <w:tcW w:w="1701"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3,701,253.62</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8,087,702.66</w:t>
            </w:r>
          </w:p>
        </w:tc>
        <w:tc>
          <w:tcPr>
            <w:tcW w:w="1984"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3,591,757.48</w:t>
            </w:r>
          </w:p>
        </w:tc>
        <w:tc>
          <w:tcPr>
            <w:tcW w:w="1985" w:type="dxa"/>
            <w:tcBorders>
              <w:top w:val="single" w:sz="4" w:space="0" w:color="auto"/>
              <w:left w:val="single" w:sz="4" w:space="0" w:color="auto"/>
              <w:bottom w:val="single" w:sz="4" w:space="0" w:color="auto"/>
              <w:right w:val="single" w:sz="4" w:space="0" w:color="auto"/>
            </w:tcBorders>
            <w:hideMark/>
          </w:tcPr>
          <w:p w:rsidR="00DD485D" w:rsidRPr="00DD485D" w:rsidRDefault="00DD485D">
            <w:pPr>
              <w:spacing w:after="0" w:line="240" w:lineRule="auto"/>
              <w:jc w:val="right"/>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15,380,713.76</w:t>
            </w:r>
          </w:p>
        </w:tc>
      </w:tr>
      <w:tr w:rsidR="00DD485D" w:rsidRPr="00DD485D" w:rsidTr="00DD485D">
        <w:trPr>
          <w:jc w:val="center"/>
        </w:trPr>
        <w:tc>
          <w:tcPr>
            <w:tcW w:w="2943" w:type="dxa"/>
            <w:tcBorders>
              <w:top w:val="single" w:sz="4" w:space="0" w:color="auto"/>
              <w:left w:val="nil"/>
              <w:bottom w:val="nil"/>
              <w:right w:val="nil"/>
            </w:tcBorders>
          </w:tcPr>
          <w:p w:rsidR="00DD485D" w:rsidRPr="00DD485D" w:rsidRDefault="00DD485D">
            <w:pPr>
              <w:spacing w:after="0" w:line="240" w:lineRule="auto"/>
              <w:jc w:val="both"/>
              <w:rPr>
                <w:rFonts w:ascii="Barlow" w:eastAsia="Times New Roman" w:hAnsi="Barlow" w:cs="Arial"/>
                <w:sz w:val="20"/>
                <w:szCs w:val="20"/>
                <w:lang w:val="es-ES" w:eastAsia="es-ES"/>
              </w:rPr>
            </w:pPr>
          </w:p>
        </w:tc>
        <w:tc>
          <w:tcPr>
            <w:tcW w:w="1701" w:type="dxa"/>
            <w:tcBorders>
              <w:top w:val="single" w:sz="4" w:space="0" w:color="auto"/>
              <w:left w:val="nil"/>
              <w:bottom w:val="nil"/>
              <w:right w:val="nil"/>
            </w:tcBorders>
          </w:tcPr>
          <w:p w:rsidR="00DD485D" w:rsidRPr="00DD485D" w:rsidRDefault="00DD485D">
            <w:pPr>
              <w:spacing w:after="0" w:line="240" w:lineRule="auto"/>
              <w:jc w:val="right"/>
              <w:rPr>
                <w:rFonts w:ascii="Barlow" w:eastAsia="Times New Roman" w:hAnsi="Barlow" w:cs="Arial"/>
                <w:sz w:val="20"/>
                <w:szCs w:val="20"/>
                <w:highlight w:val="yellow"/>
                <w:lang w:val="es-ES" w:eastAsia="es-ES"/>
              </w:rPr>
            </w:pPr>
          </w:p>
        </w:tc>
        <w:tc>
          <w:tcPr>
            <w:tcW w:w="1985" w:type="dxa"/>
            <w:tcBorders>
              <w:top w:val="single" w:sz="4" w:space="0" w:color="auto"/>
              <w:left w:val="nil"/>
              <w:bottom w:val="nil"/>
              <w:right w:val="nil"/>
            </w:tcBorders>
          </w:tcPr>
          <w:p w:rsidR="00DD485D" w:rsidRPr="00DD485D" w:rsidRDefault="00DD485D">
            <w:pPr>
              <w:spacing w:after="0" w:line="240" w:lineRule="auto"/>
              <w:jc w:val="right"/>
              <w:rPr>
                <w:rFonts w:ascii="Barlow" w:eastAsia="Times New Roman" w:hAnsi="Barlow" w:cs="Arial"/>
                <w:sz w:val="20"/>
                <w:szCs w:val="20"/>
                <w:highlight w:val="yellow"/>
                <w:lang w:val="es-ES" w:eastAsia="es-ES"/>
              </w:rPr>
            </w:pPr>
          </w:p>
        </w:tc>
        <w:tc>
          <w:tcPr>
            <w:tcW w:w="1984" w:type="dxa"/>
            <w:tcBorders>
              <w:top w:val="single" w:sz="4" w:space="0" w:color="auto"/>
              <w:left w:val="nil"/>
              <w:bottom w:val="nil"/>
              <w:right w:val="nil"/>
            </w:tcBorders>
          </w:tcPr>
          <w:p w:rsidR="00DD485D" w:rsidRPr="00DD485D" w:rsidRDefault="00DD485D">
            <w:pPr>
              <w:spacing w:after="0" w:line="240" w:lineRule="auto"/>
              <w:jc w:val="center"/>
              <w:rPr>
                <w:rFonts w:ascii="Barlow" w:eastAsia="Times New Roman" w:hAnsi="Barlow" w:cs="Arial"/>
                <w:sz w:val="20"/>
                <w:szCs w:val="20"/>
                <w:highlight w:val="yellow"/>
                <w:lang w:val="es-ES" w:eastAsia="es-ES"/>
              </w:rPr>
            </w:pPr>
          </w:p>
        </w:tc>
        <w:tc>
          <w:tcPr>
            <w:tcW w:w="1985" w:type="dxa"/>
            <w:tcBorders>
              <w:top w:val="single" w:sz="4" w:space="0" w:color="auto"/>
              <w:left w:val="nil"/>
              <w:bottom w:val="nil"/>
              <w:right w:val="nil"/>
            </w:tcBorders>
          </w:tcPr>
          <w:p w:rsidR="00DD485D" w:rsidRPr="00DD485D" w:rsidRDefault="00DD485D">
            <w:pPr>
              <w:spacing w:after="0" w:line="240" w:lineRule="auto"/>
              <w:jc w:val="center"/>
              <w:rPr>
                <w:rFonts w:ascii="Barlow" w:eastAsia="Times New Roman" w:hAnsi="Barlow" w:cs="Arial"/>
                <w:sz w:val="20"/>
                <w:szCs w:val="20"/>
                <w:highlight w:val="yellow"/>
                <w:lang w:val="es-ES" w:eastAsia="es-ES"/>
              </w:rPr>
            </w:pPr>
          </w:p>
        </w:tc>
      </w:tr>
    </w:tbl>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before="240" w:after="60" w:line="240" w:lineRule="auto"/>
        <w:contextualSpacing/>
        <w:jc w:val="both"/>
        <w:outlineLvl w:val="4"/>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Otros Activos Circulantes</w:t>
      </w: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Se integra por un importe de $48,459.60 que corresponden a depósitos en garantía a las empresas Radio móvil Dipsa por $372.99 y a la Comisión Federal de Electricidad por $48,086.61 </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before="240" w:after="60" w:line="240" w:lineRule="auto"/>
        <w:ind w:firstLine="708"/>
        <w:jc w:val="both"/>
        <w:outlineLvl w:val="4"/>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 xml:space="preserve">Bienes Muebles, Inmuebles e Intangibles  </w:t>
      </w: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Los bienes muebles e inmuebles son adquiridos mediante donaciones o con los recursos obtenidos por servicios que presta este Instituto, estos activos están valuados a su costo de adquisición. El activo fijo del Instituto se encuentra clasificado de la siguiente manera: </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lastRenderedPageBreak/>
        <w:t>Bienes Inmuebles</w:t>
      </w: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985"/>
        <w:gridCol w:w="1571"/>
      </w:tblGrid>
      <w:tr w:rsidR="00AE5D3E" w:rsidRPr="00AE5D3E" w:rsidTr="00AE5D3E">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tcPr>
          <w:p w:rsidR="00DD485D" w:rsidRPr="00AE5D3E" w:rsidRDefault="00DD485D" w:rsidP="00AE5D3E">
            <w:pPr>
              <w:jc w:val="both"/>
              <w:rPr>
                <w:rFonts w:ascii="Barlow" w:hAnsi="Barlow" w:cs="Arial"/>
                <w:b/>
                <w:lang w:val="es-ES"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Estatal</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Federal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Recursos Propios</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Suma</w:t>
            </w:r>
          </w:p>
        </w:tc>
      </w:tr>
      <w:tr w:rsidR="00AE5D3E" w:rsidRPr="00AE5D3E" w:rsidTr="00AE5D3E">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Terrenos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1,600,000.00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D485D" w:rsidRPr="00AE5D3E" w:rsidRDefault="00DD485D" w:rsidP="00AE5D3E">
            <w:pPr>
              <w:jc w:val="right"/>
              <w:rPr>
                <w:rFonts w:ascii="Barlow" w:hAnsi="Barlow" w:cs="Arial"/>
                <w:b/>
                <w:lang w:val="es-ES" w:eastAsia="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D485D" w:rsidRPr="00AE5D3E" w:rsidRDefault="00DD485D" w:rsidP="00AE5D3E">
            <w:pPr>
              <w:jc w:val="both"/>
              <w:rPr>
                <w:rFonts w:ascii="Barlow" w:hAnsi="Barlow" w:cs="Arial"/>
                <w:b/>
                <w:lang w:val="es-ES" w:eastAsia="es-ES"/>
              </w:rPr>
            </w:pP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1,600,000.00</w:t>
            </w:r>
          </w:p>
        </w:tc>
      </w:tr>
      <w:tr w:rsidR="00AE5D3E" w:rsidRPr="00AE5D3E" w:rsidTr="00AE5D3E">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pPr>
              <w:rPr>
                <w:rFonts w:ascii="Barlow" w:hAnsi="Barlow" w:cs="Arial"/>
                <w:lang w:val="es-ES" w:eastAsia="es-ES"/>
              </w:rPr>
            </w:pPr>
            <w:r w:rsidRPr="00AE5D3E">
              <w:rPr>
                <w:rFonts w:ascii="Barlow" w:hAnsi="Barlow" w:cs="Arial"/>
                <w:lang w:val="es-ES" w:eastAsia="es-ES"/>
              </w:rPr>
              <w:t>Edificios no habitacionales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6,373,901.77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48,187,018.37</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1,377,782.54</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55,938,702.68</w:t>
            </w:r>
          </w:p>
        </w:tc>
      </w:tr>
      <w:tr w:rsidR="00AE5D3E" w:rsidRPr="00AE5D3E" w:rsidTr="00AE5D3E">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7,973,901.77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48,187,018.37</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1,377,782.54</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57,538,702.68</w:t>
            </w:r>
          </w:p>
        </w:tc>
      </w:tr>
    </w:tbl>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Bienes Muebles</w:t>
      </w: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1802"/>
        <w:gridCol w:w="1821"/>
        <w:gridCol w:w="1946"/>
        <w:gridCol w:w="1596"/>
      </w:tblGrid>
      <w:tr w:rsidR="00AE5D3E" w:rsidRPr="00AE5D3E" w:rsidTr="00AE5D3E">
        <w:trPr>
          <w:trHeight w:val="448"/>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both"/>
              <w:rPr>
                <w:rFonts w:ascii="Barlow" w:hAnsi="Barlow" w:cs="Arial"/>
                <w:b/>
                <w:lang w:val="es-ES" w:eastAsia="es-ES"/>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Estatal</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Federal</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Recursos Propios</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Suma</w:t>
            </w:r>
          </w:p>
        </w:tc>
      </w:tr>
      <w:tr w:rsidR="00AE5D3E" w:rsidRPr="00AE5D3E" w:rsidTr="00AE5D3E">
        <w:trPr>
          <w:trHeight w:val="270"/>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Mobiliario y E. de Administración</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98,496.36</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10,705,578.20</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6,676,431.64</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17,480,506.20</w:t>
            </w:r>
          </w:p>
        </w:tc>
      </w:tr>
      <w:tr w:rsidR="00AE5D3E" w:rsidRPr="00AE5D3E" w:rsidTr="00AE5D3E">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 xml:space="preserve">Mobiliario y Equipo. Educacional </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68,096.16</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1,489,065.67</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1,191,626.05</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2,748,787.88</w:t>
            </w:r>
          </w:p>
        </w:tc>
      </w:tr>
      <w:tr w:rsidR="00AE5D3E" w:rsidRPr="00AE5D3E" w:rsidTr="00AE5D3E">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lang w:val="es-ES" w:eastAsia="es-ES"/>
              </w:rPr>
            </w:pPr>
            <w:r w:rsidRPr="00AE5D3E">
              <w:rPr>
                <w:rFonts w:ascii="Barlow" w:hAnsi="Barlow" w:cs="Arial"/>
                <w:lang w:val="es-ES" w:eastAsia="es-ES"/>
              </w:rPr>
              <w:t>Equipo e Instrumental Médico y de Laboratorio</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2,169,762.07</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18,822.15</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2,188,584.22</w:t>
            </w:r>
          </w:p>
        </w:tc>
      </w:tr>
      <w:tr w:rsidR="00AE5D3E" w:rsidRPr="00AE5D3E" w:rsidTr="00AE5D3E">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Equipo de Transporte</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351,084.00</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358,000.00</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1,055,290.00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1,764,374.00</w:t>
            </w:r>
          </w:p>
        </w:tc>
      </w:tr>
      <w:tr w:rsidR="00AE5D3E" w:rsidRPr="00AE5D3E" w:rsidTr="00AE5D3E">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lang w:val="es-ES" w:eastAsia="es-ES"/>
              </w:rPr>
            </w:pPr>
            <w:r w:rsidRPr="00AE5D3E">
              <w:rPr>
                <w:rFonts w:ascii="Barlow" w:hAnsi="Barlow" w:cs="Arial"/>
                <w:lang w:val="es-ES" w:eastAsia="es-ES"/>
              </w:rPr>
              <w:t>Maquinaria, Otros Equipos y Herramientas</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84,419.92</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5,401,648.52</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992,808.52</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6,478,876.96</w:t>
            </w:r>
          </w:p>
        </w:tc>
      </w:tr>
      <w:tr w:rsidR="00AE5D3E" w:rsidRPr="00AE5D3E" w:rsidTr="00AE5D3E">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Colecciones, Obras y Objetos V.</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6,453.92</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13,086.85</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95,483.48</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115,024.25</w:t>
            </w:r>
          </w:p>
        </w:tc>
      </w:tr>
      <w:tr w:rsidR="00AE5D3E" w:rsidRPr="00AE5D3E" w:rsidTr="00AE5D3E">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608,550.36</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highlight w:val="yellow"/>
                <w:lang w:val="es-ES" w:eastAsia="es-ES"/>
              </w:rPr>
            </w:pPr>
            <w:r w:rsidRPr="00AE5D3E">
              <w:rPr>
                <w:rFonts w:ascii="Barlow" w:hAnsi="Barlow" w:cs="Arial"/>
                <w:b/>
                <w:lang w:val="es-ES" w:eastAsia="es-ES"/>
              </w:rPr>
              <w:t>20,137,141.31</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10,030,461.84</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30,776,153.51</w:t>
            </w:r>
          </w:p>
        </w:tc>
      </w:tr>
    </w:tbl>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Activos Intangibles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Se integra por software </w:t>
      </w:r>
      <w:r w:rsidR="00551873" w:rsidRPr="00DD485D">
        <w:rPr>
          <w:rFonts w:ascii="Barlow" w:eastAsia="Times New Roman" w:hAnsi="Barlow" w:cs="Arial"/>
          <w:sz w:val="20"/>
          <w:szCs w:val="20"/>
          <w:lang w:val="es-ES" w:eastAsia="es-ES"/>
        </w:rPr>
        <w:t>adquirido</w:t>
      </w:r>
      <w:r w:rsidRPr="00DD485D">
        <w:rPr>
          <w:rFonts w:ascii="Barlow" w:eastAsia="Times New Roman" w:hAnsi="Barlow" w:cs="Arial"/>
          <w:sz w:val="20"/>
          <w:szCs w:val="20"/>
          <w:lang w:val="es-ES" w:eastAsia="es-ES"/>
        </w:rPr>
        <w:t xml:space="preserve"> por el Instituto por una cantidad de $ 305,677.02</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Estimaciones y Deterioros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tabs>
          <w:tab w:val="num" w:pos="567"/>
        </w:tabs>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Los bienes inmuebles, muebles e intangibles, se registran a su costo de adquisición o de aportación, formando parte de los activos. Los bienes muebles recibidos cuyo costo de adquisición no está identificado se registran a valor de un centavo o a su valor de mercado.</w:t>
      </w:r>
    </w:p>
    <w:p w:rsidR="00DD485D" w:rsidRPr="00DD485D" w:rsidRDefault="00DD485D" w:rsidP="00DD485D">
      <w:pPr>
        <w:tabs>
          <w:tab w:val="num" w:pos="567"/>
        </w:tabs>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Existen controles físicos por los bienes duraderos adquiridos y donados y se cuenta con los resguardos respectivos.</w:t>
      </w:r>
    </w:p>
    <w:p w:rsidR="00DD485D" w:rsidRPr="00DD485D" w:rsidRDefault="00DD485D" w:rsidP="00DD485D">
      <w:pPr>
        <w:tabs>
          <w:tab w:val="num" w:pos="567"/>
        </w:tabs>
        <w:spacing w:after="0" w:line="240" w:lineRule="auto"/>
        <w:jc w:val="both"/>
        <w:rPr>
          <w:rFonts w:ascii="Barlow" w:eastAsia="Times New Roman" w:hAnsi="Barlow" w:cs="Arial"/>
          <w:sz w:val="20"/>
          <w:szCs w:val="20"/>
          <w:lang w:val="es-ES" w:eastAsia="es-ES"/>
        </w:rPr>
      </w:pPr>
    </w:p>
    <w:p w:rsidR="00DD485D" w:rsidRPr="00DD485D" w:rsidRDefault="00DD485D" w:rsidP="00DD485D">
      <w:pPr>
        <w:tabs>
          <w:tab w:val="num" w:pos="567"/>
        </w:tabs>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Instituto adoptó la política de calcular y registrar la depreciación sobre los activos, misma que se calcula con base en el valor de los activos fijos y bajo el método de línea recta, en función a la vida útil de los mismos, mediante la aplicación de las tasas anuales que a continuación se detallan:</w:t>
      </w:r>
    </w:p>
    <w:p w:rsidR="00DD485D" w:rsidRPr="00DD485D" w:rsidRDefault="00DD485D" w:rsidP="00DD485D">
      <w:pPr>
        <w:tabs>
          <w:tab w:val="num" w:pos="567"/>
        </w:tabs>
        <w:spacing w:after="0" w:line="240" w:lineRule="auto"/>
        <w:ind w:left="709"/>
        <w:jc w:val="both"/>
        <w:rPr>
          <w:rFonts w:ascii="Barlow" w:eastAsia="Times New Roman" w:hAnsi="Barlow" w:cs="Arial"/>
          <w:sz w:val="20"/>
          <w:szCs w:val="20"/>
          <w:lang w:val="es-ES" w:eastAsia="es-ES"/>
        </w:rPr>
      </w:pPr>
    </w:p>
    <w:tbl>
      <w:tblPr>
        <w:tblW w:w="0" w:type="auto"/>
        <w:jc w:val="center"/>
        <w:tblInd w:w="709" w:type="dxa"/>
        <w:tblLook w:val="04A0" w:firstRow="1" w:lastRow="0" w:firstColumn="1" w:lastColumn="0" w:noHBand="0" w:noVBand="1"/>
      </w:tblPr>
      <w:tblGrid>
        <w:gridCol w:w="5636"/>
        <w:gridCol w:w="709"/>
        <w:gridCol w:w="1276"/>
      </w:tblGrid>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Edificios no Habitacionales</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5%</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Mobiliario y Equipo de Administración</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5636" w:type="dxa"/>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Muebles de oficina y estantería</w:t>
            </w:r>
          </w:p>
        </w:tc>
        <w:tc>
          <w:tcPr>
            <w:tcW w:w="1985" w:type="dxa"/>
            <w:gridSpan w:val="2"/>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10%</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Equipo de cómputo y Tecnologías de la I.</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30% </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Otros mobiliarios y equipos de administración</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10%</w:t>
            </w:r>
          </w:p>
        </w:tc>
      </w:tr>
      <w:tr w:rsidR="00DD485D" w:rsidRPr="00DD485D" w:rsidTr="00551873">
        <w:trPr>
          <w:jc w:val="center"/>
        </w:trPr>
        <w:tc>
          <w:tcPr>
            <w:tcW w:w="6345" w:type="dxa"/>
            <w:gridSpan w:val="2"/>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Mobiliario y Equipo Educacional y Recreativo</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 xml:space="preserve">     </w:t>
            </w:r>
            <w:r w:rsidRPr="00DD485D">
              <w:rPr>
                <w:rFonts w:ascii="Barlow" w:eastAsia="Times New Roman" w:hAnsi="Barlow" w:cs="Arial"/>
                <w:sz w:val="20"/>
                <w:szCs w:val="20"/>
                <w:lang w:val="es-ES" w:eastAsia="es-ES"/>
              </w:rPr>
              <w:t>Equipo y aparatos audiovisuales</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10% y 30%</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Equipo e Instrumental Médico y de Laboratorio</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lastRenderedPageBreak/>
              <w:t xml:space="preserve">     Instrumental médico y de laboratorio</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20%</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Equipo de Transporte</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 xml:space="preserve">     </w:t>
            </w:r>
            <w:r w:rsidRPr="00DD485D">
              <w:rPr>
                <w:rFonts w:ascii="Barlow" w:eastAsia="Times New Roman" w:hAnsi="Barlow" w:cs="Arial"/>
                <w:sz w:val="20"/>
                <w:szCs w:val="20"/>
                <w:lang w:val="es-ES" w:eastAsia="es-ES"/>
              </w:rPr>
              <w:t>Automóviles y equipo de transporte</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25%</w:t>
            </w:r>
          </w:p>
        </w:tc>
      </w:tr>
      <w:tr w:rsidR="00DD485D" w:rsidRPr="00DD485D" w:rsidTr="00551873">
        <w:trPr>
          <w:jc w:val="center"/>
        </w:trPr>
        <w:tc>
          <w:tcPr>
            <w:tcW w:w="6345" w:type="dxa"/>
            <w:gridSpan w:val="2"/>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Maquinaria, Otros Equipos y Herramientas</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 xml:space="preserve">     </w:t>
            </w:r>
            <w:r w:rsidRPr="00DD485D">
              <w:rPr>
                <w:rFonts w:ascii="Barlow" w:eastAsia="Times New Roman" w:hAnsi="Barlow" w:cs="Arial"/>
                <w:sz w:val="20"/>
                <w:szCs w:val="20"/>
                <w:lang w:val="es-ES" w:eastAsia="es-ES"/>
              </w:rPr>
              <w:t>Maquinaria y equipo agropecuario</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25%</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 xml:space="preserve">     </w:t>
            </w:r>
            <w:r w:rsidRPr="00DD485D">
              <w:rPr>
                <w:rFonts w:ascii="Barlow" w:eastAsia="Times New Roman" w:hAnsi="Barlow" w:cs="Arial"/>
                <w:sz w:val="20"/>
                <w:szCs w:val="20"/>
                <w:lang w:val="es-ES" w:eastAsia="es-ES"/>
              </w:rPr>
              <w:t>Maquinaria y equipo industrial</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25%</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 xml:space="preserve">     </w:t>
            </w:r>
            <w:r w:rsidRPr="00DD485D">
              <w:rPr>
                <w:rFonts w:ascii="Barlow" w:eastAsia="Times New Roman" w:hAnsi="Barlow" w:cs="Arial"/>
                <w:sz w:val="20"/>
                <w:szCs w:val="20"/>
                <w:lang w:val="es-ES" w:eastAsia="es-ES"/>
              </w:rPr>
              <w:t>Maquinaria y equipo de construcción</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10%</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Equipos de comunicación</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25%</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Herramientas y máquinas-herramientas</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10%</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Colecciones, Obras de Arte y Objetos Valiosos</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     Bienes artísticos, culturales y científicos</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10%</w:t>
            </w: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Activos Intangibles</w:t>
            </w: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r w:rsidR="00DD485D" w:rsidRPr="00DD485D" w:rsidTr="00551873">
        <w:trPr>
          <w:jc w:val="center"/>
        </w:trPr>
        <w:tc>
          <w:tcPr>
            <w:tcW w:w="6345" w:type="dxa"/>
            <w:gridSpan w:val="2"/>
            <w:hideMark/>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b/>
                <w:sz w:val="20"/>
                <w:szCs w:val="20"/>
                <w:lang w:val="es-ES" w:eastAsia="es-ES"/>
              </w:rPr>
              <w:t xml:space="preserve">     </w:t>
            </w:r>
            <w:r w:rsidRPr="00DD485D">
              <w:rPr>
                <w:rFonts w:ascii="Barlow" w:eastAsia="Times New Roman" w:hAnsi="Barlow" w:cs="Arial"/>
                <w:sz w:val="20"/>
                <w:szCs w:val="20"/>
                <w:lang w:val="es-ES" w:eastAsia="es-ES"/>
              </w:rPr>
              <w:t>Software</w:t>
            </w:r>
          </w:p>
        </w:tc>
        <w:tc>
          <w:tcPr>
            <w:tcW w:w="1276" w:type="dxa"/>
            <w:hideMark/>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25%</w:t>
            </w:r>
          </w:p>
        </w:tc>
      </w:tr>
      <w:tr w:rsidR="00DD485D" w:rsidRPr="00DD485D" w:rsidTr="00551873">
        <w:trPr>
          <w:jc w:val="center"/>
        </w:trPr>
        <w:tc>
          <w:tcPr>
            <w:tcW w:w="6345" w:type="dxa"/>
            <w:gridSpan w:val="2"/>
          </w:tcPr>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p>
          <w:p w:rsidR="00DD485D" w:rsidRPr="00DD485D" w:rsidRDefault="00DD485D">
            <w:pPr>
              <w:tabs>
                <w:tab w:val="num" w:pos="567"/>
              </w:tabs>
              <w:spacing w:after="0" w:line="240" w:lineRule="auto"/>
              <w:ind w:left="709"/>
              <w:jc w:val="both"/>
              <w:rPr>
                <w:rFonts w:ascii="Barlow" w:eastAsia="Times New Roman" w:hAnsi="Barlow" w:cs="Arial"/>
                <w:sz w:val="20"/>
                <w:szCs w:val="20"/>
                <w:lang w:val="es-ES" w:eastAsia="es-ES"/>
              </w:rPr>
            </w:pPr>
          </w:p>
        </w:tc>
        <w:tc>
          <w:tcPr>
            <w:tcW w:w="1276" w:type="dxa"/>
          </w:tcPr>
          <w:p w:rsidR="00DD485D" w:rsidRPr="00DD485D" w:rsidRDefault="00DD485D">
            <w:pPr>
              <w:tabs>
                <w:tab w:val="num" w:pos="567"/>
              </w:tabs>
              <w:spacing w:after="0" w:line="240" w:lineRule="auto"/>
              <w:jc w:val="right"/>
              <w:rPr>
                <w:rFonts w:ascii="Barlow" w:eastAsia="Times New Roman" w:hAnsi="Barlow" w:cs="Arial"/>
                <w:sz w:val="20"/>
                <w:szCs w:val="20"/>
                <w:lang w:val="es-ES" w:eastAsia="es-ES"/>
              </w:rPr>
            </w:pPr>
          </w:p>
        </w:tc>
      </w:tr>
    </w:tbl>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valor de las depreciaciones de activos fijos e intangibles es el siguiente:</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842"/>
        <w:gridCol w:w="1843"/>
        <w:gridCol w:w="1985"/>
        <w:gridCol w:w="1602"/>
      </w:tblGrid>
      <w:tr w:rsidR="00AE5D3E" w:rsidRPr="00AE5D3E" w:rsidTr="00AE5D3E">
        <w:trPr>
          <w:trHeight w:val="448"/>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both"/>
              <w:rPr>
                <w:rFonts w:ascii="Barlow" w:hAnsi="Barlow" w:cs="Arial"/>
                <w:b/>
                <w:lang w:val="es-ES" w:eastAsia="es-E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Estatal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Federal</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Recursos Propios</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Suma</w:t>
            </w:r>
          </w:p>
        </w:tc>
      </w:tr>
      <w:tr w:rsidR="00AE5D3E" w:rsidRPr="00AE5D3E" w:rsidTr="00AE5D3E">
        <w:trPr>
          <w:trHeight w:val="27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Depreciación de Bienes Inmuebles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2,941,395.42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20,719,948.75</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410,119.91</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24,071,464.09</w:t>
            </w:r>
          </w:p>
        </w:tc>
      </w:tr>
      <w:tr w:rsidR="00AE5D3E" w:rsidRPr="00AE5D3E" w:rsidTr="00AE5D3E">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Depreciación de Bienes Muebles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555,635.25</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14,531,324.02</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6,950,815.89</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22,037,775.15</w:t>
            </w:r>
          </w:p>
        </w:tc>
      </w:tr>
      <w:tr w:rsidR="00AE5D3E" w:rsidRPr="00AE5D3E" w:rsidTr="00AE5D3E">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lang w:val="es-ES" w:eastAsia="es-ES"/>
              </w:rPr>
            </w:pPr>
            <w:r w:rsidRPr="00AE5D3E">
              <w:rPr>
                <w:rFonts w:ascii="Barlow" w:hAnsi="Barlow" w:cs="Arial"/>
                <w:lang w:val="es-ES" w:eastAsia="es-ES"/>
              </w:rPr>
              <w:t>Amortización de Intangibles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38,918.00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234,504.50</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273,422.50</w:t>
            </w:r>
          </w:p>
        </w:tc>
      </w:tr>
      <w:tr w:rsidR="00AE5D3E" w:rsidRPr="00AE5D3E" w:rsidTr="00AE5D3E">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3,497,030.67</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35,290,190.77</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7,595,440.30</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b/>
                <w:lang w:val="es-ES" w:eastAsia="es-ES"/>
              </w:rPr>
            </w:pPr>
            <w:r w:rsidRPr="00AE5D3E">
              <w:rPr>
                <w:rFonts w:ascii="Barlow" w:hAnsi="Barlow" w:cs="Arial"/>
                <w:b/>
                <w:lang w:val="es-ES" w:eastAsia="es-ES"/>
              </w:rPr>
              <w:t>46,382,661.74</w:t>
            </w:r>
          </w:p>
        </w:tc>
      </w:tr>
    </w:tbl>
    <w:p w:rsidR="00551873" w:rsidRDefault="00551873"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lastRenderedPageBreak/>
        <w:t>PASIVO</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ind w:firstLine="708"/>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Cuentas por Pagar a Corto Plazo</w:t>
      </w: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Representa el monto de los adeudos del Instituto, que deberá pagar en un plazo menor a 365 dias, los cuales se deben por compromisos adquiridos con proveedores, por provisiones de seguridad social y por los importes de ISR retenidos a los trabajadores, el importe de los compromisos adquiridos es el siguiente:</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816"/>
        <w:gridCol w:w="1806"/>
        <w:gridCol w:w="1940"/>
        <w:gridCol w:w="1590"/>
      </w:tblGrid>
      <w:tr w:rsidR="00AE5D3E" w:rsidRPr="00AE5D3E" w:rsidTr="00AE5D3E">
        <w:trPr>
          <w:trHeight w:val="448"/>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both"/>
              <w:rPr>
                <w:rFonts w:ascii="Barlow" w:hAnsi="Barlow" w:cs="Arial"/>
                <w:b/>
                <w:highlight w:val="yellow"/>
                <w:lang w:val="es-ES" w:eastAsia="es-ES"/>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Estatal</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 Federal</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Recursos Propios</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Suma</w:t>
            </w:r>
          </w:p>
        </w:tc>
      </w:tr>
      <w:tr w:rsidR="00AE5D3E" w:rsidRPr="00AE5D3E" w:rsidTr="00AE5D3E">
        <w:trPr>
          <w:trHeight w:val="270"/>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Seguridad Social</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224,906.69</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182,436.82</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407,343.51</w:t>
            </w:r>
          </w:p>
        </w:tc>
      </w:tr>
      <w:tr w:rsidR="00AE5D3E" w:rsidRPr="00AE5D3E" w:rsidTr="00AE5D3E">
        <w:trPr>
          <w:trHeight w:val="270"/>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Otras prestaciones sociales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185,447.33</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47,345.93</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232,793.26</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Proveedores por Pagar</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0.60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111,376.72</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14,611.53</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125,988.5</w:t>
            </w:r>
          </w:p>
        </w:tc>
      </w:tr>
      <w:tr w:rsidR="00AE5D3E" w:rsidRPr="00AE5D3E" w:rsidTr="00AE5D3E">
        <w:trPr>
          <w:trHeight w:val="324"/>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 xml:space="preserve">Impuesto sobre nóminas </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 xml:space="preserve">Transferencias a corto plazo </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lang w:val="es-ES" w:eastAsia="es-ES"/>
              </w:rPr>
            </w:pPr>
            <w:r w:rsidRPr="00AE5D3E">
              <w:rPr>
                <w:rFonts w:ascii="Barlow" w:hAnsi="Barlow" w:cs="Arial"/>
                <w:lang w:val="es-ES" w:eastAsia="es-ES"/>
              </w:rPr>
              <w:t>ISR retenido por Salarios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288,432.43</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194,816.49</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483,248.92</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ISR retenido por Honorarios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10,874.10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10,760.13</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21,634.23</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lang w:val="es-ES" w:eastAsia="es-ES"/>
              </w:rPr>
            </w:pPr>
            <w:r w:rsidRPr="00AE5D3E">
              <w:rPr>
                <w:rFonts w:ascii="Barlow" w:hAnsi="Barlow" w:cs="Arial"/>
                <w:lang w:val="es-ES" w:eastAsia="es-ES"/>
              </w:rPr>
              <w:t>ISSTEY Retenido</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131,715.47</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3,851.34</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135,566.81</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Cuotas al ISSSTEY</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ISR retenido por Asimilados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48,618.31</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48,618.31</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ISR retenido por arrendamiento</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102.83</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102.83</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IVA retenido por fletes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184.61</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184.61</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Acreedores Diversos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4,083,345.20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6,670,778.47</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3,571,459.73</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14,325,583.40</w:t>
            </w:r>
          </w:p>
        </w:tc>
      </w:tr>
      <w:tr w:rsidR="00AE5D3E" w:rsidRPr="00AE5D3E" w:rsidTr="00AE5D3E">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4,913,847.72</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7,721,582.70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3,645,634.31</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pPr>
              <w:rPr>
                <w:rFonts w:ascii="Barlow" w:hAnsi="Barlow" w:cs="Arial"/>
                <w:b/>
                <w:lang w:val="es-ES" w:eastAsia="es-ES"/>
              </w:rPr>
            </w:pPr>
            <w:r w:rsidRPr="00AE5D3E">
              <w:rPr>
                <w:rFonts w:ascii="Barlow" w:hAnsi="Barlow" w:cs="Arial"/>
                <w:b/>
                <w:lang w:val="es-ES" w:eastAsia="es-ES"/>
              </w:rPr>
              <w:t>15,781,064.73</w:t>
            </w:r>
          </w:p>
        </w:tc>
      </w:tr>
    </w:tbl>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pStyle w:val="Prrafodelista"/>
        <w:numPr>
          <w:ilvl w:val="0"/>
          <w:numId w:val="19"/>
        </w:num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Notas al Estado de Actividades</w:t>
      </w:r>
    </w:p>
    <w:p w:rsidR="00DD485D" w:rsidRPr="00DD485D" w:rsidRDefault="00DD485D" w:rsidP="00551873">
      <w:pPr>
        <w:spacing w:after="0" w:line="240" w:lineRule="auto"/>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720"/>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Ingresos de Gestión</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Los ingresos recaudados por el Instituto al 31 de marzo de 2019 son los siguientes:</w:t>
      </w:r>
    </w:p>
    <w:p w:rsidR="00DD485D" w:rsidRPr="00DD485D" w:rsidRDefault="00DD485D" w:rsidP="00DD485D">
      <w:pPr>
        <w:spacing w:after="0" w:line="240" w:lineRule="auto"/>
        <w:jc w:val="both"/>
        <w:rPr>
          <w:rFonts w:ascii="Barlow" w:eastAsia="Times New Roman" w:hAnsi="Barlow" w:cs="Arial"/>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835"/>
        <w:gridCol w:w="2551"/>
      </w:tblGrid>
      <w:tr w:rsidR="00AE5D3E" w:rsidRPr="00AE5D3E" w:rsidTr="00AE5D3E">
        <w:trPr>
          <w:trHeight w:val="4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center"/>
              <w:rPr>
                <w:rFonts w:ascii="Barlow" w:hAnsi="Barlow" w:cs="Arial"/>
                <w:b/>
                <w:lang w:val="es-ES" w:eastAsia="es-ES"/>
              </w:rPr>
            </w:pPr>
            <w:r w:rsidRPr="00AE5D3E">
              <w:rPr>
                <w:rFonts w:ascii="Barlow" w:hAnsi="Barlow" w:cs="Arial"/>
                <w:b/>
                <w:lang w:val="es-ES" w:eastAsia="es-ES"/>
              </w:rPr>
              <w:t>Fuente</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center"/>
              <w:rPr>
                <w:rFonts w:ascii="Barlow" w:hAnsi="Barlow" w:cs="Arial"/>
                <w:b/>
                <w:lang w:val="es-ES" w:eastAsia="es-ES"/>
              </w:rPr>
            </w:pPr>
            <w:r w:rsidRPr="00AE5D3E">
              <w:rPr>
                <w:rFonts w:ascii="Barlow" w:hAnsi="Barlow" w:cs="Arial"/>
                <w:b/>
                <w:lang w:val="es-ES" w:eastAsia="es-ES"/>
              </w:rPr>
              <w:t>Devengado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center"/>
              <w:rPr>
                <w:rFonts w:ascii="Barlow" w:hAnsi="Barlow" w:cs="Arial"/>
                <w:b/>
                <w:lang w:val="es-ES" w:eastAsia="es-ES"/>
              </w:rPr>
            </w:pPr>
            <w:r w:rsidRPr="00AE5D3E">
              <w:rPr>
                <w:rFonts w:ascii="Barlow" w:hAnsi="Barlow" w:cs="Arial"/>
                <w:b/>
                <w:lang w:val="es-ES" w:eastAsia="es-ES"/>
              </w:rPr>
              <w:t>Radicado/Captado</w:t>
            </w:r>
          </w:p>
        </w:tc>
      </w:tr>
      <w:tr w:rsidR="00AE5D3E" w:rsidRPr="00AE5D3E" w:rsidTr="00AE5D3E">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both"/>
              <w:rPr>
                <w:rFonts w:ascii="Barlow" w:hAnsi="Barlow" w:cs="Arial"/>
                <w:lang w:val="es-ES" w:eastAsia="es-ES"/>
              </w:rPr>
            </w:pPr>
            <w:r w:rsidRPr="00AE5D3E">
              <w:rPr>
                <w:rFonts w:ascii="Barlow" w:hAnsi="Barlow" w:cs="Arial"/>
                <w:lang w:val="es-ES" w:eastAsia="es-ES"/>
              </w:rPr>
              <w:t>Federal</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right"/>
              <w:rPr>
                <w:rFonts w:ascii="Barlow" w:hAnsi="Barlow" w:cs="Arial"/>
                <w:lang w:val="es-ES" w:eastAsia="es-ES"/>
              </w:rPr>
            </w:pPr>
            <w:r w:rsidRPr="00AE5D3E">
              <w:rPr>
                <w:rFonts w:ascii="Barlow" w:hAnsi="Barlow"/>
                <w:lang w:val="es-ES"/>
              </w:rPr>
              <w:t>7,845,510.00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right"/>
              <w:rPr>
                <w:rFonts w:ascii="Barlow" w:hAnsi="Barlow" w:cs="Arial"/>
                <w:lang w:val="es-ES" w:eastAsia="es-ES"/>
              </w:rPr>
            </w:pPr>
            <w:r w:rsidRPr="00AE5D3E">
              <w:rPr>
                <w:rFonts w:ascii="Barlow" w:hAnsi="Barlow"/>
                <w:lang w:val="es-ES"/>
              </w:rPr>
              <w:t>7,575,510.00</w:t>
            </w:r>
          </w:p>
        </w:tc>
      </w:tr>
      <w:tr w:rsidR="00AE5D3E" w:rsidRPr="00AE5D3E" w:rsidTr="00AE5D3E">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both"/>
              <w:rPr>
                <w:rFonts w:ascii="Barlow" w:hAnsi="Barlow" w:cs="Arial"/>
                <w:lang w:val="es-ES" w:eastAsia="es-ES"/>
              </w:rPr>
            </w:pPr>
            <w:r w:rsidRPr="00AE5D3E">
              <w:rPr>
                <w:rFonts w:ascii="Barlow" w:hAnsi="Barlow" w:cs="Arial"/>
                <w:lang w:val="es-ES" w:eastAsia="es-ES"/>
              </w:rPr>
              <w:t>Estatal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right"/>
              <w:rPr>
                <w:rFonts w:ascii="Barlow" w:hAnsi="Barlow" w:cs="Arial"/>
                <w:lang w:val="es-ES" w:eastAsia="es-ES"/>
              </w:rPr>
            </w:pPr>
            <w:r w:rsidRPr="00AE5D3E">
              <w:rPr>
                <w:rFonts w:ascii="Barlow" w:hAnsi="Barlow"/>
                <w:lang w:val="es-ES"/>
              </w:rPr>
              <w:t>4,090,091.00</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right"/>
              <w:rPr>
                <w:rFonts w:ascii="Barlow" w:hAnsi="Barlow"/>
                <w:lang w:val="es-ES"/>
              </w:rPr>
            </w:pPr>
            <w:r w:rsidRPr="00AE5D3E">
              <w:rPr>
                <w:rFonts w:ascii="Barlow" w:hAnsi="Barlow"/>
                <w:lang w:val="es-ES"/>
              </w:rPr>
              <w:t>4,090,091.00</w:t>
            </w:r>
          </w:p>
        </w:tc>
      </w:tr>
      <w:tr w:rsidR="00AE5D3E" w:rsidRPr="00AE5D3E" w:rsidTr="00AE5D3E">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both"/>
              <w:rPr>
                <w:rFonts w:ascii="Barlow" w:hAnsi="Barlow" w:cs="Arial"/>
                <w:lang w:val="es-ES" w:eastAsia="es-ES"/>
              </w:rPr>
            </w:pPr>
            <w:r w:rsidRPr="00AE5D3E">
              <w:rPr>
                <w:rFonts w:ascii="Barlow" w:hAnsi="Barlow" w:cs="Arial"/>
                <w:lang w:val="es-ES" w:eastAsia="es-ES"/>
              </w:rPr>
              <w:t>Propios</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right"/>
              <w:rPr>
                <w:rFonts w:ascii="Barlow" w:hAnsi="Barlow" w:cs="Arial"/>
                <w:lang w:val="es-ES" w:eastAsia="es-ES"/>
              </w:rPr>
            </w:pPr>
            <w:r w:rsidRPr="00AE5D3E">
              <w:rPr>
                <w:rFonts w:ascii="Barlow" w:hAnsi="Barlow"/>
                <w:lang w:val="es-ES"/>
              </w:rPr>
              <w:t>2,879,385.00</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spacing w:line="240" w:lineRule="auto"/>
              <w:jc w:val="right"/>
              <w:rPr>
                <w:rFonts w:ascii="Barlow" w:hAnsi="Barlow" w:cs="Arial"/>
                <w:lang w:val="es-ES" w:eastAsia="es-ES"/>
              </w:rPr>
            </w:pPr>
            <w:r w:rsidRPr="00AE5D3E">
              <w:rPr>
                <w:rFonts w:ascii="Barlow" w:hAnsi="Barlow"/>
                <w:lang w:val="es-ES"/>
              </w:rPr>
              <w:t>2,879,385.00</w:t>
            </w:r>
          </w:p>
        </w:tc>
      </w:tr>
      <w:tr w:rsidR="00AE5D3E" w:rsidRPr="00AE5D3E" w:rsidTr="00AE5D3E">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14,814,986.00</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14,544,986.00</w:t>
            </w:r>
          </w:p>
        </w:tc>
      </w:tr>
    </w:tbl>
    <w:p w:rsidR="00551873" w:rsidRDefault="00551873" w:rsidP="00551873">
      <w:pPr>
        <w:spacing w:after="0" w:line="240" w:lineRule="auto"/>
        <w:contextualSpacing/>
        <w:jc w:val="both"/>
        <w:rPr>
          <w:rFonts w:ascii="Barlow" w:eastAsia="Times New Roman" w:hAnsi="Barlow" w:cs="Arial"/>
          <w:b/>
          <w:sz w:val="20"/>
          <w:szCs w:val="20"/>
          <w:lang w:val="es-ES" w:eastAsia="es-ES"/>
        </w:rPr>
      </w:pPr>
    </w:p>
    <w:p w:rsidR="00DD485D" w:rsidRPr="00DD485D" w:rsidRDefault="00DD485D" w:rsidP="00551873">
      <w:pPr>
        <w:spacing w:after="0" w:line="240" w:lineRule="auto"/>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lastRenderedPageBreak/>
        <w:t xml:space="preserve">Gastos y Otras </w:t>
      </w:r>
      <w:proofErr w:type="gramStart"/>
      <w:r w:rsidRPr="00DD485D">
        <w:rPr>
          <w:rFonts w:ascii="Barlow" w:eastAsia="Times New Roman" w:hAnsi="Barlow" w:cs="Arial"/>
          <w:b/>
          <w:sz w:val="20"/>
          <w:szCs w:val="20"/>
          <w:lang w:val="es-ES" w:eastAsia="es-ES"/>
        </w:rPr>
        <w:t>Perdidas</w:t>
      </w:r>
      <w:proofErr w:type="gramEnd"/>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importe de los gastos y otras perdidas es el siguiente:</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693"/>
      </w:tblGrid>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center"/>
              <w:rPr>
                <w:rFonts w:ascii="Barlow" w:hAnsi="Barlow" w:cs="Arial"/>
                <w:b/>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Devengado</w:t>
            </w:r>
          </w:p>
        </w:tc>
      </w:tr>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Servicios Personales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6,970,327.81</w:t>
            </w:r>
          </w:p>
        </w:tc>
      </w:tr>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Materiales y suministros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363,813.01</w:t>
            </w:r>
          </w:p>
        </w:tc>
      </w:tr>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Servicios Generales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2,494,844.68</w:t>
            </w:r>
          </w:p>
        </w:tc>
      </w:tr>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Transferencias, asignaciones, subsidios y otras ayudas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500.00</w:t>
            </w:r>
          </w:p>
        </w:tc>
      </w:tr>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Estimaciones, Depreciaciones, Deterioros, Obsolescencia</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0.00</w:t>
            </w:r>
          </w:p>
        </w:tc>
      </w:tr>
      <w:tr w:rsidR="00AE5D3E" w:rsidRPr="00AE5D3E" w:rsidTr="00AE5D3E">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9,829,485.50</w:t>
            </w:r>
          </w:p>
        </w:tc>
      </w:tr>
    </w:tbl>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Default="00DD485D" w:rsidP="00DD485D">
      <w:pPr>
        <w:spacing w:after="0" w:line="240" w:lineRule="auto"/>
        <w:jc w:val="both"/>
        <w:rPr>
          <w:rFonts w:ascii="Barlow" w:eastAsia="Times New Roman" w:hAnsi="Barlow" w:cs="Arial"/>
          <w:b/>
          <w:sz w:val="20"/>
          <w:szCs w:val="20"/>
          <w:lang w:val="es-ES" w:eastAsia="es-ES"/>
        </w:rPr>
      </w:pPr>
    </w:p>
    <w:p w:rsidR="00551873" w:rsidRPr="00DD485D" w:rsidRDefault="00551873"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pStyle w:val="Prrafodelista"/>
        <w:numPr>
          <w:ilvl w:val="0"/>
          <w:numId w:val="19"/>
        </w:num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lastRenderedPageBreak/>
        <w:t>Notas al Estado de Variación en la Hacienda Pública</w:t>
      </w:r>
    </w:p>
    <w:p w:rsidR="00DD485D" w:rsidRPr="00DD485D" w:rsidRDefault="00DD485D" w:rsidP="00DD485D">
      <w:pPr>
        <w:spacing w:after="0" w:line="240" w:lineRule="auto"/>
        <w:ind w:left="360"/>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patrimonio del Instituto se integra por las aportaciones de bienes muebles e inmuebles recibidas, los remanentes de ejercicios anteriores y por el resultado del ejercicio. A continuación se presenta la distribución del patrimonio:</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827"/>
      </w:tblGrid>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Hacienda Pública/Patrimonio Contribuido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center"/>
              <w:rPr>
                <w:rFonts w:ascii="Barlow" w:hAnsi="Barlow" w:cs="Arial"/>
                <w:b/>
                <w:lang w:val="es-ES" w:eastAsia="es-ES"/>
              </w:rPr>
            </w:pP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Patrimonio Donado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44,919,768.60</w:t>
            </w: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Patrimonio Adquirido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12,576,714.48</w:t>
            </w: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Patrimonio Depreciado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cs="Arial"/>
                <w:lang w:val="es-ES" w:eastAsia="es-ES"/>
              </w:rPr>
              <w:t>-19,429,569.54</w:t>
            </w: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38,066,913.54</w:t>
            </w: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center"/>
              <w:rPr>
                <w:rFonts w:ascii="Barlow" w:hAnsi="Barlow" w:cs="Arial"/>
                <w:b/>
                <w:lang w:val="es-ES" w:eastAsia="es-ES"/>
              </w:rPr>
            </w:pPr>
          </w:p>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Hacienda Pública/ Patrimonio Generado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cs="Arial"/>
                <w:lang w:val="es-ES" w:eastAsia="es-ES"/>
              </w:rPr>
            </w:pP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Resultado del Ejercicio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4,985,500.50</w:t>
            </w: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Resultado de Ejercicio Anteriores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lang w:val="es-ES" w:eastAsia="es-ES"/>
              </w:rPr>
            </w:pPr>
            <w:r w:rsidRPr="00AE5D3E">
              <w:rPr>
                <w:rFonts w:ascii="Barlow" w:hAnsi="Barlow"/>
                <w:lang w:val="es-ES"/>
              </w:rPr>
              <w:t>- 4,918,269.74</w:t>
            </w:r>
          </w:p>
        </w:tc>
      </w:tr>
      <w:tr w:rsidR="00AE5D3E" w:rsidRPr="00AE5D3E" w:rsidTr="00AE5D3E">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cs="Arial"/>
                <w:b/>
                <w:lang w:val="es-ES" w:eastAsia="es-ES"/>
              </w:rPr>
            </w:pPr>
            <w:r w:rsidRPr="00AE5D3E">
              <w:rPr>
                <w:rFonts w:ascii="Barlow" w:hAnsi="Barlow" w:cs="Arial"/>
                <w:b/>
                <w:lang w:val="es-ES" w:eastAsia="es-ES"/>
              </w:rPr>
              <w:t>67,230.76</w:t>
            </w:r>
          </w:p>
        </w:tc>
      </w:tr>
    </w:tbl>
    <w:p w:rsidR="00DD485D" w:rsidRPr="00DD485D" w:rsidRDefault="00DD485D" w:rsidP="00DD485D">
      <w:pPr>
        <w:rPr>
          <w:rFonts w:ascii="Barlow" w:hAnsi="Barlow"/>
        </w:rPr>
      </w:pPr>
    </w:p>
    <w:p w:rsidR="00DD485D" w:rsidRPr="00DD485D" w:rsidRDefault="00DD485D" w:rsidP="00DD485D">
      <w:pPr>
        <w:rPr>
          <w:rFonts w:ascii="Barlow" w:hAnsi="Barlow"/>
        </w:rPr>
      </w:pPr>
    </w:p>
    <w:p w:rsidR="00DD485D" w:rsidRPr="00DD485D" w:rsidRDefault="00DD485D" w:rsidP="00DD485D">
      <w:pPr>
        <w:numPr>
          <w:ilvl w:val="0"/>
          <w:numId w:val="19"/>
        </w:numPr>
        <w:spacing w:after="0" w:line="240" w:lineRule="auto"/>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lastRenderedPageBreak/>
        <w:t>Notas al Estado de Flujo de Efectivo</w:t>
      </w:r>
    </w:p>
    <w:p w:rsidR="00DD485D" w:rsidRPr="00DD485D" w:rsidRDefault="00DD485D" w:rsidP="00DD485D">
      <w:pPr>
        <w:spacing w:after="0" w:line="240" w:lineRule="auto"/>
        <w:ind w:left="360"/>
        <w:contextualSpacing/>
        <w:jc w:val="both"/>
        <w:rPr>
          <w:rFonts w:ascii="Barlow" w:eastAsia="Times New Roman" w:hAnsi="Barlow" w:cs="Arial"/>
          <w:b/>
          <w:sz w:val="20"/>
          <w:szCs w:val="20"/>
          <w:lang w:val="es-ES" w:eastAsia="es-ES"/>
        </w:rPr>
      </w:pPr>
    </w:p>
    <w:p w:rsidR="00DD485D" w:rsidRPr="00DD485D" w:rsidRDefault="00DD485D" w:rsidP="00DD485D">
      <w:pPr>
        <w:spacing w:after="0" w:line="240" w:lineRule="auto"/>
        <w:ind w:left="360"/>
        <w:contextualSpacing/>
        <w:jc w:val="both"/>
        <w:rPr>
          <w:rFonts w:ascii="Barlow" w:eastAsia="Times New Roman" w:hAnsi="Barlow"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410"/>
        <w:gridCol w:w="2551"/>
      </w:tblGrid>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center"/>
              <w:rPr>
                <w:rFonts w:ascii="Barlow" w:hAnsi="Barlow" w:cs="Arial"/>
                <w:b/>
                <w:lang w:val="es-ES" w:eastAsia="es-E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2018</w:t>
            </w: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 xml:space="preserve">Efectivo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spacing w:after="0" w:line="240" w:lineRule="auto"/>
              <w:jc w:val="right"/>
              <w:rPr>
                <w:rFonts w:ascii="Barlow" w:eastAsia="Times New Roman" w:hAnsi="Barlow" w:cs="Arial"/>
                <w:lang w:val="es-ES" w:eastAsia="es-ES"/>
              </w:rPr>
            </w:pPr>
            <w:r w:rsidRPr="00AE5D3E">
              <w:rPr>
                <w:rFonts w:ascii="Barlow" w:eastAsia="Times New Roman" w:hAnsi="Barlow" w:cs="Arial"/>
                <w:lang w:val="es-ES" w:eastAsia="es-ES"/>
              </w:rPr>
              <w:t>15,507.11</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lang w:val="es-ES"/>
              </w:rPr>
            </w:pPr>
            <w:r w:rsidRPr="00AE5D3E">
              <w:rPr>
                <w:rFonts w:ascii="Barlow" w:hAnsi="Barlow"/>
                <w:lang w:val="es-ES"/>
              </w:rPr>
              <w:t>13,341.11</w:t>
            </w: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Bancos Dependencias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spacing w:after="0" w:line="240" w:lineRule="auto"/>
              <w:jc w:val="right"/>
              <w:rPr>
                <w:rFonts w:ascii="Barlow" w:eastAsia="Times New Roman" w:hAnsi="Barlow" w:cs="Arial"/>
                <w:lang w:val="es-ES" w:eastAsia="es-ES"/>
              </w:rPr>
            </w:pPr>
            <w:r w:rsidRPr="00AE5D3E">
              <w:rPr>
                <w:rFonts w:ascii="Barlow" w:eastAsia="Times New Roman" w:hAnsi="Barlow" w:cs="Arial"/>
                <w:sz w:val="20"/>
                <w:szCs w:val="20"/>
                <w:lang w:val="es-ES" w:eastAsia="es-ES"/>
              </w:rPr>
              <w:t>7,368,410.09</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lang w:val="es-ES"/>
              </w:rPr>
            </w:pPr>
            <w:r w:rsidRPr="00AE5D3E">
              <w:rPr>
                <w:rFonts w:ascii="Barlow" w:hAnsi="Barlow"/>
                <w:lang w:val="es-ES"/>
              </w:rPr>
              <w:t>11,068,537.55</w:t>
            </w: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Inversiones Temporales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spacing w:after="0" w:line="240" w:lineRule="auto"/>
              <w:jc w:val="right"/>
              <w:rPr>
                <w:rFonts w:ascii="Barlow" w:eastAsia="Times New Roman" w:hAnsi="Barlow" w:cs="Arial"/>
                <w:lang w:val="es-ES" w:eastAsia="es-ES"/>
              </w:rPr>
            </w:pPr>
            <w:r w:rsidRPr="00AE5D3E">
              <w:rPr>
                <w:rFonts w:ascii="Barlow" w:eastAsia="Times New Roman" w:hAnsi="Barlow" w:cs="Arial"/>
                <w:sz w:val="18"/>
                <w:szCs w:val="20"/>
                <w:lang w:val="es-ES" w:eastAsia="es-ES"/>
              </w:rPr>
              <w:t>5,919,934.98</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lang w:val="es-ES"/>
              </w:rPr>
            </w:pPr>
            <w:r w:rsidRPr="00AE5D3E">
              <w:rPr>
                <w:rFonts w:ascii="Barlow" w:hAnsi="Barlow"/>
                <w:lang w:val="es-ES"/>
              </w:rPr>
              <w:t>3,645,577.24</w:t>
            </w: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Total de Efectivo y Equivalentes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spacing w:after="0" w:line="240" w:lineRule="auto"/>
              <w:jc w:val="right"/>
              <w:rPr>
                <w:rFonts w:ascii="Barlow" w:eastAsia="Times New Roman" w:hAnsi="Barlow" w:cs="Arial"/>
                <w:b/>
                <w:lang w:val="es-ES" w:eastAsia="es-ES"/>
              </w:rPr>
            </w:pPr>
            <w:r w:rsidRPr="00AE5D3E">
              <w:rPr>
                <w:rFonts w:ascii="Barlow" w:eastAsia="Times New Roman" w:hAnsi="Barlow" w:cs="Arial"/>
                <w:b/>
                <w:lang w:val="es-ES" w:eastAsia="es-ES"/>
              </w:rPr>
              <w:t>13,303,852.18</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b/>
                <w:lang w:val="es-ES"/>
              </w:rPr>
            </w:pPr>
            <w:r w:rsidRPr="00AE5D3E">
              <w:rPr>
                <w:rFonts w:ascii="Barlow" w:hAnsi="Barlow"/>
                <w:b/>
                <w:lang w:val="es-ES"/>
              </w:rPr>
              <w:t>14,727,455.90</w:t>
            </w:r>
          </w:p>
        </w:tc>
      </w:tr>
    </w:tbl>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numPr>
          <w:ilvl w:val="0"/>
          <w:numId w:val="19"/>
        </w:numPr>
        <w:spacing w:after="0" w:line="240" w:lineRule="auto"/>
        <w:contextualSpacing/>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Conciliación de flujo de Efectivo Neto de las actividades de Operación</w:t>
      </w:r>
    </w:p>
    <w:p w:rsidR="00DD485D" w:rsidRPr="00DD485D" w:rsidRDefault="00DD485D" w:rsidP="00DD485D">
      <w:pPr>
        <w:spacing w:after="0" w:line="240" w:lineRule="auto"/>
        <w:contextualSpacing/>
        <w:jc w:val="both"/>
        <w:rPr>
          <w:rFonts w:ascii="Barlow" w:eastAsia="Times New Roman" w:hAnsi="Barlow"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410"/>
        <w:gridCol w:w="2551"/>
      </w:tblGrid>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center"/>
              <w:rPr>
                <w:rFonts w:ascii="Barlow" w:hAnsi="Barlow" w:cs="Arial"/>
                <w:b/>
                <w:lang w:val="es-ES" w:eastAsia="es-E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center"/>
              <w:rPr>
                <w:rFonts w:ascii="Barlow" w:hAnsi="Barlow" w:cs="Arial"/>
                <w:b/>
                <w:lang w:val="es-ES" w:eastAsia="es-ES"/>
              </w:rPr>
            </w:pPr>
            <w:r w:rsidRPr="00AE5D3E">
              <w:rPr>
                <w:rFonts w:ascii="Barlow" w:hAnsi="Barlow" w:cs="Arial"/>
                <w:b/>
                <w:lang w:val="es-ES" w:eastAsia="es-ES"/>
              </w:rPr>
              <w:t>2018</w:t>
            </w: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Ahorro/Desahorro antes de rubros extraordinarios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D485D" w:rsidRPr="00AE5D3E" w:rsidRDefault="00DD485D" w:rsidP="00AE5D3E">
            <w:pPr>
              <w:spacing w:after="0" w:line="240" w:lineRule="auto"/>
              <w:jc w:val="right"/>
              <w:rPr>
                <w:rFonts w:ascii="Barlow" w:hAnsi="Barlow"/>
                <w:color w:val="000000"/>
                <w:lang w:val="es-ES"/>
              </w:rPr>
            </w:pPr>
            <w:r w:rsidRPr="00AE5D3E">
              <w:rPr>
                <w:rFonts w:ascii="Barlow" w:hAnsi="Barlow" w:cs="Arial"/>
                <w:color w:val="000000"/>
                <w:lang w:val="es-ES" w:eastAsia="es-ES"/>
              </w:rPr>
              <w:t xml:space="preserve">   4,985,500.50 </w:t>
            </w:r>
          </w:p>
          <w:p w:rsidR="00DD485D" w:rsidRPr="00AE5D3E" w:rsidRDefault="00DD485D" w:rsidP="00AE5D3E">
            <w:pPr>
              <w:spacing w:after="0" w:line="240" w:lineRule="auto"/>
              <w:jc w:val="right"/>
              <w:rPr>
                <w:rFonts w:ascii="Barlow" w:eastAsia="Times New Roman" w:hAnsi="Barlow" w:cs="Arial"/>
                <w:lang w:val="es-ES" w:eastAsia="es-E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spacing w:after="0" w:line="240" w:lineRule="auto"/>
              <w:jc w:val="right"/>
              <w:rPr>
                <w:rFonts w:ascii="Barlow" w:hAnsi="Barlow"/>
                <w:color w:val="000000"/>
                <w:lang w:val="es-ES"/>
              </w:rPr>
            </w:pPr>
            <w:r w:rsidRPr="00AE5D3E">
              <w:rPr>
                <w:rFonts w:ascii="Barlow" w:hAnsi="Barlow"/>
                <w:color w:val="000000"/>
                <w:lang w:val="es-ES"/>
              </w:rPr>
              <w:t xml:space="preserve">   3,888,629.55 </w:t>
            </w:r>
          </w:p>
          <w:p w:rsidR="00DD485D" w:rsidRPr="00AE5D3E" w:rsidRDefault="00DD485D" w:rsidP="00AE5D3E">
            <w:pPr>
              <w:jc w:val="right"/>
              <w:rPr>
                <w:rFonts w:ascii="Barlow" w:hAnsi="Barlow"/>
                <w:lang w:val="es-ES"/>
              </w:rPr>
            </w:pP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Depreciación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D485D" w:rsidRPr="00AE5D3E" w:rsidRDefault="00DD485D" w:rsidP="00AE5D3E">
            <w:pPr>
              <w:spacing w:after="0" w:line="240" w:lineRule="auto"/>
              <w:jc w:val="right"/>
              <w:rPr>
                <w:rFonts w:ascii="Barlow" w:hAnsi="Barlow"/>
                <w:color w:val="000000"/>
                <w:lang w:val="es-ES"/>
              </w:rPr>
            </w:pPr>
            <w:r w:rsidRPr="00AE5D3E">
              <w:rPr>
                <w:rFonts w:ascii="Barlow" w:hAnsi="Barlow" w:cs="Arial"/>
                <w:color w:val="000000"/>
                <w:lang w:val="es-ES" w:eastAsia="es-ES"/>
              </w:rPr>
              <w:t xml:space="preserve">   0.00 </w:t>
            </w:r>
          </w:p>
          <w:p w:rsidR="00DD485D" w:rsidRPr="00AE5D3E" w:rsidRDefault="00DD485D" w:rsidP="00AE5D3E">
            <w:pPr>
              <w:spacing w:after="0" w:line="240" w:lineRule="auto"/>
              <w:jc w:val="right"/>
              <w:rPr>
                <w:rFonts w:ascii="Barlow" w:eastAsia="Times New Roman" w:hAnsi="Barlow" w:cs="Arial"/>
                <w:lang w:val="es-ES" w:eastAsia="es-E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spacing w:after="0" w:line="240" w:lineRule="auto"/>
              <w:jc w:val="right"/>
              <w:rPr>
                <w:rFonts w:ascii="Barlow" w:hAnsi="Barlow"/>
                <w:color w:val="000000"/>
                <w:lang w:val="es-ES"/>
              </w:rPr>
            </w:pPr>
            <w:r w:rsidRPr="00AE5D3E">
              <w:rPr>
                <w:rFonts w:ascii="Barlow" w:hAnsi="Barlow"/>
                <w:color w:val="000000"/>
                <w:lang w:val="es-ES"/>
              </w:rPr>
              <w:t xml:space="preserve">   0.00 </w:t>
            </w:r>
          </w:p>
          <w:p w:rsidR="00DD485D" w:rsidRPr="00AE5D3E" w:rsidRDefault="00DD485D" w:rsidP="00AE5D3E">
            <w:pPr>
              <w:jc w:val="right"/>
              <w:rPr>
                <w:rFonts w:ascii="Barlow" w:hAnsi="Barlow"/>
                <w:lang w:val="es-ES"/>
              </w:rPr>
            </w:pP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both"/>
              <w:rPr>
                <w:rFonts w:ascii="Barlow" w:hAnsi="Barlow" w:cs="Arial"/>
                <w:lang w:val="es-ES" w:eastAsia="es-ES"/>
              </w:rPr>
            </w:pPr>
            <w:r w:rsidRPr="00AE5D3E">
              <w:rPr>
                <w:rFonts w:ascii="Barlow" w:hAnsi="Barlow" w:cs="Arial"/>
                <w:lang w:val="es-ES" w:eastAsia="es-ES"/>
              </w:rPr>
              <w:t>Amortización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D485D" w:rsidRPr="00AE5D3E" w:rsidRDefault="00DD485D" w:rsidP="00AE5D3E">
            <w:pPr>
              <w:spacing w:after="0" w:line="240" w:lineRule="auto"/>
              <w:jc w:val="right"/>
              <w:rPr>
                <w:rFonts w:ascii="Barlow" w:eastAsia="Times New Roman" w:hAnsi="Barlow" w:cs="Arial"/>
                <w:lang w:val="es-ES" w:eastAsia="es-ES"/>
              </w:rPr>
            </w:pPr>
            <w:r w:rsidRPr="00AE5D3E">
              <w:rPr>
                <w:rFonts w:ascii="Barlow" w:eastAsia="Times New Roman" w:hAnsi="Barlow" w:cs="Arial"/>
                <w:lang w:val="es-ES" w:eastAsia="es-ES"/>
              </w:rPr>
              <w:t>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DD485D" w:rsidRPr="00AE5D3E" w:rsidRDefault="00DD485D" w:rsidP="00AE5D3E">
            <w:pPr>
              <w:jc w:val="right"/>
              <w:rPr>
                <w:rFonts w:ascii="Barlow" w:hAnsi="Barlow"/>
                <w:lang w:val="es-ES"/>
              </w:rPr>
            </w:pPr>
            <w:r w:rsidRPr="00AE5D3E">
              <w:rPr>
                <w:rFonts w:ascii="Barlow" w:hAnsi="Barlow"/>
                <w:lang w:val="es-ES"/>
              </w:rPr>
              <w:t>0.00</w:t>
            </w:r>
          </w:p>
        </w:tc>
      </w:tr>
      <w:tr w:rsidR="00AE5D3E" w:rsidRPr="00AE5D3E" w:rsidTr="00AE5D3E">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center"/>
              <w:rPr>
                <w:rFonts w:ascii="Barlow" w:hAnsi="Barlow" w:cs="Arial"/>
                <w:b/>
                <w:lang w:val="es-ES" w:eastAsia="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D485D" w:rsidRPr="00AE5D3E" w:rsidRDefault="00DD485D" w:rsidP="00AE5D3E">
            <w:pPr>
              <w:spacing w:after="0" w:line="240" w:lineRule="auto"/>
              <w:jc w:val="right"/>
              <w:rPr>
                <w:rFonts w:ascii="Barlow" w:eastAsia="Times New Roman" w:hAnsi="Barlow" w:cs="Arial"/>
                <w:b/>
                <w:lang w:val="es-ES" w:eastAsia="es-E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D485D" w:rsidRPr="00AE5D3E" w:rsidRDefault="00DD485D" w:rsidP="00AE5D3E">
            <w:pPr>
              <w:jc w:val="right"/>
              <w:rPr>
                <w:rFonts w:ascii="Barlow" w:hAnsi="Barlow"/>
                <w:b/>
                <w:lang w:val="es-ES"/>
              </w:rPr>
            </w:pPr>
          </w:p>
        </w:tc>
      </w:tr>
    </w:tbl>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pStyle w:val="Prrafodelista"/>
        <w:numPr>
          <w:ilvl w:val="0"/>
          <w:numId w:val="17"/>
        </w:num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 xml:space="preserve">NOTAS DE MEMORIA </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Cuentas de Orden Contables y Presupuestarias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 xml:space="preserve">Cuentas De orden contables </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hAnsi="Barlow"/>
        </w:rPr>
        <w:t>En el instituto no se registran eventos, que, si bien pudiesen representar hechos económico-financieros que alteren el patrimonio y por lo tanto los resultados del ente público, por lo tanto no existe circunstancias contingentes o eventuales de importancia respecto de éste, que en determinadas condiciones, puedan producir efectos patrimoniales en el instituto.</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Cuentas de Orden Presupuestarias.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hAnsi="Barlow"/>
        </w:rPr>
        <w:t>Representa el importe de las operaciones presupuestarias que afectan la Ley de Ingresos y el Presupuesto de Egresos.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Cuentas de Ingresos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hAnsi="Barlow"/>
        </w:rPr>
        <w:t>Las cuentas de orden que afectan la ley de ingresos están siendo aplicadas con la finalidad de registrar, a partir de la Ley y a través de los rubros que la componen las operaciones de ingresos del período.</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Cuentas de Egresos</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hAnsi="Barlow"/>
        </w:rPr>
        <w:t>Las cuentas de orden presupuestarias de egresos están siendo aplicadas con la de finalidad registrar, a partir del Presupuesto de Egresos del período y mediante los rubros que lo componen, las operaciones presupuestarias del período.</w:t>
      </w:r>
    </w:p>
    <w:p w:rsidR="00DD485D" w:rsidRDefault="00DD485D" w:rsidP="00DD485D">
      <w:pPr>
        <w:spacing w:after="0" w:line="240" w:lineRule="auto"/>
        <w:jc w:val="both"/>
        <w:rPr>
          <w:rFonts w:ascii="Barlow" w:eastAsia="Times New Roman" w:hAnsi="Barlow" w:cs="Arial"/>
          <w:sz w:val="20"/>
          <w:szCs w:val="20"/>
          <w:lang w:val="es-ES" w:eastAsia="es-ES"/>
        </w:rPr>
      </w:pPr>
    </w:p>
    <w:p w:rsidR="00551873" w:rsidRDefault="00551873" w:rsidP="00DD485D">
      <w:pPr>
        <w:spacing w:after="0" w:line="240" w:lineRule="auto"/>
        <w:jc w:val="both"/>
        <w:rPr>
          <w:rFonts w:ascii="Barlow" w:eastAsia="Times New Roman" w:hAnsi="Barlow" w:cs="Arial"/>
          <w:sz w:val="20"/>
          <w:szCs w:val="20"/>
          <w:lang w:val="es-ES" w:eastAsia="es-ES"/>
        </w:rPr>
      </w:pPr>
    </w:p>
    <w:p w:rsidR="00551873" w:rsidRPr="00DD485D" w:rsidRDefault="00551873"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pStyle w:val="Prrafodelista"/>
        <w:numPr>
          <w:ilvl w:val="0"/>
          <w:numId w:val="17"/>
        </w:numPr>
        <w:spacing w:line="240" w:lineRule="auto"/>
        <w:rPr>
          <w:rFonts w:ascii="Barlow" w:hAnsi="Barlow" w:cs="Arial"/>
          <w:b/>
          <w:szCs w:val="20"/>
        </w:rPr>
      </w:pPr>
      <w:r w:rsidRPr="00DD485D">
        <w:rPr>
          <w:rFonts w:ascii="Barlow" w:hAnsi="Barlow" w:cs="Arial"/>
          <w:b/>
          <w:szCs w:val="20"/>
        </w:rPr>
        <w:lastRenderedPageBreak/>
        <w:t>NOTAS DE GESTIÓN ADMINISTRATIVO</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Panorama económico y financiero</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Para la realización de sus actividades, el Instituto recibe aportaciones de los gobiernos federal y estatal. Dichas aportaciones están reguladas en el convenio de coordinación que para la creación, operación y apoyo financiero del Instituto Tecnológico Superior de Valladolid celebraron la Secretaría de Educación Pública y el Gobierno del Estado de Yucatán.</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Autorización e Historia</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Instituto Tecnológico Superior de Valladolid  es un Organismo Público Descentralizado del Gobierno del Estado de Yucatán, con personalidad jurídica y patrimonio propios, de conformidad con lo dispuesto en el Decreto de creación número 271 del Ejecutivo del Estado de fecha 15 de junio del 2000, publicado en el Diario Oficial del Gobierno del Estado de Yucatán el día 22 de junio de 2000, así como las subsecuentes reformas a dicho Decreto, publicadas en el Diario Oficial del Gobierno del Estado los días 07 de julio de 2003 y 30 de agosto de 2005, cuyo objeto es satisfacer la demanda de Educación Superior Tecnológica con base en los requerimientos de la región mediante la formación de profesionales para contribuir al desarrollo educativo del País.</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Organización y Objeto social</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La principal actividad del instituto es Impartir servicios educativos de calidad para formar de manera integral profesionistas competitivos que contribuyan al desarrollo socioeconómico del país para este ejercicio fiscal correspondiente al año 2018. </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régimen Fiscal del Instituto es el correspondiente a las personas morales con fines no lucrativos según el artículo 95 fracción X de la Ley del Impuesto Sobre la Renta, por lo que la obligación fiscal es retener y enterar los impuestos retenidos, así como solicitar cuando se realice algún pago, documentación que cumpla con los requisitos fiscales.</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Default="00DD485D" w:rsidP="00DD485D">
      <w:pPr>
        <w:spacing w:after="0" w:line="240" w:lineRule="auto"/>
        <w:jc w:val="both"/>
        <w:rPr>
          <w:rFonts w:ascii="Barlow" w:eastAsia="Times New Roman" w:hAnsi="Barlow" w:cs="Arial"/>
          <w:sz w:val="20"/>
          <w:szCs w:val="20"/>
          <w:lang w:val="es-ES" w:eastAsia="es-ES"/>
        </w:rPr>
      </w:pPr>
    </w:p>
    <w:p w:rsidR="00551873" w:rsidRDefault="00551873" w:rsidP="00DD485D">
      <w:pPr>
        <w:spacing w:after="0" w:line="240" w:lineRule="auto"/>
        <w:jc w:val="both"/>
        <w:rPr>
          <w:rFonts w:ascii="Barlow" w:eastAsia="Times New Roman" w:hAnsi="Barlow" w:cs="Arial"/>
          <w:sz w:val="20"/>
          <w:szCs w:val="20"/>
          <w:lang w:val="es-ES" w:eastAsia="es-ES"/>
        </w:rPr>
      </w:pPr>
    </w:p>
    <w:p w:rsidR="00551873" w:rsidRDefault="00551873" w:rsidP="00DD485D">
      <w:pPr>
        <w:spacing w:after="0" w:line="240" w:lineRule="auto"/>
        <w:jc w:val="both"/>
        <w:rPr>
          <w:rFonts w:ascii="Barlow" w:eastAsia="Times New Roman" w:hAnsi="Barlow" w:cs="Arial"/>
          <w:sz w:val="20"/>
          <w:szCs w:val="20"/>
          <w:lang w:val="es-ES" w:eastAsia="es-ES"/>
        </w:rPr>
      </w:pPr>
    </w:p>
    <w:p w:rsidR="00551873" w:rsidRPr="00DD485D" w:rsidRDefault="00551873"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lastRenderedPageBreak/>
        <w:t>Bases de Preparación de Estados Financieros</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artículo 44 de la Ley General de Contabilidad Gubernamental indica que los estados financiero y la información emanada de la contabilidad deberán sujetarse a criterios de utilidad, confiabilidad, relevancia, comprensibilidad y de comparación, así como otros atributos asociados a cada uno de ellos como oportunidad, veracidad, representatividad, objetividad, suficiencia, posibilidad de predicción e importancia relativa, con el fin de alcanza la modernización y armonización que la ley determina.</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 xml:space="preserve">Políticas de Contabilidad Significativa </w:t>
      </w:r>
    </w:p>
    <w:p w:rsidR="00DD485D" w:rsidRPr="00DD485D" w:rsidRDefault="00DD485D" w:rsidP="00DD485D">
      <w:pPr>
        <w:spacing w:after="0" w:line="240" w:lineRule="auto"/>
        <w:jc w:val="both"/>
        <w:rPr>
          <w:rFonts w:ascii="Barlow" w:eastAsia="Times New Roman" w:hAnsi="Barlow" w:cs="Arial"/>
          <w:b/>
          <w:sz w:val="20"/>
          <w:szCs w:val="20"/>
          <w:lang w:val="es-ES" w:eastAsia="es-ES"/>
        </w:rPr>
      </w:pPr>
    </w:p>
    <w:p w:rsidR="00DD485D" w:rsidRPr="00DD485D" w:rsidRDefault="00DD485D" w:rsidP="00DD485D">
      <w:pPr>
        <w:spacing w:after="0" w:line="240" w:lineRule="auto"/>
        <w:jc w:val="both"/>
        <w:rPr>
          <w:rFonts w:ascii="Barlow" w:eastAsia="Times New Roman" w:hAnsi="Barlow" w:cs="Arial"/>
          <w:sz w:val="20"/>
          <w:szCs w:val="20"/>
          <w:lang w:val="es-ES" w:eastAsia="es-ES"/>
        </w:rPr>
      </w:pPr>
      <w:bookmarkStart w:id="0" w:name="OLE_LINK2"/>
      <w:bookmarkStart w:id="1" w:name="OLE_LINK1"/>
      <w:r w:rsidRPr="00DD485D">
        <w:rPr>
          <w:rFonts w:ascii="Barlow" w:eastAsia="Times New Roman" w:hAnsi="Barlow" w:cs="Arial"/>
          <w:sz w:val="20"/>
          <w:szCs w:val="20"/>
          <w:lang w:val="es-ES" w:eastAsia="es-ES"/>
        </w:rPr>
        <w:t>Para determinar la información presupuestal, contable, financiera y de otra índole, esta entidad lleva su propia contabilidad, el artículo 37 de la LGCG y el 152 de la LPCGEY establecen que para el registro de las operaciones presupuestarias y contables, los entes públicos deberán ajustarse a sus respectivos catálogos de cuentas, cuyas listas de cuentas estarán alineadas tanto conceptualmente como en sus principales agregados, al plan de cuentas que emita el consejo. Para tal propósito, se tomarán en consideración las necesidades de administración financiera de los entes públicos, así como las de control y fiscalización.</w:t>
      </w:r>
    </w:p>
    <w:p w:rsidR="00DD485D" w:rsidRPr="00DD485D" w:rsidRDefault="00DD485D" w:rsidP="00DD485D">
      <w:pPr>
        <w:spacing w:after="0" w:line="240" w:lineRule="auto"/>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La preparación de los estados financieros se basa en las siguientes políticas y prácticas contables:</w:t>
      </w:r>
    </w:p>
    <w:p w:rsidR="00DD485D" w:rsidRPr="00DD485D" w:rsidRDefault="00DD485D" w:rsidP="00DD485D">
      <w:pPr>
        <w:spacing w:after="0" w:line="240" w:lineRule="auto"/>
        <w:jc w:val="both"/>
        <w:rPr>
          <w:rFonts w:ascii="Barlow" w:eastAsia="Times New Roman" w:hAnsi="Barlow" w:cs="Arial"/>
          <w:sz w:val="20"/>
          <w:szCs w:val="20"/>
          <w:lang w:val="es-ES" w:eastAsia="es-ES"/>
        </w:rPr>
      </w:pPr>
    </w:p>
    <w:p w:rsidR="00DD485D" w:rsidRPr="00DD485D" w:rsidRDefault="00DD485D" w:rsidP="00DD485D">
      <w:pPr>
        <w:numPr>
          <w:ilvl w:val="0"/>
          <w:numId w:val="8"/>
        </w:numPr>
        <w:tabs>
          <w:tab w:val="num" w:pos="567"/>
        </w:tabs>
        <w:spacing w:after="0" w:line="240" w:lineRule="auto"/>
        <w:ind w:left="709"/>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 xml:space="preserve">  Registro contable</w:t>
      </w:r>
    </w:p>
    <w:p w:rsidR="00DD485D" w:rsidRPr="00DD485D" w:rsidRDefault="00DD485D" w:rsidP="00DD485D">
      <w:pPr>
        <w:spacing w:after="0" w:line="240" w:lineRule="auto"/>
        <w:ind w:left="709"/>
        <w:jc w:val="both"/>
        <w:rPr>
          <w:rFonts w:ascii="Barlow" w:eastAsia="Times New Roman" w:hAnsi="Barlow" w:cs="Arial"/>
          <w:b/>
          <w:sz w:val="20"/>
          <w:szCs w:val="20"/>
          <w:lang w:val="es-ES" w:eastAsia="es-ES"/>
        </w:rPr>
      </w:pPr>
    </w:p>
    <w:p w:rsidR="00DD485D" w:rsidRPr="00DD485D" w:rsidRDefault="00DD485D" w:rsidP="00551873">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 xml:space="preserve">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 </w:t>
      </w:r>
    </w:p>
    <w:p w:rsidR="00DD485D" w:rsidRPr="00DD485D" w:rsidRDefault="00DD485D" w:rsidP="00DD485D">
      <w:pPr>
        <w:tabs>
          <w:tab w:val="num" w:pos="567"/>
        </w:tabs>
        <w:spacing w:after="0" w:line="240" w:lineRule="auto"/>
        <w:jc w:val="both"/>
        <w:rPr>
          <w:rFonts w:ascii="Barlow" w:eastAsia="Times New Roman" w:hAnsi="Barlow" w:cs="Arial"/>
          <w:sz w:val="20"/>
          <w:szCs w:val="20"/>
          <w:lang w:val="es-ES" w:eastAsia="es-ES"/>
        </w:rPr>
      </w:pPr>
    </w:p>
    <w:p w:rsidR="00DD485D" w:rsidRPr="00DD485D" w:rsidRDefault="00DD485D" w:rsidP="00DD485D">
      <w:pPr>
        <w:numPr>
          <w:ilvl w:val="0"/>
          <w:numId w:val="8"/>
        </w:numPr>
        <w:spacing w:after="0" w:line="240" w:lineRule="auto"/>
        <w:jc w:val="both"/>
        <w:rPr>
          <w:rFonts w:ascii="Barlow" w:eastAsia="Times New Roman" w:hAnsi="Barlow" w:cs="Arial"/>
          <w:b/>
          <w:sz w:val="20"/>
          <w:szCs w:val="20"/>
          <w:lang w:val="es-ES" w:eastAsia="es-ES"/>
        </w:rPr>
      </w:pPr>
      <w:r w:rsidRPr="00DD485D">
        <w:rPr>
          <w:rFonts w:ascii="Barlow" w:eastAsia="Times New Roman" w:hAnsi="Barlow" w:cs="Arial"/>
          <w:b/>
          <w:sz w:val="20"/>
          <w:szCs w:val="20"/>
          <w:lang w:val="es-ES" w:eastAsia="es-ES"/>
        </w:rPr>
        <w:t>Momentos  contables</w:t>
      </w:r>
    </w:p>
    <w:p w:rsidR="00DD485D" w:rsidRPr="00DD485D" w:rsidRDefault="00DD485D" w:rsidP="00DD485D">
      <w:pPr>
        <w:spacing w:after="0" w:line="240" w:lineRule="auto"/>
        <w:ind w:left="720"/>
        <w:jc w:val="both"/>
        <w:rPr>
          <w:rFonts w:ascii="Barlow" w:eastAsia="Times New Roman" w:hAnsi="Barlow" w:cs="Arial"/>
          <w:b/>
          <w:sz w:val="20"/>
          <w:szCs w:val="20"/>
          <w:lang w:val="es-ES" w:eastAsia="es-ES"/>
        </w:rPr>
      </w:pPr>
    </w:p>
    <w:p w:rsidR="00DD485D" w:rsidRPr="00DD485D" w:rsidRDefault="00DD485D" w:rsidP="00DD485D">
      <w:pPr>
        <w:tabs>
          <w:tab w:val="num" w:pos="567"/>
        </w:tabs>
        <w:spacing w:after="0" w:line="240" w:lineRule="auto"/>
        <w:ind w:left="709"/>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EL artículo 38 de la Ley General de Contabilidad Gubernamental (LGCG) y el 153 de la Ley de Presupuesto y contabilidad Gubernamental del Estado de Yucatán establecen que el registro de las etapas del presupuesto de los entes públicos se efectuará en las cuentas contables que, para tal efecto establezca el consejo, las cuales deberán reflejar:</w:t>
      </w:r>
    </w:p>
    <w:p w:rsidR="00DD485D" w:rsidRPr="00DD485D" w:rsidRDefault="00DD485D" w:rsidP="00DD485D">
      <w:pPr>
        <w:numPr>
          <w:ilvl w:val="0"/>
          <w:numId w:val="21"/>
        </w:numPr>
        <w:spacing w:after="0" w:line="240" w:lineRule="auto"/>
        <w:contextualSpacing/>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En lo relativo al gasto, el aprobado, modificado, comprometido, devengado y recaudado.</w:t>
      </w:r>
    </w:p>
    <w:p w:rsidR="00DD485D" w:rsidRPr="00DD485D" w:rsidRDefault="00DD485D" w:rsidP="00DD485D">
      <w:pPr>
        <w:numPr>
          <w:ilvl w:val="0"/>
          <w:numId w:val="21"/>
        </w:numPr>
        <w:spacing w:after="0" w:line="240" w:lineRule="auto"/>
        <w:contextualSpacing/>
        <w:jc w:val="both"/>
        <w:rPr>
          <w:rFonts w:ascii="Barlow" w:eastAsia="Times New Roman" w:hAnsi="Barlow" w:cs="Arial"/>
          <w:sz w:val="20"/>
          <w:szCs w:val="20"/>
          <w:lang w:val="es-ES" w:eastAsia="es-ES"/>
        </w:rPr>
      </w:pPr>
      <w:r w:rsidRPr="00DD485D">
        <w:rPr>
          <w:rFonts w:ascii="Barlow" w:eastAsia="Times New Roman" w:hAnsi="Barlow" w:cs="Arial"/>
          <w:sz w:val="20"/>
          <w:szCs w:val="20"/>
          <w:lang w:val="es-ES" w:eastAsia="es-ES"/>
        </w:rPr>
        <w:t>En lo relativo al ingreso, el estimado, modificado, devengado y recaudado.</w:t>
      </w:r>
      <w:bookmarkEnd w:id="0"/>
      <w:bookmarkEnd w:id="1"/>
    </w:p>
    <w:p w:rsidR="00310854" w:rsidRPr="00DD485D" w:rsidRDefault="00310854" w:rsidP="006F3019">
      <w:pPr>
        <w:spacing w:line="240" w:lineRule="auto"/>
        <w:rPr>
          <w:rFonts w:ascii="Barlow" w:hAnsi="Barlow" w:cs="Arial"/>
          <w:b/>
          <w:sz w:val="20"/>
          <w:szCs w:val="20"/>
          <w:lang w:val="es-ES"/>
        </w:rPr>
      </w:pPr>
      <w:bookmarkStart w:id="2" w:name="_GoBack"/>
      <w:bookmarkEnd w:id="2"/>
    </w:p>
    <w:p w:rsidR="006F355A" w:rsidRPr="00DD485D" w:rsidRDefault="006F355A" w:rsidP="006F3019">
      <w:pPr>
        <w:spacing w:line="240" w:lineRule="auto"/>
        <w:rPr>
          <w:rFonts w:ascii="Barlow" w:hAnsi="Barlow" w:cs="Arial"/>
          <w:sz w:val="20"/>
          <w:szCs w:val="20"/>
        </w:rPr>
      </w:pPr>
      <w:r w:rsidRPr="00DD485D">
        <w:rPr>
          <w:rFonts w:ascii="Barlow" w:hAnsi="Barlow" w:cs="Arial"/>
          <w:sz w:val="20"/>
          <w:szCs w:val="20"/>
        </w:rPr>
        <w:t>Bajo protesta de decir verdad declaramos que</w:t>
      </w:r>
      <w:r w:rsidR="00DD454E" w:rsidRPr="00DD485D">
        <w:rPr>
          <w:rFonts w:ascii="Barlow" w:hAnsi="Barlow" w:cs="Arial"/>
          <w:sz w:val="20"/>
          <w:szCs w:val="20"/>
        </w:rPr>
        <w:t xml:space="preserve"> los Estados Financieros y sus N</w:t>
      </w:r>
      <w:r w:rsidRPr="00DD485D">
        <w:rPr>
          <w:rFonts w:ascii="Barlow" w:hAnsi="Barlow" w:cs="Arial"/>
          <w:sz w:val="20"/>
          <w:szCs w:val="20"/>
        </w:rPr>
        <w:t>otas son razonablemente correctos y responsabilidad del emisor.</w:t>
      </w:r>
    </w:p>
    <w:sectPr w:rsidR="006F355A" w:rsidRPr="00DD485D" w:rsidSect="00134A70">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3E" w:rsidRDefault="00AE5D3E" w:rsidP="00403D41">
      <w:pPr>
        <w:spacing w:after="0" w:line="240" w:lineRule="auto"/>
      </w:pPr>
      <w:r>
        <w:separator/>
      </w:r>
    </w:p>
  </w:endnote>
  <w:endnote w:type="continuationSeparator" w:id="0">
    <w:p w:rsidR="00AE5D3E" w:rsidRDefault="00AE5D3E" w:rsidP="0040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arlo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3E" w:rsidRDefault="00AE5D3E" w:rsidP="00403D41">
      <w:pPr>
        <w:spacing w:after="0" w:line="240" w:lineRule="auto"/>
      </w:pPr>
      <w:r>
        <w:separator/>
      </w:r>
    </w:p>
  </w:footnote>
  <w:footnote w:type="continuationSeparator" w:id="0">
    <w:p w:rsidR="00AE5D3E" w:rsidRDefault="00AE5D3E" w:rsidP="00403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86F"/>
    <w:multiLevelType w:val="hybridMultilevel"/>
    <w:tmpl w:val="FFDA0258"/>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C3975C3"/>
    <w:multiLevelType w:val="hybridMultilevel"/>
    <w:tmpl w:val="625CF612"/>
    <w:lvl w:ilvl="0" w:tplc="0C0A0011">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nsid w:val="1FD030BD"/>
    <w:multiLevelType w:val="hybridMultilevel"/>
    <w:tmpl w:val="42366476"/>
    <w:lvl w:ilvl="0" w:tplc="EC0631D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7E52BEA"/>
    <w:multiLevelType w:val="hybridMultilevel"/>
    <w:tmpl w:val="9708A91C"/>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31A4285E"/>
    <w:multiLevelType w:val="hybridMultilevel"/>
    <w:tmpl w:val="74BA8E42"/>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321C1B54"/>
    <w:multiLevelType w:val="hybridMultilevel"/>
    <w:tmpl w:val="4858C910"/>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95969A5"/>
    <w:multiLevelType w:val="hybridMultilevel"/>
    <w:tmpl w:val="711EF108"/>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8">
    <w:nsid w:val="6C611473"/>
    <w:multiLevelType w:val="hybridMultilevel"/>
    <w:tmpl w:val="3C7E235A"/>
    <w:lvl w:ilvl="0" w:tplc="353493B0">
      <w:start w:val="9"/>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3AE3795"/>
    <w:multiLevelType w:val="hybridMultilevel"/>
    <w:tmpl w:val="EB3633A8"/>
    <w:lvl w:ilvl="0" w:tplc="1DD6FD32">
      <w:start w:val="2"/>
      <w:numFmt w:val="upperRoman"/>
      <w:lvlText w:val="%1)"/>
      <w:lvlJc w:val="left"/>
      <w:pPr>
        <w:ind w:left="1146"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790A"/>
    <w:rsid w:val="000773CA"/>
    <w:rsid w:val="000A126C"/>
    <w:rsid w:val="000A4981"/>
    <w:rsid w:val="000E3295"/>
    <w:rsid w:val="000E6393"/>
    <w:rsid w:val="00134A70"/>
    <w:rsid w:val="00197C2B"/>
    <w:rsid w:val="002103F2"/>
    <w:rsid w:val="00273238"/>
    <w:rsid w:val="00274038"/>
    <w:rsid w:val="002C58EF"/>
    <w:rsid w:val="00310854"/>
    <w:rsid w:val="003129FF"/>
    <w:rsid w:val="003210C1"/>
    <w:rsid w:val="003568DA"/>
    <w:rsid w:val="00386169"/>
    <w:rsid w:val="003E2DC9"/>
    <w:rsid w:val="003E5BEC"/>
    <w:rsid w:val="00403D41"/>
    <w:rsid w:val="00430A81"/>
    <w:rsid w:val="00443CFE"/>
    <w:rsid w:val="004738AB"/>
    <w:rsid w:val="00494707"/>
    <w:rsid w:val="005179B6"/>
    <w:rsid w:val="0052094E"/>
    <w:rsid w:val="00551873"/>
    <w:rsid w:val="00557E31"/>
    <w:rsid w:val="005620D4"/>
    <w:rsid w:val="00594617"/>
    <w:rsid w:val="005C46C9"/>
    <w:rsid w:val="005E790C"/>
    <w:rsid w:val="005F318A"/>
    <w:rsid w:val="005F3FD3"/>
    <w:rsid w:val="005F5764"/>
    <w:rsid w:val="00626DFB"/>
    <w:rsid w:val="00657633"/>
    <w:rsid w:val="0067300E"/>
    <w:rsid w:val="006970E9"/>
    <w:rsid w:val="006D0315"/>
    <w:rsid w:val="006D037C"/>
    <w:rsid w:val="006E5B4F"/>
    <w:rsid w:val="006F0BF0"/>
    <w:rsid w:val="006F3019"/>
    <w:rsid w:val="006F355A"/>
    <w:rsid w:val="00783C8C"/>
    <w:rsid w:val="00791D6E"/>
    <w:rsid w:val="007B43D9"/>
    <w:rsid w:val="007E138C"/>
    <w:rsid w:val="0082318B"/>
    <w:rsid w:val="00837B00"/>
    <w:rsid w:val="008460A3"/>
    <w:rsid w:val="0086622C"/>
    <w:rsid w:val="008A023F"/>
    <w:rsid w:val="008B458A"/>
    <w:rsid w:val="008E0FA2"/>
    <w:rsid w:val="00904A24"/>
    <w:rsid w:val="00915AD7"/>
    <w:rsid w:val="00935BA2"/>
    <w:rsid w:val="009635D8"/>
    <w:rsid w:val="0096376F"/>
    <w:rsid w:val="009779B3"/>
    <w:rsid w:val="0098250A"/>
    <w:rsid w:val="009F0748"/>
    <w:rsid w:val="009F3250"/>
    <w:rsid w:val="009F44B5"/>
    <w:rsid w:val="00A52D01"/>
    <w:rsid w:val="00AC192E"/>
    <w:rsid w:val="00AE5D3E"/>
    <w:rsid w:val="00B3279F"/>
    <w:rsid w:val="00B50641"/>
    <w:rsid w:val="00B56042"/>
    <w:rsid w:val="00B644A6"/>
    <w:rsid w:val="00B765A9"/>
    <w:rsid w:val="00BA482C"/>
    <w:rsid w:val="00BF6CAF"/>
    <w:rsid w:val="00C36172"/>
    <w:rsid w:val="00C56B8F"/>
    <w:rsid w:val="00C86955"/>
    <w:rsid w:val="00CC4E60"/>
    <w:rsid w:val="00CE5E9F"/>
    <w:rsid w:val="00CF2DF2"/>
    <w:rsid w:val="00CF42B2"/>
    <w:rsid w:val="00D4408C"/>
    <w:rsid w:val="00D546E1"/>
    <w:rsid w:val="00D56425"/>
    <w:rsid w:val="00D83798"/>
    <w:rsid w:val="00DD454E"/>
    <w:rsid w:val="00DD485D"/>
    <w:rsid w:val="00DD77DA"/>
    <w:rsid w:val="00E17010"/>
    <w:rsid w:val="00E37E90"/>
    <w:rsid w:val="00EA39FD"/>
    <w:rsid w:val="00EB2D4A"/>
    <w:rsid w:val="00EB3E01"/>
    <w:rsid w:val="00EB7D20"/>
    <w:rsid w:val="00EC49CB"/>
    <w:rsid w:val="00F71A76"/>
    <w:rsid w:val="00FB6DD7"/>
    <w:rsid w:val="00FD38D0"/>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3"/>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F44B5"/>
    <w:pPr>
      <w:ind w:left="720"/>
      <w:contextualSpacing/>
    </w:pPr>
  </w:style>
  <w:style w:type="table" w:customStyle="1" w:styleId="Tablaconcuadrcula2">
    <w:name w:val="Tabla con cuadrícula2"/>
    <w:basedOn w:val="Tablanormal"/>
    <w:uiPriority w:val="59"/>
    <w:rsid w:val="00CF42B2"/>
    <w:rPr>
      <w:sz w:val="22"/>
      <w:szCs w:val="22"/>
      <w:lang w:val="es-E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403D41"/>
    <w:pPr>
      <w:tabs>
        <w:tab w:val="center" w:pos="4419"/>
        <w:tab w:val="right" w:pos="8838"/>
      </w:tabs>
    </w:pPr>
  </w:style>
  <w:style w:type="character" w:customStyle="1" w:styleId="EncabezadoCar">
    <w:name w:val="Encabezado Car"/>
    <w:link w:val="Encabezado"/>
    <w:uiPriority w:val="99"/>
    <w:rsid w:val="00403D41"/>
    <w:rPr>
      <w:sz w:val="22"/>
      <w:szCs w:val="22"/>
      <w:lang w:eastAsia="en-US"/>
    </w:rPr>
  </w:style>
  <w:style w:type="paragraph" w:styleId="Piedepgina">
    <w:name w:val="footer"/>
    <w:basedOn w:val="Normal"/>
    <w:link w:val="PiedepginaCar"/>
    <w:uiPriority w:val="99"/>
    <w:unhideWhenUsed/>
    <w:rsid w:val="00403D41"/>
    <w:pPr>
      <w:tabs>
        <w:tab w:val="center" w:pos="4419"/>
        <w:tab w:val="right" w:pos="8838"/>
      </w:tabs>
    </w:pPr>
  </w:style>
  <w:style w:type="character" w:customStyle="1" w:styleId="PiedepginaCar">
    <w:name w:val="Pie de página Car"/>
    <w:link w:val="Piedepgina"/>
    <w:uiPriority w:val="99"/>
    <w:rsid w:val="00403D4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180">
      <w:bodyDiv w:val="1"/>
      <w:marLeft w:val="0"/>
      <w:marRight w:val="0"/>
      <w:marTop w:val="0"/>
      <w:marBottom w:val="0"/>
      <w:divBdr>
        <w:top w:val="none" w:sz="0" w:space="0" w:color="auto"/>
        <w:left w:val="none" w:sz="0" w:space="0" w:color="auto"/>
        <w:bottom w:val="none" w:sz="0" w:space="0" w:color="auto"/>
        <w:right w:val="none" w:sz="0" w:space="0" w:color="auto"/>
      </w:divBdr>
    </w:div>
    <w:div w:id="1028682370">
      <w:bodyDiv w:val="1"/>
      <w:marLeft w:val="0"/>
      <w:marRight w:val="0"/>
      <w:marTop w:val="0"/>
      <w:marBottom w:val="0"/>
      <w:divBdr>
        <w:top w:val="none" w:sz="0" w:space="0" w:color="auto"/>
        <w:left w:val="none" w:sz="0" w:space="0" w:color="auto"/>
        <w:bottom w:val="none" w:sz="0" w:space="0" w:color="auto"/>
        <w:right w:val="none" w:sz="0" w:space="0" w:color="auto"/>
      </w:divBdr>
    </w:div>
    <w:div w:id="1278756410">
      <w:bodyDiv w:val="1"/>
      <w:marLeft w:val="0"/>
      <w:marRight w:val="0"/>
      <w:marTop w:val="0"/>
      <w:marBottom w:val="0"/>
      <w:divBdr>
        <w:top w:val="none" w:sz="0" w:space="0" w:color="auto"/>
        <w:left w:val="none" w:sz="0" w:space="0" w:color="auto"/>
        <w:bottom w:val="none" w:sz="0" w:space="0" w:color="auto"/>
        <w:right w:val="none" w:sz="0" w:space="0" w:color="auto"/>
      </w:divBdr>
    </w:div>
    <w:div w:id="1797723987">
      <w:bodyDiv w:val="1"/>
      <w:marLeft w:val="0"/>
      <w:marRight w:val="0"/>
      <w:marTop w:val="0"/>
      <w:marBottom w:val="0"/>
      <w:divBdr>
        <w:top w:val="none" w:sz="0" w:space="0" w:color="auto"/>
        <w:left w:val="none" w:sz="0" w:space="0" w:color="auto"/>
        <w:bottom w:val="none" w:sz="0" w:space="0" w:color="auto"/>
        <w:right w:val="none" w:sz="0" w:space="0" w:color="auto"/>
      </w:divBdr>
    </w:div>
    <w:div w:id="1882134830">
      <w:bodyDiv w:val="1"/>
      <w:marLeft w:val="0"/>
      <w:marRight w:val="0"/>
      <w:marTop w:val="0"/>
      <w:marBottom w:val="0"/>
      <w:divBdr>
        <w:top w:val="none" w:sz="0" w:space="0" w:color="auto"/>
        <w:left w:val="none" w:sz="0" w:space="0" w:color="auto"/>
        <w:bottom w:val="none" w:sz="0" w:space="0" w:color="auto"/>
        <w:right w:val="none" w:sz="0" w:space="0" w:color="auto"/>
      </w:divBdr>
    </w:div>
    <w:div w:id="20641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2161</Words>
  <Characters>11887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Cuenta Pública 2015</vt:lpstr>
    </vt:vector>
  </TitlesOfParts>
  <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21</cp:revision>
  <cp:lastPrinted>2015-12-03T22:33:00Z</cp:lastPrinted>
  <dcterms:created xsi:type="dcterms:W3CDTF">2016-03-24T19:32:00Z</dcterms:created>
  <dcterms:modified xsi:type="dcterms:W3CDTF">2019-05-02T16:38:00Z</dcterms:modified>
</cp:coreProperties>
</file>