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D0E" w:rsidRPr="00131992" w:rsidRDefault="006F3019" w:rsidP="006F3019">
      <w:pPr>
        <w:spacing w:line="240" w:lineRule="auto"/>
        <w:jc w:val="center"/>
        <w:rPr>
          <w:rFonts w:ascii="Barlow" w:hAnsi="Barlow" w:cstheme="minorHAnsi"/>
          <w:b/>
          <w:sz w:val="20"/>
          <w:szCs w:val="20"/>
        </w:rPr>
      </w:pPr>
      <w:r w:rsidRPr="00131992">
        <w:rPr>
          <w:rFonts w:ascii="Barlow" w:hAnsi="Barlow" w:cstheme="minorHAnsi"/>
          <w:b/>
          <w:sz w:val="20"/>
          <w:szCs w:val="20"/>
        </w:rPr>
        <w:t>Cuenta Pública</w:t>
      </w:r>
      <w:r w:rsidR="00626DFB" w:rsidRPr="00131992">
        <w:rPr>
          <w:rFonts w:ascii="Barlow" w:hAnsi="Barlow" w:cstheme="minorHAnsi"/>
          <w:b/>
          <w:sz w:val="20"/>
          <w:szCs w:val="20"/>
        </w:rPr>
        <w:t xml:space="preserve"> </w:t>
      </w:r>
      <w:r w:rsidR="002574F2" w:rsidRPr="00131992">
        <w:rPr>
          <w:rFonts w:ascii="Barlow" w:hAnsi="Barlow" w:cstheme="minorHAnsi"/>
          <w:b/>
          <w:sz w:val="20"/>
          <w:szCs w:val="20"/>
        </w:rPr>
        <w:t>201</w:t>
      </w:r>
      <w:r w:rsidR="00131992" w:rsidRPr="00131992">
        <w:rPr>
          <w:rFonts w:ascii="Barlow" w:hAnsi="Barlow" w:cstheme="minorHAnsi"/>
          <w:b/>
          <w:sz w:val="20"/>
          <w:szCs w:val="20"/>
        </w:rPr>
        <w:t>9</w:t>
      </w:r>
    </w:p>
    <w:p w:rsidR="006F3019" w:rsidRPr="00131992" w:rsidRDefault="006F0BF0" w:rsidP="006F3019">
      <w:pPr>
        <w:spacing w:line="240" w:lineRule="auto"/>
        <w:jc w:val="center"/>
        <w:rPr>
          <w:rFonts w:ascii="Barlow" w:hAnsi="Barlow" w:cstheme="minorHAnsi"/>
          <w:b/>
          <w:sz w:val="20"/>
          <w:szCs w:val="20"/>
        </w:rPr>
      </w:pPr>
      <w:r w:rsidRPr="00131992">
        <w:rPr>
          <w:rFonts w:ascii="Barlow" w:hAnsi="Barlow" w:cstheme="minorHAnsi"/>
          <w:b/>
          <w:sz w:val="20"/>
          <w:szCs w:val="20"/>
        </w:rPr>
        <w:t>Notas a los Estados Financieros</w:t>
      </w:r>
    </w:p>
    <w:p w:rsidR="006F3019" w:rsidRPr="00131992" w:rsidRDefault="000773CA" w:rsidP="006F3019">
      <w:pPr>
        <w:spacing w:line="240" w:lineRule="auto"/>
        <w:jc w:val="center"/>
        <w:rPr>
          <w:rFonts w:ascii="Barlow" w:hAnsi="Barlow" w:cstheme="minorHAnsi"/>
          <w:b/>
          <w:sz w:val="20"/>
          <w:szCs w:val="20"/>
        </w:rPr>
      </w:pPr>
      <w:r w:rsidRPr="00131992">
        <w:rPr>
          <w:rFonts w:ascii="Barlow" w:hAnsi="Barlow" w:cstheme="minorHAnsi"/>
          <w:b/>
          <w:sz w:val="20"/>
          <w:szCs w:val="20"/>
        </w:rPr>
        <w:t>A</w:t>
      </w:r>
      <w:r w:rsidR="00915AD7" w:rsidRPr="00131992">
        <w:rPr>
          <w:rFonts w:ascii="Barlow" w:hAnsi="Barlow" w:cstheme="minorHAnsi"/>
          <w:b/>
          <w:sz w:val="20"/>
          <w:szCs w:val="20"/>
        </w:rPr>
        <w:t xml:space="preserve">l </w:t>
      </w:r>
      <w:r w:rsidR="00F95D09" w:rsidRPr="00131992">
        <w:rPr>
          <w:rFonts w:ascii="Barlow" w:hAnsi="Barlow" w:cstheme="minorHAnsi"/>
          <w:b/>
          <w:sz w:val="20"/>
          <w:szCs w:val="20"/>
        </w:rPr>
        <w:t>31</w:t>
      </w:r>
      <w:r w:rsidR="00AF43B1" w:rsidRPr="00131992">
        <w:rPr>
          <w:rFonts w:ascii="Barlow" w:hAnsi="Barlow" w:cstheme="minorHAnsi"/>
          <w:b/>
          <w:sz w:val="20"/>
          <w:szCs w:val="20"/>
        </w:rPr>
        <w:t xml:space="preserve"> de </w:t>
      </w:r>
      <w:r w:rsidR="00F95D09" w:rsidRPr="00131992">
        <w:rPr>
          <w:rFonts w:ascii="Barlow" w:hAnsi="Barlow" w:cstheme="minorHAnsi"/>
          <w:b/>
          <w:sz w:val="20"/>
          <w:szCs w:val="20"/>
        </w:rPr>
        <w:t>Marz</w:t>
      </w:r>
      <w:r w:rsidR="005A67B0" w:rsidRPr="00131992">
        <w:rPr>
          <w:rFonts w:ascii="Barlow" w:hAnsi="Barlow" w:cstheme="minorHAnsi"/>
          <w:b/>
          <w:sz w:val="20"/>
          <w:szCs w:val="20"/>
        </w:rPr>
        <w:t>o de 2019</w:t>
      </w:r>
    </w:p>
    <w:p w:rsidR="006F3019" w:rsidRPr="00131992" w:rsidRDefault="006F3019" w:rsidP="00131992">
      <w:pPr>
        <w:spacing w:line="240" w:lineRule="auto"/>
        <w:rPr>
          <w:rFonts w:ascii="Barlow" w:hAnsi="Barlow" w:cstheme="minorHAnsi"/>
          <w:b/>
          <w:sz w:val="20"/>
          <w:szCs w:val="20"/>
        </w:rPr>
      </w:pPr>
    </w:p>
    <w:p w:rsidR="00376F59" w:rsidRPr="00131992" w:rsidRDefault="00131992" w:rsidP="00131992">
      <w:pPr>
        <w:spacing w:after="0"/>
        <w:rPr>
          <w:rFonts w:ascii="Barlow" w:hAnsi="Barlow" w:cstheme="minorHAnsi"/>
          <w:b/>
          <w:sz w:val="20"/>
          <w:szCs w:val="20"/>
        </w:rPr>
      </w:pPr>
      <w:r w:rsidRPr="00131992">
        <w:rPr>
          <w:rFonts w:ascii="Barlow" w:hAnsi="Barlow" w:cstheme="minorHAnsi"/>
          <w:b/>
          <w:sz w:val="20"/>
          <w:szCs w:val="20"/>
        </w:rPr>
        <w:t>Ente Público</w:t>
      </w:r>
      <w:proofErr w:type="gramStart"/>
      <w:r w:rsidRPr="00131992">
        <w:rPr>
          <w:rFonts w:ascii="Barlow" w:hAnsi="Barlow" w:cstheme="minorHAnsi"/>
          <w:b/>
          <w:sz w:val="20"/>
          <w:szCs w:val="20"/>
        </w:rPr>
        <w:t xml:space="preserve">:  </w:t>
      </w:r>
      <w:r w:rsidR="00376F59" w:rsidRPr="00131992">
        <w:rPr>
          <w:rFonts w:ascii="Barlow" w:hAnsi="Barlow" w:cstheme="minorHAnsi"/>
          <w:b/>
          <w:sz w:val="20"/>
          <w:szCs w:val="20"/>
        </w:rPr>
        <w:t>INSTITUTO</w:t>
      </w:r>
      <w:proofErr w:type="gramEnd"/>
      <w:r w:rsidR="00376F59" w:rsidRPr="00131992">
        <w:rPr>
          <w:rFonts w:ascii="Barlow" w:hAnsi="Barlow" w:cstheme="minorHAnsi"/>
          <w:b/>
          <w:sz w:val="20"/>
          <w:szCs w:val="20"/>
        </w:rPr>
        <w:t xml:space="preserve"> D</w:t>
      </w:r>
      <w:r w:rsidR="00393170" w:rsidRPr="00131992">
        <w:rPr>
          <w:rFonts w:ascii="Barlow" w:hAnsi="Barlow" w:cstheme="minorHAnsi"/>
          <w:b/>
          <w:sz w:val="20"/>
          <w:szCs w:val="20"/>
        </w:rPr>
        <w:t>E INFRAESTRUCTURA CARRETERA</w:t>
      </w:r>
      <w:r w:rsidR="00376F59" w:rsidRPr="00131992">
        <w:rPr>
          <w:rFonts w:ascii="Barlow" w:hAnsi="Barlow" w:cstheme="minorHAnsi"/>
          <w:b/>
          <w:sz w:val="20"/>
          <w:szCs w:val="20"/>
        </w:rPr>
        <w:t xml:space="preserve"> DE YUCATÁN</w:t>
      </w:r>
    </w:p>
    <w:p w:rsidR="00393170" w:rsidRPr="00131992" w:rsidRDefault="00393170" w:rsidP="00926953">
      <w:pPr>
        <w:spacing w:after="0"/>
        <w:rPr>
          <w:rFonts w:ascii="Barlow" w:hAnsi="Barlow" w:cstheme="minorHAnsi"/>
          <w:b/>
          <w:sz w:val="20"/>
          <w:szCs w:val="20"/>
        </w:rPr>
      </w:pPr>
    </w:p>
    <w:p w:rsidR="00393170" w:rsidRPr="00131992" w:rsidRDefault="00393170" w:rsidP="00393170">
      <w:pPr>
        <w:jc w:val="both"/>
        <w:rPr>
          <w:rFonts w:ascii="Barlow" w:hAnsi="Barlow"/>
          <w:sz w:val="20"/>
          <w:szCs w:val="20"/>
        </w:rPr>
      </w:pPr>
      <w:r w:rsidRPr="00131992">
        <w:rPr>
          <w:rFonts w:ascii="Barlow" w:hAnsi="Barlow"/>
          <w:sz w:val="20"/>
          <w:szCs w:val="20"/>
        </w:rPr>
        <w:t>El Instituto de Infraestructura Carretera de Yucatán es un organismo descentralizado de la administración pública estatal, creada mediante Decreto 239 de fecha 21 de Octubre de 2009 y oficializada mediante Sesión Ordinaria realizada el 05 de Enero de 2010. En esta sesión se constituyó el Órgano Supremo de la Comisión representado por el Consejo de Administración, dando lugar con este acto a la instalación formal y legal del Instituto de Infraestructura Carretera de Yucatán.</w:t>
      </w:r>
    </w:p>
    <w:p w:rsidR="00594617" w:rsidRPr="00131992" w:rsidRDefault="00393170" w:rsidP="00393170">
      <w:pPr>
        <w:jc w:val="both"/>
        <w:rPr>
          <w:rFonts w:ascii="Barlow" w:hAnsi="Barlow"/>
          <w:sz w:val="20"/>
          <w:szCs w:val="20"/>
        </w:rPr>
      </w:pPr>
      <w:r w:rsidRPr="00131992">
        <w:rPr>
          <w:rFonts w:ascii="Barlow" w:hAnsi="Barlow"/>
          <w:sz w:val="20"/>
          <w:szCs w:val="20"/>
        </w:rPr>
        <w:t>Así mismo, esta dependencia cuenta con patrimonio propio y con las funciones y atribuciones que establece su propia Ley, la Ley de Vías Terrestres y demás ordenamientos aplicables, y cuya responsabilidad consiste en la aplicación de las normas y políticas relativas a la Planeación, Promoción, Ejecución, Mantenimiento, Modernización y Aprovechamiento de la Infraestructura Carretera de Jurisdicción Estatal.</w:t>
      </w:r>
    </w:p>
    <w:p w:rsidR="00FD327E" w:rsidRDefault="00376F59" w:rsidP="00376F59">
      <w:pPr>
        <w:autoSpaceDE w:val="0"/>
        <w:autoSpaceDN w:val="0"/>
        <w:adjustRightInd w:val="0"/>
        <w:jc w:val="both"/>
        <w:rPr>
          <w:rFonts w:ascii="Barlow" w:hAnsi="Barlow" w:cstheme="minorHAnsi"/>
          <w:sz w:val="20"/>
          <w:szCs w:val="20"/>
        </w:rPr>
      </w:pPr>
      <w:r w:rsidRPr="00131992">
        <w:rPr>
          <w:rFonts w:ascii="Barlow" w:hAnsi="Barlow" w:cstheme="minorHAnsi"/>
          <w:sz w:val="20"/>
          <w:szCs w:val="20"/>
        </w:rPr>
        <w:t xml:space="preserve">Con el propósito de dar cumplimiento a los artículos 46 y 49 de la Ley General de Contabilidad Gubernamental, Artículo 592 del reglamento del Código de la Administración Pública de Yucatán, la Administración del INSTITUTO DE </w:t>
      </w:r>
      <w:r w:rsidR="00DF708C" w:rsidRPr="00131992">
        <w:rPr>
          <w:rFonts w:ascii="Barlow" w:hAnsi="Barlow" w:cstheme="minorHAnsi"/>
          <w:sz w:val="20"/>
          <w:szCs w:val="20"/>
        </w:rPr>
        <w:t>INFRAESTRUCTURA CARRETERA</w:t>
      </w:r>
      <w:r w:rsidRPr="00131992">
        <w:rPr>
          <w:rFonts w:ascii="Barlow" w:hAnsi="Barlow" w:cstheme="minorHAnsi"/>
          <w:sz w:val="20"/>
          <w:szCs w:val="20"/>
        </w:rPr>
        <w:t xml:space="preserve"> DE YUCATAN, ha preparado los Estados Financieros, incluyendo las operaciones efectuadas al </w:t>
      </w:r>
      <w:r w:rsidR="00F95D09" w:rsidRPr="00131992">
        <w:rPr>
          <w:rFonts w:ascii="Barlow" w:hAnsi="Barlow" w:cstheme="minorHAnsi"/>
          <w:sz w:val="20"/>
          <w:szCs w:val="20"/>
        </w:rPr>
        <w:t>31</w:t>
      </w:r>
      <w:r w:rsidR="00930A89" w:rsidRPr="00131992">
        <w:rPr>
          <w:rFonts w:ascii="Barlow" w:hAnsi="Barlow" w:cstheme="minorHAnsi"/>
          <w:sz w:val="20"/>
          <w:szCs w:val="20"/>
        </w:rPr>
        <w:t xml:space="preserve"> de </w:t>
      </w:r>
      <w:r w:rsidR="00F95D09" w:rsidRPr="00131992">
        <w:rPr>
          <w:rFonts w:ascii="Barlow" w:hAnsi="Barlow" w:cstheme="minorHAnsi"/>
          <w:sz w:val="20"/>
          <w:szCs w:val="20"/>
        </w:rPr>
        <w:t>Marzo</w:t>
      </w:r>
      <w:r w:rsidR="002C5B18" w:rsidRPr="00131992">
        <w:rPr>
          <w:rFonts w:ascii="Barlow" w:hAnsi="Barlow" w:cstheme="minorHAnsi"/>
          <w:sz w:val="20"/>
          <w:szCs w:val="20"/>
        </w:rPr>
        <w:t xml:space="preserve"> de 201</w:t>
      </w:r>
      <w:r w:rsidR="001D7443" w:rsidRPr="00131992">
        <w:rPr>
          <w:rFonts w:ascii="Barlow" w:hAnsi="Barlow" w:cstheme="minorHAnsi"/>
          <w:sz w:val="20"/>
          <w:szCs w:val="20"/>
        </w:rPr>
        <w:t>9</w:t>
      </w:r>
      <w:r w:rsidRPr="00131992">
        <w:rPr>
          <w:rFonts w:ascii="Barlow" w:hAnsi="Barlow" w:cstheme="minorHAnsi"/>
          <w:sz w:val="20"/>
          <w:szCs w:val="20"/>
        </w:rPr>
        <w:t xml:space="preserve">. </w:t>
      </w:r>
    </w:p>
    <w:p w:rsidR="00131992" w:rsidRDefault="00131992" w:rsidP="00376F59">
      <w:pPr>
        <w:autoSpaceDE w:val="0"/>
        <w:autoSpaceDN w:val="0"/>
        <w:adjustRightInd w:val="0"/>
        <w:jc w:val="both"/>
        <w:rPr>
          <w:rFonts w:ascii="Barlow" w:hAnsi="Barlow" w:cstheme="minorHAnsi"/>
          <w:sz w:val="20"/>
          <w:szCs w:val="20"/>
        </w:rPr>
      </w:pPr>
    </w:p>
    <w:p w:rsidR="00131992" w:rsidRDefault="00131992" w:rsidP="00376F59">
      <w:pPr>
        <w:autoSpaceDE w:val="0"/>
        <w:autoSpaceDN w:val="0"/>
        <w:adjustRightInd w:val="0"/>
        <w:jc w:val="both"/>
        <w:rPr>
          <w:rFonts w:ascii="Barlow" w:hAnsi="Barlow" w:cstheme="minorHAnsi"/>
          <w:sz w:val="20"/>
          <w:szCs w:val="20"/>
        </w:rPr>
      </w:pPr>
    </w:p>
    <w:p w:rsidR="00131992" w:rsidRDefault="00131992" w:rsidP="00376F59">
      <w:pPr>
        <w:autoSpaceDE w:val="0"/>
        <w:autoSpaceDN w:val="0"/>
        <w:adjustRightInd w:val="0"/>
        <w:jc w:val="both"/>
        <w:rPr>
          <w:rFonts w:ascii="Barlow" w:hAnsi="Barlow" w:cstheme="minorHAnsi"/>
          <w:sz w:val="20"/>
          <w:szCs w:val="20"/>
        </w:rPr>
      </w:pPr>
    </w:p>
    <w:p w:rsidR="00131992" w:rsidRPr="00131992" w:rsidRDefault="00131992" w:rsidP="00376F59">
      <w:pPr>
        <w:autoSpaceDE w:val="0"/>
        <w:autoSpaceDN w:val="0"/>
        <w:adjustRightInd w:val="0"/>
        <w:jc w:val="both"/>
        <w:rPr>
          <w:rFonts w:ascii="Barlow" w:hAnsi="Barlow" w:cstheme="minorHAnsi"/>
          <w:sz w:val="20"/>
          <w:szCs w:val="20"/>
        </w:rPr>
      </w:pPr>
    </w:p>
    <w:p w:rsidR="00376F59" w:rsidRPr="00131992" w:rsidRDefault="00376F59" w:rsidP="005A3E01">
      <w:pPr>
        <w:pStyle w:val="Prrafodelista"/>
        <w:numPr>
          <w:ilvl w:val="0"/>
          <w:numId w:val="8"/>
        </w:numPr>
        <w:autoSpaceDE w:val="0"/>
        <w:autoSpaceDN w:val="0"/>
        <w:adjustRightInd w:val="0"/>
        <w:spacing w:line="240" w:lineRule="auto"/>
        <w:jc w:val="center"/>
        <w:rPr>
          <w:rFonts w:ascii="Barlow" w:hAnsi="Barlow" w:cstheme="minorHAnsi"/>
          <w:b/>
          <w:sz w:val="20"/>
          <w:szCs w:val="20"/>
        </w:rPr>
      </w:pPr>
      <w:r w:rsidRPr="00131992">
        <w:rPr>
          <w:rFonts w:ascii="Barlow" w:hAnsi="Barlow" w:cstheme="minorHAnsi"/>
          <w:b/>
          <w:sz w:val="20"/>
          <w:szCs w:val="20"/>
        </w:rPr>
        <w:lastRenderedPageBreak/>
        <w:t>NOTAS DE DESGLOSE</w:t>
      </w:r>
    </w:p>
    <w:p w:rsidR="00376F59" w:rsidRPr="00131992" w:rsidRDefault="00376F59" w:rsidP="00376F59">
      <w:pPr>
        <w:spacing w:after="0"/>
        <w:jc w:val="both"/>
        <w:rPr>
          <w:rFonts w:ascii="Barlow" w:hAnsi="Barlow" w:cstheme="minorHAnsi"/>
          <w:b/>
          <w:bCs/>
          <w:sz w:val="20"/>
          <w:szCs w:val="20"/>
        </w:rPr>
      </w:pPr>
    </w:p>
    <w:p w:rsidR="00376F59" w:rsidRPr="00131992" w:rsidRDefault="00376F59" w:rsidP="00376F59">
      <w:pPr>
        <w:numPr>
          <w:ilvl w:val="0"/>
          <w:numId w:val="4"/>
        </w:numPr>
        <w:spacing w:line="240" w:lineRule="auto"/>
        <w:jc w:val="both"/>
        <w:rPr>
          <w:rFonts w:ascii="Barlow" w:hAnsi="Barlow" w:cstheme="minorHAnsi"/>
          <w:b/>
          <w:bCs/>
          <w:sz w:val="20"/>
          <w:szCs w:val="20"/>
        </w:rPr>
      </w:pPr>
      <w:r w:rsidRPr="00131992">
        <w:rPr>
          <w:rFonts w:ascii="Barlow" w:hAnsi="Barlow" w:cstheme="minorHAnsi"/>
          <w:b/>
          <w:bCs/>
          <w:sz w:val="20"/>
          <w:szCs w:val="20"/>
        </w:rPr>
        <w:t>Notas al Estado de Situación Financiera</w:t>
      </w:r>
    </w:p>
    <w:p w:rsidR="00376F59" w:rsidRPr="00131992" w:rsidRDefault="00376F59" w:rsidP="00376F59">
      <w:pPr>
        <w:pStyle w:val="Texto"/>
        <w:spacing w:after="80" w:line="203" w:lineRule="exact"/>
        <w:ind w:firstLine="0"/>
        <w:rPr>
          <w:rFonts w:ascii="Barlow" w:hAnsi="Barlow" w:cstheme="minorHAnsi"/>
          <w:b/>
          <w:sz w:val="20"/>
          <w:lang w:val="es-MX"/>
        </w:rPr>
      </w:pPr>
      <w:r w:rsidRPr="00131992">
        <w:rPr>
          <w:rFonts w:ascii="Barlow" w:hAnsi="Barlow" w:cstheme="minorHAnsi"/>
          <w:b/>
          <w:sz w:val="20"/>
          <w:lang w:val="es-MX"/>
        </w:rPr>
        <w:t>Activo</w:t>
      </w:r>
    </w:p>
    <w:p w:rsidR="00376F59" w:rsidRPr="00131992" w:rsidRDefault="00376F59" w:rsidP="00376F59">
      <w:pPr>
        <w:pStyle w:val="Texto"/>
        <w:spacing w:after="80" w:line="203" w:lineRule="exact"/>
        <w:ind w:firstLine="0"/>
        <w:rPr>
          <w:rFonts w:ascii="Barlow" w:hAnsi="Barlow" w:cstheme="minorHAnsi"/>
          <w:b/>
          <w:sz w:val="20"/>
          <w:lang w:val="es-MX"/>
        </w:rPr>
      </w:pPr>
    </w:p>
    <w:p w:rsidR="00376F59" w:rsidRPr="00131992" w:rsidRDefault="00376F59" w:rsidP="00376F59">
      <w:pPr>
        <w:pStyle w:val="Texto"/>
        <w:spacing w:after="80" w:line="203" w:lineRule="exact"/>
        <w:ind w:firstLine="0"/>
        <w:rPr>
          <w:rFonts w:ascii="Barlow" w:hAnsi="Barlow" w:cstheme="minorHAnsi"/>
          <w:b/>
          <w:sz w:val="20"/>
          <w:lang w:val="es-MX"/>
        </w:rPr>
      </w:pPr>
      <w:r w:rsidRPr="00131992">
        <w:rPr>
          <w:rFonts w:ascii="Barlow" w:hAnsi="Barlow" w:cstheme="minorHAnsi"/>
          <w:b/>
          <w:sz w:val="20"/>
          <w:lang w:val="es-MX"/>
        </w:rPr>
        <w:t>Efectivo y Equivalentes</w:t>
      </w:r>
    </w:p>
    <w:p w:rsidR="00376F59" w:rsidRPr="00131992" w:rsidRDefault="00376F59" w:rsidP="00376F59">
      <w:pPr>
        <w:pStyle w:val="Texto"/>
        <w:spacing w:after="80" w:line="203" w:lineRule="exact"/>
        <w:ind w:firstLine="0"/>
        <w:rPr>
          <w:rFonts w:ascii="Barlow" w:hAnsi="Barlow" w:cstheme="minorHAnsi"/>
          <w:b/>
          <w:sz w:val="20"/>
          <w:lang w:val="es-MX"/>
        </w:rPr>
      </w:pPr>
      <w:r w:rsidRPr="00131992">
        <w:rPr>
          <w:rFonts w:ascii="Barlow" w:hAnsi="Barlow" w:cstheme="minorHAnsi"/>
          <w:sz w:val="20"/>
        </w:rPr>
        <w:t xml:space="preserve">El saldo de este rubro de los estados financieros se encuentra integrado al </w:t>
      </w:r>
      <w:r w:rsidR="00F95D09" w:rsidRPr="00131992">
        <w:rPr>
          <w:rFonts w:ascii="Barlow" w:hAnsi="Barlow" w:cstheme="minorHAnsi"/>
          <w:sz w:val="20"/>
        </w:rPr>
        <w:t>31</w:t>
      </w:r>
      <w:r w:rsidR="00930A89" w:rsidRPr="00131992">
        <w:rPr>
          <w:rFonts w:ascii="Barlow" w:hAnsi="Barlow" w:cstheme="minorHAnsi"/>
          <w:sz w:val="20"/>
        </w:rPr>
        <w:t xml:space="preserve"> de </w:t>
      </w:r>
      <w:r w:rsidR="00F95D09" w:rsidRPr="00131992">
        <w:rPr>
          <w:rFonts w:ascii="Barlow" w:hAnsi="Barlow" w:cstheme="minorHAnsi"/>
          <w:sz w:val="20"/>
        </w:rPr>
        <w:t>Marz</w:t>
      </w:r>
      <w:r w:rsidR="001D7443" w:rsidRPr="00131992">
        <w:rPr>
          <w:rFonts w:ascii="Barlow" w:hAnsi="Barlow" w:cstheme="minorHAnsi"/>
          <w:sz w:val="20"/>
        </w:rPr>
        <w:t>o</w:t>
      </w:r>
      <w:r w:rsidR="002C5B18" w:rsidRPr="00131992">
        <w:rPr>
          <w:rFonts w:ascii="Barlow" w:hAnsi="Barlow" w:cstheme="minorHAnsi"/>
          <w:sz w:val="20"/>
        </w:rPr>
        <w:t xml:space="preserve"> de 201</w:t>
      </w:r>
      <w:r w:rsidR="001D7443" w:rsidRPr="00131992">
        <w:rPr>
          <w:rFonts w:ascii="Barlow" w:hAnsi="Barlow" w:cstheme="minorHAnsi"/>
          <w:sz w:val="20"/>
        </w:rPr>
        <w:t>9</w:t>
      </w:r>
      <w:r w:rsidRPr="00131992">
        <w:rPr>
          <w:rFonts w:ascii="Barlow" w:hAnsi="Barlow" w:cstheme="minorHAnsi"/>
          <w:sz w:val="20"/>
        </w:rPr>
        <w:t xml:space="preserve"> de la siguiente manera:</w:t>
      </w:r>
    </w:p>
    <w:p w:rsidR="00376F59" w:rsidRPr="00131992" w:rsidRDefault="00376F59" w:rsidP="00376F59">
      <w:pPr>
        <w:pStyle w:val="Texto"/>
        <w:spacing w:after="80" w:line="203" w:lineRule="exact"/>
        <w:ind w:firstLine="0"/>
        <w:rPr>
          <w:rFonts w:ascii="Barlow" w:hAnsi="Barlow" w:cstheme="minorHAnsi"/>
          <w:b/>
          <w:sz w:val="20"/>
          <w:lang w:val="es-MX"/>
        </w:rPr>
      </w:pPr>
    </w:p>
    <w:tbl>
      <w:tblPr>
        <w:tblW w:w="9168" w:type="dxa"/>
        <w:tblCellMar>
          <w:left w:w="70" w:type="dxa"/>
          <w:right w:w="70" w:type="dxa"/>
        </w:tblCellMar>
        <w:tblLook w:val="0000" w:firstRow="0" w:lastRow="0" w:firstColumn="0" w:lastColumn="0" w:noHBand="0" w:noVBand="0"/>
      </w:tblPr>
      <w:tblGrid>
        <w:gridCol w:w="7562"/>
        <w:gridCol w:w="767"/>
        <w:gridCol w:w="899"/>
      </w:tblGrid>
      <w:tr w:rsidR="00376F59" w:rsidRPr="00131992" w:rsidTr="009A0458">
        <w:trPr>
          <w:gridAfter w:val="1"/>
          <w:wAfter w:w="899" w:type="dxa"/>
          <w:trHeight w:val="73"/>
        </w:trPr>
        <w:tc>
          <w:tcPr>
            <w:tcW w:w="7502" w:type="dxa"/>
            <w:shd w:val="clear" w:color="auto" w:fill="auto"/>
            <w:noWrap/>
            <w:vAlign w:val="bottom"/>
          </w:tcPr>
          <w:tbl>
            <w:tblPr>
              <w:tblW w:w="7422" w:type="dxa"/>
              <w:tblCellMar>
                <w:left w:w="70" w:type="dxa"/>
                <w:right w:w="70" w:type="dxa"/>
              </w:tblCellMar>
              <w:tblLook w:val="0000" w:firstRow="0" w:lastRow="0" w:firstColumn="0" w:lastColumn="0" w:noHBand="0" w:noVBand="0"/>
            </w:tblPr>
            <w:tblGrid>
              <w:gridCol w:w="6525"/>
              <w:gridCol w:w="897"/>
            </w:tblGrid>
            <w:tr w:rsidR="00376F59" w:rsidRPr="00131992" w:rsidTr="009A0458">
              <w:trPr>
                <w:trHeight w:val="77"/>
              </w:trPr>
              <w:tc>
                <w:tcPr>
                  <w:tcW w:w="6525" w:type="dxa"/>
                  <w:shd w:val="clear" w:color="auto" w:fill="auto"/>
                  <w:noWrap/>
                  <w:vAlign w:val="bottom"/>
                </w:tcPr>
                <w:p w:rsidR="00376F59" w:rsidRPr="00131992" w:rsidRDefault="00376F59" w:rsidP="00A26D0E">
                  <w:pPr>
                    <w:spacing w:after="0"/>
                    <w:jc w:val="both"/>
                    <w:rPr>
                      <w:rFonts w:ascii="Barlow" w:eastAsia="Times New Roman" w:hAnsi="Barlow" w:cstheme="minorHAnsi"/>
                      <w:sz w:val="20"/>
                      <w:szCs w:val="20"/>
                      <w:lang w:val="es-ES" w:eastAsia="es-ES"/>
                    </w:rPr>
                  </w:pPr>
                </w:p>
              </w:tc>
              <w:tc>
                <w:tcPr>
                  <w:tcW w:w="897" w:type="dxa"/>
                  <w:shd w:val="clear" w:color="auto" w:fill="auto"/>
                  <w:noWrap/>
                  <w:vAlign w:val="bottom"/>
                </w:tcPr>
                <w:p w:rsidR="00376F59" w:rsidRPr="00131992" w:rsidRDefault="00376F59" w:rsidP="00A26D0E">
                  <w:pPr>
                    <w:spacing w:after="0"/>
                    <w:jc w:val="both"/>
                    <w:rPr>
                      <w:rFonts w:ascii="Barlow" w:eastAsia="Times New Roman" w:hAnsi="Barlow" w:cstheme="minorHAnsi"/>
                      <w:sz w:val="20"/>
                      <w:szCs w:val="20"/>
                      <w:lang w:val="es-ES" w:eastAsia="es-ES"/>
                    </w:rPr>
                  </w:pPr>
                </w:p>
              </w:tc>
            </w:tr>
          </w:tbl>
          <w:p w:rsidR="00376F59" w:rsidRPr="00131992" w:rsidRDefault="00376F59" w:rsidP="00A26D0E">
            <w:pPr>
              <w:spacing w:after="0"/>
              <w:jc w:val="both"/>
              <w:rPr>
                <w:rFonts w:ascii="Barlow" w:eastAsia="Times New Roman" w:hAnsi="Barlow" w:cstheme="minorHAnsi"/>
                <w:sz w:val="20"/>
                <w:szCs w:val="20"/>
                <w:lang w:val="es-ES" w:eastAsia="es-ES"/>
              </w:rPr>
            </w:pPr>
          </w:p>
        </w:tc>
        <w:tc>
          <w:tcPr>
            <w:tcW w:w="767" w:type="dxa"/>
            <w:shd w:val="clear" w:color="auto" w:fill="auto"/>
            <w:noWrap/>
            <w:vAlign w:val="bottom"/>
          </w:tcPr>
          <w:p w:rsidR="00376F59" w:rsidRPr="00131992" w:rsidRDefault="00376F59" w:rsidP="00A26D0E">
            <w:pPr>
              <w:spacing w:after="0"/>
              <w:jc w:val="both"/>
              <w:rPr>
                <w:rFonts w:ascii="Barlow" w:eastAsia="Times New Roman" w:hAnsi="Barlow" w:cstheme="minorHAnsi"/>
                <w:sz w:val="20"/>
                <w:szCs w:val="20"/>
                <w:lang w:val="es-ES" w:eastAsia="es-ES"/>
              </w:rPr>
            </w:pPr>
          </w:p>
        </w:tc>
      </w:tr>
      <w:tr w:rsidR="00376F59" w:rsidRPr="00131992" w:rsidTr="009A0458">
        <w:trPr>
          <w:trHeight w:val="56"/>
        </w:trPr>
        <w:tc>
          <w:tcPr>
            <w:tcW w:w="8269" w:type="dxa"/>
            <w:gridSpan w:val="2"/>
            <w:shd w:val="clear" w:color="auto" w:fill="auto"/>
            <w:noWrap/>
            <w:vAlign w:val="bottom"/>
          </w:tcPr>
          <w:p w:rsidR="00376F59" w:rsidRPr="00131992" w:rsidRDefault="00376F59" w:rsidP="00A26D0E">
            <w:pPr>
              <w:spacing w:after="0"/>
              <w:jc w:val="both"/>
              <w:rPr>
                <w:rFonts w:ascii="Barlow" w:hAnsi="Barlow" w:cstheme="minorHAnsi"/>
                <w:b/>
                <w:bCs/>
                <w:sz w:val="20"/>
                <w:szCs w:val="20"/>
              </w:rPr>
            </w:pPr>
          </w:p>
          <w:tbl>
            <w:tblPr>
              <w:tblStyle w:val="Tablaconcuadrcula"/>
              <w:tblW w:w="0" w:type="auto"/>
              <w:tblInd w:w="1080" w:type="dxa"/>
              <w:tblLook w:val="04A0" w:firstRow="1" w:lastRow="0" w:firstColumn="1" w:lastColumn="0" w:noHBand="0" w:noVBand="1"/>
            </w:tblPr>
            <w:tblGrid>
              <w:gridCol w:w="4482"/>
              <w:gridCol w:w="1481"/>
              <w:gridCol w:w="1136"/>
            </w:tblGrid>
            <w:tr w:rsidR="00871185" w:rsidRPr="00131992" w:rsidTr="00871185">
              <w:tc>
                <w:tcPr>
                  <w:tcW w:w="4482" w:type="dxa"/>
                  <w:tcBorders>
                    <w:top w:val="single" w:sz="4" w:space="0" w:color="auto"/>
                    <w:left w:val="single" w:sz="4" w:space="0" w:color="auto"/>
                    <w:bottom w:val="single" w:sz="4" w:space="0" w:color="auto"/>
                    <w:right w:val="single" w:sz="4" w:space="0" w:color="auto"/>
                  </w:tcBorders>
                </w:tcPr>
                <w:p w:rsidR="00871185" w:rsidRPr="00131992" w:rsidRDefault="00871185" w:rsidP="00871185">
                  <w:pPr>
                    <w:jc w:val="both"/>
                    <w:rPr>
                      <w:rFonts w:ascii="Barlow" w:hAnsi="Barlow" w:cstheme="minorHAnsi"/>
                      <w:bCs/>
                    </w:rPr>
                  </w:pPr>
                  <w:r w:rsidRPr="00131992">
                    <w:rPr>
                      <w:rFonts w:ascii="Barlow" w:hAnsi="Barlow" w:cstheme="minorHAnsi"/>
                      <w:bCs/>
                    </w:rPr>
                    <w:t>Efectivo</w:t>
                  </w:r>
                </w:p>
              </w:tc>
              <w:tc>
                <w:tcPr>
                  <w:tcW w:w="1481" w:type="dxa"/>
                  <w:tcBorders>
                    <w:left w:val="single" w:sz="4" w:space="0" w:color="auto"/>
                    <w:bottom w:val="single" w:sz="4" w:space="0" w:color="auto"/>
                  </w:tcBorders>
                </w:tcPr>
                <w:p w:rsidR="00871185" w:rsidRPr="00131992" w:rsidRDefault="00871185" w:rsidP="00871185">
                  <w:pPr>
                    <w:jc w:val="both"/>
                    <w:rPr>
                      <w:rFonts w:ascii="Barlow" w:hAnsi="Barlow" w:cstheme="minorHAnsi"/>
                      <w:bCs/>
                    </w:rPr>
                  </w:pPr>
                  <w:r w:rsidRPr="00131992">
                    <w:rPr>
                      <w:rFonts w:ascii="Barlow" w:hAnsi="Barlow" w:cstheme="minorHAnsi"/>
                      <w:bCs/>
                    </w:rPr>
                    <w:t xml:space="preserve">       20,000.00</w:t>
                  </w:r>
                </w:p>
              </w:tc>
              <w:tc>
                <w:tcPr>
                  <w:tcW w:w="1136" w:type="dxa"/>
                  <w:tcBorders>
                    <w:top w:val="single" w:sz="4" w:space="0" w:color="auto"/>
                    <w:bottom w:val="single" w:sz="4" w:space="0" w:color="auto"/>
                    <w:right w:val="single" w:sz="4" w:space="0" w:color="auto"/>
                  </w:tcBorders>
                </w:tcPr>
                <w:p w:rsidR="00871185" w:rsidRPr="00131992" w:rsidRDefault="00871185" w:rsidP="00871185">
                  <w:pPr>
                    <w:jc w:val="both"/>
                    <w:rPr>
                      <w:rFonts w:ascii="Barlow" w:hAnsi="Barlow" w:cstheme="minorHAnsi"/>
                      <w:b/>
                      <w:bCs/>
                    </w:rPr>
                  </w:pPr>
                </w:p>
              </w:tc>
            </w:tr>
            <w:tr w:rsidR="00871185" w:rsidRPr="00131992" w:rsidTr="00871185">
              <w:tc>
                <w:tcPr>
                  <w:tcW w:w="4482" w:type="dxa"/>
                  <w:tcBorders>
                    <w:top w:val="single" w:sz="4" w:space="0" w:color="auto"/>
                    <w:left w:val="single" w:sz="4" w:space="0" w:color="auto"/>
                    <w:bottom w:val="single" w:sz="4" w:space="0" w:color="auto"/>
                  </w:tcBorders>
                </w:tcPr>
                <w:p w:rsidR="00871185" w:rsidRPr="00131992" w:rsidRDefault="00871185" w:rsidP="00871185">
                  <w:pPr>
                    <w:jc w:val="both"/>
                    <w:rPr>
                      <w:rFonts w:ascii="Barlow" w:hAnsi="Barlow" w:cstheme="minorHAnsi"/>
                      <w:bCs/>
                    </w:rPr>
                  </w:pPr>
                  <w:r w:rsidRPr="00131992">
                    <w:rPr>
                      <w:rFonts w:ascii="Barlow" w:hAnsi="Barlow" w:cstheme="minorHAnsi"/>
                      <w:bCs/>
                    </w:rPr>
                    <w:t>Bancos</w:t>
                  </w:r>
                </w:p>
              </w:tc>
              <w:tc>
                <w:tcPr>
                  <w:tcW w:w="1481" w:type="dxa"/>
                  <w:tcBorders>
                    <w:top w:val="single" w:sz="4" w:space="0" w:color="auto"/>
                    <w:bottom w:val="single" w:sz="4" w:space="0" w:color="auto"/>
                  </w:tcBorders>
                </w:tcPr>
                <w:p w:rsidR="00871185" w:rsidRPr="00131992" w:rsidRDefault="00F95D09" w:rsidP="00871185">
                  <w:pPr>
                    <w:jc w:val="both"/>
                    <w:rPr>
                      <w:rFonts w:ascii="Barlow" w:hAnsi="Barlow" w:cstheme="minorHAnsi"/>
                      <w:bCs/>
                    </w:rPr>
                  </w:pPr>
                  <w:r w:rsidRPr="00131992">
                    <w:rPr>
                      <w:rFonts w:ascii="Barlow" w:hAnsi="Barlow" w:cstheme="minorHAnsi"/>
                      <w:bCs/>
                    </w:rPr>
                    <w:t>33,486,549.36</w:t>
                  </w:r>
                </w:p>
              </w:tc>
              <w:tc>
                <w:tcPr>
                  <w:tcW w:w="1136" w:type="dxa"/>
                  <w:tcBorders>
                    <w:top w:val="single" w:sz="4" w:space="0" w:color="auto"/>
                    <w:bottom w:val="single" w:sz="4" w:space="0" w:color="auto"/>
                    <w:right w:val="single" w:sz="4" w:space="0" w:color="auto"/>
                  </w:tcBorders>
                </w:tcPr>
                <w:p w:rsidR="00871185" w:rsidRPr="00131992" w:rsidRDefault="00871185" w:rsidP="00871185">
                  <w:pPr>
                    <w:jc w:val="both"/>
                    <w:rPr>
                      <w:rFonts w:ascii="Barlow" w:hAnsi="Barlow" w:cstheme="minorHAnsi"/>
                      <w:b/>
                      <w:bCs/>
                    </w:rPr>
                  </w:pPr>
                </w:p>
              </w:tc>
            </w:tr>
            <w:tr w:rsidR="00871185" w:rsidRPr="00131992" w:rsidTr="00871185">
              <w:tc>
                <w:tcPr>
                  <w:tcW w:w="4482" w:type="dxa"/>
                  <w:tcBorders>
                    <w:top w:val="single" w:sz="4" w:space="0" w:color="auto"/>
                    <w:left w:val="single" w:sz="4" w:space="0" w:color="auto"/>
                    <w:bottom w:val="single" w:sz="4" w:space="0" w:color="auto"/>
                  </w:tcBorders>
                </w:tcPr>
                <w:p w:rsidR="00871185" w:rsidRPr="00131992" w:rsidRDefault="00871185" w:rsidP="00871185">
                  <w:pPr>
                    <w:jc w:val="both"/>
                    <w:rPr>
                      <w:rFonts w:ascii="Barlow" w:hAnsi="Barlow" w:cstheme="minorHAnsi"/>
                      <w:bCs/>
                    </w:rPr>
                  </w:pPr>
                  <w:r w:rsidRPr="00131992">
                    <w:rPr>
                      <w:rFonts w:ascii="Barlow" w:hAnsi="Barlow" w:cstheme="minorHAnsi"/>
                      <w:bCs/>
                    </w:rPr>
                    <w:t>TOTAL</w:t>
                  </w:r>
                </w:p>
              </w:tc>
              <w:tc>
                <w:tcPr>
                  <w:tcW w:w="1481" w:type="dxa"/>
                  <w:tcBorders>
                    <w:top w:val="single" w:sz="4" w:space="0" w:color="auto"/>
                    <w:bottom w:val="single" w:sz="4" w:space="0" w:color="auto"/>
                  </w:tcBorders>
                </w:tcPr>
                <w:p w:rsidR="00871185" w:rsidRPr="00131992" w:rsidRDefault="00F95D09" w:rsidP="00871185">
                  <w:pPr>
                    <w:jc w:val="both"/>
                    <w:rPr>
                      <w:rFonts w:ascii="Barlow" w:hAnsi="Barlow" w:cstheme="minorHAnsi"/>
                      <w:bCs/>
                    </w:rPr>
                  </w:pPr>
                  <w:r w:rsidRPr="00131992">
                    <w:rPr>
                      <w:rFonts w:ascii="Barlow" w:hAnsi="Barlow" w:cstheme="minorHAnsi"/>
                      <w:bCs/>
                    </w:rPr>
                    <w:t>33,506,549.36</w:t>
                  </w:r>
                </w:p>
              </w:tc>
              <w:tc>
                <w:tcPr>
                  <w:tcW w:w="1136" w:type="dxa"/>
                  <w:tcBorders>
                    <w:top w:val="single" w:sz="4" w:space="0" w:color="auto"/>
                    <w:bottom w:val="single" w:sz="4" w:space="0" w:color="auto"/>
                    <w:right w:val="single" w:sz="4" w:space="0" w:color="auto"/>
                  </w:tcBorders>
                </w:tcPr>
                <w:p w:rsidR="00871185" w:rsidRPr="00131992" w:rsidRDefault="00871185" w:rsidP="00871185">
                  <w:pPr>
                    <w:jc w:val="both"/>
                    <w:rPr>
                      <w:rFonts w:ascii="Barlow" w:hAnsi="Barlow" w:cstheme="minorHAnsi"/>
                      <w:b/>
                      <w:bCs/>
                    </w:rPr>
                  </w:pPr>
                </w:p>
              </w:tc>
            </w:tr>
          </w:tbl>
          <w:p w:rsidR="00E44253" w:rsidRPr="00131992" w:rsidRDefault="00E44253" w:rsidP="00A26D0E">
            <w:pPr>
              <w:spacing w:after="0"/>
              <w:jc w:val="both"/>
              <w:rPr>
                <w:rFonts w:ascii="Barlow" w:hAnsi="Barlow" w:cstheme="minorHAnsi"/>
                <w:b/>
                <w:bCs/>
                <w:sz w:val="20"/>
                <w:szCs w:val="20"/>
              </w:rPr>
            </w:pPr>
          </w:p>
          <w:p w:rsidR="00E44253" w:rsidRPr="00131992" w:rsidRDefault="00E44253" w:rsidP="00A26D0E">
            <w:pPr>
              <w:spacing w:after="0"/>
              <w:jc w:val="both"/>
              <w:rPr>
                <w:rFonts w:ascii="Barlow" w:hAnsi="Barlow" w:cstheme="minorHAnsi"/>
                <w:b/>
                <w:bCs/>
                <w:sz w:val="20"/>
                <w:szCs w:val="20"/>
              </w:rPr>
            </w:pPr>
          </w:p>
        </w:tc>
        <w:tc>
          <w:tcPr>
            <w:tcW w:w="899" w:type="dxa"/>
            <w:shd w:val="clear" w:color="auto" w:fill="auto"/>
            <w:noWrap/>
            <w:vAlign w:val="bottom"/>
          </w:tcPr>
          <w:p w:rsidR="00376F59" w:rsidRPr="00131992" w:rsidRDefault="00376F59" w:rsidP="00A26D0E">
            <w:pPr>
              <w:spacing w:after="0"/>
              <w:jc w:val="both"/>
              <w:rPr>
                <w:rFonts w:ascii="Barlow" w:eastAsia="Times New Roman" w:hAnsi="Barlow" w:cstheme="minorHAnsi"/>
                <w:sz w:val="20"/>
                <w:szCs w:val="20"/>
                <w:lang w:val="es-ES" w:eastAsia="es-ES"/>
              </w:rPr>
            </w:pPr>
          </w:p>
        </w:tc>
      </w:tr>
      <w:tr w:rsidR="00376F59" w:rsidRPr="00131992" w:rsidTr="009A0458">
        <w:trPr>
          <w:trHeight w:val="56"/>
        </w:trPr>
        <w:tc>
          <w:tcPr>
            <w:tcW w:w="8269" w:type="dxa"/>
            <w:gridSpan w:val="2"/>
            <w:shd w:val="clear" w:color="auto" w:fill="auto"/>
            <w:noWrap/>
            <w:vAlign w:val="bottom"/>
          </w:tcPr>
          <w:p w:rsidR="00376F59" w:rsidRPr="00131992" w:rsidRDefault="00376F59" w:rsidP="00A26D0E">
            <w:pPr>
              <w:spacing w:after="0"/>
              <w:jc w:val="both"/>
              <w:rPr>
                <w:rFonts w:ascii="Barlow" w:hAnsi="Barlow" w:cstheme="minorHAnsi"/>
                <w:b/>
                <w:bCs/>
                <w:sz w:val="20"/>
                <w:szCs w:val="20"/>
              </w:rPr>
            </w:pPr>
          </w:p>
        </w:tc>
        <w:tc>
          <w:tcPr>
            <w:tcW w:w="899" w:type="dxa"/>
            <w:shd w:val="clear" w:color="auto" w:fill="auto"/>
            <w:noWrap/>
            <w:vAlign w:val="bottom"/>
          </w:tcPr>
          <w:p w:rsidR="00376F59" w:rsidRPr="00131992" w:rsidRDefault="00376F59" w:rsidP="00A26D0E">
            <w:pPr>
              <w:spacing w:after="0"/>
              <w:jc w:val="both"/>
              <w:rPr>
                <w:rFonts w:ascii="Barlow" w:eastAsia="Times New Roman" w:hAnsi="Barlow" w:cstheme="minorHAnsi"/>
                <w:sz w:val="20"/>
                <w:szCs w:val="20"/>
                <w:lang w:val="es-ES" w:eastAsia="es-ES"/>
              </w:rPr>
            </w:pPr>
          </w:p>
        </w:tc>
      </w:tr>
    </w:tbl>
    <w:p w:rsidR="00376F59" w:rsidRPr="00131992" w:rsidRDefault="00376F59" w:rsidP="00376F59">
      <w:pPr>
        <w:pStyle w:val="ROMANOS"/>
        <w:tabs>
          <w:tab w:val="clear" w:pos="720"/>
          <w:tab w:val="left" w:pos="0"/>
        </w:tabs>
        <w:spacing w:after="80" w:line="203" w:lineRule="exact"/>
        <w:ind w:left="0" w:firstLine="0"/>
        <w:rPr>
          <w:rFonts w:ascii="Barlow" w:hAnsi="Barlow" w:cstheme="minorHAnsi"/>
          <w:b/>
          <w:sz w:val="20"/>
          <w:szCs w:val="20"/>
          <w:lang w:val="es-MX"/>
        </w:rPr>
      </w:pPr>
      <w:r w:rsidRPr="00131992">
        <w:rPr>
          <w:rFonts w:ascii="Barlow" w:hAnsi="Barlow" w:cstheme="minorHAnsi"/>
          <w:b/>
          <w:sz w:val="20"/>
          <w:szCs w:val="20"/>
          <w:lang w:val="es-MX"/>
        </w:rPr>
        <w:t>Derechos a recibir Efectivo y Equivalentes.</w:t>
      </w:r>
    </w:p>
    <w:p w:rsidR="00D01B38" w:rsidRPr="00131992" w:rsidRDefault="00376F59" w:rsidP="00376F59">
      <w:pPr>
        <w:pStyle w:val="ROMANOS"/>
        <w:tabs>
          <w:tab w:val="clear" w:pos="720"/>
          <w:tab w:val="left" w:pos="0"/>
        </w:tabs>
        <w:spacing w:after="80" w:line="203" w:lineRule="exact"/>
        <w:ind w:left="0" w:firstLine="0"/>
        <w:rPr>
          <w:rFonts w:ascii="Barlow" w:hAnsi="Barlow" w:cstheme="minorHAnsi"/>
          <w:sz w:val="20"/>
          <w:szCs w:val="20"/>
        </w:rPr>
      </w:pPr>
      <w:r w:rsidRPr="00131992">
        <w:rPr>
          <w:rFonts w:ascii="Barlow" w:hAnsi="Barlow" w:cstheme="minorHAnsi"/>
          <w:sz w:val="20"/>
          <w:szCs w:val="20"/>
        </w:rPr>
        <w:t xml:space="preserve">El saldo de este rubro de los estados financieros se encuentra integrado al </w:t>
      </w:r>
      <w:r w:rsidR="00F95D09" w:rsidRPr="00131992">
        <w:rPr>
          <w:rFonts w:ascii="Barlow" w:hAnsi="Barlow" w:cstheme="minorHAnsi"/>
          <w:sz w:val="20"/>
          <w:szCs w:val="20"/>
        </w:rPr>
        <w:t>31</w:t>
      </w:r>
      <w:r w:rsidR="00930A89" w:rsidRPr="00131992">
        <w:rPr>
          <w:rFonts w:ascii="Barlow" w:hAnsi="Barlow" w:cstheme="minorHAnsi"/>
          <w:sz w:val="20"/>
          <w:szCs w:val="20"/>
        </w:rPr>
        <w:t xml:space="preserve"> de </w:t>
      </w:r>
      <w:r w:rsidR="00F95D09" w:rsidRPr="00131992">
        <w:rPr>
          <w:rFonts w:ascii="Barlow" w:hAnsi="Barlow" w:cstheme="minorHAnsi"/>
          <w:sz w:val="20"/>
          <w:szCs w:val="20"/>
        </w:rPr>
        <w:t>Marzo</w:t>
      </w:r>
      <w:r w:rsidR="002C5B18" w:rsidRPr="00131992">
        <w:rPr>
          <w:rFonts w:ascii="Barlow" w:hAnsi="Barlow" w:cstheme="minorHAnsi"/>
          <w:sz w:val="20"/>
          <w:szCs w:val="20"/>
        </w:rPr>
        <w:t xml:space="preserve"> de 201</w:t>
      </w:r>
      <w:r w:rsidR="001748BE" w:rsidRPr="00131992">
        <w:rPr>
          <w:rFonts w:ascii="Barlow" w:hAnsi="Barlow" w:cstheme="minorHAnsi"/>
          <w:sz w:val="20"/>
          <w:szCs w:val="20"/>
        </w:rPr>
        <w:t>9</w:t>
      </w:r>
      <w:r w:rsidRPr="00131992">
        <w:rPr>
          <w:rFonts w:ascii="Barlow" w:hAnsi="Barlow" w:cstheme="minorHAnsi"/>
          <w:sz w:val="20"/>
          <w:szCs w:val="20"/>
        </w:rPr>
        <w:t xml:space="preserve"> de la siguiente manera:</w:t>
      </w:r>
    </w:p>
    <w:p w:rsidR="004A0F7E" w:rsidRPr="00131992" w:rsidRDefault="004A0F7E" w:rsidP="0027372C">
      <w:pPr>
        <w:ind w:left="1080"/>
        <w:jc w:val="both"/>
        <w:rPr>
          <w:rFonts w:ascii="Barlow" w:hAnsi="Barlow" w:cstheme="minorHAnsi"/>
          <w:b/>
          <w:bCs/>
          <w:sz w:val="20"/>
          <w:szCs w:val="20"/>
        </w:rPr>
      </w:pPr>
    </w:p>
    <w:tbl>
      <w:tblPr>
        <w:tblStyle w:val="Tablaconcuadrcula"/>
        <w:tblW w:w="0" w:type="auto"/>
        <w:tblInd w:w="1080" w:type="dxa"/>
        <w:tblLook w:val="04A0" w:firstRow="1" w:lastRow="0" w:firstColumn="1" w:lastColumn="0" w:noHBand="0" w:noVBand="1"/>
      </w:tblPr>
      <w:tblGrid>
        <w:gridCol w:w="5011"/>
        <w:gridCol w:w="1419"/>
        <w:gridCol w:w="1276"/>
      </w:tblGrid>
      <w:tr w:rsidR="0046283E" w:rsidRPr="00131992" w:rsidTr="002C449A">
        <w:tc>
          <w:tcPr>
            <w:tcW w:w="5011" w:type="dxa"/>
          </w:tcPr>
          <w:p w:rsidR="0046283E" w:rsidRPr="00131992" w:rsidRDefault="0046283E" w:rsidP="0027372C">
            <w:pPr>
              <w:jc w:val="both"/>
              <w:rPr>
                <w:rFonts w:ascii="Barlow" w:hAnsi="Barlow" w:cstheme="minorHAnsi"/>
                <w:bCs/>
              </w:rPr>
            </w:pPr>
            <w:r w:rsidRPr="00131992">
              <w:rPr>
                <w:rFonts w:ascii="Barlow" w:hAnsi="Barlow" w:cstheme="minorHAnsi"/>
                <w:bCs/>
              </w:rPr>
              <w:t>Cuentas por Cobrar</w:t>
            </w:r>
          </w:p>
        </w:tc>
        <w:tc>
          <w:tcPr>
            <w:tcW w:w="1417" w:type="dxa"/>
          </w:tcPr>
          <w:p w:rsidR="0046283E" w:rsidRPr="00131992" w:rsidRDefault="00F95D09" w:rsidP="0027372C">
            <w:pPr>
              <w:jc w:val="both"/>
              <w:rPr>
                <w:rFonts w:ascii="Barlow" w:hAnsi="Barlow" w:cstheme="minorHAnsi"/>
                <w:bCs/>
              </w:rPr>
            </w:pPr>
            <w:r w:rsidRPr="00131992">
              <w:rPr>
                <w:rFonts w:ascii="Barlow" w:hAnsi="Barlow" w:cstheme="minorHAnsi"/>
                <w:bCs/>
              </w:rPr>
              <w:t>69,452,227.35</w:t>
            </w:r>
          </w:p>
        </w:tc>
        <w:tc>
          <w:tcPr>
            <w:tcW w:w="1276" w:type="dxa"/>
          </w:tcPr>
          <w:p w:rsidR="0046283E" w:rsidRPr="00131992" w:rsidRDefault="0046283E" w:rsidP="0027372C">
            <w:pPr>
              <w:jc w:val="both"/>
              <w:rPr>
                <w:rFonts w:ascii="Barlow" w:hAnsi="Barlow" w:cstheme="minorHAnsi"/>
                <w:b/>
                <w:bCs/>
              </w:rPr>
            </w:pPr>
          </w:p>
        </w:tc>
      </w:tr>
      <w:tr w:rsidR="0046283E" w:rsidRPr="00131992" w:rsidTr="002C449A">
        <w:tc>
          <w:tcPr>
            <w:tcW w:w="5011" w:type="dxa"/>
          </w:tcPr>
          <w:p w:rsidR="0046283E" w:rsidRPr="00131992" w:rsidRDefault="0046283E" w:rsidP="0027372C">
            <w:pPr>
              <w:jc w:val="both"/>
              <w:rPr>
                <w:rFonts w:ascii="Barlow" w:hAnsi="Barlow" w:cstheme="minorHAnsi"/>
                <w:bCs/>
              </w:rPr>
            </w:pPr>
            <w:r w:rsidRPr="00131992">
              <w:rPr>
                <w:rFonts w:ascii="Barlow" w:hAnsi="Barlow" w:cstheme="minorHAnsi"/>
                <w:bCs/>
              </w:rPr>
              <w:t>Deudores Diversos</w:t>
            </w:r>
          </w:p>
        </w:tc>
        <w:tc>
          <w:tcPr>
            <w:tcW w:w="1417" w:type="dxa"/>
          </w:tcPr>
          <w:p w:rsidR="0046283E" w:rsidRPr="00131992" w:rsidRDefault="0046283E" w:rsidP="0027372C">
            <w:pPr>
              <w:jc w:val="both"/>
              <w:rPr>
                <w:rFonts w:ascii="Barlow" w:hAnsi="Barlow" w:cstheme="minorHAnsi"/>
                <w:bCs/>
              </w:rPr>
            </w:pPr>
            <w:r w:rsidRPr="00131992">
              <w:rPr>
                <w:rFonts w:ascii="Barlow" w:hAnsi="Barlow" w:cstheme="minorHAnsi"/>
                <w:bCs/>
              </w:rPr>
              <w:t xml:space="preserve">  1,244,850.48</w:t>
            </w:r>
          </w:p>
        </w:tc>
        <w:tc>
          <w:tcPr>
            <w:tcW w:w="1276" w:type="dxa"/>
          </w:tcPr>
          <w:p w:rsidR="0046283E" w:rsidRPr="00131992" w:rsidRDefault="0046283E" w:rsidP="0027372C">
            <w:pPr>
              <w:jc w:val="both"/>
              <w:rPr>
                <w:rFonts w:ascii="Barlow" w:hAnsi="Barlow" w:cstheme="minorHAnsi"/>
                <w:b/>
                <w:bCs/>
              </w:rPr>
            </w:pPr>
          </w:p>
        </w:tc>
      </w:tr>
      <w:tr w:rsidR="0046283E" w:rsidRPr="00131992" w:rsidTr="002C449A">
        <w:tc>
          <w:tcPr>
            <w:tcW w:w="5011" w:type="dxa"/>
          </w:tcPr>
          <w:p w:rsidR="0046283E" w:rsidRPr="00131992" w:rsidRDefault="0046283E" w:rsidP="0027372C">
            <w:pPr>
              <w:jc w:val="both"/>
              <w:rPr>
                <w:rFonts w:ascii="Barlow" w:hAnsi="Barlow" w:cstheme="minorHAnsi"/>
                <w:bCs/>
              </w:rPr>
            </w:pPr>
            <w:r w:rsidRPr="00131992">
              <w:rPr>
                <w:rFonts w:ascii="Barlow" w:hAnsi="Barlow" w:cstheme="minorHAnsi"/>
                <w:bCs/>
              </w:rPr>
              <w:t>Comisiones Bancarias</w:t>
            </w:r>
          </w:p>
        </w:tc>
        <w:tc>
          <w:tcPr>
            <w:tcW w:w="1417" w:type="dxa"/>
          </w:tcPr>
          <w:p w:rsidR="0046283E" w:rsidRPr="00131992" w:rsidRDefault="0046283E" w:rsidP="0027372C">
            <w:pPr>
              <w:jc w:val="both"/>
              <w:rPr>
                <w:rFonts w:ascii="Barlow" w:hAnsi="Barlow" w:cstheme="minorHAnsi"/>
                <w:bCs/>
              </w:rPr>
            </w:pPr>
            <w:r w:rsidRPr="00131992">
              <w:rPr>
                <w:rFonts w:ascii="Barlow" w:hAnsi="Barlow" w:cstheme="minorHAnsi"/>
                <w:bCs/>
              </w:rPr>
              <w:t xml:space="preserve">     207,989.96</w:t>
            </w:r>
          </w:p>
        </w:tc>
        <w:tc>
          <w:tcPr>
            <w:tcW w:w="1276" w:type="dxa"/>
          </w:tcPr>
          <w:p w:rsidR="0046283E" w:rsidRPr="00131992" w:rsidRDefault="0046283E" w:rsidP="0027372C">
            <w:pPr>
              <w:jc w:val="both"/>
              <w:rPr>
                <w:rFonts w:ascii="Barlow" w:hAnsi="Barlow" w:cstheme="minorHAnsi"/>
                <w:b/>
                <w:bCs/>
              </w:rPr>
            </w:pPr>
          </w:p>
        </w:tc>
      </w:tr>
      <w:tr w:rsidR="0046283E" w:rsidRPr="00131992" w:rsidTr="002C449A">
        <w:tc>
          <w:tcPr>
            <w:tcW w:w="5011" w:type="dxa"/>
          </w:tcPr>
          <w:p w:rsidR="0046283E" w:rsidRPr="00131992" w:rsidRDefault="0046283E" w:rsidP="0027372C">
            <w:pPr>
              <w:jc w:val="both"/>
              <w:rPr>
                <w:rFonts w:ascii="Barlow" w:hAnsi="Barlow" w:cstheme="minorHAnsi"/>
                <w:bCs/>
              </w:rPr>
            </w:pPr>
            <w:r w:rsidRPr="00131992">
              <w:rPr>
                <w:rFonts w:ascii="Barlow" w:hAnsi="Barlow" w:cstheme="minorHAnsi"/>
                <w:bCs/>
              </w:rPr>
              <w:t>Contribuciones por Recuperar a Corto plazo</w:t>
            </w:r>
          </w:p>
        </w:tc>
        <w:tc>
          <w:tcPr>
            <w:tcW w:w="1417" w:type="dxa"/>
          </w:tcPr>
          <w:p w:rsidR="0046283E" w:rsidRPr="00131992" w:rsidRDefault="00F95D09" w:rsidP="0027372C">
            <w:pPr>
              <w:jc w:val="both"/>
              <w:rPr>
                <w:rFonts w:ascii="Barlow" w:hAnsi="Barlow" w:cstheme="minorHAnsi"/>
                <w:bCs/>
              </w:rPr>
            </w:pPr>
            <w:r w:rsidRPr="00131992">
              <w:rPr>
                <w:rFonts w:ascii="Barlow" w:hAnsi="Barlow" w:cstheme="minorHAnsi"/>
                <w:bCs/>
              </w:rPr>
              <w:t xml:space="preserve">     257,472.94</w:t>
            </w:r>
          </w:p>
        </w:tc>
        <w:tc>
          <w:tcPr>
            <w:tcW w:w="1276" w:type="dxa"/>
          </w:tcPr>
          <w:p w:rsidR="0046283E" w:rsidRPr="00131992" w:rsidRDefault="0046283E" w:rsidP="0027372C">
            <w:pPr>
              <w:jc w:val="both"/>
              <w:rPr>
                <w:rFonts w:ascii="Barlow" w:hAnsi="Barlow" w:cstheme="minorHAnsi"/>
                <w:b/>
                <w:bCs/>
              </w:rPr>
            </w:pPr>
          </w:p>
        </w:tc>
      </w:tr>
      <w:tr w:rsidR="0046283E" w:rsidRPr="00131992" w:rsidTr="002C449A">
        <w:tc>
          <w:tcPr>
            <w:tcW w:w="5011" w:type="dxa"/>
          </w:tcPr>
          <w:p w:rsidR="0046283E" w:rsidRPr="00131992" w:rsidRDefault="0046283E" w:rsidP="0027372C">
            <w:pPr>
              <w:jc w:val="both"/>
              <w:rPr>
                <w:rFonts w:ascii="Barlow" w:hAnsi="Barlow" w:cstheme="minorHAnsi"/>
                <w:bCs/>
              </w:rPr>
            </w:pPr>
            <w:r w:rsidRPr="00131992">
              <w:rPr>
                <w:rFonts w:ascii="Barlow" w:hAnsi="Barlow" w:cstheme="minorHAnsi"/>
                <w:bCs/>
              </w:rPr>
              <w:t>Reintegros y Canalizaciones Pendientes de Aplicar</w:t>
            </w:r>
          </w:p>
        </w:tc>
        <w:tc>
          <w:tcPr>
            <w:tcW w:w="1417" w:type="dxa"/>
          </w:tcPr>
          <w:p w:rsidR="0046283E" w:rsidRPr="00131992" w:rsidRDefault="0046283E" w:rsidP="0027372C">
            <w:pPr>
              <w:jc w:val="both"/>
              <w:rPr>
                <w:rFonts w:ascii="Barlow" w:hAnsi="Barlow" w:cstheme="minorHAnsi"/>
                <w:bCs/>
              </w:rPr>
            </w:pPr>
            <w:r w:rsidRPr="00131992">
              <w:rPr>
                <w:rFonts w:ascii="Barlow" w:hAnsi="Barlow" w:cstheme="minorHAnsi"/>
                <w:bCs/>
              </w:rPr>
              <w:t xml:space="preserve">            150.34</w:t>
            </w:r>
          </w:p>
        </w:tc>
        <w:tc>
          <w:tcPr>
            <w:tcW w:w="1276" w:type="dxa"/>
          </w:tcPr>
          <w:p w:rsidR="0046283E" w:rsidRPr="00131992" w:rsidRDefault="0046283E" w:rsidP="0027372C">
            <w:pPr>
              <w:jc w:val="both"/>
              <w:rPr>
                <w:rFonts w:ascii="Barlow" w:hAnsi="Barlow" w:cstheme="minorHAnsi"/>
                <w:b/>
                <w:bCs/>
              </w:rPr>
            </w:pPr>
          </w:p>
        </w:tc>
      </w:tr>
      <w:tr w:rsidR="0046283E" w:rsidRPr="00131992" w:rsidTr="002C449A">
        <w:tc>
          <w:tcPr>
            <w:tcW w:w="5011" w:type="dxa"/>
          </w:tcPr>
          <w:p w:rsidR="0046283E" w:rsidRPr="00131992" w:rsidRDefault="000238C2" w:rsidP="0027372C">
            <w:pPr>
              <w:jc w:val="both"/>
              <w:rPr>
                <w:rFonts w:ascii="Barlow" w:hAnsi="Barlow" w:cstheme="minorHAnsi"/>
                <w:bCs/>
              </w:rPr>
            </w:pPr>
            <w:r w:rsidRPr="00131992">
              <w:rPr>
                <w:rFonts w:ascii="Barlow" w:hAnsi="Barlow" w:cstheme="minorHAnsi"/>
                <w:bCs/>
              </w:rPr>
              <w:t>Total</w:t>
            </w:r>
          </w:p>
        </w:tc>
        <w:tc>
          <w:tcPr>
            <w:tcW w:w="1417" w:type="dxa"/>
          </w:tcPr>
          <w:p w:rsidR="0046283E" w:rsidRPr="00131992" w:rsidRDefault="00F95D09" w:rsidP="0027372C">
            <w:pPr>
              <w:jc w:val="both"/>
              <w:rPr>
                <w:rFonts w:ascii="Barlow" w:hAnsi="Barlow" w:cstheme="minorHAnsi"/>
                <w:bCs/>
              </w:rPr>
            </w:pPr>
            <w:r w:rsidRPr="00131992">
              <w:rPr>
                <w:rFonts w:ascii="Barlow" w:hAnsi="Barlow" w:cstheme="minorHAnsi"/>
                <w:bCs/>
              </w:rPr>
              <w:t>71,162,691.07</w:t>
            </w:r>
          </w:p>
        </w:tc>
        <w:tc>
          <w:tcPr>
            <w:tcW w:w="1276" w:type="dxa"/>
          </w:tcPr>
          <w:p w:rsidR="0046283E" w:rsidRPr="00131992" w:rsidRDefault="0046283E" w:rsidP="0027372C">
            <w:pPr>
              <w:jc w:val="both"/>
              <w:rPr>
                <w:rFonts w:ascii="Barlow" w:hAnsi="Barlow" w:cstheme="minorHAnsi"/>
                <w:b/>
                <w:bCs/>
              </w:rPr>
            </w:pPr>
          </w:p>
        </w:tc>
      </w:tr>
    </w:tbl>
    <w:p w:rsidR="002C449A" w:rsidRPr="00131992" w:rsidRDefault="002C449A" w:rsidP="0027372C">
      <w:pPr>
        <w:ind w:left="1080"/>
        <w:jc w:val="both"/>
        <w:rPr>
          <w:rFonts w:ascii="Barlow" w:hAnsi="Barlow" w:cstheme="minorHAnsi"/>
          <w:b/>
          <w:bCs/>
          <w:sz w:val="20"/>
          <w:szCs w:val="20"/>
        </w:rPr>
      </w:pPr>
    </w:p>
    <w:p w:rsidR="00D5678E" w:rsidRPr="00131992" w:rsidRDefault="00D5678E" w:rsidP="0027372C">
      <w:pPr>
        <w:ind w:left="1080"/>
        <w:jc w:val="both"/>
        <w:rPr>
          <w:rFonts w:ascii="Barlow" w:hAnsi="Barlow" w:cstheme="minorHAnsi"/>
          <w:b/>
          <w:sz w:val="20"/>
          <w:szCs w:val="20"/>
        </w:rPr>
      </w:pPr>
    </w:p>
    <w:p w:rsidR="003C6995" w:rsidRPr="00131992" w:rsidRDefault="003C6995" w:rsidP="003C6995">
      <w:pPr>
        <w:pStyle w:val="ROMANOS"/>
        <w:tabs>
          <w:tab w:val="clear" w:pos="720"/>
          <w:tab w:val="left" w:pos="0"/>
        </w:tabs>
        <w:spacing w:after="80" w:line="203" w:lineRule="exact"/>
        <w:ind w:left="0" w:firstLine="0"/>
        <w:rPr>
          <w:rFonts w:ascii="Barlow" w:hAnsi="Barlow" w:cstheme="minorHAnsi"/>
          <w:b/>
          <w:sz w:val="20"/>
          <w:szCs w:val="20"/>
          <w:lang w:val="es-MX"/>
        </w:rPr>
      </w:pPr>
      <w:r w:rsidRPr="00131992">
        <w:rPr>
          <w:rFonts w:ascii="Barlow" w:hAnsi="Barlow" w:cstheme="minorHAnsi"/>
          <w:b/>
          <w:sz w:val="20"/>
          <w:szCs w:val="20"/>
          <w:lang w:val="es-MX"/>
        </w:rPr>
        <w:t>Derechos a recibir Bienes o Servicios.</w:t>
      </w:r>
    </w:p>
    <w:p w:rsidR="003C6995" w:rsidRPr="00131992" w:rsidRDefault="003C6995" w:rsidP="003C6995">
      <w:pPr>
        <w:pStyle w:val="ROMANOS"/>
        <w:tabs>
          <w:tab w:val="clear" w:pos="720"/>
          <w:tab w:val="left" w:pos="0"/>
        </w:tabs>
        <w:spacing w:after="80" w:line="203" w:lineRule="exact"/>
        <w:ind w:left="0" w:firstLine="0"/>
        <w:rPr>
          <w:rFonts w:ascii="Barlow" w:hAnsi="Barlow" w:cstheme="minorHAnsi"/>
          <w:sz w:val="20"/>
          <w:szCs w:val="20"/>
        </w:rPr>
      </w:pPr>
      <w:r w:rsidRPr="00131992">
        <w:rPr>
          <w:rFonts w:ascii="Barlow" w:hAnsi="Barlow" w:cstheme="minorHAnsi"/>
          <w:sz w:val="20"/>
          <w:szCs w:val="20"/>
        </w:rPr>
        <w:t xml:space="preserve">El saldo de este rubro de los estados financieros se encuentra integrado al </w:t>
      </w:r>
      <w:r w:rsidR="00864A8A" w:rsidRPr="00131992">
        <w:rPr>
          <w:rFonts w:ascii="Barlow" w:hAnsi="Barlow" w:cstheme="minorHAnsi"/>
          <w:sz w:val="20"/>
          <w:szCs w:val="20"/>
        </w:rPr>
        <w:t>31</w:t>
      </w:r>
      <w:r w:rsidR="00930A89" w:rsidRPr="00131992">
        <w:rPr>
          <w:rFonts w:ascii="Barlow" w:hAnsi="Barlow" w:cstheme="minorHAnsi"/>
          <w:sz w:val="20"/>
          <w:szCs w:val="20"/>
        </w:rPr>
        <w:t xml:space="preserve"> de </w:t>
      </w:r>
      <w:r w:rsidR="00864A8A" w:rsidRPr="00131992">
        <w:rPr>
          <w:rFonts w:ascii="Barlow" w:hAnsi="Barlow" w:cstheme="minorHAnsi"/>
          <w:sz w:val="20"/>
          <w:szCs w:val="20"/>
        </w:rPr>
        <w:t>Marz</w:t>
      </w:r>
      <w:r w:rsidR="001748BE" w:rsidRPr="00131992">
        <w:rPr>
          <w:rFonts w:ascii="Barlow" w:hAnsi="Barlow" w:cstheme="minorHAnsi"/>
          <w:sz w:val="20"/>
          <w:szCs w:val="20"/>
        </w:rPr>
        <w:t>o</w:t>
      </w:r>
      <w:r w:rsidRPr="00131992">
        <w:rPr>
          <w:rFonts w:ascii="Barlow" w:hAnsi="Barlow" w:cstheme="minorHAnsi"/>
          <w:sz w:val="20"/>
          <w:szCs w:val="20"/>
        </w:rPr>
        <w:t xml:space="preserve"> de 201</w:t>
      </w:r>
      <w:r w:rsidR="001748BE" w:rsidRPr="00131992">
        <w:rPr>
          <w:rFonts w:ascii="Barlow" w:hAnsi="Barlow" w:cstheme="minorHAnsi"/>
          <w:sz w:val="20"/>
          <w:szCs w:val="20"/>
        </w:rPr>
        <w:t>9</w:t>
      </w:r>
      <w:r w:rsidRPr="00131992">
        <w:rPr>
          <w:rFonts w:ascii="Barlow" w:hAnsi="Barlow" w:cstheme="minorHAnsi"/>
          <w:sz w:val="20"/>
          <w:szCs w:val="20"/>
        </w:rPr>
        <w:t xml:space="preserve"> de la siguiente manera:</w:t>
      </w:r>
    </w:p>
    <w:tbl>
      <w:tblPr>
        <w:tblStyle w:val="Tablaconcuadrcula"/>
        <w:tblW w:w="0" w:type="auto"/>
        <w:tblInd w:w="1080" w:type="dxa"/>
        <w:tblLook w:val="04A0" w:firstRow="1" w:lastRow="0" w:firstColumn="1" w:lastColumn="0" w:noHBand="0" w:noVBand="1"/>
      </w:tblPr>
      <w:tblGrid>
        <w:gridCol w:w="5011"/>
        <w:gridCol w:w="1481"/>
        <w:gridCol w:w="1276"/>
      </w:tblGrid>
      <w:tr w:rsidR="000238C2" w:rsidRPr="00131992" w:rsidTr="00890D4E">
        <w:tc>
          <w:tcPr>
            <w:tcW w:w="5011" w:type="dxa"/>
            <w:tcBorders>
              <w:top w:val="single" w:sz="4" w:space="0" w:color="auto"/>
              <w:left w:val="single" w:sz="4" w:space="0" w:color="auto"/>
              <w:bottom w:val="single" w:sz="4" w:space="0" w:color="auto"/>
              <w:right w:val="single" w:sz="4" w:space="0" w:color="auto"/>
            </w:tcBorders>
          </w:tcPr>
          <w:p w:rsidR="000238C2" w:rsidRPr="00131992" w:rsidRDefault="000238C2" w:rsidP="00D55048">
            <w:pPr>
              <w:jc w:val="both"/>
              <w:rPr>
                <w:rFonts w:ascii="Barlow" w:hAnsi="Barlow" w:cstheme="minorHAnsi"/>
                <w:bCs/>
              </w:rPr>
            </w:pPr>
            <w:r w:rsidRPr="00131992">
              <w:rPr>
                <w:rFonts w:ascii="Barlow" w:hAnsi="Barlow" w:cstheme="minorHAnsi"/>
                <w:bCs/>
              </w:rPr>
              <w:t>Otros Derechos a recibir Bienes o servicios a CP</w:t>
            </w:r>
          </w:p>
        </w:tc>
        <w:tc>
          <w:tcPr>
            <w:tcW w:w="1481" w:type="dxa"/>
            <w:tcBorders>
              <w:left w:val="single" w:sz="4" w:space="0" w:color="auto"/>
              <w:bottom w:val="single" w:sz="4" w:space="0" w:color="auto"/>
            </w:tcBorders>
          </w:tcPr>
          <w:p w:rsidR="000238C2" w:rsidRPr="00131992" w:rsidRDefault="00864A8A" w:rsidP="00D55048">
            <w:pPr>
              <w:jc w:val="both"/>
              <w:rPr>
                <w:rFonts w:ascii="Barlow" w:hAnsi="Barlow" w:cstheme="minorHAnsi"/>
                <w:bCs/>
              </w:rPr>
            </w:pPr>
            <w:r w:rsidRPr="00131992">
              <w:rPr>
                <w:rFonts w:ascii="Barlow" w:hAnsi="Barlow" w:cstheme="minorHAnsi"/>
                <w:bCs/>
              </w:rPr>
              <w:t>1,891,616.64</w:t>
            </w:r>
          </w:p>
        </w:tc>
        <w:tc>
          <w:tcPr>
            <w:tcW w:w="1276" w:type="dxa"/>
            <w:tcBorders>
              <w:top w:val="single" w:sz="4" w:space="0" w:color="auto"/>
              <w:bottom w:val="single" w:sz="4" w:space="0" w:color="auto"/>
              <w:right w:val="single" w:sz="4" w:space="0" w:color="auto"/>
            </w:tcBorders>
          </w:tcPr>
          <w:p w:rsidR="000238C2" w:rsidRPr="00131992" w:rsidRDefault="000238C2" w:rsidP="00D55048">
            <w:pPr>
              <w:jc w:val="both"/>
              <w:rPr>
                <w:rFonts w:ascii="Barlow" w:hAnsi="Barlow" w:cstheme="minorHAnsi"/>
                <w:b/>
                <w:bCs/>
              </w:rPr>
            </w:pPr>
          </w:p>
        </w:tc>
      </w:tr>
      <w:tr w:rsidR="000238C2" w:rsidRPr="00131992" w:rsidTr="00890D4E">
        <w:tc>
          <w:tcPr>
            <w:tcW w:w="5011" w:type="dxa"/>
            <w:tcBorders>
              <w:top w:val="single" w:sz="4" w:space="0" w:color="auto"/>
              <w:left w:val="single" w:sz="4" w:space="0" w:color="auto"/>
              <w:bottom w:val="single" w:sz="4" w:space="0" w:color="auto"/>
            </w:tcBorders>
          </w:tcPr>
          <w:p w:rsidR="000238C2" w:rsidRPr="00131992" w:rsidRDefault="000238C2" w:rsidP="00D55048">
            <w:pPr>
              <w:jc w:val="both"/>
              <w:rPr>
                <w:rFonts w:ascii="Barlow" w:hAnsi="Barlow" w:cstheme="minorHAnsi"/>
                <w:bCs/>
              </w:rPr>
            </w:pPr>
            <w:r w:rsidRPr="00131992">
              <w:rPr>
                <w:rFonts w:ascii="Barlow" w:hAnsi="Barlow" w:cstheme="minorHAnsi"/>
                <w:bCs/>
              </w:rPr>
              <w:t>TOTAL</w:t>
            </w:r>
          </w:p>
        </w:tc>
        <w:tc>
          <w:tcPr>
            <w:tcW w:w="1481" w:type="dxa"/>
            <w:tcBorders>
              <w:top w:val="single" w:sz="4" w:space="0" w:color="auto"/>
              <w:bottom w:val="thinThickSmallGap" w:sz="12" w:space="0" w:color="auto"/>
            </w:tcBorders>
          </w:tcPr>
          <w:p w:rsidR="000238C2" w:rsidRPr="00131992" w:rsidRDefault="00864A8A" w:rsidP="00D55048">
            <w:pPr>
              <w:jc w:val="both"/>
              <w:rPr>
                <w:rFonts w:ascii="Barlow" w:hAnsi="Barlow" w:cstheme="minorHAnsi"/>
                <w:bCs/>
              </w:rPr>
            </w:pPr>
            <w:r w:rsidRPr="00131992">
              <w:rPr>
                <w:rFonts w:ascii="Barlow" w:hAnsi="Barlow" w:cstheme="minorHAnsi"/>
                <w:bCs/>
              </w:rPr>
              <w:t>1,891,616.64</w:t>
            </w:r>
          </w:p>
        </w:tc>
        <w:tc>
          <w:tcPr>
            <w:tcW w:w="1276" w:type="dxa"/>
            <w:tcBorders>
              <w:top w:val="single" w:sz="4" w:space="0" w:color="auto"/>
              <w:bottom w:val="single" w:sz="4" w:space="0" w:color="auto"/>
              <w:right w:val="single" w:sz="4" w:space="0" w:color="auto"/>
            </w:tcBorders>
          </w:tcPr>
          <w:p w:rsidR="000238C2" w:rsidRPr="00131992" w:rsidRDefault="000238C2" w:rsidP="00D55048">
            <w:pPr>
              <w:jc w:val="both"/>
              <w:rPr>
                <w:rFonts w:ascii="Barlow" w:hAnsi="Barlow" w:cstheme="minorHAnsi"/>
                <w:b/>
                <w:bCs/>
              </w:rPr>
            </w:pPr>
          </w:p>
        </w:tc>
      </w:tr>
      <w:tr w:rsidR="000238C2" w:rsidRPr="00131992" w:rsidTr="00890D4E">
        <w:tc>
          <w:tcPr>
            <w:tcW w:w="5011" w:type="dxa"/>
            <w:tcBorders>
              <w:top w:val="single" w:sz="4" w:space="0" w:color="auto"/>
              <w:left w:val="single" w:sz="4" w:space="0" w:color="auto"/>
              <w:bottom w:val="single" w:sz="4" w:space="0" w:color="auto"/>
            </w:tcBorders>
          </w:tcPr>
          <w:p w:rsidR="000238C2" w:rsidRPr="00131992" w:rsidRDefault="000238C2" w:rsidP="00D55048">
            <w:pPr>
              <w:jc w:val="both"/>
              <w:rPr>
                <w:rFonts w:ascii="Barlow" w:hAnsi="Barlow" w:cstheme="minorHAnsi"/>
                <w:bCs/>
              </w:rPr>
            </w:pPr>
          </w:p>
        </w:tc>
        <w:tc>
          <w:tcPr>
            <w:tcW w:w="1481" w:type="dxa"/>
            <w:tcBorders>
              <w:top w:val="thinThickSmallGap" w:sz="12" w:space="0" w:color="auto"/>
              <w:bottom w:val="single" w:sz="4" w:space="0" w:color="auto"/>
            </w:tcBorders>
          </w:tcPr>
          <w:p w:rsidR="000238C2" w:rsidRPr="00131992" w:rsidRDefault="000238C2" w:rsidP="00D55048">
            <w:pPr>
              <w:jc w:val="both"/>
              <w:rPr>
                <w:rFonts w:ascii="Barlow" w:hAnsi="Barlow" w:cstheme="minorHAnsi"/>
                <w:bCs/>
              </w:rPr>
            </w:pPr>
          </w:p>
        </w:tc>
        <w:tc>
          <w:tcPr>
            <w:tcW w:w="1276" w:type="dxa"/>
            <w:tcBorders>
              <w:top w:val="single" w:sz="4" w:space="0" w:color="auto"/>
              <w:bottom w:val="single" w:sz="4" w:space="0" w:color="auto"/>
              <w:right w:val="single" w:sz="4" w:space="0" w:color="auto"/>
            </w:tcBorders>
          </w:tcPr>
          <w:p w:rsidR="000238C2" w:rsidRPr="00131992" w:rsidRDefault="000238C2" w:rsidP="00D55048">
            <w:pPr>
              <w:jc w:val="both"/>
              <w:rPr>
                <w:rFonts w:ascii="Barlow" w:hAnsi="Barlow" w:cstheme="minorHAnsi"/>
                <w:b/>
                <w:bCs/>
              </w:rPr>
            </w:pPr>
          </w:p>
        </w:tc>
      </w:tr>
      <w:tr w:rsidR="000238C2" w:rsidRPr="00131992" w:rsidTr="00890D4E">
        <w:tc>
          <w:tcPr>
            <w:tcW w:w="5011" w:type="dxa"/>
            <w:tcBorders>
              <w:top w:val="single" w:sz="4" w:space="0" w:color="auto"/>
              <w:left w:val="single" w:sz="4" w:space="0" w:color="auto"/>
              <w:bottom w:val="single" w:sz="4" w:space="0" w:color="auto"/>
            </w:tcBorders>
          </w:tcPr>
          <w:p w:rsidR="000238C2" w:rsidRPr="00131992" w:rsidRDefault="000238C2" w:rsidP="00D55048">
            <w:pPr>
              <w:jc w:val="both"/>
              <w:rPr>
                <w:rFonts w:ascii="Barlow" w:hAnsi="Barlow" w:cstheme="minorHAnsi"/>
                <w:bCs/>
              </w:rPr>
            </w:pPr>
          </w:p>
        </w:tc>
        <w:tc>
          <w:tcPr>
            <w:tcW w:w="1481" w:type="dxa"/>
            <w:tcBorders>
              <w:top w:val="single" w:sz="4" w:space="0" w:color="auto"/>
              <w:bottom w:val="single" w:sz="4" w:space="0" w:color="auto"/>
            </w:tcBorders>
          </w:tcPr>
          <w:p w:rsidR="000238C2" w:rsidRPr="00131992" w:rsidRDefault="000238C2" w:rsidP="00D55048">
            <w:pPr>
              <w:jc w:val="both"/>
              <w:rPr>
                <w:rFonts w:ascii="Barlow" w:hAnsi="Barlow" w:cstheme="minorHAnsi"/>
                <w:bCs/>
              </w:rPr>
            </w:pPr>
          </w:p>
        </w:tc>
        <w:tc>
          <w:tcPr>
            <w:tcW w:w="1276" w:type="dxa"/>
            <w:tcBorders>
              <w:top w:val="single" w:sz="4" w:space="0" w:color="auto"/>
              <w:bottom w:val="single" w:sz="4" w:space="0" w:color="auto"/>
              <w:right w:val="single" w:sz="4" w:space="0" w:color="auto"/>
            </w:tcBorders>
          </w:tcPr>
          <w:p w:rsidR="000238C2" w:rsidRPr="00131992" w:rsidRDefault="000238C2" w:rsidP="00D55048">
            <w:pPr>
              <w:jc w:val="both"/>
              <w:rPr>
                <w:rFonts w:ascii="Barlow" w:hAnsi="Barlow" w:cstheme="minorHAnsi"/>
                <w:b/>
                <w:bCs/>
              </w:rPr>
            </w:pPr>
          </w:p>
        </w:tc>
      </w:tr>
    </w:tbl>
    <w:p w:rsidR="00376F59" w:rsidRPr="00131992" w:rsidRDefault="00376F59" w:rsidP="00376F59">
      <w:pPr>
        <w:pStyle w:val="ROMANOS"/>
        <w:tabs>
          <w:tab w:val="clear" w:pos="720"/>
          <w:tab w:val="left" w:pos="0"/>
        </w:tabs>
        <w:spacing w:after="80" w:line="203" w:lineRule="exact"/>
        <w:ind w:left="0" w:firstLine="0"/>
        <w:rPr>
          <w:rFonts w:ascii="Barlow" w:hAnsi="Barlow" w:cstheme="minorHAnsi"/>
          <w:b/>
          <w:sz w:val="20"/>
          <w:szCs w:val="20"/>
          <w:lang w:val="es-MX"/>
        </w:rPr>
      </w:pPr>
      <w:r w:rsidRPr="00131992">
        <w:rPr>
          <w:rFonts w:ascii="Barlow" w:hAnsi="Barlow" w:cstheme="minorHAnsi"/>
          <w:b/>
          <w:sz w:val="20"/>
          <w:szCs w:val="20"/>
          <w:lang w:val="es-MX"/>
        </w:rPr>
        <w:t>Bienes Muebles, Inmuebles e Intangibles</w:t>
      </w:r>
    </w:p>
    <w:p w:rsidR="004713E0" w:rsidRPr="00131992" w:rsidRDefault="00376F59" w:rsidP="00376F59">
      <w:pPr>
        <w:pStyle w:val="ROMANOS"/>
        <w:tabs>
          <w:tab w:val="clear" w:pos="720"/>
          <w:tab w:val="left" w:pos="0"/>
        </w:tabs>
        <w:spacing w:after="80" w:line="203" w:lineRule="exact"/>
        <w:ind w:left="0" w:firstLine="0"/>
        <w:rPr>
          <w:rFonts w:ascii="Barlow" w:hAnsi="Barlow" w:cstheme="minorHAnsi"/>
          <w:sz w:val="20"/>
          <w:szCs w:val="20"/>
        </w:rPr>
      </w:pPr>
      <w:r w:rsidRPr="00131992">
        <w:rPr>
          <w:rFonts w:ascii="Barlow" w:hAnsi="Barlow" w:cstheme="minorHAnsi"/>
          <w:sz w:val="20"/>
          <w:szCs w:val="20"/>
        </w:rPr>
        <w:t xml:space="preserve">El saldo de este rubro de los estados financieros se encuentra integrado al </w:t>
      </w:r>
      <w:r w:rsidR="00864A8A" w:rsidRPr="00131992">
        <w:rPr>
          <w:rFonts w:ascii="Barlow" w:hAnsi="Barlow" w:cstheme="minorHAnsi"/>
          <w:sz w:val="20"/>
          <w:szCs w:val="20"/>
        </w:rPr>
        <w:t>31</w:t>
      </w:r>
      <w:r w:rsidR="00930A89" w:rsidRPr="00131992">
        <w:rPr>
          <w:rFonts w:ascii="Barlow" w:hAnsi="Barlow" w:cstheme="minorHAnsi"/>
          <w:sz w:val="20"/>
          <w:szCs w:val="20"/>
        </w:rPr>
        <w:t xml:space="preserve"> de </w:t>
      </w:r>
      <w:r w:rsidR="00864A8A" w:rsidRPr="00131992">
        <w:rPr>
          <w:rFonts w:ascii="Barlow" w:hAnsi="Barlow" w:cstheme="minorHAnsi"/>
          <w:sz w:val="20"/>
          <w:szCs w:val="20"/>
        </w:rPr>
        <w:t>Marz</w:t>
      </w:r>
      <w:r w:rsidR="001748BE" w:rsidRPr="00131992">
        <w:rPr>
          <w:rFonts w:ascii="Barlow" w:hAnsi="Barlow" w:cstheme="minorHAnsi"/>
          <w:sz w:val="20"/>
          <w:szCs w:val="20"/>
        </w:rPr>
        <w:t>o</w:t>
      </w:r>
      <w:r w:rsidR="002C5B18" w:rsidRPr="00131992">
        <w:rPr>
          <w:rFonts w:ascii="Barlow" w:hAnsi="Barlow" w:cstheme="minorHAnsi"/>
          <w:sz w:val="20"/>
          <w:szCs w:val="20"/>
        </w:rPr>
        <w:t xml:space="preserve"> de 201</w:t>
      </w:r>
      <w:r w:rsidR="001748BE" w:rsidRPr="00131992">
        <w:rPr>
          <w:rFonts w:ascii="Barlow" w:hAnsi="Barlow" w:cstheme="minorHAnsi"/>
          <w:sz w:val="20"/>
          <w:szCs w:val="20"/>
        </w:rPr>
        <w:t>9</w:t>
      </w:r>
      <w:r w:rsidRPr="00131992">
        <w:rPr>
          <w:rFonts w:ascii="Barlow" w:hAnsi="Barlow" w:cstheme="minorHAnsi"/>
          <w:sz w:val="20"/>
          <w:szCs w:val="20"/>
        </w:rPr>
        <w:t xml:space="preserve"> de la siguiente manera:</w:t>
      </w:r>
    </w:p>
    <w:tbl>
      <w:tblPr>
        <w:tblW w:w="8859" w:type="dxa"/>
        <w:tblCellMar>
          <w:left w:w="70" w:type="dxa"/>
          <w:right w:w="70" w:type="dxa"/>
        </w:tblCellMar>
        <w:tblLook w:val="04A0" w:firstRow="1" w:lastRow="0" w:firstColumn="1" w:lastColumn="0" w:noHBand="0" w:noVBand="1"/>
      </w:tblPr>
      <w:tblGrid>
        <w:gridCol w:w="4506"/>
        <w:gridCol w:w="2306"/>
        <w:gridCol w:w="2047"/>
      </w:tblGrid>
      <w:tr w:rsidR="005256F0" w:rsidRPr="00131992" w:rsidTr="00A26D0E">
        <w:trPr>
          <w:trHeight w:val="253"/>
        </w:trPr>
        <w:tc>
          <w:tcPr>
            <w:tcW w:w="450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5256F0" w:rsidRPr="00131992" w:rsidRDefault="005256F0" w:rsidP="00A26D0E">
            <w:pPr>
              <w:spacing w:after="0" w:line="240" w:lineRule="auto"/>
              <w:rPr>
                <w:rFonts w:ascii="Barlow" w:eastAsia="Times New Roman" w:hAnsi="Barlow" w:cs="Times New Roman"/>
                <w:color w:val="000000"/>
                <w:sz w:val="20"/>
                <w:szCs w:val="20"/>
                <w:lang w:eastAsia="es-MX"/>
              </w:rPr>
            </w:pPr>
            <w:r w:rsidRPr="00131992">
              <w:rPr>
                <w:rFonts w:ascii="Barlow" w:eastAsia="Times New Roman" w:hAnsi="Barlow" w:cs="Times New Roman"/>
                <w:color w:val="000000"/>
                <w:sz w:val="20"/>
                <w:szCs w:val="20"/>
                <w:lang w:eastAsia="es-MX"/>
              </w:rPr>
              <w:t>Activo</w:t>
            </w:r>
          </w:p>
        </w:tc>
        <w:tc>
          <w:tcPr>
            <w:tcW w:w="2306" w:type="dxa"/>
            <w:tcBorders>
              <w:top w:val="single" w:sz="8" w:space="0" w:color="auto"/>
              <w:left w:val="nil"/>
              <w:bottom w:val="single" w:sz="8" w:space="0" w:color="auto"/>
              <w:right w:val="single" w:sz="8" w:space="0" w:color="auto"/>
            </w:tcBorders>
            <w:shd w:val="clear" w:color="000000" w:fill="FFFFFF"/>
            <w:noWrap/>
            <w:vAlign w:val="center"/>
            <w:hideMark/>
          </w:tcPr>
          <w:p w:rsidR="005256F0" w:rsidRPr="00131992" w:rsidRDefault="00864A8A" w:rsidP="00890D4E">
            <w:pPr>
              <w:spacing w:after="0" w:line="240" w:lineRule="auto"/>
              <w:jc w:val="center"/>
              <w:rPr>
                <w:rFonts w:ascii="Barlow" w:eastAsia="Times New Roman" w:hAnsi="Barlow" w:cs="Times New Roman"/>
                <w:color w:val="000000"/>
                <w:sz w:val="20"/>
                <w:szCs w:val="20"/>
                <w:lang w:eastAsia="es-MX"/>
              </w:rPr>
            </w:pPr>
            <w:r w:rsidRPr="00131992">
              <w:rPr>
                <w:rFonts w:ascii="Barlow" w:eastAsia="Times New Roman" w:hAnsi="Barlow" w:cs="Times New Roman"/>
                <w:color w:val="000000"/>
                <w:sz w:val="20"/>
                <w:szCs w:val="20"/>
                <w:lang w:eastAsia="es-MX"/>
              </w:rPr>
              <w:t>31</w:t>
            </w:r>
            <w:r w:rsidR="005256F0" w:rsidRPr="00131992">
              <w:rPr>
                <w:rFonts w:ascii="Barlow" w:eastAsia="Times New Roman" w:hAnsi="Barlow" w:cs="Times New Roman"/>
                <w:color w:val="000000"/>
                <w:sz w:val="20"/>
                <w:szCs w:val="20"/>
                <w:lang w:eastAsia="es-MX"/>
              </w:rPr>
              <w:t xml:space="preserve"> de </w:t>
            </w:r>
            <w:r w:rsidRPr="00131992">
              <w:rPr>
                <w:rFonts w:ascii="Barlow" w:eastAsia="Times New Roman" w:hAnsi="Barlow" w:cs="Times New Roman"/>
                <w:color w:val="000000"/>
                <w:sz w:val="20"/>
                <w:szCs w:val="20"/>
                <w:lang w:eastAsia="es-MX"/>
              </w:rPr>
              <w:t>Marz</w:t>
            </w:r>
            <w:r w:rsidR="00890D4E" w:rsidRPr="00131992">
              <w:rPr>
                <w:rFonts w:ascii="Barlow" w:eastAsia="Times New Roman" w:hAnsi="Barlow" w:cs="Times New Roman"/>
                <w:color w:val="000000"/>
                <w:sz w:val="20"/>
                <w:szCs w:val="20"/>
                <w:lang w:eastAsia="es-MX"/>
              </w:rPr>
              <w:t>o</w:t>
            </w:r>
            <w:r w:rsidR="005256F0" w:rsidRPr="00131992">
              <w:rPr>
                <w:rFonts w:ascii="Barlow" w:eastAsia="Times New Roman" w:hAnsi="Barlow" w:cs="Times New Roman"/>
                <w:color w:val="000000"/>
                <w:sz w:val="20"/>
                <w:szCs w:val="20"/>
                <w:lang w:eastAsia="es-MX"/>
              </w:rPr>
              <w:t xml:space="preserve"> 201</w:t>
            </w:r>
            <w:r w:rsidR="00890D4E" w:rsidRPr="00131992">
              <w:rPr>
                <w:rFonts w:ascii="Barlow" w:eastAsia="Times New Roman" w:hAnsi="Barlow" w:cs="Times New Roman"/>
                <w:color w:val="000000"/>
                <w:sz w:val="20"/>
                <w:szCs w:val="20"/>
                <w:lang w:eastAsia="es-MX"/>
              </w:rPr>
              <w:t>9</w:t>
            </w:r>
          </w:p>
        </w:tc>
        <w:tc>
          <w:tcPr>
            <w:tcW w:w="2047" w:type="dxa"/>
            <w:tcBorders>
              <w:top w:val="single" w:sz="8" w:space="0" w:color="auto"/>
              <w:left w:val="nil"/>
              <w:bottom w:val="single" w:sz="8" w:space="0" w:color="auto"/>
              <w:right w:val="single" w:sz="8" w:space="0" w:color="auto"/>
            </w:tcBorders>
            <w:shd w:val="clear" w:color="000000" w:fill="FFFFFF"/>
            <w:noWrap/>
            <w:vAlign w:val="center"/>
            <w:hideMark/>
          </w:tcPr>
          <w:p w:rsidR="005256F0" w:rsidRPr="00131992" w:rsidRDefault="00864A8A" w:rsidP="00890D4E">
            <w:pPr>
              <w:spacing w:after="0" w:line="240" w:lineRule="auto"/>
              <w:jc w:val="center"/>
              <w:rPr>
                <w:rFonts w:ascii="Barlow" w:eastAsia="Times New Roman" w:hAnsi="Barlow" w:cs="Times New Roman"/>
                <w:color w:val="000000"/>
                <w:sz w:val="20"/>
                <w:szCs w:val="20"/>
                <w:lang w:eastAsia="es-MX"/>
              </w:rPr>
            </w:pPr>
            <w:r w:rsidRPr="00131992">
              <w:rPr>
                <w:rFonts w:ascii="Barlow" w:eastAsia="Times New Roman" w:hAnsi="Barlow" w:cs="Times New Roman"/>
                <w:color w:val="000000"/>
                <w:sz w:val="20"/>
                <w:szCs w:val="20"/>
                <w:lang w:eastAsia="es-MX"/>
              </w:rPr>
              <w:t>31</w:t>
            </w:r>
            <w:r w:rsidR="005256F0" w:rsidRPr="00131992">
              <w:rPr>
                <w:rFonts w:ascii="Barlow" w:eastAsia="Times New Roman" w:hAnsi="Barlow" w:cs="Times New Roman"/>
                <w:color w:val="000000"/>
                <w:sz w:val="20"/>
                <w:szCs w:val="20"/>
                <w:lang w:eastAsia="es-MX"/>
              </w:rPr>
              <w:t xml:space="preserve"> de </w:t>
            </w:r>
            <w:r w:rsidRPr="00131992">
              <w:rPr>
                <w:rFonts w:ascii="Barlow" w:eastAsia="Times New Roman" w:hAnsi="Barlow" w:cs="Times New Roman"/>
                <w:color w:val="000000"/>
                <w:sz w:val="20"/>
                <w:szCs w:val="20"/>
                <w:lang w:eastAsia="es-MX"/>
              </w:rPr>
              <w:t>Marz</w:t>
            </w:r>
            <w:r w:rsidR="00890D4E" w:rsidRPr="00131992">
              <w:rPr>
                <w:rFonts w:ascii="Barlow" w:eastAsia="Times New Roman" w:hAnsi="Barlow" w:cs="Times New Roman"/>
                <w:color w:val="000000"/>
                <w:sz w:val="20"/>
                <w:szCs w:val="20"/>
                <w:lang w:eastAsia="es-MX"/>
              </w:rPr>
              <w:t>o</w:t>
            </w:r>
            <w:r w:rsidR="005256F0" w:rsidRPr="00131992">
              <w:rPr>
                <w:rFonts w:ascii="Barlow" w:eastAsia="Times New Roman" w:hAnsi="Barlow" w:cs="Times New Roman"/>
                <w:color w:val="000000"/>
                <w:sz w:val="20"/>
                <w:szCs w:val="20"/>
                <w:lang w:eastAsia="es-MX"/>
              </w:rPr>
              <w:t xml:space="preserve"> 201</w:t>
            </w:r>
            <w:r w:rsidR="00890D4E" w:rsidRPr="00131992">
              <w:rPr>
                <w:rFonts w:ascii="Barlow" w:eastAsia="Times New Roman" w:hAnsi="Barlow" w:cs="Times New Roman"/>
                <w:color w:val="000000"/>
                <w:sz w:val="20"/>
                <w:szCs w:val="20"/>
                <w:lang w:eastAsia="es-MX"/>
              </w:rPr>
              <w:t>8</w:t>
            </w:r>
          </w:p>
        </w:tc>
      </w:tr>
      <w:tr w:rsidR="005256F0" w:rsidRPr="00131992" w:rsidTr="00A26D0E">
        <w:trPr>
          <w:trHeight w:val="253"/>
        </w:trPr>
        <w:tc>
          <w:tcPr>
            <w:tcW w:w="4506" w:type="dxa"/>
            <w:tcBorders>
              <w:top w:val="nil"/>
              <w:left w:val="single" w:sz="8" w:space="0" w:color="auto"/>
              <w:bottom w:val="single" w:sz="8" w:space="0" w:color="auto"/>
              <w:right w:val="single" w:sz="8" w:space="0" w:color="auto"/>
            </w:tcBorders>
            <w:shd w:val="clear" w:color="000000" w:fill="FFFFFF"/>
            <w:noWrap/>
            <w:vAlign w:val="center"/>
            <w:hideMark/>
          </w:tcPr>
          <w:p w:rsidR="005256F0" w:rsidRPr="00131992" w:rsidRDefault="005256F0" w:rsidP="00A26D0E">
            <w:pPr>
              <w:spacing w:after="0" w:line="240" w:lineRule="auto"/>
              <w:rPr>
                <w:rFonts w:ascii="Barlow" w:eastAsia="Times New Roman" w:hAnsi="Barlow" w:cs="Times New Roman"/>
                <w:color w:val="000000"/>
                <w:sz w:val="20"/>
                <w:szCs w:val="20"/>
                <w:lang w:eastAsia="es-MX"/>
              </w:rPr>
            </w:pPr>
            <w:r w:rsidRPr="00131992">
              <w:rPr>
                <w:rFonts w:ascii="Barlow" w:eastAsia="Times New Roman" w:hAnsi="Barlow" w:cs="Times New Roman"/>
                <w:color w:val="000000"/>
                <w:sz w:val="20"/>
                <w:szCs w:val="20"/>
                <w:lang w:eastAsia="es-MX"/>
              </w:rPr>
              <w:t>Derechos a Recibir Efectivo o Equivalentes a Largo Plazo</w:t>
            </w:r>
          </w:p>
        </w:tc>
        <w:tc>
          <w:tcPr>
            <w:tcW w:w="2306" w:type="dxa"/>
            <w:tcBorders>
              <w:top w:val="nil"/>
              <w:left w:val="nil"/>
              <w:bottom w:val="single" w:sz="8" w:space="0" w:color="auto"/>
              <w:right w:val="single" w:sz="8" w:space="0" w:color="auto"/>
            </w:tcBorders>
            <w:shd w:val="clear" w:color="000000" w:fill="FFFFFF"/>
            <w:noWrap/>
            <w:vAlign w:val="center"/>
            <w:hideMark/>
          </w:tcPr>
          <w:p w:rsidR="005256F0" w:rsidRPr="00131992" w:rsidRDefault="005256F0" w:rsidP="00A26D0E">
            <w:pPr>
              <w:jc w:val="right"/>
              <w:rPr>
                <w:rFonts w:ascii="Barlow" w:hAnsi="Barlow" w:cs="Calibri"/>
                <w:color w:val="000000"/>
                <w:sz w:val="20"/>
                <w:szCs w:val="20"/>
              </w:rPr>
            </w:pPr>
            <w:r w:rsidRPr="00131992">
              <w:rPr>
                <w:rFonts w:ascii="Barlow" w:hAnsi="Barlow" w:cs="Calibri"/>
                <w:color w:val="000000"/>
                <w:sz w:val="20"/>
                <w:szCs w:val="20"/>
              </w:rPr>
              <w:t xml:space="preserve">339,891.80 </w:t>
            </w:r>
          </w:p>
        </w:tc>
        <w:tc>
          <w:tcPr>
            <w:tcW w:w="2047" w:type="dxa"/>
            <w:tcBorders>
              <w:top w:val="nil"/>
              <w:left w:val="nil"/>
              <w:bottom w:val="single" w:sz="8" w:space="0" w:color="auto"/>
              <w:right w:val="single" w:sz="8" w:space="0" w:color="auto"/>
            </w:tcBorders>
            <w:shd w:val="clear" w:color="000000" w:fill="FFFFFF"/>
            <w:noWrap/>
            <w:vAlign w:val="center"/>
            <w:hideMark/>
          </w:tcPr>
          <w:p w:rsidR="005256F0" w:rsidRPr="00131992" w:rsidRDefault="005256F0" w:rsidP="00A26D0E">
            <w:pPr>
              <w:jc w:val="right"/>
              <w:rPr>
                <w:rFonts w:ascii="Barlow" w:hAnsi="Barlow" w:cs="Calibri"/>
                <w:color w:val="000000"/>
                <w:sz w:val="20"/>
                <w:szCs w:val="20"/>
              </w:rPr>
            </w:pPr>
            <w:r w:rsidRPr="00131992">
              <w:rPr>
                <w:rFonts w:ascii="Barlow" w:hAnsi="Barlow" w:cs="Calibri"/>
                <w:color w:val="000000"/>
                <w:sz w:val="20"/>
                <w:szCs w:val="20"/>
              </w:rPr>
              <w:t xml:space="preserve">339,891.80 </w:t>
            </w:r>
          </w:p>
        </w:tc>
      </w:tr>
      <w:tr w:rsidR="005256F0" w:rsidRPr="00131992" w:rsidTr="00A26D0E">
        <w:trPr>
          <w:trHeight w:val="253"/>
        </w:trPr>
        <w:tc>
          <w:tcPr>
            <w:tcW w:w="4506" w:type="dxa"/>
            <w:tcBorders>
              <w:top w:val="nil"/>
              <w:left w:val="single" w:sz="8" w:space="0" w:color="auto"/>
              <w:bottom w:val="single" w:sz="8" w:space="0" w:color="auto"/>
              <w:right w:val="single" w:sz="8" w:space="0" w:color="auto"/>
            </w:tcBorders>
            <w:shd w:val="clear" w:color="000000" w:fill="FFFFFF"/>
            <w:noWrap/>
            <w:vAlign w:val="center"/>
            <w:hideMark/>
          </w:tcPr>
          <w:p w:rsidR="005256F0" w:rsidRPr="00131992" w:rsidRDefault="005256F0" w:rsidP="00A26D0E">
            <w:pPr>
              <w:spacing w:after="0" w:line="240" w:lineRule="auto"/>
              <w:rPr>
                <w:rFonts w:ascii="Barlow" w:eastAsia="Times New Roman" w:hAnsi="Barlow" w:cs="Times New Roman"/>
                <w:color w:val="000000"/>
                <w:sz w:val="20"/>
                <w:szCs w:val="20"/>
                <w:lang w:eastAsia="es-MX"/>
              </w:rPr>
            </w:pPr>
            <w:r w:rsidRPr="00131992">
              <w:rPr>
                <w:rFonts w:ascii="Barlow" w:eastAsia="Times New Roman" w:hAnsi="Barlow" w:cs="Times New Roman"/>
                <w:color w:val="000000"/>
                <w:sz w:val="20"/>
                <w:szCs w:val="20"/>
                <w:lang w:eastAsia="es-MX"/>
              </w:rPr>
              <w:t>Bienes Inmuebles, Infraestructura y Construcciones en Proceso</w:t>
            </w:r>
          </w:p>
        </w:tc>
        <w:tc>
          <w:tcPr>
            <w:tcW w:w="2306" w:type="dxa"/>
            <w:tcBorders>
              <w:top w:val="nil"/>
              <w:left w:val="nil"/>
              <w:bottom w:val="single" w:sz="8" w:space="0" w:color="auto"/>
              <w:right w:val="single" w:sz="8" w:space="0" w:color="auto"/>
            </w:tcBorders>
            <w:shd w:val="clear" w:color="000000" w:fill="FFFFFF"/>
            <w:noWrap/>
            <w:vAlign w:val="center"/>
            <w:hideMark/>
          </w:tcPr>
          <w:p w:rsidR="005256F0" w:rsidRPr="00131992" w:rsidRDefault="005256F0" w:rsidP="001748BE">
            <w:pPr>
              <w:jc w:val="right"/>
              <w:rPr>
                <w:rFonts w:ascii="Barlow" w:hAnsi="Barlow" w:cs="Calibri"/>
                <w:color w:val="000000"/>
                <w:sz w:val="20"/>
                <w:szCs w:val="20"/>
              </w:rPr>
            </w:pPr>
            <w:r w:rsidRPr="00131992">
              <w:rPr>
                <w:rFonts w:ascii="Barlow" w:hAnsi="Barlow" w:cs="Calibri"/>
                <w:color w:val="000000"/>
                <w:sz w:val="20"/>
                <w:szCs w:val="20"/>
              </w:rPr>
              <w:t>5,0</w:t>
            </w:r>
            <w:r w:rsidR="00864A8A" w:rsidRPr="00131992">
              <w:rPr>
                <w:rFonts w:ascii="Barlow" w:hAnsi="Barlow" w:cs="Calibri"/>
                <w:color w:val="000000"/>
                <w:sz w:val="20"/>
                <w:szCs w:val="20"/>
              </w:rPr>
              <w:t>99,422,595.81</w:t>
            </w:r>
            <w:r w:rsidRPr="00131992">
              <w:rPr>
                <w:rFonts w:ascii="Barlow" w:hAnsi="Barlow" w:cs="Calibri"/>
                <w:color w:val="000000"/>
                <w:sz w:val="20"/>
                <w:szCs w:val="20"/>
              </w:rPr>
              <w:t xml:space="preserve"> </w:t>
            </w:r>
          </w:p>
        </w:tc>
        <w:tc>
          <w:tcPr>
            <w:tcW w:w="2047" w:type="dxa"/>
            <w:tcBorders>
              <w:top w:val="nil"/>
              <w:left w:val="nil"/>
              <w:bottom w:val="single" w:sz="8" w:space="0" w:color="auto"/>
              <w:right w:val="single" w:sz="8" w:space="0" w:color="auto"/>
            </w:tcBorders>
            <w:shd w:val="clear" w:color="000000" w:fill="FFFFFF"/>
            <w:noWrap/>
            <w:vAlign w:val="center"/>
            <w:hideMark/>
          </w:tcPr>
          <w:p w:rsidR="005256F0" w:rsidRPr="00131992" w:rsidRDefault="00864A8A" w:rsidP="001748BE">
            <w:pPr>
              <w:jc w:val="right"/>
              <w:rPr>
                <w:rFonts w:ascii="Barlow" w:hAnsi="Barlow" w:cs="Calibri"/>
                <w:color w:val="000000"/>
                <w:sz w:val="20"/>
                <w:szCs w:val="20"/>
              </w:rPr>
            </w:pPr>
            <w:r w:rsidRPr="00131992">
              <w:rPr>
                <w:rFonts w:ascii="Barlow" w:hAnsi="Barlow" w:cs="Calibri"/>
                <w:color w:val="000000"/>
                <w:sz w:val="20"/>
                <w:szCs w:val="20"/>
              </w:rPr>
              <w:t>4,622,109,043.58</w:t>
            </w:r>
            <w:r w:rsidR="005256F0" w:rsidRPr="00131992">
              <w:rPr>
                <w:rFonts w:ascii="Barlow" w:hAnsi="Barlow" w:cs="Calibri"/>
                <w:color w:val="000000"/>
                <w:sz w:val="20"/>
                <w:szCs w:val="20"/>
              </w:rPr>
              <w:t xml:space="preserve"> </w:t>
            </w:r>
          </w:p>
        </w:tc>
      </w:tr>
      <w:tr w:rsidR="005256F0" w:rsidRPr="00131992" w:rsidTr="00A26D0E">
        <w:trPr>
          <w:trHeight w:val="253"/>
        </w:trPr>
        <w:tc>
          <w:tcPr>
            <w:tcW w:w="4506" w:type="dxa"/>
            <w:tcBorders>
              <w:top w:val="nil"/>
              <w:left w:val="single" w:sz="8" w:space="0" w:color="auto"/>
              <w:bottom w:val="single" w:sz="8" w:space="0" w:color="auto"/>
              <w:right w:val="single" w:sz="8" w:space="0" w:color="auto"/>
            </w:tcBorders>
            <w:shd w:val="clear" w:color="000000" w:fill="FFFFFF"/>
            <w:noWrap/>
            <w:vAlign w:val="center"/>
            <w:hideMark/>
          </w:tcPr>
          <w:p w:rsidR="005256F0" w:rsidRPr="00131992" w:rsidRDefault="005256F0" w:rsidP="00A26D0E">
            <w:pPr>
              <w:spacing w:after="0" w:line="240" w:lineRule="auto"/>
              <w:rPr>
                <w:rFonts w:ascii="Barlow" w:eastAsia="Times New Roman" w:hAnsi="Barlow" w:cs="Times New Roman"/>
                <w:color w:val="000000"/>
                <w:sz w:val="20"/>
                <w:szCs w:val="20"/>
                <w:lang w:eastAsia="es-MX"/>
              </w:rPr>
            </w:pPr>
            <w:r w:rsidRPr="00131992">
              <w:rPr>
                <w:rFonts w:ascii="Barlow" w:eastAsia="Times New Roman" w:hAnsi="Barlow" w:cs="Times New Roman"/>
                <w:color w:val="000000"/>
                <w:sz w:val="20"/>
                <w:szCs w:val="20"/>
                <w:lang w:eastAsia="es-MX"/>
              </w:rPr>
              <w:t>Bienes Muebles</w:t>
            </w:r>
          </w:p>
        </w:tc>
        <w:tc>
          <w:tcPr>
            <w:tcW w:w="2306" w:type="dxa"/>
            <w:tcBorders>
              <w:top w:val="nil"/>
              <w:left w:val="nil"/>
              <w:bottom w:val="single" w:sz="8" w:space="0" w:color="auto"/>
              <w:right w:val="single" w:sz="8" w:space="0" w:color="auto"/>
            </w:tcBorders>
            <w:shd w:val="clear" w:color="000000" w:fill="FFFFFF"/>
            <w:noWrap/>
            <w:vAlign w:val="center"/>
            <w:hideMark/>
          </w:tcPr>
          <w:p w:rsidR="005256F0" w:rsidRPr="00131992" w:rsidRDefault="00864A8A" w:rsidP="001748BE">
            <w:pPr>
              <w:jc w:val="right"/>
              <w:rPr>
                <w:rFonts w:ascii="Barlow" w:hAnsi="Barlow" w:cs="Calibri"/>
                <w:color w:val="000000"/>
                <w:sz w:val="20"/>
                <w:szCs w:val="20"/>
              </w:rPr>
            </w:pPr>
            <w:r w:rsidRPr="00131992">
              <w:rPr>
                <w:rFonts w:ascii="Barlow" w:hAnsi="Barlow" w:cs="Calibri"/>
                <w:color w:val="000000"/>
                <w:sz w:val="20"/>
                <w:szCs w:val="20"/>
              </w:rPr>
              <w:t>77,607,786.98</w:t>
            </w:r>
            <w:r w:rsidR="005256F0" w:rsidRPr="00131992">
              <w:rPr>
                <w:rFonts w:ascii="Barlow" w:hAnsi="Barlow" w:cs="Calibri"/>
                <w:color w:val="000000"/>
                <w:sz w:val="20"/>
                <w:szCs w:val="20"/>
              </w:rPr>
              <w:t xml:space="preserve"> </w:t>
            </w:r>
          </w:p>
        </w:tc>
        <w:tc>
          <w:tcPr>
            <w:tcW w:w="2047" w:type="dxa"/>
            <w:tcBorders>
              <w:top w:val="nil"/>
              <w:left w:val="nil"/>
              <w:bottom w:val="single" w:sz="8" w:space="0" w:color="auto"/>
              <w:right w:val="single" w:sz="8" w:space="0" w:color="auto"/>
            </w:tcBorders>
            <w:shd w:val="clear" w:color="000000" w:fill="FFFFFF"/>
            <w:noWrap/>
            <w:vAlign w:val="center"/>
            <w:hideMark/>
          </w:tcPr>
          <w:p w:rsidR="005256F0" w:rsidRPr="00131992" w:rsidRDefault="005256F0" w:rsidP="001748BE">
            <w:pPr>
              <w:jc w:val="right"/>
              <w:rPr>
                <w:rFonts w:ascii="Barlow" w:hAnsi="Barlow" w:cs="Calibri"/>
                <w:color w:val="000000"/>
                <w:sz w:val="20"/>
                <w:szCs w:val="20"/>
              </w:rPr>
            </w:pPr>
            <w:r w:rsidRPr="00131992">
              <w:rPr>
                <w:rFonts w:ascii="Barlow" w:hAnsi="Barlow" w:cs="Calibri"/>
                <w:color w:val="000000"/>
                <w:sz w:val="20"/>
                <w:szCs w:val="20"/>
              </w:rPr>
              <w:t>77,</w:t>
            </w:r>
            <w:r w:rsidR="00864A8A" w:rsidRPr="00131992">
              <w:rPr>
                <w:rFonts w:ascii="Barlow" w:hAnsi="Barlow" w:cs="Calibri"/>
                <w:color w:val="000000"/>
                <w:sz w:val="20"/>
                <w:szCs w:val="20"/>
              </w:rPr>
              <w:t>207,486.30</w:t>
            </w:r>
            <w:r w:rsidRPr="00131992">
              <w:rPr>
                <w:rFonts w:ascii="Barlow" w:hAnsi="Barlow" w:cs="Calibri"/>
                <w:color w:val="000000"/>
                <w:sz w:val="20"/>
                <w:szCs w:val="20"/>
              </w:rPr>
              <w:t xml:space="preserve"> </w:t>
            </w:r>
          </w:p>
        </w:tc>
      </w:tr>
      <w:tr w:rsidR="005256F0" w:rsidRPr="00131992" w:rsidTr="00A26D0E">
        <w:trPr>
          <w:trHeight w:val="253"/>
        </w:trPr>
        <w:tc>
          <w:tcPr>
            <w:tcW w:w="4506" w:type="dxa"/>
            <w:tcBorders>
              <w:top w:val="nil"/>
              <w:left w:val="single" w:sz="8" w:space="0" w:color="auto"/>
              <w:bottom w:val="single" w:sz="8" w:space="0" w:color="auto"/>
              <w:right w:val="single" w:sz="8" w:space="0" w:color="auto"/>
            </w:tcBorders>
            <w:shd w:val="clear" w:color="000000" w:fill="FFFFFF"/>
            <w:noWrap/>
            <w:vAlign w:val="center"/>
            <w:hideMark/>
          </w:tcPr>
          <w:p w:rsidR="005256F0" w:rsidRPr="00131992" w:rsidRDefault="005256F0" w:rsidP="00A26D0E">
            <w:pPr>
              <w:spacing w:after="0" w:line="240" w:lineRule="auto"/>
              <w:rPr>
                <w:rFonts w:ascii="Barlow" w:eastAsia="Times New Roman" w:hAnsi="Barlow" w:cs="Times New Roman"/>
                <w:color w:val="000000"/>
                <w:sz w:val="20"/>
                <w:szCs w:val="20"/>
                <w:lang w:eastAsia="es-MX"/>
              </w:rPr>
            </w:pPr>
            <w:r w:rsidRPr="00131992">
              <w:rPr>
                <w:rFonts w:ascii="Barlow" w:eastAsia="Times New Roman" w:hAnsi="Barlow" w:cs="Times New Roman"/>
                <w:color w:val="000000"/>
                <w:sz w:val="20"/>
                <w:szCs w:val="20"/>
                <w:lang w:eastAsia="es-MX"/>
              </w:rPr>
              <w:t>Activos Intangibles</w:t>
            </w:r>
          </w:p>
        </w:tc>
        <w:tc>
          <w:tcPr>
            <w:tcW w:w="2306" w:type="dxa"/>
            <w:tcBorders>
              <w:top w:val="nil"/>
              <w:left w:val="nil"/>
              <w:bottom w:val="single" w:sz="8" w:space="0" w:color="auto"/>
              <w:right w:val="single" w:sz="8" w:space="0" w:color="auto"/>
            </w:tcBorders>
            <w:shd w:val="clear" w:color="000000" w:fill="FFFFFF"/>
            <w:noWrap/>
            <w:vAlign w:val="center"/>
            <w:hideMark/>
          </w:tcPr>
          <w:p w:rsidR="005256F0" w:rsidRPr="00131992" w:rsidRDefault="005256F0" w:rsidP="00A26D0E">
            <w:pPr>
              <w:jc w:val="right"/>
              <w:rPr>
                <w:rFonts w:ascii="Barlow" w:hAnsi="Barlow" w:cs="Calibri"/>
                <w:color w:val="000000"/>
                <w:sz w:val="20"/>
                <w:szCs w:val="20"/>
              </w:rPr>
            </w:pPr>
            <w:r w:rsidRPr="00131992">
              <w:rPr>
                <w:rFonts w:ascii="Barlow" w:hAnsi="Barlow" w:cs="Calibri"/>
                <w:color w:val="000000"/>
                <w:sz w:val="20"/>
                <w:szCs w:val="20"/>
              </w:rPr>
              <w:t xml:space="preserve">0.00 </w:t>
            </w:r>
          </w:p>
        </w:tc>
        <w:tc>
          <w:tcPr>
            <w:tcW w:w="2047" w:type="dxa"/>
            <w:tcBorders>
              <w:top w:val="nil"/>
              <w:left w:val="nil"/>
              <w:bottom w:val="single" w:sz="8" w:space="0" w:color="auto"/>
              <w:right w:val="single" w:sz="8" w:space="0" w:color="auto"/>
            </w:tcBorders>
            <w:shd w:val="clear" w:color="000000" w:fill="FFFFFF"/>
            <w:noWrap/>
            <w:vAlign w:val="center"/>
            <w:hideMark/>
          </w:tcPr>
          <w:p w:rsidR="005256F0" w:rsidRPr="00131992" w:rsidRDefault="005256F0" w:rsidP="00A26D0E">
            <w:pPr>
              <w:jc w:val="right"/>
              <w:rPr>
                <w:rFonts w:ascii="Barlow" w:hAnsi="Barlow" w:cs="Calibri"/>
                <w:color w:val="000000"/>
                <w:sz w:val="20"/>
                <w:szCs w:val="20"/>
              </w:rPr>
            </w:pPr>
            <w:r w:rsidRPr="00131992">
              <w:rPr>
                <w:rFonts w:ascii="Barlow" w:hAnsi="Barlow" w:cs="Calibri"/>
                <w:color w:val="000000"/>
                <w:sz w:val="20"/>
                <w:szCs w:val="20"/>
              </w:rPr>
              <w:t xml:space="preserve">0.00 </w:t>
            </w:r>
          </w:p>
        </w:tc>
      </w:tr>
      <w:tr w:rsidR="005256F0" w:rsidRPr="00131992" w:rsidTr="00A26D0E">
        <w:trPr>
          <w:trHeight w:val="253"/>
        </w:trPr>
        <w:tc>
          <w:tcPr>
            <w:tcW w:w="4506" w:type="dxa"/>
            <w:tcBorders>
              <w:top w:val="nil"/>
              <w:left w:val="single" w:sz="8" w:space="0" w:color="auto"/>
              <w:bottom w:val="single" w:sz="8" w:space="0" w:color="auto"/>
              <w:right w:val="single" w:sz="8" w:space="0" w:color="auto"/>
            </w:tcBorders>
            <w:shd w:val="clear" w:color="000000" w:fill="FFFFFF"/>
            <w:noWrap/>
            <w:vAlign w:val="center"/>
            <w:hideMark/>
          </w:tcPr>
          <w:p w:rsidR="005256F0" w:rsidRPr="00131992" w:rsidRDefault="005256F0" w:rsidP="00A26D0E">
            <w:pPr>
              <w:spacing w:after="0" w:line="240" w:lineRule="auto"/>
              <w:rPr>
                <w:rFonts w:ascii="Barlow" w:eastAsia="Times New Roman" w:hAnsi="Barlow" w:cs="Times New Roman"/>
                <w:color w:val="000000"/>
                <w:sz w:val="20"/>
                <w:szCs w:val="20"/>
                <w:lang w:eastAsia="es-MX"/>
              </w:rPr>
            </w:pPr>
            <w:r w:rsidRPr="00131992">
              <w:rPr>
                <w:rFonts w:ascii="Barlow" w:eastAsia="Times New Roman" w:hAnsi="Barlow" w:cs="Times New Roman"/>
                <w:color w:val="000000"/>
                <w:sz w:val="20"/>
                <w:szCs w:val="20"/>
                <w:lang w:eastAsia="es-MX"/>
              </w:rPr>
              <w:t>Depreciación, Deterioro y Amortización Acumulada de Bienes</w:t>
            </w:r>
          </w:p>
        </w:tc>
        <w:tc>
          <w:tcPr>
            <w:tcW w:w="2306" w:type="dxa"/>
            <w:tcBorders>
              <w:top w:val="nil"/>
              <w:left w:val="nil"/>
              <w:bottom w:val="single" w:sz="8" w:space="0" w:color="auto"/>
              <w:right w:val="single" w:sz="8" w:space="0" w:color="auto"/>
            </w:tcBorders>
            <w:shd w:val="clear" w:color="000000" w:fill="FFFFFF"/>
            <w:noWrap/>
            <w:vAlign w:val="center"/>
            <w:hideMark/>
          </w:tcPr>
          <w:p w:rsidR="005256F0" w:rsidRPr="00131992" w:rsidRDefault="005256F0" w:rsidP="001748BE">
            <w:pPr>
              <w:jc w:val="right"/>
              <w:rPr>
                <w:rFonts w:ascii="Barlow" w:hAnsi="Barlow" w:cs="Calibri"/>
                <w:color w:val="000000"/>
                <w:sz w:val="20"/>
                <w:szCs w:val="20"/>
              </w:rPr>
            </w:pPr>
            <w:r w:rsidRPr="00131992">
              <w:rPr>
                <w:rFonts w:ascii="Barlow" w:hAnsi="Barlow" w:cs="Calibri"/>
                <w:color w:val="FF0000"/>
                <w:sz w:val="20"/>
                <w:szCs w:val="20"/>
              </w:rPr>
              <w:t>-</w:t>
            </w:r>
            <w:r w:rsidR="001748BE" w:rsidRPr="00131992">
              <w:rPr>
                <w:rFonts w:ascii="Barlow" w:hAnsi="Barlow" w:cs="Calibri"/>
                <w:color w:val="FF0000"/>
                <w:sz w:val="20"/>
                <w:szCs w:val="20"/>
              </w:rPr>
              <w:t>837</w:t>
            </w:r>
            <w:r w:rsidRPr="00131992">
              <w:rPr>
                <w:rFonts w:ascii="Barlow" w:hAnsi="Barlow" w:cs="Calibri"/>
                <w:color w:val="FF0000"/>
                <w:sz w:val="20"/>
                <w:szCs w:val="20"/>
              </w:rPr>
              <w:t>,</w:t>
            </w:r>
            <w:r w:rsidR="001748BE" w:rsidRPr="00131992">
              <w:rPr>
                <w:rFonts w:ascii="Barlow" w:hAnsi="Barlow" w:cs="Calibri"/>
                <w:color w:val="FF0000"/>
                <w:sz w:val="20"/>
                <w:szCs w:val="20"/>
              </w:rPr>
              <w:t>457</w:t>
            </w:r>
            <w:r w:rsidRPr="00131992">
              <w:rPr>
                <w:rFonts w:ascii="Barlow" w:hAnsi="Barlow" w:cs="Calibri"/>
                <w:color w:val="FF0000"/>
                <w:sz w:val="20"/>
                <w:szCs w:val="20"/>
              </w:rPr>
              <w:t>,</w:t>
            </w:r>
            <w:r w:rsidR="001748BE" w:rsidRPr="00131992">
              <w:rPr>
                <w:rFonts w:ascii="Barlow" w:hAnsi="Barlow" w:cs="Calibri"/>
                <w:color w:val="FF0000"/>
                <w:sz w:val="20"/>
                <w:szCs w:val="20"/>
              </w:rPr>
              <w:t>193</w:t>
            </w:r>
            <w:r w:rsidRPr="00131992">
              <w:rPr>
                <w:rFonts w:ascii="Barlow" w:hAnsi="Barlow" w:cs="Calibri"/>
                <w:color w:val="FF0000"/>
                <w:sz w:val="20"/>
                <w:szCs w:val="20"/>
              </w:rPr>
              <w:t>.</w:t>
            </w:r>
            <w:r w:rsidR="001748BE" w:rsidRPr="00131992">
              <w:rPr>
                <w:rFonts w:ascii="Barlow" w:hAnsi="Barlow" w:cs="Calibri"/>
                <w:color w:val="FF0000"/>
                <w:sz w:val="20"/>
                <w:szCs w:val="20"/>
              </w:rPr>
              <w:t>7</w:t>
            </w:r>
            <w:r w:rsidRPr="00131992">
              <w:rPr>
                <w:rFonts w:ascii="Barlow" w:hAnsi="Barlow" w:cs="Calibri"/>
                <w:color w:val="FF0000"/>
                <w:sz w:val="20"/>
                <w:szCs w:val="20"/>
              </w:rPr>
              <w:t xml:space="preserve">0 </w:t>
            </w:r>
          </w:p>
        </w:tc>
        <w:tc>
          <w:tcPr>
            <w:tcW w:w="2047" w:type="dxa"/>
            <w:tcBorders>
              <w:top w:val="nil"/>
              <w:left w:val="nil"/>
              <w:bottom w:val="single" w:sz="8" w:space="0" w:color="auto"/>
              <w:right w:val="single" w:sz="8" w:space="0" w:color="auto"/>
            </w:tcBorders>
            <w:shd w:val="clear" w:color="000000" w:fill="FFFFFF"/>
            <w:noWrap/>
            <w:vAlign w:val="center"/>
            <w:hideMark/>
          </w:tcPr>
          <w:p w:rsidR="005256F0" w:rsidRPr="00131992" w:rsidRDefault="005256F0" w:rsidP="001748BE">
            <w:pPr>
              <w:jc w:val="right"/>
              <w:rPr>
                <w:rFonts w:ascii="Barlow" w:hAnsi="Barlow" w:cs="Calibri"/>
                <w:color w:val="000000"/>
                <w:sz w:val="20"/>
                <w:szCs w:val="20"/>
              </w:rPr>
            </w:pPr>
            <w:r w:rsidRPr="00131992">
              <w:rPr>
                <w:rFonts w:ascii="Barlow" w:hAnsi="Barlow" w:cs="Calibri"/>
                <w:color w:val="FF0000"/>
                <w:sz w:val="20"/>
                <w:szCs w:val="20"/>
              </w:rPr>
              <w:t>-</w:t>
            </w:r>
            <w:r w:rsidR="001748BE" w:rsidRPr="00131992">
              <w:rPr>
                <w:rFonts w:ascii="Barlow" w:hAnsi="Barlow" w:cs="Calibri"/>
                <w:color w:val="FF0000"/>
                <w:sz w:val="20"/>
                <w:szCs w:val="20"/>
              </w:rPr>
              <w:t>646</w:t>
            </w:r>
            <w:r w:rsidRPr="00131992">
              <w:rPr>
                <w:rFonts w:ascii="Barlow" w:hAnsi="Barlow" w:cs="Calibri"/>
                <w:color w:val="FF0000"/>
                <w:sz w:val="20"/>
                <w:szCs w:val="20"/>
              </w:rPr>
              <w:t xml:space="preserve">,118,018.00 </w:t>
            </w:r>
          </w:p>
        </w:tc>
      </w:tr>
      <w:tr w:rsidR="005256F0" w:rsidRPr="00131992" w:rsidTr="00A26D0E">
        <w:trPr>
          <w:trHeight w:val="253"/>
        </w:trPr>
        <w:tc>
          <w:tcPr>
            <w:tcW w:w="4506" w:type="dxa"/>
            <w:tcBorders>
              <w:top w:val="nil"/>
              <w:left w:val="single" w:sz="8" w:space="0" w:color="auto"/>
              <w:bottom w:val="single" w:sz="8" w:space="0" w:color="auto"/>
              <w:right w:val="single" w:sz="8" w:space="0" w:color="auto"/>
            </w:tcBorders>
            <w:shd w:val="clear" w:color="000000" w:fill="FFFFFF"/>
            <w:noWrap/>
            <w:vAlign w:val="center"/>
            <w:hideMark/>
          </w:tcPr>
          <w:p w:rsidR="005256F0" w:rsidRPr="00131992" w:rsidRDefault="005256F0" w:rsidP="00A26D0E">
            <w:pPr>
              <w:spacing w:after="0" w:line="240" w:lineRule="auto"/>
              <w:rPr>
                <w:rFonts w:ascii="Barlow" w:eastAsia="Times New Roman" w:hAnsi="Barlow" w:cs="Times New Roman"/>
                <w:color w:val="000000"/>
                <w:sz w:val="20"/>
                <w:szCs w:val="20"/>
                <w:lang w:eastAsia="es-MX"/>
              </w:rPr>
            </w:pPr>
            <w:r w:rsidRPr="00131992">
              <w:rPr>
                <w:rFonts w:ascii="Barlow" w:eastAsia="Times New Roman" w:hAnsi="Barlow" w:cs="Times New Roman"/>
                <w:color w:val="000000"/>
                <w:sz w:val="20"/>
                <w:szCs w:val="20"/>
                <w:lang w:eastAsia="es-MX"/>
              </w:rPr>
              <w:t>Activos Diferidos</w:t>
            </w:r>
          </w:p>
        </w:tc>
        <w:tc>
          <w:tcPr>
            <w:tcW w:w="2306" w:type="dxa"/>
            <w:tcBorders>
              <w:top w:val="nil"/>
              <w:left w:val="nil"/>
              <w:bottom w:val="single" w:sz="8" w:space="0" w:color="auto"/>
              <w:right w:val="single" w:sz="8" w:space="0" w:color="auto"/>
            </w:tcBorders>
            <w:shd w:val="clear" w:color="000000" w:fill="FFFFFF"/>
            <w:noWrap/>
            <w:vAlign w:val="center"/>
            <w:hideMark/>
          </w:tcPr>
          <w:p w:rsidR="005256F0" w:rsidRPr="00131992" w:rsidRDefault="005256F0" w:rsidP="00A26D0E">
            <w:pPr>
              <w:jc w:val="right"/>
              <w:rPr>
                <w:rFonts w:ascii="Barlow" w:hAnsi="Barlow" w:cs="Calibri"/>
                <w:color w:val="000000"/>
                <w:sz w:val="20"/>
                <w:szCs w:val="20"/>
              </w:rPr>
            </w:pPr>
            <w:r w:rsidRPr="00131992">
              <w:rPr>
                <w:rFonts w:ascii="Barlow" w:hAnsi="Barlow" w:cs="Calibri"/>
                <w:color w:val="000000"/>
                <w:sz w:val="20"/>
                <w:szCs w:val="20"/>
              </w:rPr>
              <w:t xml:space="preserve">0.00 </w:t>
            </w:r>
          </w:p>
        </w:tc>
        <w:tc>
          <w:tcPr>
            <w:tcW w:w="2047" w:type="dxa"/>
            <w:tcBorders>
              <w:top w:val="nil"/>
              <w:left w:val="nil"/>
              <w:bottom w:val="single" w:sz="8" w:space="0" w:color="auto"/>
              <w:right w:val="single" w:sz="8" w:space="0" w:color="auto"/>
            </w:tcBorders>
            <w:shd w:val="clear" w:color="000000" w:fill="FFFFFF"/>
            <w:noWrap/>
            <w:vAlign w:val="center"/>
            <w:hideMark/>
          </w:tcPr>
          <w:p w:rsidR="005256F0" w:rsidRPr="00131992" w:rsidRDefault="005256F0" w:rsidP="00A26D0E">
            <w:pPr>
              <w:jc w:val="right"/>
              <w:rPr>
                <w:rFonts w:ascii="Barlow" w:hAnsi="Barlow" w:cs="Calibri"/>
                <w:color w:val="000000"/>
                <w:sz w:val="20"/>
                <w:szCs w:val="20"/>
              </w:rPr>
            </w:pPr>
            <w:r w:rsidRPr="00131992">
              <w:rPr>
                <w:rFonts w:ascii="Barlow" w:hAnsi="Barlow" w:cs="Calibri"/>
                <w:color w:val="000000"/>
                <w:sz w:val="20"/>
                <w:szCs w:val="20"/>
              </w:rPr>
              <w:t xml:space="preserve">0.00 </w:t>
            </w:r>
          </w:p>
        </w:tc>
      </w:tr>
      <w:tr w:rsidR="005256F0" w:rsidRPr="00131992" w:rsidTr="00A26D0E">
        <w:trPr>
          <w:trHeight w:val="253"/>
        </w:trPr>
        <w:tc>
          <w:tcPr>
            <w:tcW w:w="4506" w:type="dxa"/>
            <w:tcBorders>
              <w:top w:val="nil"/>
              <w:left w:val="single" w:sz="8" w:space="0" w:color="auto"/>
              <w:bottom w:val="single" w:sz="8" w:space="0" w:color="auto"/>
              <w:right w:val="single" w:sz="8" w:space="0" w:color="auto"/>
            </w:tcBorders>
            <w:shd w:val="clear" w:color="000000" w:fill="FFFFFF"/>
            <w:noWrap/>
            <w:vAlign w:val="center"/>
            <w:hideMark/>
          </w:tcPr>
          <w:p w:rsidR="005256F0" w:rsidRPr="00131992" w:rsidRDefault="005256F0" w:rsidP="00A26D0E">
            <w:pPr>
              <w:spacing w:after="0" w:line="240" w:lineRule="auto"/>
              <w:rPr>
                <w:rFonts w:ascii="Barlow" w:eastAsia="Times New Roman" w:hAnsi="Barlow" w:cs="Times New Roman"/>
                <w:color w:val="000000"/>
                <w:sz w:val="20"/>
                <w:szCs w:val="20"/>
                <w:lang w:eastAsia="es-MX"/>
              </w:rPr>
            </w:pPr>
            <w:r w:rsidRPr="00131992">
              <w:rPr>
                <w:rFonts w:ascii="Barlow" w:eastAsia="Times New Roman" w:hAnsi="Barlow" w:cs="Times New Roman"/>
                <w:color w:val="000000"/>
                <w:sz w:val="20"/>
                <w:szCs w:val="20"/>
                <w:lang w:eastAsia="es-MX"/>
              </w:rPr>
              <w:t>Estimación por Pérdida o Deterioro de Activos no Circulantes</w:t>
            </w:r>
          </w:p>
        </w:tc>
        <w:tc>
          <w:tcPr>
            <w:tcW w:w="2306" w:type="dxa"/>
            <w:tcBorders>
              <w:top w:val="nil"/>
              <w:left w:val="nil"/>
              <w:bottom w:val="single" w:sz="8" w:space="0" w:color="auto"/>
              <w:right w:val="single" w:sz="8" w:space="0" w:color="auto"/>
            </w:tcBorders>
            <w:shd w:val="clear" w:color="000000" w:fill="FFFFFF"/>
            <w:noWrap/>
            <w:vAlign w:val="center"/>
            <w:hideMark/>
          </w:tcPr>
          <w:p w:rsidR="005256F0" w:rsidRPr="00131992" w:rsidRDefault="005256F0" w:rsidP="00A26D0E">
            <w:pPr>
              <w:jc w:val="right"/>
              <w:rPr>
                <w:rFonts w:ascii="Barlow" w:hAnsi="Barlow" w:cs="Calibri"/>
                <w:color w:val="000000"/>
                <w:sz w:val="20"/>
                <w:szCs w:val="20"/>
              </w:rPr>
            </w:pPr>
            <w:r w:rsidRPr="00131992">
              <w:rPr>
                <w:rFonts w:ascii="Barlow" w:hAnsi="Barlow" w:cs="Calibri"/>
                <w:color w:val="000000"/>
                <w:sz w:val="20"/>
                <w:szCs w:val="20"/>
              </w:rPr>
              <w:t xml:space="preserve">0.00 </w:t>
            </w:r>
          </w:p>
        </w:tc>
        <w:tc>
          <w:tcPr>
            <w:tcW w:w="2047" w:type="dxa"/>
            <w:tcBorders>
              <w:top w:val="nil"/>
              <w:left w:val="nil"/>
              <w:bottom w:val="single" w:sz="8" w:space="0" w:color="auto"/>
              <w:right w:val="single" w:sz="8" w:space="0" w:color="auto"/>
            </w:tcBorders>
            <w:shd w:val="clear" w:color="000000" w:fill="FFFFFF"/>
            <w:noWrap/>
            <w:vAlign w:val="center"/>
            <w:hideMark/>
          </w:tcPr>
          <w:p w:rsidR="005256F0" w:rsidRPr="00131992" w:rsidRDefault="005256F0" w:rsidP="00A26D0E">
            <w:pPr>
              <w:jc w:val="right"/>
              <w:rPr>
                <w:rFonts w:ascii="Barlow" w:hAnsi="Barlow" w:cs="Calibri"/>
                <w:color w:val="000000"/>
                <w:sz w:val="20"/>
                <w:szCs w:val="20"/>
              </w:rPr>
            </w:pPr>
            <w:r w:rsidRPr="00131992">
              <w:rPr>
                <w:rFonts w:ascii="Barlow" w:hAnsi="Barlow" w:cs="Calibri"/>
                <w:color w:val="000000"/>
                <w:sz w:val="20"/>
                <w:szCs w:val="20"/>
              </w:rPr>
              <w:t xml:space="preserve">0.00 </w:t>
            </w:r>
          </w:p>
        </w:tc>
      </w:tr>
      <w:tr w:rsidR="005256F0" w:rsidRPr="00131992" w:rsidTr="00A26D0E">
        <w:trPr>
          <w:trHeight w:val="253"/>
        </w:trPr>
        <w:tc>
          <w:tcPr>
            <w:tcW w:w="4506" w:type="dxa"/>
            <w:tcBorders>
              <w:top w:val="nil"/>
              <w:left w:val="single" w:sz="8" w:space="0" w:color="auto"/>
              <w:bottom w:val="single" w:sz="8" w:space="0" w:color="auto"/>
              <w:right w:val="single" w:sz="8" w:space="0" w:color="auto"/>
            </w:tcBorders>
            <w:shd w:val="clear" w:color="000000" w:fill="FFFFFF"/>
            <w:noWrap/>
            <w:vAlign w:val="center"/>
            <w:hideMark/>
          </w:tcPr>
          <w:p w:rsidR="005256F0" w:rsidRPr="00131992" w:rsidRDefault="005256F0" w:rsidP="00A26D0E">
            <w:pPr>
              <w:spacing w:after="0" w:line="240" w:lineRule="auto"/>
              <w:rPr>
                <w:rFonts w:ascii="Barlow" w:eastAsia="Times New Roman" w:hAnsi="Barlow" w:cs="Times New Roman"/>
                <w:color w:val="000000"/>
                <w:sz w:val="20"/>
                <w:szCs w:val="20"/>
                <w:lang w:eastAsia="es-MX"/>
              </w:rPr>
            </w:pPr>
            <w:r w:rsidRPr="00131992">
              <w:rPr>
                <w:rFonts w:ascii="Barlow" w:eastAsia="Times New Roman" w:hAnsi="Barlow" w:cs="Times New Roman"/>
                <w:color w:val="000000"/>
                <w:sz w:val="20"/>
                <w:szCs w:val="20"/>
                <w:lang w:eastAsia="es-MX"/>
              </w:rPr>
              <w:t>Otros Activos no Circulantes</w:t>
            </w:r>
          </w:p>
        </w:tc>
        <w:tc>
          <w:tcPr>
            <w:tcW w:w="2306" w:type="dxa"/>
            <w:tcBorders>
              <w:top w:val="nil"/>
              <w:left w:val="nil"/>
              <w:bottom w:val="single" w:sz="8" w:space="0" w:color="auto"/>
              <w:right w:val="single" w:sz="8" w:space="0" w:color="auto"/>
            </w:tcBorders>
            <w:shd w:val="clear" w:color="000000" w:fill="FFFFFF"/>
            <w:noWrap/>
            <w:vAlign w:val="center"/>
            <w:hideMark/>
          </w:tcPr>
          <w:p w:rsidR="005256F0" w:rsidRPr="00131992" w:rsidRDefault="005256F0" w:rsidP="00A26D0E">
            <w:pPr>
              <w:jc w:val="right"/>
              <w:rPr>
                <w:rFonts w:ascii="Barlow" w:hAnsi="Barlow" w:cs="Calibri"/>
                <w:color w:val="000000"/>
                <w:sz w:val="20"/>
                <w:szCs w:val="20"/>
              </w:rPr>
            </w:pPr>
            <w:r w:rsidRPr="00131992">
              <w:rPr>
                <w:rFonts w:ascii="Barlow" w:hAnsi="Barlow" w:cs="Calibri"/>
                <w:color w:val="000000"/>
                <w:sz w:val="20"/>
                <w:szCs w:val="20"/>
              </w:rPr>
              <w:t xml:space="preserve">0.00 </w:t>
            </w:r>
          </w:p>
        </w:tc>
        <w:tc>
          <w:tcPr>
            <w:tcW w:w="2047" w:type="dxa"/>
            <w:tcBorders>
              <w:top w:val="nil"/>
              <w:left w:val="nil"/>
              <w:bottom w:val="single" w:sz="8" w:space="0" w:color="auto"/>
              <w:right w:val="single" w:sz="8" w:space="0" w:color="auto"/>
            </w:tcBorders>
            <w:shd w:val="clear" w:color="000000" w:fill="FFFFFF"/>
            <w:noWrap/>
            <w:vAlign w:val="center"/>
            <w:hideMark/>
          </w:tcPr>
          <w:p w:rsidR="005256F0" w:rsidRPr="00131992" w:rsidRDefault="005256F0" w:rsidP="00A26D0E">
            <w:pPr>
              <w:jc w:val="right"/>
              <w:rPr>
                <w:rFonts w:ascii="Barlow" w:hAnsi="Barlow" w:cs="Calibri"/>
                <w:color w:val="000000"/>
                <w:sz w:val="20"/>
                <w:szCs w:val="20"/>
              </w:rPr>
            </w:pPr>
            <w:r w:rsidRPr="00131992">
              <w:rPr>
                <w:rFonts w:ascii="Barlow" w:hAnsi="Barlow" w:cs="Calibri"/>
                <w:color w:val="000000"/>
                <w:sz w:val="20"/>
                <w:szCs w:val="20"/>
              </w:rPr>
              <w:t xml:space="preserve">0.00 </w:t>
            </w:r>
          </w:p>
        </w:tc>
      </w:tr>
      <w:tr w:rsidR="005256F0" w:rsidRPr="00131992" w:rsidTr="00A26D0E">
        <w:trPr>
          <w:trHeight w:val="253"/>
        </w:trPr>
        <w:tc>
          <w:tcPr>
            <w:tcW w:w="4506" w:type="dxa"/>
            <w:tcBorders>
              <w:top w:val="nil"/>
              <w:left w:val="single" w:sz="8" w:space="0" w:color="auto"/>
              <w:bottom w:val="single" w:sz="8" w:space="0" w:color="auto"/>
              <w:right w:val="single" w:sz="8" w:space="0" w:color="auto"/>
            </w:tcBorders>
            <w:shd w:val="clear" w:color="000000" w:fill="FFFFFF"/>
            <w:noWrap/>
            <w:vAlign w:val="center"/>
            <w:hideMark/>
          </w:tcPr>
          <w:p w:rsidR="005256F0" w:rsidRPr="00131992" w:rsidRDefault="005256F0" w:rsidP="00A26D0E">
            <w:pPr>
              <w:spacing w:after="0" w:line="240" w:lineRule="auto"/>
              <w:rPr>
                <w:rFonts w:ascii="Barlow" w:eastAsia="Times New Roman" w:hAnsi="Barlow" w:cs="Times New Roman"/>
                <w:color w:val="000000"/>
                <w:sz w:val="20"/>
                <w:szCs w:val="20"/>
                <w:lang w:eastAsia="es-MX"/>
              </w:rPr>
            </w:pPr>
            <w:r w:rsidRPr="00131992">
              <w:rPr>
                <w:rFonts w:ascii="Barlow" w:eastAsia="Times New Roman" w:hAnsi="Barlow" w:cs="Times New Roman"/>
                <w:color w:val="000000"/>
                <w:sz w:val="20"/>
                <w:szCs w:val="20"/>
                <w:lang w:eastAsia="es-MX"/>
              </w:rPr>
              <w:t>Total</w:t>
            </w:r>
          </w:p>
        </w:tc>
        <w:tc>
          <w:tcPr>
            <w:tcW w:w="2306" w:type="dxa"/>
            <w:tcBorders>
              <w:top w:val="nil"/>
              <w:left w:val="nil"/>
              <w:bottom w:val="single" w:sz="8" w:space="0" w:color="auto"/>
              <w:right w:val="single" w:sz="8" w:space="0" w:color="auto"/>
            </w:tcBorders>
            <w:shd w:val="clear" w:color="000000" w:fill="FFFFFF"/>
            <w:noWrap/>
            <w:vAlign w:val="center"/>
            <w:hideMark/>
          </w:tcPr>
          <w:p w:rsidR="005256F0" w:rsidRPr="00131992" w:rsidRDefault="005256F0" w:rsidP="001748BE">
            <w:pPr>
              <w:jc w:val="right"/>
              <w:rPr>
                <w:rFonts w:ascii="Barlow" w:hAnsi="Barlow" w:cs="Calibri"/>
                <w:color w:val="000000"/>
                <w:sz w:val="20"/>
                <w:szCs w:val="20"/>
              </w:rPr>
            </w:pPr>
            <w:r w:rsidRPr="00131992">
              <w:rPr>
                <w:rFonts w:ascii="Barlow" w:hAnsi="Barlow" w:cs="Calibri"/>
                <w:color w:val="000000"/>
                <w:sz w:val="20"/>
                <w:szCs w:val="20"/>
              </w:rPr>
              <w:t>4,</w:t>
            </w:r>
            <w:r w:rsidR="00864A8A" w:rsidRPr="00131992">
              <w:rPr>
                <w:rFonts w:ascii="Barlow" w:hAnsi="Barlow" w:cs="Calibri"/>
                <w:color w:val="000000"/>
                <w:sz w:val="20"/>
                <w:szCs w:val="20"/>
              </w:rPr>
              <w:t>339,913,080.89</w:t>
            </w:r>
          </w:p>
        </w:tc>
        <w:tc>
          <w:tcPr>
            <w:tcW w:w="2047" w:type="dxa"/>
            <w:tcBorders>
              <w:top w:val="nil"/>
              <w:left w:val="nil"/>
              <w:bottom w:val="single" w:sz="8" w:space="0" w:color="auto"/>
              <w:right w:val="single" w:sz="8" w:space="0" w:color="auto"/>
            </w:tcBorders>
            <w:shd w:val="clear" w:color="000000" w:fill="FFFFFF"/>
            <w:noWrap/>
            <w:vAlign w:val="center"/>
            <w:hideMark/>
          </w:tcPr>
          <w:p w:rsidR="005256F0" w:rsidRPr="00131992" w:rsidRDefault="00864A8A" w:rsidP="001748BE">
            <w:pPr>
              <w:jc w:val="right"/>
              <w:rPr>
                <w:rFonts w:ascii="Barlow" w:hAnsi="Barlow" w:cs="Calibri"/>
                <w:color w:val="000000"/>
                <w:sz w:val="20"/>
                <w:szCs w:val="20"/>
              </w:rPr>
            </w:pPr>
            <w:r w:rsidRPr="00131992">
              <w:rPr>
                <w:rFonts w:ascii="Barlow" w:hAnsi="Barlow" w:cs="Calibri"/>
                <w:color w:val="000000"/>
                <w:sz w:val="20"/>
                <w:szCs w:val="20"/>
              </w:rPr>
              <w:t>4,053,538,403.68</w:t>
            </w:r>
          </w:p>
        </w:tc>
      </w:tr>
    </w:tbl>
    <w:p w:rsidR="0027372C" w:rsidRPr="00131992" w:rsidRDefault="0027372C" w:rsidP="0027372C">
      <w:pPr>
        <w:pStyle w:val="ROMANOS"/>
        <w:tabs>
          <w:tab w:val="clear" w:pos="720"/>
          <w:tab w:val="left" w:pos="0"/>
        </w:tabs>
        <w:spacing w:after="80" w:line="203" w:lineRule="exact"/>
        <w:ind w:left="0" w:firstLine="0"/>
        <w:rPr>
          <w:rFonts w:ascii="Barlow" w:hAnsi="Barlow" w:cstheme="minorHAnsi"/>
          <w:sz w:val="20"/>
          <w:szCs w:val="20"/>
          <w:lang w:val="es-ES_tradnl"/>
        </w:rPr>
      </w:pPr>
    </w:p>
    <w:p w:rsidR="00255B75" w:rsidRPr="00131992" w:rsidRDefault="00376F59" w:rsidP="00255B75">
      <w:pPr>
        <w:pStyle w:val="ROMANOS"/>
        <w:tabs>
          <w:tab w:val="clear" w:pos="720"/>
          <w:tab w:val="left" w:pos="0"/>
        </w:tabs>
        <w:spacing w:after="80" w:line="203" w:lineRule="exact"/>
        <w:ind w:left="0" w:firstLine="0"/>
        <w:rPr>
          <w:rFonts w:ascii="Barlow" w:hAnsi="Barlow" w:cstheme="minorHAnsi"/>
          <w:b/>
          <w:bCs/>
          <w:sz w:val="20"/>
          <w:szCs w:val="20"/>
        </w:rPr>
      </w:pPr>
      <w:r w:rsidRPr="00131992">
        <w:rPr>
          <w:rFonts w:ascii="Barlow" w:hAnsi="Barlow" w:cstheme="minorHAnsi"/>
          <w:sz w:val="20"/>
          <w:szCs w:val="20"/>
          <w:lang w:val="es-ES_tradnl"/>
        </w:rPr>
        <w:lastRenderedPageBreak/>
        <w:t xml:space="preserve">A </w:t>
      </w:r>
      <w:r w:rsidRPr="00131992">
        <w:rPr>
          <w:rFonts w:ascii="Barlow" w:hAnsi="Barlow" w:cstheme="minorHAnsi"/>
          <w:sz w:val="20"/>
          <w:szCs w:val="20"/>
        </w:rPr>
        <w:t xml:space="preserve">estos bienes se les aplica las tasas </w:t>
      </w:r>
      <w:r w:rsidR="002E069C" w:rsidRPr="00131992">
        <w:rPr>
          <w:rFonts w:ascii="Barlow" w:hAnsi="Barlow" w:cstheme="minorHAnsi"/>
          <w:sz w:val="20"/>
          <w:szCs w:val="20"/>
        </w:rPr>
        <w:t>de D</w:t>
      </w:r>
      <w:r w:rsidRPr="00131992">
        <w:rPr>
          <w:rFonts w:ascii="Barlow" w:hAnsi="Barlow" w:cstheme="minorHAnsi"/>
          <w:sz w:val="20"/>
          <w:szCs w:val="20"/>
        </w:rPr>
        <w:t>epreciación publicadas en el documento</w:t>
      </w:r>
      <w:r w:rsidR="00297BB4" w:rsidRPr="00131992">
        <w:rPr>
          <w:rFonts w:ascii="Barlow" w:hAnsi="Barlow" w:cstheme="minorHAnsi"/>
          <w:sz w:val="20"/>
          <w:szCs w:val="20"/>
        </w:rPr>
        <w:t>, Parámetros</w:t>
      </w:r>
      <w:r w:rsidRPr="00131992">
        <w:rPr>
          <w:rFonts w:ascii="Barlow" w:hAnsi="Barlow" w:cstheme="minorHAnsi"/>
          <w:sz w:val="20"/>
          <w:szCs w:val="20"/>
        </w:rPr>
        <w:t xml:space="preserve"> de vida útil, que emitió el CONAC.</w:t>
      </w:r>
    </w:p>
    <w:p w:rsidR="00383564" w:rsidRPr="00131992" w:rsidRDefault="00641183" w:rsidP="00E44253">
      <w:pPr>
        <w:pStyle w:val="Ttulo"/>
        <w:jc w:val="both"/>
        <w:rPr>
          <w:rFonts w:ascii="Barlow" w:hAnsi="Barlow" w:cstheme="minorHAnsi"/>
          <w:b w:val="0"/>
          <w:sz w:val="20"/>
          <w:szCs w:val="20"/>
          <w:lang w:val="es-MX"/>
        </w:rPr>
      </w:pPr>
      <w:r w:rsidRPr="00131992">
        <w:rPr>
          <w:rFonts w:ascii="Barlow" w:hAnsi="Barlow" w:cstheme="minorHAnsi"/>
          <w:b w:val="0"/>
          <w:bCs w:val="0"/>
          <w:sz w:val="20"/>
          <w:szCs w:val="20"/>
        </w:rPr>
        <w:t xml:space="preserve"> </w:t>
      </w:r>
    </w:p>
    <w:p w:rsidR="00383564" w:rsidRPr="00131992" w:rsidRDefault="00383564" w:rsidP="00376F59">
      <w:pPr>
        <w:pStyle w:val="Ttulo"/>
        <w:jc w:val="both"/>
        <w:rPr>
          <w:rFonts w:ascii="Barlow" w:hAnsi="Barlow" w:cstheme="minorHAnsi"/>
          <w:bCs w:val="0"/>
          <w:sz w:val="20"/>
          <w:szCs w:val="20"/>
        </w:rPr>
      </w:pPr>
      <w:r w:rsidRPr="00131992">
        <w:rPr>
          <w:rFonts w:ascii="Barlow" w:hAnsi="Barlow" w:cstheme="minorHAnsi"/>
          <w:bCs w:val="0"/>
          <w:sz w:val="20"/>
          <w:szCs w:val="20"/>
        </w:rPr>
        <w:t>Pasivo.</w:t>
      </w:r>
    </w:p>
    <w:p w:rsidR="005A3E01" w:rsidRPr="00131992" w:rsidRDefault="005A3E01" w:rsidP="00376F59">
      <w:pPr>
        <w:pStyle w:val="Ttulo"/>
        <w:jc w:val="both"/>
        <w:rPr>
          <w:rFonts w:ascii="Barlow" w:hAnsi="Barlow" w:cstheme="minorHAnsi"/>
          <w:bCs w:val="0"/>
          <w:sz w:val="20"/>
          <w:szCs w:val="20"/>
        </w:rPr>
      </w:pPr>
    </w:p>
    <w:p w:rsidR="005A3E01" w:rsidRPr="00131992" w:rsidRDefault="005A3E01" w:rsidP="00376F59">
      <w:pPr>
        <w:pStyle w:val="Ttulo"/>
        <w:jc w:val="both"/>
        <w:rPr>
          <w:rFonts w:ascii="Barlow" w:hAnsi="Barlow" w:cstheme="minorHAnsi"/>
          <w:b w:val="0"/>
          <w:bCs w:val="0"/>
          <w:sz w:val="20"/>
          <w:szCs w:val="20"/>
        </w:rPr>
      </w:pPr>
      <w:r w:rsidRPr="00131992">
        <w:rPr>
          <w:rFonts w:ascii="Barlow" w:hAnsi="Barlow" w:cstheme="minorHAnsi"/>
          <w:b w:val="0"/>
          <w:bCs w:val="0"/>
          <w:sz w:val="20"/>
          <w:szCs w:val="20"/>
        </w:rPr>
        <w:t xml:space="preserve">Al </w:t>
      </w:r>
      <w:r w:rsidR="00796E68" w:rsidRPr="00131992">
        <w:rPr>
          <w:rFonts w:ascii="Barlow" w:hAnsi="Barlow" w:cstheme="minorHAnsi"/>
          <w:b w:val="0"/>
          <w:bCs w:val="0"/>
          <w:sz w:val="20"/>
          <w:szCs w:val="20"/>
        </w:rPr>
        <w:t>31</w:t>
      </w:r>
      <w:r w:rsidRPr="00131992">
        <w:rPr>
          <w:rFonts w:ascii="Barlow" w:hAnsi="Barlow" w:cstheme="minorHAnsi"/>
          <w:b w:val="0"/>
          <w:bCs w:val="0"/>
          <w:sz w:val="20"/>
          <w:szCs w:val="20"/>
        </w:rPr>
        <w:t xml:space="preserve"> de </w:t>
      </w:r>
      <w:proofErr w:type="spellStart"/>
      <w:r w:rsidR="00796E68" w:rsidRPr="00131992">
        <w:rPr>
          <w:rFonts w:ascii="Barlow" w:hAnsi="Barlow" w:cstheme="minorHAnsi"/>
          <w:b w:val="0"/>
          <w:bCs w:val="0"/>
          <w:sz w:val="20"/>
          <w:szCs w:val="20"/>
        </w:rPr>
        <w:t>Marzo</w:t>
      </w:r>
      <w:r w:rsidR="001D7443" w:rsidRPr="00131992">
        <w:rPr>
          <w:rFonts w:ascii="Barlow" w:hAnsi="Barlow" w:cstheme="minorHAnsi"/>
          <w:b w:val="0"/>
          <w:bCs w:val="0"/>
          <w:sz w:val="20"/>
          <w:szCs w:val="20"/>
        </w:rPr>
        <w:t>o</w:t>
      </w:r>
      <w:proofErr w:type="spellEnd"/>
      <w:r w:rsidR="008726F7" w:rsidRPr="00131992">
        <w:rPr>
          <w:rFonts w:ascii="Barlow" w:hAnsi="Barlow" w:cstheme="minorHAnsi"/>
          <w:b w:val="0"/>
          <w:bCs w:val="0"/>
          <w:sz w:val="20"/>
          <w:szCs w:val="20"/>
        </w:rPr>
        <w:t xml:space="preserve"> de 201</w:t>
      </w:r>
      <w:r w:rsidR="001D7443" w:rsidRPr="00131992">
        <w:rPr>
          <w:rFonts w:ascii="Barlow" w:hAnsi="Barlow" w:cstheme="minorHAnsi"/>
          <w:b w:val="0"/>
          <w:bCs w:val="0"/>
          <w:sz w:val="20"/>
          <w:szCs w:val="20"/>
        </w:rPr>
        <w:t>9</w:t>
      </w:r>
      <w:r w:rsidR="008726F7" w:rsidRPr="00131992">
        <w:rPr>
          <w:rFonts w:ascii="Barlow" w:hAnsi="Barlow" w:cstheme="minorHAnsi"/>
          <w:b w:val="0"/>
          <w:bCs w:val="0"/>
          <w:sz w:val="20"/>
          <w:szCs w:val="20"/>
        </w:rPr>
        <w:t xml:space="preserve"> se tiene este saldo a</w:t>
      </w:r>
      <w:r w:rsidRPr="00131992">
        <w:rPr>
          <w:rFonts w:ascii="Barlow" w:hAnsi="Barlow" w:cstheme="minorHAnsi"/>
          <w:b w:val="0"/>
          <w:bCs w:val="0"/>
          <w:sz w:val="20"/>
          <w:szCs w:val="20"/>
        </w:rPr>
        <w:t xml:space="preserve"> pagar a Proveedores y Acreedores</w:t>
      </w:r>
    </w:p>
    <w:p w:rsidR="005A3E01" w:rsidRPr="00131992" w:rsidRDefault="005A3E01" w:rsidP="00376F59">
      <w:pPr>
        <w:pStyle w:val="Ttulo"/>
        <w:jc w:val="both"/>
        <w:rPr>
          <w:rFonts w:ascii="Barlow" w:hAnsi="Barlow" w:cstheme="minorHAnsi"/>
          <w:bCs w:val="0"/>
          <w:sz w:val="20"/>
          <w:szCs w:val="20"/>
        </w:rPr>
      </w:pPr>
    </w:p>
    <w:p w:rsidR="00376F59" w:rsidRPr="00131992" w:rsidRDefault="00376F59" w:rsidP="00376F59">
      <w:pPr>
        <w:pStyle w:val="Ttulo"/>
        <w:jc w:val="both"/>
        <w:rPr>
          <w:rFonts w:ascii="Barlow" w:hAnsi="Barlow" w:cstheme="minorHAnsi"/>
          <w:bCs w:val="0"/>
          <w:sz w:val="20"/>
          <w:szCs w:val="20"/>
        </w:rPr>
      </w:pPr>
      <w:r w:rsidRPr="00131992">
        <w:rPr>
          <w:rFonts w:ascii="Barlow" w:hAnsi="Barlow" w:cstheme="minorHAnsi"/>
          <w:bCs w:val="0"/>
          <w:sz w:val="20"/>
          <w:szCs w:val="20"/>
        </w:rPr>
        <w:t>IMPUESTOS Y CUOTAS POR PAGAR</w:t>
      </w:r>
    </w:p>
    <w:p w:rsidR="005256F0" w:rsidRPr="00131992" w:rsidRDefault="005256F0" w:rsidP="00376F59">
      <w:pPr>
        <w:pStyle w:val="Ttulo"/>
        <w:jc w:val="both"/>
        <w:rPr>
          <w:rFonts w:ascii="Barlow" w:hAnsi="Barlow" w:cstheme="minorHAnsi"/>
          <w:bCs w:val="0"/>
          <w:sz w:val="20"/>
          <w:szCs w:val="20"/>
        </w:rPr>
      </w:pPr>
    </w:p>
    <w:tbl>
      <w:tblPr>
        <w:tblStyle w:val="Tablaconcuadrcula"/>
        <w:tblW w:w="0" w:type="auto"/>
        <w:tblLook w:val="04A0" w:firstRow="1" w:lastRow="0" w:firstColumn="1" w:lastColumn="0" w:noHBand="0" w:noVBand="1"/>
      </w:tblPr>
      <w:tblGrid>
        <w:gridCol w:w="3964"/>
        <w:gridCol w:w="2410"/>
      </w:tblGrid>
      <w:tr w:rsidR="008726F7" w:rsidRPr="00131992" w:rsidTr="008726F7">
        <w:tc>
          <w:tcPr>
            <w:tcW w:w="3964" w:type="dxa"/>
          </w:tcPr>
          <w:p w:rsidR="008726F7" w:rsidRPr="00131992" w:rsidRDefault="008726F7" w:rsidP="00376F59">
            <w:pPr>
              <w:pStyle w:val="Ttulo"/>
              <w:jc w:val="both"/>
              <w:rPr>
                <w:rFonts w:ascii="Barlow" w:hAnsi="Barlow" w:cstheme="minorHAnsi"/>
                <w:bCs w:val="0"/>
                <w:sz w:val="20"/>
                <w:szCs w:val="20"/>
              </w:rPr>
            </w:pPr>
            <w:r w:rsidRPr="00131992">
              <w:rPr>
                <w:rFonts w:ascii="Barlow" w:hAnsi="Barlow"/>
                <w:color w:val="000000"/>
                <w:sz w:val="20"/>
                <w:szCs w:val="20"/>
                <w:lang w:eastAsia="es-MX"/>
              </w:rPr>
              <w:t>Nombre</w:t>
            </w:r>
          </w:p>
        </w:tc>
        <w:tc>
          <w:tcPr>
            <w:tcW w:w="2410" w:type="dxa"/>
          </w:tcPr>
          <w:p w:rsidR="008726F7" w:rsidRPr="00131992" w:rsidRDefault="00796E68" w:rsidP="001D7443">
            <w:pPr>
              <w:pStyle w:val="Ttulo"/>
              <w:jc w:val="both"/>
              <w:rPr>
                <w:rFonts w:ascii="Barlow" w:hAnsi="Barlow" w:cstheme="minorHAnsi"/>
                <w:bCs w:val="0"/>
                <w:sz w:val="20"/>
                <w:szCs w:val="20"/>
              </w:rPr>
            </w:pPr>
            <w:r w:rsidRPr="00131992">
              <w:rPr>
                <w:rFonts w:ascii="Barlow" w:hAnsi="Barlow"/>
                <w:color w:val="000000"/>
                <w:sz w:val="20"/>
                <w:szCs w:val="20"/>
                <w:lang w:eastAsia="es-MX"/>
              </w:rPr>
              <w:t>31</w:t>
            </w:r>
            <w:r w:rsidR="008726F7" w:rsidRPr="00131992">
              <w:rPr>
                <w:rFonts w:ascii="Barlow" w:hAnsi="Barlow"/>
                <w:color w:val="000000"/>
                <w:sz w:val="20"/>
                <w:szCs w:val="20"/>
                <w:lang w:eastAsia="es-MX"/>
              </w:rPr>
              <w:t xml:space="preserve"> de </w:t>
            </w:r>
            <w:r w:rsidRPr="00131992">
              <w:rPr>
                <w:rFonts w:ascii="Barlow" w:hAnsi="Barlow"/>
                <w:color w:val="000000"/>
                <w:sz w:val="20"/>
                <w:szCs w:val="20"/>
                <w:lang w:eastAsia="es-MX"/>
              </w:rPr>
              <w:t>Marz</w:t>
            </w:r>
            <w:r w:rsidR="001D7443" w:rsidRPr="00131992">
              <w:rPr>
                <w:rFonts w:ascii="Barlow" w:hAnsi="Barlow"/>
                <w:color w:val="000000"/>
                <w:sz w:val="20"/>
                <w:szCs w:val="20"/>
                <w:lang w:eastAsia="es-MX"/>
              </w:rPr>
              <w:t>o</w:t>
            </w:r>
            <w:r w:rsidR="008726F7" w:rsidRPr="00131992">
              <w:rPr>
                <w:rFonts w:ascii="Barlow" w:hAnsi="Barlow"/>
                <w:color w:val="000000"/>
                <w:sz w:val="20"/>
                <w:szCs w:val="20"/>
                <w:lang w:eastAsia="es-MX"/>
              </w:rPr>
              <w:t xml:space="preserve"> 201</w:t>
            </w:r>
            <w:r w:rsidR="001D7443" w:rsidRPr="00131992">
              <w:rPr>
                <w:rFonts w:ascii="Barlow" w:hAnsi="Barlow"/>
                <w:color w:val="000000"/>
                <w:sz w:val="20"/>
                <w:szCs w:val="20"/>
                <w:lang w:eastAsia="es-MX"/>
              </w:rPr>
              <w:t>9</w:t>
            </w:r>
          </w:p>
        </w:tc>
      </w:tr>
      <w:tr w:rsidR="008726F7" w:rsidRPr="00131992" w:rsidTr="008726F7">
        <w:tc>
          <w:tcPr>
            <w:tcW w:w="3964" w:type="dxa"/>
          </w:tcPr>
          <w:p w:rsidR="008726F7" w:rsidRPr="00131992" w:rsidRDefault="008726F7" w:rsidP="00376F59">
            <w:pPr>
              <w:pStyle w:val="Ttulo"/>
              <w:jc w:val="both"/>
              <w:rPr>
                <w:rFonts w:ascii="Barlow" w:hAnsi="Barlow" w:cstheme="minorHAnsi"/>
                <w:bCs w:val="0"/>
                <w:sz w:val="20"/>
                <w:szCs w:val="20"/>
              </w:rPr>
            </w:pPr>
            <w:r w:rsidRPr="00131992">
              <w:rPr>
                <w:rFonts w:ascii="Barlow" w:hAnsi="Barlow"/>
                <w:color w:val="000000"/>
                <w:sz w:val="20"/>
                <w:szCs w:val="20"/>
                <w:lang w:eastAsia="es-MX"/>
              </w:rPr>
              <w:t>Cuentas por Pagar a Corto Plazo</w:t>
            </w:r>
          </w:p>
        </w:tc>
        <w:tc>
          <w:tcPr>
            <w:tcW w:w="2410" w:type="dxa"/>
          </w:tcPr>
          <w:p w:rsidR="008726F7" w:rsidRPr="00131992" w:rsidRDefault="00796E68" w:rsidP="001D7443">
            <w:pPr>
              <w:pStyle w:val="Ttulo"/>
              <w:jc w:val="both"/>
              <w:rPr>
                <w:rFonts w:ascii="Barlow" w:hAnsi="Barlow" w:cstheme="minorHAnsi"/>
                <w:bCs w:val="0"/>
                <w:sz w:val="20"/>
                <w:szCs w:val="20"/>
              </w:rPr>
            </w:pPr>
            <w:r w:rsidRPr="00131992">
              <w:rPr>
                <w:rFonts w:ascii="Barlow" w:hAnsi="Barlow" w:cs="Calibri"/>
                <w:color w:val="000000"/>
                <w:sz w:val="20"/>
                <w:szCs w:val="20"/>
              </w:rPr>
              <w:t>19</w:t>
            </w:r>
            <w:proofErr w:type="gramStart"/>
            <w:r w:rsidRPr="00131992">
              <w:rPr>
                <w:rFonts w:ascii="Barlow" w:hAnsi="Barlow" w:cs="Calibri"/>
                <w:color w:val="000000"/>
                <w:sz w:val="20"/>
                <w:szCs w:val="20"/>
              </w:rPr>
              <w:t>,027,124.42</w:t>
            </w:r>
            <w:proofErr w:type="gramEnd"/>
          </w:p>
        </w:tc>
      </w:tr>
      <w:tr w:rsidR="008726F7" w:rsidRPr="00131992" w:rsidTr="008726F7">
        <w:tc>
          <w:tcPr>
            <w:tcW w:w="3964" w:type="dxa"/>
          </w:tcPr>
          <w:p w:rsidR="008726F7" w:rsidRPr="00131992" w:rsidRDefault="008726F7" w:rsidP="00376F59">
            <w:pPr>
              <w:pStyle w:val="Ttulo"/>
              <w:jc w:val="both"/>
              <w:rPr>
                <w:rFonts w:ascii="Barlow" w:hAnsi="Barlow" w:cstheme="minorHAnsi"/>
                <w:bCs w:val="0"/>
                <w:sz w:val="20"/>
                <w:szCs w:val="20"/>
              </w:rPr>
            </w:pPr>
            <w:r w:rsidRPr="00131992">
              <w:rPr>
                <w:rFonts w:ascii="Barlow" w:hAnsi="Barlow"/>
                <w:color w:val="000000"/>
                <w:sz w:val="20"/>
                <w:szCs w:val="20"/>
                <w:lang w:eastAsia="es-MX"/>
              </w:rPr>
              <w:t>Total</w:t>
            </w:r>
          </w:p>
        </w:tc>
        <w:tc>
          <w:tcPr>
            <w:tcW w:w="2410" w:type="dxa"/>
          </w:tcPr>
          <w:p w:rsidR="008726F7" w:rsidRPr="00131992" w:rsidRDefault="00796E68" w:rsidP="001D7443">
            <w:pPr>
              <w:pStyle w:val="Ttulo"/>
              <w:jc w:val="both"/>
              <w:rPr>
                <w:rFonts w:ascii="Barlow" w:hAnsi="Barlow" w:cstheme="minorHAnsi"/>
                <w:bCs w:val="0"/>
                <w:sz w:val="20"/>
                <w:szCs w:val="20"/>
              </w:rPr>
            </w:pPr>
            <w:r w:rsidRPr="00131992">
              <w:rPr>
                <w:rFonts w:ascii="Barlow" w:hAnsi="Barlow" w:cs="Calibri"/>
                <w:color w:val="000000"/>
                <w:sz w:val="20"/>
                <w:szCs w:val="20"/>
              </w:rPr>
              <w:t>19</w:t>
            </w:r>
            <w:proofErr w:type="gramStart"/>
            <w:r w:rsidRPr="00131992">
              <w:rPr>
                <w:rFonts w:ascii="Barlow" w:hAnsi="Barlow" w:cs="Calibri"/>
                <w:color w:val="000000"/>
                <w:sz w:val="20"/>
                <w:szCs w:val="20"/>
              </w:rPr>
              <w:t>,027,124.42</w:t>
            </w:r>
            <w:proofErr w:type="gramEnd"/>
          </w:p>
        </w:tc>
      </w:tr>
    </w:tbl>
    <w:p w:rsidR="00E0510F" w:rsidRPr="00131992" w:rsidRDefault="00E0510F" w:rsidP="00E0510F">
      <w:pPr>
        <w:tabs>
          <w:tab w:val="right" w:pos="8838"/>
        </w:tabs>
        <w:jc w:val="both"/>
        <w:rPr>
          <w:rFonts w:ascii="Barlow" w:eastAsia="Times New Roman" w:hAnsi="Barlow" w:cstheme="minorHAnsi"/>
          <w:b/>
          <w:sz w:val="20"/>
          <w:szCs w:val="20"/>
          <w:lang w:val="es-ES" w:eastAsia="es-ES"/>
        </w:rPr>
      </w:pPr>
    </w:p>
    <w:p w:rsidR="00D03EC7" w:rsidRPr="00131992" w:rsidRDefault="00E0510F" w:rsidP="00E44253">
      <w:pPr>
        <w:tabs>
          <w:tab w:val="right" w:pos="8838"/>
        </w:tabs>
        <w:jc w:val="both"/>
        <w:rPr>
          <w:rFonts w:ascii="Barlow" w:hAnsi="Barlow"/>
          <w:sz w:val="20"/>
          <w:szCs w:val="20"/>
        </w:rPr>
      </w:pPr>
      <w:r w:rsidRPr="00131992">
        <w:rPr>
          <w:rFonts w:ascii="Barlow" w:hAnsi="Barlow"/>
          <w:sz w:val="20"/>
          <w:szCs w:val="20"/>
        </w:rPr>
        <w:t xml:space="preserve">  Del total de pasivo al cierre del ejercicio por $35</w:t>
      </w:r>
      <w:proofErr w:type="gramStart"/>
      <w:r w:rsidRPr="00131992">
        <w:rPr>
          <w:rFonts w:ascii="Barlow" w:hAnsi="Barlow"/>
          <w:sz w:val="20"/>
          <w:szCs w:val="20"/>
        </w:rPr>
        <w:t>,</w:t>
      </w:r>
      <w:r w:rsidR="001D7443" w:rsidRPr="00131992">
        <w:rPr>
          <w:rFonts w:ascii="Barlow" w:hAnsi="Barlow"/>
          <w:sz w:val="20"/>
          <w:szCs w:val="20"/>
        </w:rPr>
        <w:t>236</w:t>
      </w:r>
      <w:r w:rsidRPr="00131992">
        <w:rPr>
          <w:rFonts w:ascii="Barlow" w:hAnsi="Barlow"/>
          <w:sz w:val="20"/>
          <w:szCs w:val="20"/>
        </w:rPr>
        <w:t>,</w:t>
      </w:r>
      <w:r w:rsidR="001D7443" w:rsidRPr="00131992">
        <w:rPr>
          <w:rFonts w:ascii="Barlow" w:hAnsi="Barlow"/>
          <w:sz w:val="20"/>
          <w:szCs w:val="20"/>
        </w:rPr>
        <w:t>388</w:t>
      </w:r>
      <w:r w:rsidRPr="00131992">
        <w:rPr>
          <w:rFonts w:ascii="Barlow" w:hAnsi="Barlow"/>
          <w:sz w:val="20"/>
          <w:szCs w:val="20"/>
        </w:rPr>
        <w:t>.</w:t>
      </w:r>
      <w:r w:rsidR="001D7443" w:rsidRPr="00131992">
        <w:rPr>
          <w:rFonts w:ascii="Barlow" w:hAnsi="Barlow"/>
          <w:sz w:val="20"/>
          <w:szCs w:val="20"/>
        </w:rPr>
        <w:t>15</w:t>
      </w:r>
      <w:proofErr w:type="gramEnd"/>
      <w:r w:rsidRPr="00131992">
        <w:rPr>
          <w:rFonts w:ascii="Barlow" w:hAnsi="Barlow"/>
          <w:sz w:val="20"/>
          <w:szCs w:val="20"/>
        </w:rPr>
        <w:t xml:space="preserve"> </w:t>
      </w:r>
    </w:p>
    <w:p w:rsidR="00383564" w:rsidRPr="00131992" w:rsidRDefault="00383564" w:rsidP="00453E26">
      <w:pPr>
        <w:spacing w:after="0"/>
        <w:jc w:val="both"/>
        <w:rPr>
          <w:rFonts w:ascii="Barlow" w:hAnsi="Barlow" w:cstheme="minorHAnsi"/>
          <w:b/>
          <w:bCs/>
          <w:sz w:val="20"/>
          <w:szCs w:val="20"/>
        </w:rPr>
      </w:pPr>
    </w:p>
    <w:p w:rsidR="00376F59" w:rsidRPr="00131992" w:rsidRDefault="00376F59" w:rsidP="00376F59">
      <w:pPr>
        <w:pStyle w:val="ROMANOS"/>
        <w:numPr>
          <w:ilvl w:val="0"/>
          <w:numId w:val="4"/>
        </w:numPr>
        <w:tabs>
          <w:tab w:val="clear" w:pos="720"/>
          <w:tab w:val="left" w:pos="0"/>
        </w:tabs>
        <w:spacing w:after="80" w:line="203" w:lineRule="exact"/>
        <w:rPr>
          <w:rFonts w:ascii="Barlow" w:hAnsi="Barlow" w:cstheme="minorHAnsi"/>
          <w:b/>
          <w:sz w:val="20"/>
          <w:szCs w:val="20"/>
          <w:lang w:val="es-MX"/>
        </w:rPr>
      </w:pPr>
      <w:r w:rsidRPr="00131992">
        <w:rPr>
          <w:rFonts w:ascii="Barlow" w:hAnsi="Barlow" w:cstheme="minorHAnsi"/>
          <w:b/>
          <w:sz w:val="20"/>
          <w:szCs w:val="20"/>
          <w:lang w:val="es-MX"/>
        </w:rPr>
        <w:t>Notas al Estado de Actividades</w:t>
      </w:r>
    </w:p>
    <w:p w:rsidR="00376F59" w:rsidRPr="00131992" w:rsidRDefault="00376F59" w:rsidP="00376F59">
      <w:pPr>
        <w:spacing w:after="0"/>
        <w:jc w:val="both"/>
        <w:rPr>
          <w:rFonts w:ascii="Barlow" w:hAnsi="Barlow" w:cstheme="minorHAnsi"/>
          <w:b/>
          <w:sz w:val="20"/>
          <w:szCs w:val="20"/>
        </w:rPr>
      </w:pPr>
    </w:p>
    <w:p w:rsidR="00376F59" w:rsidRPr="00131992" w:rsidRDefault="00376F59" w:rsidP="00376F59">
      <w:pPr>
        <w:pStyle w:val="ROMANOS"/>
        <w:tabs>
          <w:tab w:val="clear" w:pos="720"/>
          <w:tab w:val="left" w:pos="0"/>
        </w:tabs>
        <w:spacing w:after="80" w:line="203" w:lineRule="exact"/>
        <w:ind w:left="0" w:firstLine="0"/>
        <w:rPr>
          <w:rFonts w:ascii="Barlow" w:hAnsi="Barlow" w:cstheme="minorHAnsi"/>
          <w:b/>
          <w:sz w:val="20"/>
          <w:szCs w:val="20"/>
          <w:lang w:val="es-MX"/>
        </w:rPr>
      </w:pPr>
      <w:r w:rsidRPr="00131992">
        <w:rPr>
          <w:rFonts w:ascii="Barlow" w:hAnsi="Barlow" w:cstheme="minorHAnsi"/>
          <w:b/>
          <w:sz w:val="20"/>
          <w:szCs w:val="20"/>
          <w:lang w:val="es-MX"/>
        </w:rPr>
        <w:t>Ingresos de Gestión</w:t>
      </w:r>
    </w:p>
    <w:p w:rsidR="00376F59" w:rsidRPr="00131992" w:rsidRDefault="00376F59" w:rsidP="00376F59">
      <w:pPr>
        <w:spacing w:after="0"/>
        <w:jc w:val="both"/>
        <w:rPr>
          <w:rFonts w:ascii="Barlow" w:hAnsi="Barlow" w:cstheme="minorHAnsi"/>
          <w:sz w:val="20"/>
          <w:szCs w:val="20"/>
        </w:rPr>
      </w:pPr>
      <w:r w:rsidRPr="00131992">
        <w:rPr>
          <w:rFonts w:ascii="Barlow" w:hAnsi="Barlow" w:cstheme="minorHAnsi"/>
          <w:sz w:val="20"/>
          <w:szCs w:val="20"/>
        </w:rPr>
        <w:t>Los ingresos del INS</w:t>
      </w:r>
      <w:r w:rsidR="00D03EC7" w:rsidRPr="00131992">
        <w:rPr>
          <w:rFonts w:ascii="Barlow" w:hAnsi="Barlow" w:cstheme="minorHAnsi"/>
          <w:sz w:val="20"/>
          <w:szCs w:val="20"/>
        </w:rPr>
        <w:t>TITUTO DE INFRAESTRUCTURA CARRETERA DE YUCATAN</w:t>
      </w:r>
      <w:r w:rsidRPr="00131992">
        <w:rPr>
          <w:rFonts w:ascii="Barlow" w:hAnsi="Barlow" w:cstheme="minorHAnsi"/>
          <w:sz w:val="20"/>
          <w:szCs w:val="20"/>
        </w:rPr>
        <w:t xml:space="preserve"> por el período comprendido </w:t>
      </w:r>
      <w:r w:rsidR="00A053BF" w:rsidRPr="00131992">
        <w:rPr>
          <w:rFonts w:ascii="Barlow" w:hAnsi="Barlow" w:cstheme="minorHAnsi"/>
          <w:sz w:val="20"/>
          <w:szCs w:val="20"/>
        </w:rPr>
        <w:t xml:space="preserve">del 01 </w:t>
      </w:r>
      <w:r w:rsidR="00C30893" w:rsidRPr="00131992">
        <w:rPr>
          <w:rFonts w:ascii="Barlow" w:hAnsi="Barlow" w:cstheme="minorHAnsi"/>
          <w:sz w:val="20"/>
          <w:szCs w:val="20"/>
        </w:rPr>
        <w:t>Marz</w:t>
      </w:r>
      <w:r w:rsidR="00383564" w:rsidRPr="00131992">
        <w:rPr>
          <w:rFonts w:ascii="Barlow" w:hAnsi="Barlow" w:cstheme="minorHAnsi"/>
          <w:sz w:val="20"/>
          <w:szCs w:val="20"/>
        </w:rPr>
        <w:t>o</w:t>
      </w:r>
      <w:r w:rsidR="00A053BF" w:rsidRPr="00131992">
        <w:rPr>
          <w:rFonts w:ascii="Barlow" w:hAnsi="Barlow" w:cstheme="minorHAnsi"/>
          <w:sz w:val="20"/>
          <w:szCs w:val="20"/>
        </w:rPr>
        <w:t xml:space="preserve"> </w:t>
      </w:r>
      <w:r w:rsidRPr="00131992">
        <w:rPr>
          <w:rFonts w:ascii="Barlow" w:hAnsi="Barlow" w:cstheme="minorHAnsi"/>
          <w:sz w:val="20"/>
          <w:szCs w:val="20"/>
        </w:rPr>
        <w:t xml:space="preserve">al </w:t>
      </w:r>
      <w:r w:rsidR="00796E68" w:rsidRPr="00131992">
        <w:rPr>
          <w:rFonts w:ascii="Barlow" w:hAnsi="Barlow" w:cstheme="minorHAnsi"/>
          <w:sz w:val="20"/>
          <w:szCs w:val="20"/>
        </w:rPr>
        <w:t>31</w:t>
      </w:r>
      <w:r w:rsidR="00930A89" w:rsidRPr="00131992">
        <w:rPr>
          <w:rFonts w:ascii="Barlow" w:hAnsi="Barlow" w:cstheme="minorHAnsi"/>
          <w:sz w:val="20"/>
          <w:szCs w:val="20"/>
        </w:rPr>
        <w:t xml:space="preserve"> de </w:t>
      </w:r>
      <w:r w:rsidR="00C30893" w:rsidRPr="00131992">
        <w:rPr>
          <w:rFonts w:ascii="Barlow" w:hAnsi="Barlow" w:cstheme="minorHAnsi"/>
          <w:sz w:val="20"/>
          <w:szCs w:val="20"/>
        </w:rPr>
        <w:t>Marz</w:t>
      </w:r>
      <w:r w:rsidR="006B4278" w:rsidRPr="00131992">
        <w:rPr>
          <w:rFonts w:ascii="Barlow" w:hAnsi="Barlow" w:cstheme="minorHAnsi"/>
          <w:sz w:val="20"/>
          <w:szCs w:val="20"/>
        </w:rPr>
        <w:t>o</w:t>
      </w:r>
      <w:r w:rsidR="002C5B18" w:rsidRPr="00131992">
        <w:rPr>
          <w:rFonts w:ascii="Barlow" w:hAnsi="Barlow" w:cstheme="minorHAnsi"/>
          <w:sz w:val="20"/>
          <w:szCs w:val="20"/>
        </w:rPr>
        <w:t xml:space="preserve"> de 201</w:t>
      </w:r>
      <w:r w:rsidR="006B4278" w:rsidRPr="00131992">
        <w:rPr>
          <w:rFonts w:ascii="Barlow" w:hAnsi="Barlow" w:cstheme="minorHAnsi"/>
          <w:sz w:val="20"/>
          <w:szCs w:val="20"/>
        </w:rPr>
        <w:t>9</w:t>
      </w:r>
      <w:r w:rsidRPr="00131992">
        <w:rPr>
          <w:rFonts w:ascii="Barlow" w:hAnsi="Barlow" w:cstheme="minorHAnsi"/>
          <w:sz w:val="20"/>
          <w:szCs w:val="20"/>
        </w:rPr>
        <w:t xml:space="preserve"> se integran de la siguiente manera:</w:t>
      </w:r>
    </w:p>
    <w:p w:rsidR="00686328" w:rsidRDefault="00686328" w:rsidP="00686328">
      <w:pPr>
        <w:jc w:val="both"/>
        <w:rPr>
          <w:rFonts w:ascii="Barlow" w:hAnsi="Barlow"/>
          <w:sz w:val="20"/>
          <w:szCs w:val="20"/>
        </w:rPr>
      </w:pPr>
      <w:r w:rsidRPr="00131992">
        <w:rPr>
          <w:rFonts w:ascii="Barlow" w:hAnsi="Barlow"/>
          <w:sz w:val="20"/>
          <w:szCs w:val="20"/>
        </w:rPr>
        <w:t xml:space="preserve">       Con respecto a la cuenta de Ingresos por Gestión, en la cuenta de Ingresos Propios, estos son ingresos que la propia Dependencia está obteniendo por diversos servicios o por Estímulos fiscales que la Secretaria de Hacienda está otorgando, a </w:t>
      </w:r>
      <w:r w:rsidR="00552EB8" w:rsidRPr="00131992">
        <w:rPr>
          <w:rFonts w:ascii="Barlow" w:hAnsi="Barlow"/>
          <w:sz w:val="20"/>
          <w:szCs w:val="20"/>
        </w:rPr>
        <w:t>continuación,</w:t>
      </w:r>
      <w:r w:rsidRPr="00131992">
        <w:rPr>
          <w:rFonts w:ascii="Barlow" w:hAnsi="Barlow"/>
          <w:sz w:val="20"/>
          <w:szCs w:val="20"/>
        </w:rPr>
        <w:t xml:space="preserve"> se desglosa estos ingresos:</w:t>
      </w:r>
    </w:p>
    <w:p w:rsidR="00131992" w:rsidRDefault="00131992" w:rsidP="00686328">
      <w:pPr>
        <w:jc w:val="both"/>
        <w:rPr>
          <w:rFonts w:ascii="Barlow" w:hAnsi="Barlow"/>
          <w:sz w:val="20"/>
          <w:szCs w:val="20"/>
        </w:rPr>
      </w:pPr>
    </w:p>
    <w:p w:rsidR="00131992" w:rsidRDefault="00131992" w:rsidP="00686328">
      <w:pPr>
        <w:jc w:val="both"/>
        <w:rPr>
          <w:rFonts w:ascii="Barlow" w:hAnsi="Barlow"/>
          <w:sz w:val="20"/>
          <w:szCs w:val="20"/>
        </w:rPr>
      </w:pPr>
    </w:p>
    <w:p w:rsidR="00131992" w:rsidRPr="00131992" w:rsidRDefault="00131992" w:rsidP="00686328">
      <w:pPr>
        <w:jc w:val="both"/>
        <w:rPr>
          <w:rFonts w:ascii="Barlow" w:hAnsi="Barlow"/>
          <w:sz w:val="20"/>
          <w:szCs w:val="20"/>
        </w:rPr>
      </w:pPr>
    </w:p>
    <w:p w:rsidR="00D03EC7" w:rsidRPr="00131992" w:rsidRDefault="00D03EC7" w:rsidP="00376F59">
      <w:pPr>
        <w:spacing w:after="0"/>
        <w:jc w:val="both"/>
        <w:rPr>
          <w:rFonts w:ascii="Barlow" w:hAnsi="Barlow" w:cstheme="minorHAnsi"/>
          <w:sz w:val="20"/>
          <w:szCs w:val="20"/>
        </w:rPr>
      </w:pPr>
    </w:p>
    <w:tbl>
      <w:tblPr>
        <w:tblW w:w="8120" w:type="dxa"/>
        <w:tblInd w:w="55" w:type="dxa"/>
        <w:tblCellMar>
          <w:left w:w="70" w:type="dxa"/>
          <w:right w:w="70" w:type="dxa"/>
        </w:tblCellMar>
        <w:tblLook w:val="04A0" w:firstRow="1" w:lastRow="0" w:firstColumn="1" w:lastColumn="0" w:noHBand="0" w:noVBand="1"/>
      </w:tblPr>
      <w:tblGrid>
        <w:gridCol w:w="5260"/>
        <w:gridCol w:w="2860"/>
      </w:tblGrid>
      <w:tr w:rsidR="00D03EC7" w:rsidRPr="00131992" w:rsidTr="00A26D0E">
        <w:trPr>
          <w:trHeight w:val="330"/>
        </w:trPr>
        <w:tc>
          <w:tcPr>
            <w:tcW w:w="526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03EC7" w:rsidRPr="00131992" w:rsidRDefault="00D03EC7" w:rsidP="00A26D0E">
            <w:pPr>
              <w:spacing w:after="0" w:line="240" w:lineRule="auto"/>
              <w:rPr>
                <w:rFonts w:ascii="Barlow" w:eastAsia="Times New Roman" w:hAnsi="Barlow" w:cs="Times New Roman"/>
                <w:color w:val="000000"/>
                <w:sz w:val="20"/>
                <w:szCs w:val="20"/>
                <w:lang w:eastAsia="es-MX"/>
              </w:rPr>
            </w:pPr>
            <w:r w:rsidRPr="00131992">
              <w:rPr>
                <w:rFonts w:ascii="Barlow" w:eastAsia="Times New Roman" w:hAnsi="Barlow" w:cs="Times New Roman"/>
                <w:color w:val="000000"/>
                <w:sz w:val="20"/>
                <w:szCs w:val="20"/>
                <w:lang w:eastAsia="es-MX"/>
              </w:rPr>
              <w:t>Nombre</w:t>
            </w:r>
          </w:p>
        </w:tc>
        <w:tc>
          <w:tcPr>
            <w:tcW w:w="2860" w:type="dxa"/>
            <w:tcBorders>
              <w:top w:val="single" w:sz="8" w:space="0" w:color="auto"/>
              <w:left w:val="nil"/>
              <w:bottom w:val="single" w:sz="8" w:space="0" w:color="auto"/>
              <w:right w:val="single" w:sz="8" w:space="0" w:color="auto"/>
            </w:tcBorders>
            <w:shd w:val="clear" w:color="000000" w:fill="FFFFFF"/>
            <w:noWrap/>
            <w:vAlign w:val="center"/>
            <w:hideMark/>
          </w:tcPr>
          <w:p w:rsidR="00D03EC7" w:rsidRPr="00131992" w:rsidRDefault="00D03EC7" w:rsidP="00A26D0E">
            <w:pPr>
              <w:spacing w:after="0" w:line="240" w:lineRule="auto"/>
              <w:jc w:val="center"/>
              <w:rPr>
                <w:rFonts w:ascii="Barlow" w:eastAsia="Times New Roman" w:hAnsi="Barlow" w:cs="Times New Roman"/>
                <w:color w:val="000000"/>
                <w:sz w:val="20"/>
                <w:szCs w:val="20"/>
                <w:lang w:eastAsia="es-MX"/>
              </w:rPr>
            </w:pPr>
            <w:r w:rsidRPr="00131992">
              <w:rPr>
                <w:rFonts w:ascii="Barlow" w:eastAsia="Times New Roman" w:hAnsi="Barlow" w:cs="Times New Roman"/>
                <w:color w:val="000000"/>
                <w:sz w:val="20"/>
                <w:szCs w:val="20"/>
                <w:lang w:eastAsia="es-MX"/>
              </w:rPr>
              <w:t>Importe</w:t>
            </w:r>
          </w:p>
        </w:tc>
      </w:tr>
      <w:tr w:rsidR="00D03EC7" w:rsidRPr="00131992" w:rsidTr="00A26D0E">
        <w:trPr>
          <w:trHeight w:val="330"/>
        </w:trPr>
        <w:tc>
          <w:tcPr>
            <w:tcW w:w="5260" w:type="dxa"/>
            <w:tcBorders>
              <w:top w:val="nil"/>
              <w:left w:val="single" w:sz="8" w:space="0" w:color="auto"/>
              <w:bottom w:val="single" w:sz="8" w:space="0" w:color="auto"/>
              <w:right w:val="single" w:sz="8" w:space="0" w:color="auto"/>
            </w:tcBorders>
            <w:shd w:val="clear" w:color="000000" w:fill="FFFFFF"/>
            <w:noWrap/>
            <w:vAlign w:val="center"/>
            <w:hideMark/>
          </w:tcPr>
          <w:p w:rsidR="00D03EC7" w:rsidRPr="00131992" w:rsidRDefault="00D03EC7" w:rsidP="00A26D0E">
            <w:pPr>
              <w:spacing w:after="0" w:line="240" w:lineRule="auto"/>
              <w:rPr>
                <w:rFonts w:ascii="Barlow" w:eastAsia="Times New Roman" w:hAnsi="Barlow" w:cs="Times New Roman"/>
                <w:color w:val="000000"/>
                <w:sz w:val="20"/>
                <w:szCs w:val="20"/>
                <w:lang w:eastAsia="es-MX"/>
              </w:rPr>
            </w:pPr>
            <w:r w:rsidRPr="00131992">
              <w:rPr>
                <w:rFonts w:ascii="Barlow" w:eastAsia="Times New Roman" w:hAnsi="Barlow" w:cs="Times New Roman"/>
                <w:color w:val="000000"/>
                <w:sz w:val="20"/>
                <w:szCs w:val="20"/>
                <w:lang w:eastAsia="es-MX"/>
              </w:rPr>
              <w:t>Aprovechamientos de Tipo Corriente</w:t>
            </w:r>
          </w:p>
        </w:tc>
        <w:tc>
          <w:tcPr>
            <w:tcW w:w="2860" w:type="dxa"/>
            <w:tcBorders>
              <w:top w:val="nil"/>
              <w:left w:val="nil"/>
              <w:bottom w:val="single" w:sz="8" w:space="0" w:color="auto"/>
              <w:right w:val="single" w:sz="8" w:space="0" w:color="auto"/>
            </w:tcBorders>
            <w:shd w:val="clear" w:color="000000" w:fill="FFFFFF"/>
            <w:noWrap/>
            <w:vAlign w:val="center"/>
            <w:hideMark/>
          </w:tcPr>
          <w:p w:rsidR="00D03EC7" w:rsidRPr="00131992" w:rsidRDefault="00796E68" w:rsidP="006B4278">
            <w:pPr>
              <w:jc w:val="right"/>
              <w:rPr>
                <w:rFonts w:ascii="Barlow" w:hAnsi="Barlow" w:cs="Calibri"/>
                <w:color w:val="000000"/>
                <w:sz w:val="20"/>
                <w:szCs w:val="20"/>
              </w:rPr>
            </w:pPr>
            <w:r w:rsidRPr="00131992">
              <w:rPr>
                <w:rFonts w:ascii="Barlow" w:hAnsi="Barlow" w:cs="Calibri"/>
                <w:color w:val="000000"/>
                <w:sz w:val="20"/>
                <w:szCs w:val="20"/>
              </w:rPr>
              <w:t>693,620.98</w:t>
            </w:r>
            <w:r w:rsidR="00D03EC7" w:rsidRPr="00131992">
              <w:rPr>
                <w:rFonts w:ascii="Barlow" w:hAnsi="Barlow" w:cs="Calibri"/>
                <w:color w:val="000000"/>
                <w:sz w:val="20"/>
                <w:szCs w:val="20"/>
              </w:rPr>
              <w:t xml:space="preserve"> </w:t>
            </w:r>
          </w:p>
        </w:tc>
      </w:tr>
      <w:tr w:rsidR="00D03EC7" w:rsidRPr="00131992" w:rsidTr="00A26D0E">
        <w:trPr>
          <w:trHeight w:val="330"/>
        </w:trPr>
        <w:tc>
          <w:tcPr>
            <w:tcW w:w="5260" w:type="dxa"/>
            <w:tcBorders>
              <w:top w:val="nil"/>
              <w:left w:val="single" w:sz="8" w:space="0" w:color="auto"/>
              <w:bottom w:val="single" w:sz="8" w:space="0" w:color="auto"/>
              <w:right w:val="single" w:sz="8" w:space="0" w:color="auto"/>
            </w:tcBorders>
            <w:shd w:val="clear" w:color="000000" w:fill="FFFFFF"/>
            <w:noWrap/>
            <w:vAlign w:val="center"/>
            <w:hideMark/>
          </w:tcPr>
          <w:p w:rsidR="00D03EC7" w:rsidRPr="00131992" w:rsidRDefault="00D03EC7" w:rsidP="00A26D0E">
            <w:pPr>
              <w:spacing w:after="0" w:line="240" w:lineRule="auto"/>
              <w:rPr>
                <w:rFonts w:ascii="Barlow" w:eastAsia="Times New Roman" w:hAnsi="Barlow" w:cs="Times New Roman"/>
                <w:color w:val="000000"/>
                <w:sz w:val="20"/>
                <w:szCs w:val="20"/>
                <w:lang w:eastAsia="es-MX"/>
              </w:rPr>
            </w:pPr>
            <w:r w:rsidRPr="00131992">
              <w:rPr>
                <w:rFonts w:ascii="Barlow" w:eastAsia="Times New Roman" w:hAnsi="Barlow" w:cs="Times New Roman"/>
                <w:color w:val="000000"/>
                <w:sz w:val="20"/>
                <w:szCs w:val="20"/>
                <w:lang w:eastAsia="es-MX"/>
              </w:rPr>
              <w:t>Total</w:t>
            </w:r>
          </w:p>
        </w:tc>
        <w:tc>
          <w:tcPr>
            <w:tcW w:w="2860" w:type="dxa"/>
            <w:tcBorders>
              <w:top w:val="nil"/>
              <w:left w:val="nil"/>
              <w:bottom w:val="single" w:sz="8" w:space="0" w:color="auto"/>
              <w:right w:val="single" w:sz="8" w:space="0" w:color="auto"/>
            </w:tcBorders>
            <w:shd w:val="clear" w:color="000000" w:fill="FFFFFF"/>
            <w:noWrap/>
            <w:vAlign w:val="center"/>
            <w:hideMark/>
          </w:tcPr>
          <w:p w:rsidR="00D03EC7" w:rsidRPr="00131992" w:rsidRDefault="00796E68" w:rsidP="006B4278">
            <w:pPr>
              <w:jc w:val="right"/>
              <w:rPr>
                <w:rFonts w:ascii="Barlow" w:hAnsi="Barlow" w:cs="Calibri"/>
                <w:color w:val="000000"/>
                <w:sz w:val="20"/>
                <w:szCs w:val="20"/>
              </w:rPr>
            </w:pPr>
            <w:r w:rsidRPr="00131992">
              <w:rPr>
                <w:rFonts w:ascii="Barlow" w:hAnsi="Barlow" w:cs="Calibri"/>
                <w:color w:val="000000"/>
                <w:sz w:val="20"/>
                <w:szCs w:val="20"/>
              </w:rPr>
              <w:t>693,620.98</w:t>
            </w:r>
          </w:p>
        </w:tc>
      </w:tr>
    </w:tbl>
    <w:p w:rsidR="00383564" w:rsidRPr="00131992" w:rsidRDefault="00383564" w:rsidP="00F14A68">
      <w:pPr>
        <w:spacing w:after="0"/>
        <w:jc w:val="both"/>
        <w:rPr>
          <w:rFonts w:ascii="Barlow" w:hAnsi="Barlow" w:cstheme="minorHAnsi"/>
          <w:sz w:val="20"/>
          <w:szCs w:val="20"/>
        </w:rPr>
      </w:pPr>
    </w:p>
    <w:p w:rsidR="00EF517B" w:rsidRPr="00131992" w:rsidRDefault="00EF517B" w:rsidP="00376F59">
      <w:pPr>
        <w:pStyle w:val="Texto"/>
        <w:spacing w:line="224" w:lineRule="exact"/>
        <w:ind w:firstLine="0"/>
        <w:rPr>
          <w:rFonts w:ascii="Barlow" w:hAnsi="Barlow" w:cstheme="minorHAnsi"/>
          <w:b/>
          <w:sz w:val="20"/>
          <w:lang w:val="es-MX"/>
        </w:rPr>
      </w:pPr>
    </w:p>
    <w:p w:rsidR="00686328" w:rsidRPr="00131992" w:rsidRDefault="00686328" w:rsidP="00686328">
      <w:pPr>
        <w:jc w:val="both"/>
        <w:rPr>
          <w:rFonts w:ascii="Barlow" w:hAnsi="Barlow"/>
          <w:sz w:val="20"/>
          <w:szCs w:val="20"/>
        </w:rPr>
      </w:pPr>
      <w:r w:rsidRPr="00131992">
        <w:rPr>
          <w:rFonts w:ascii="Barlow" w:hAnsi="Barlow"/>
          <w:sz w:val="20"/>
          <w:szCs w:val="20"/>
        </w:rPr>
        <w:t xml:space="preserve">Con respecto a los Ingresos por Transferencias, son los recursos que la Secretaria de Administración y Finanzas, nos otorga cada mes, mediante la elaboración de las cuentas por Pagar, a continuación se relacionan los Ingresos por Recursos, recibidos durante este periodo: </w:t>
      </w:r>
    </w:p>
    <w:tbl>
      <w:tblPr>
        <w:tblW w:w="8120" w:type="dxa"/>
        <w:tblInd w:w="55" w:type="dxa"/>
        <w:tblCellMar>
          <w:left w:w="70" w:type="dxa"/>
          <w:right w:w="70" w:type="dxa"/>
        </w:tblCellMar>
        <w:tblLook w:val="04A0" w:firstRow="1" w:lastRow="0" w:firstColumn="1" w:lastColumn="0" w:noHBand="0" w:noVBand="1"/>
      </w:tblPr>
      <w:tblGrid>
        <w:gridCol w:w="5260"/>
        <w:gridCol w:w="2860"/>
      </w:tblGrid>
      <w:tr w:rsidR="00686328" w:rsidRPr="00131992" w:rsidTr="00A26D0E">
        <w:trPr>
          <w:trHeight w:val="330"/>
        </w:trPr>
        <w:tc>
          <w:tcPr>
            <w:tcW w:w="5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686328" w:rsidRPr="00131992" w:rsidRDefault="00686328" w:rsidP="00A26D0E">
            <w:pPr>
              <w:spacing w:after="0" w:line="240" w:lineRule="auto"/>
              <w:jc w:val="center"/>
              <w:rPr>
                <w:rFonts w:ascii="Barlow" w:eastAsia="Times New Roman" w:hAnsi="Barlow" w:cs="Times New Roman"/>
                <w:color w:val="000000"/>
                <w:sz w:val="20"/>
                <w:szCs w:val="20"/>
                <w:lang w:eastAsia="es-MX"/>
              </w:rPr>
            </w:pPr>
            <w:r w:rsidRPr="00131992">
              <w:rPr>
                <w:rFonts w:ascii="Barlow" w:eastAsia="Times New Roman" w:hAnsi="Barlow" w:cs="Times New Roman"/>
                <w:color w:val="000000"/>
                <w:sz w:val="20"/>
                <w:szCs w:val="20"/>
                <w:lang w:eastAsia="es-MX"/>
              </w:rPr>
              <w:t>RECURSOS</w:t>
            </w:r>
          </w:p>
        </w:tc>
        <w:tc>
          <w:tcPr>
            <w:tcW w:w="2860" w:type="dxa"/>
            <w:tcBorders>
              <w:top w:val="single" w:sz="8" w:space="0" w:color="auto"/>
              <w:left w:val="nil"/>
              <w:bottom w:val="single" w:sz="8" w:space="0" w:color="auto"/>
              <w:right w:val="single" w:sz="8" w:space="0" w:color="auto"/>
            </w:tcBorders>
            <w:shd w:val="clear" w:color="000000" w:fill="FFFFFF"/>
            <w:vAlign w:val="center"/>
            <w:hideMark/>
          </w:tcPr>
          <w:p w:rsidR="00686328" w:rsidRPr="00131992" w:rsidRDefault="00686328" w:rsidP="00A26D0E">
            <w:pPr>
              <w:jc w:val="center"/>
              <w:rPr>
                <w:rFonts w:ascii="Barlow" w:hAnsi="Barlow" w:cs="Calibri"/>
                <w:color w:val="000000"/>
                <w:sz w:val="20"/>
                <w:szCs w:val="20"/>
              </w:rPr>
            </w:pPr>
            <w:r w:rsidRPr="00131992">
              <w:rPr>
                <w:rFonts w:ascii="Barlow" w:hAnsi="Barlow" w:cs="Calibri"/>
                <w:color w:val="000000"/>
                <w:sz w:val="20"/>
                <w:szCs w:val="20"/>
              </w:rPr>
              <w:t>TRANSFERENCIAS</w:t>
            </w:r>
          </w:p>
        </w:tc>
      </w:tr>
      <w:tr w:rsidR="00686328" w:rsidRPr="00131992" w:rsidTr="00A26D0E">
        <w:trPr>
          <w:trHeight w:val="330"/>
        </w:trPr>
        <w:tc>
          <w:tcPr>
            <w:tcW w:w="5260" w:type="dxa"/>
            <w:tcBorders>
              <w:top w:val="nil"/>
              <w:left w:val="single" w:sz="8" w:space="0" w:color="auto"/>
              <w:bottom w:val="single" w:sz="8" w:space="0" w:color="auto"/>
              <w:right w:val="single" w:sz="8" w:space="0" w:color="auto"/>
            </w:tcBorders>
            <w:shd w:val="clear" w:color="000000" w:fill="FFFFFF"/>
            <w:noWrap/>
            <w:vAlign w:val="center"/>
            <w:hideMark/>
          </w:tcPr>
          <w:p w:rsidR="00686328" w:rsidRPr="00131992" w:rsidRDefault="00686328" w:rsidP="00A26D0E">
            <w:pPr>
              <w:rPr>
                <w:rFonts w:ascii="Barlow" w:hAnsi="Barlow" w:cs="Calibri"/>
                <w:color w:val="000000"/>
                <w:sz w:val="20"/>
                <w:szCs w:val="20"/>
              </w:rPr>
            </w:pPr>
            <w:r w:rsidRPr="00131992">
              <w:rPr>
                <w:rFonts w:ascii="Barlow" w:hAnsi="Barlow" w:cs="Calibri"/>
                <w:color w:val="000000"/>
                <w:sz w:val="20"/>
                <w:szCs w:val="20"/>
              </w:rPr>
              <w:t>Transferencias, Asignaciones, Subsidios y Otras ayudas</w:t>
            </w:r>
          </w:p>
        </w:tc>
        <w:tc>
          <w:tcPr>
            <w:tcW w:w="2860" w:type="dxa"/>
            <w:tcBorders>
              <w:top w:val="nil"/>
              <w:left w:val="nil"/>
              <w:bottom w:val="single" w:sz="8" w:space="0" w:color="auto"/>
              <w:right w:val="single" w:sz="8" w:space="0" w:color="auto"/>
            </w:tcBorders>
            <w:shd w:val="clear" w:color="000000" w:fill="FFFFFF"/>
            <w:noWrap/>
            <w:vAlign w:val="center"/>
            <w:hideMark/>
          </w:tcPr>
          <w:p w:rsidR="00686328" w:rsidRPr="00131992" w:rsidRDefault="00796E68" w:rsidP="00635F4C">
            <w:pPr>
              <w:jc w:val="right"/>
              <w:rPr>
                <w:rFonts w:ascii="Barlow" w:hAnsi="Barlow" w:cs="Calibri"/>
                <w:color w:val="000000"/>
                <w:sz w:val="20"/>
                <w:szCs w:val="20"/>
              </w:rPr>
            </w:pPr>
            <w:r w:rsidRPr="00131992">
              <w:rPr>
                <w:rFonts w:ascii="Barlow" w:hAnsi="Barlow" w:cs="Calibri"/>
                <w:color w:val="000000"/>
                <w:sz w:val="20"/>
                <w:szCs w:val="20"/>
              </w:rPr>
              <w:t>66,675,778.10</w:t>
            </w:r>
          </w:p>
        </w:tc>
      </w:tr>
    </w:tbl>
    <w:p w:rsidR="00EF517B" w:rsidRPr="00131992" w:rsidRDefault="00EF517B" w:rsidP="00376F59">
      <w:pPr>
        <w:pStyle w:val="Texto"/>
        <w:spacing w:line="224" w:lineRule="exact"/>
        <w:ind w:firstLine="0"/>
        <w:rPr>
          <w:rFonts w:ascii="Barlow" w:hAnsi="Barlow" w:cstheme="minorHAnsi"/>
          <w:b/>
          <w:sz w:val="20"/>
          <w:lang w:val="es-MX"/>
        </w:rPr>
      </w:pPr>
    </w:p>
    <w:p w:rsidR="00686328" w:rsidRPr="00131992" w:rsidRDefault="00686328" w:rsidP="00376F59">
      <w:pPr>
        <w:pStyle w:val="Texto"/>
        <w:spacing w:line="224" w:lineRule="exact"/>
        <w:ind w:firstLine="0"/>
        <w:rPr>
          <w:rFonts w:ascii="Barlow" w:hAnsi="Barlow" w:cstheme="minorHAnsi"/>
          <w:b/>
          <w:sz w:val="20"/>
          <w:lang w:val="es-MX"/>
        </w:rPr>
      </w:pPr>
    </w:p>
    <w:p w:rsidR="00686328" w:rsidRPr="00131992" w:rsidRDefault="00686328" w:rsidP="00376F59">
      <w:pPr>
        <w:pStyle w:val="Texto"/>
        <w:spacing w:line="224" w:lineRule="exact"/>
        <w:ind w:firstLine="0"/>
        <w:rPr>
          <w:rFonts w:ascii="Barlow" w:hAnsi="Barlow" w:cstheme="minorHAnsi"/>
          <w:b/>
          <w:sz w:val="20"/>
          <w:lang w:val="es-MX"/>
        </w:rPr>
      </w:pPr>
    </w:p>
    <w:p w:rsidR="00376F59" w:rsidRPr="00131992" w:rsidRDefault="00376F59" w:rsidP="00376F59">
      <w:pPr>
        <w:pStyle w:val="Texto"/>
        <w:spacing w:line="224" w:lineRule="exact"/>
        <w:ind w:firstLine="0"/>
        <w:rPr>
          <w:rFonts w:ascii="Barlow" w:hAnsi="Barlow" w:cstheme="minorHAnsi"/>
          <w:b/>
          <w:sz w:val="20"/>
          <w:lang w:val="es-MX"/>
        </w:rPr>
      </w:pPr>
      <w:r w:rsidRPr="00131992">
        <w:rPr>
          <w:rFonts w:ascii="Barlow" w:hAnsi="Barlow" w:cstheme="minorHAnsi"/>
          <w:b/>
          <w:sz w:val="20"/>
          <w:lang w:val="es-MX"/>
        </w:rPr>
        <w:t>Gastos y Otras Pérdidas:</w:t>
      </w:r>
    </w:p>
    <w:p w:rsidR="00376F59" w:rsidRPr="00131992" w:rsidRDefault="00F81847" w:rsidP="00376F59">
      <w:pPr>
        <w:spacing w:after="0"/>
        <w:jc w:val="both"/>
        <w:rPr>
          <w:rFonts w:ascii="Barlow" w:hAnsi="Barlow" w:cstheme="minorHAnsi"/>
          <w:sz w:val="20"/>
          <w:szCs w:val="20"/>
        </w:rPr>
      </w:pPr>
      <w:r w:rsidRPr="00131992">
        <w:rPr>
          <w:rFonts w:ascii="Barlow" w:hAnsi="Barlow" w:cstheme="minorHAnsi"/>
          <w:sz w:val="20"/>
          <w:szCs w:val="20"/>
        </w:rPr>
        <w:t xml:space="preserve">Los </w:t>
      </w:r>
      <w:r w:rsidR="00376F59" w:rsidRPr="00131992">
        <w:rPr>
          <w:rFonts w:ascii="Barlow" w:hAnsi="Barlow" w:cstheme="minorHAnsi"/>
          <w:sz w:val="20"/>
          <w:szCs w:val="20"/>
        </w:rPr>
        <w:t>Gastos del INS</w:t>
      </w:r>
      <w:r w:rsidR="00E0510F" w:rsidRPr="00131992">
        <w:rPr>
          <w:rFonts w:ascii="Barlow" w:hAnsi="Barlow" w:cstheme="minorHAnsi"/>
          <w:sz w:val="20"/>
          <w:szCs w:val="20"/>
        </w:rPr>
        <w:t>TITUTO DE INFRAESTRUCTURA CARRETERA DE YUCATAN</w:t>
      </w:r>
      <w:r w:rsidR="00376F59" w:rsidRPr="00131992">
        <w:rPr>
          <w:rFonts w:ascii="Barlow" w:hAnsi="Barlow" w:cstheme="minorHAnsi"/>
          <w:sz w:val="20"/>
          <w:szCs w:val="20"/>
        </w:rPr>
        <w:t xml:space="preserve"> por el período comprendido </w:t>
      </w:r>
      <w:r w:rsidR="00A053BF" w:rsidRPr="00131992">
        <w:rPr>
          <w:rFonts w:ascii="Barlow" w:hAnsi="Barlow" w:cstheme="minorHAnsi"/>
          <w:sz w:val="20"/>
          <w:szCs w:val="20"/>
        </w:rPr>
        <w:t xml:space="preserve">del 01 </w:t>
      </w:r>
      <w:r w:rsidR="00C30893" w:rsidRPr="00131992">
        <w:rPr>
          <w:rFonts w:ascii="Barlow" w:hAnsi="Barlow" w:cstheme="minorHAnsi"/>
          <w:sz w:val="20"/>
          <w:szCs w:val="20"/>
        </w:rPr>
        <w:t>Marzo</w:t>
      </w:r>
      <w:r w:rsidR="00A053BF" w:rsidRPr="00131992">
        <w:rPr>
          <w:rFonts w:ascii="Barlow" w:hAnsi="Barlow" w:cstheme="minorHAnsi"/>
          <w:sz w:val="20"/>
          <w:szCs w:val="20"/>
        </w:rPr>
        <w:t xml:space="preserve"> </w:t>
      </w:r>
      <w:r w:rsidR="00376F59" w:rsidRPr="00131992">
        <w:rPr>
          <w:rFonts w:ascii="Barlow" w:hAnsi="Barlow" w:cstheme="minorHAnsi"/>
          <w:sz w:val="20"/>
          <w:szCs w:val="20"/>
        </w:rPr>
        <w:t xml:space="preserve">al </w:t>
      </w:r>
      <w:r w:rsidR="00C30893" w:rsidRPr="00131992">
        <w:rPr>
          <w:rFonts w:ascii="Barlow" w:hAnsi="Barlow" w:cstheme="minorHAnsi"/>
          <w:sz w:val="20"/>
          <w:szCs w:val="20"/>
        </w:rPr>
        <w:t>31</w:t>
      </w:r>
      <w:r w:rsidR="00930A89" w:rsidRPr="00131992">
        <w:rPr>
          <w:rFonts w:ascii="Barlow" w:hAnsi="Barlow" w:cstheme="minorHAnsi"/>
          <w:sz w:val="20"/>
          <w:szCs w:val="20"/>
        </w:rPr>
        <w:t xml:space="preserve"> de </w:t>
      </w:r>
      <w:r w:rsidR="00C30893" w:rsidRPr="00131992">
        <w:rPr>
          <w:rFonts w:ascii="Barlow" w:hAnsi="Barlow" w:cstheme="minorHAnsi"/>
          <w:sz w:val="20"/>
          <w:szCs w:val="20"/>
        </w:rPr>
        <w:t>Marz</w:t>
      </w:r>
      <w:r w:rsidR="00635F4C" w:rsidRPr="00131992">
        <w:rPr>
          <w:rFonts w:ascii="Barlow" w:hAnsi="Barlow" w:cstheme="minorHAnsi"/>
          <w:sz w:val="20"/>
          <w:szCs w:val="20"/>
        </w:rPr>
        <w:t>o</w:t>
      </w:r>
      <w:r w:rsidR="002C5B18" w:rsidRPr="00131992">
        <w:rPr>
          <w:rFonts w:ascii="Barlow" w:hAnsi="Barlow" w:cstheme="minorHAnsi"/>
          <w:sz w:val="20"/>
          <w:szCs w:val="20"/>
        </w:rPr>
        <w:t xml:space="preserve"> de 201</w:t>
      </w:r>
      <w:r w:rsidR="00635F4C" w:rsidRPr="00131992">
        <w:rPr>
          <w:rFonts w:ascii="Barlow" w:hAnsi="Barlow" w:cstheme="minorHAnsi"/>
          <w:sz w:val="20"/>
          <w:szCs w:val="20"/>
        </w:rPr>
        <w:t>9</w:t>
      </w:r>
      <w:r w:rsidR="00376F59" w:rsidRPr="00131992">
        <w:rPr>
          <w:rFonts w:ascii="Barlow" w:hAnsi="Barlow" w:cstheme="minorHAnsi"/>
          <w:sz w:val="20"/>
          <w:szCs w:val="20"/>
        </w:rPr>
        <w:t xml:space="preserve"> se integran de la siguiente manera:</w:t>
      </w:r>
    </w:p>
    <w:p w:rsidR="00376F59" w:rsidRPr="00131992" w:rsidRDefault="00376F59" w:rsidP="00376F59">
      <w:pPr>
        <w:spacing w:after="0"/>
        <w:jc w:val="both"/>
        <w:rPr>
          <w:rFonts w:ascii="Barlow" w:hAnsi="Barlow" w:cstheme="minorHAnsi"/>
          <w:b/>
          <w:sz w:val="20"/>
          <w:szCs w:val="20"/>
        </w:rPr>
      </w:pPr>
    </w:p>
    <w:p w:rsidR="00E42247" w:rsidRPr="00131992" w:rsidRDefault="00376F59" w:rsidP="00BC11CC">
      <w:pPr>
        <w:pStyle w:val="Ttulo"/>
        <w:jc w:val="both"/>
        <w:rPr>
          <w:rFonts w:ascii="Barlow" w:hAnsi="Barlow" w:cstheme="minorHAnsi"/>
          <w:b w:val="0"/>
          <w:sz w:val="20"/>
          <w:szCs w:val="20"/>
        </w:rPr>
      </w:pPr>
      <w:r w:rsidRPr="00131992">
        <w:rPr>
          <w:rFonts w:ascii="Barlow" w:hAnsi="Barlow" w:cstheme="minorHAnsi"/>
          <w:b w:val="0"/>
          <w:sz w:val="20"/>
          <w:szCs w:val="20"/>
        </w:rPr>
        <w:t>Los egresos del INS</w:t>
      </w:r>
      <w:r w:rsidR="0016773F" w:rsidRPr="00131992">
        <w:rPr>
          <w:rFonts w:ascii="Barlow" w:hAnsi="Barlow" w:cstheme="minorHAnsi"/>
          <w:b w:val="0"/>
          <w:sz w:val="20"/>
          <w:szCs w:val="20"/>
        </w:rPr>
        <w:t>TITUTO DE INFRAESTRUCTURA CARRETERA DE YUCATAN</w:t>
      </w:r>
      <w:r w:rsidRPr="00131992">
        <w:rPr>
          <w:rFonts w:ascii="Barlow" w:hAnsi="Barlow" w:cstheme="minorHAnsi"/>
          <w:b w:val="0"/>
          <w:sz w:val="20"/>
          <w:szCs w:val="20"/>
        </w:rPr>
        <w:t xml:space="preserve"> por el período comprendido del 01 </w:t>
      </w:r>
      <w:r w:rsidR="00C30893" w:rsidRPr="00131992">
        <w:rPr>
          <w:rFonts w:ascii="Barlow" w:hAnsi="Barlow" w:cstheme="minorHAnsi"/>
          <w:b w:val="0"/>
          <w:sz w:val="20"/>
          <w:szCs w:val="20"/>
        </w:rPr>
        <w:t>de Marz</w:t>
      </w:r>
      <w:r w:rsidR="00DD2DF6" w:rsidRPr="00131992">
        <w:rPr>
          <w:rFonts w:ascii="Barlow" w:hAnsi="Barlow" w:cstheme="minorHAnsi"/>
          <w:b w:val="0"/>
          <w:sz w:val="20"/>
          <w:szCs w:val="20"/>
        </w:rPr>
        <w:t xml:space="preserve">o </w:t>
      </w:r>
      <w:r w:rsidRPr="00131992">
        <w:rPr>
          <w:rFonts w:ascii="Barlow" w:hAnsi="Barlow" w:cstheme="minorHAnsi"/>
          <w:b w:val="0"/>
          <w:sz w:val="20"/>
          <w:szCs w:val="20"/>
        </w:rPr>
        <w:t xml:space="preserve">al </w:t>
      </w:r>
      <w:r w:rsidR="00C30893" w:rsidRPr="00131992">
        <w:rPr>
          <w:rFonts w:ascii="Barlow" w:hAnsi="Barlow" w:cstheme="minorHAnsi"/>
          <w:b w:val="0"/>
          <w:sz w:val="20"/>
          <w:szCs w:val="20"/>
        </w:rPr>
        <w:t>31 Marz</w:t>
      </w:r>
      <w:r w:rsidR="00635F4C" w:rsidRPr="00131992">
        <w:rPr>
          <w:rFonts w:ascii="Barlow" w:hAnsi="Barlow" w:cstheme="minorHAnsi"/>
          <w:b w:val="0"/>
          <w:sz w:val="20"/>
          <w:szCs w:val="20"/>
        </w:rPr>
        <w:t>o</w:t>
      </w:r>
      <w:r w:rsidR="002C5B18" w:rsidRPr="00131992">
        <w:rPr>
          <w:rFonts w:ascii="Barlow" w:hAnsi="Barlow" w:cstheme="minorHAnsi"/>
          <w:b w:val="0"/>
          <w:sz w:val="20"/>
          <w:szCs w:val="20"/>
        </w:rPr>
        <w:t xml:space="preserve"> de 201</w:t>
      </w:r>
      <w:r w:rsidR="00635F4C" w:rsidRPr="00131992">
        <w:rPr>
          <w:rFonts w:ascii="Barlow" w:hAnsi="Barlow" w:cstheme="minorHAnsi"/>
          <w:b w:val="0"/>
          <w:sz w:val="20"/>
          <w:szCs w:val="20"/>
        </w:rPr>
        <w:t>9</w:t>
      </w:r>
      <w:r w:rsidRPr="00131992">
        <w:rPr>
          <w:rFonts w:ascii="Barlow" w:hAnsi="Barlow" w:cstheme="minorHAnsi"/>
          <w:b w:val="0"/>
          <w:sz w:val="20"/>
          <w:szCs w:val="20"/>
        </w:rPr>
        <w:t xml:space="preserve"> se reconocen y cuantifican de confor</w:t>
      </w:r>
      <w:r w:rsidR="0016773F" w:rsidRPr="00131992">
        <w:rPr>
          <w:rFonts w:ascii="Barlow" w:hAnsi="Barlow" w:cstheme="minorHAnsi"/>
          <w:b w:val="0"/>
          <w:sz w:val="20"/>
          <w:szCs w:val="20"/>
        </w:rPr>
        <w:t xml:space="preserve">midad con lo establecido </w:t>
      </w:r>
      <w:r w:rsidRPr="00131992">
        <w:rPr>
          <w:rFonts w:ascii="Barlow" w:hAnsi="Barlow" w:cstheme="minorHAnsi"/>
          <w:b w:val="0"/>
          <w:sz w:val="20"/>
          <w:szCs w:val="20"/>
        </w:rPr>
        <w:t>teniendo gastos contables por $</w:t>
      </w:r>
      <w:r w:rsidR="00583928" w:rsidRPr="00131992">
        <w:rPr>
          <w:rFonts w:ascii="Barlow" w:hAnsi="Barlow" w:cstheme="minorHAnsi"/>
          <w:b w:val="0"/>
          <w:sz w:val="20"/>
          <w:szCs w:val="20"/>
        </w:rPr>
        <w:t xml:space="preserve"> </w:t>
      </w:r>
      <w:r w:rsidR="00B97A58" w:rsidRPr="00131992">
        <w:rPr>
          <w:rFonts w:ascii="Barlow" w:hAnsi="Barlow" w:cstheme="minorHAnsi"/>
          <w:b w:val="0"/>
          <w:sz w:val="20"/>
          <w:szCs w:val="20"/>
        </w:rPr>
        <w:t>1</w:t>
      </w:r>
      <w:proofErr w:type="gramStart"/>
      <w:r w:rsidR="00B97A58" w:rsidRPr="00131992">
        <w:rPr>
          <w:rFonts w:ascii="Barlow" w:hAnsi="Barlow" w:cstheme="minorHAnsi"/>
          <w:b w:val="0"/>
          <w:sz w:val="20"/>
          <w:szCs w:val="20"/>
        </w:rPr>
        <w:t>,535,950.56</w:t>
      </w:r>
      <w:proofErr w:type="gramEnd"/>
    </w:p>
    <w:p w:rsidR="00AC0389" w:rsidRPr="00131992" w:rsidRDefault="00AC0389" w:rsidP="00012A8C">
      <w:pPr>
        <w:pStyle w:val="Texto"/>
        <w:spacing w:line="224" w:lineRule="exact"/>
        <w:ind w:firstLine="0"/>
        <w:rPr>
          <w:rFonts w:ascii="Barlow" w:hAnsi="Barlow" w:cstheme="minorHAnsi"/>
          <w:b/>
          <w:smallCaps/>
          <w:sz w:val="20"/>
        </w:rPr>
      </w:pPr>
    </w:p>
    <w:p w:rsidR="00AC0389" w:rsidRPr="00131992" w:rsidRDefault="00376F59" w:rsidP="00E42247">
      <w:pPr>
        <w:pStyle w:val="Texto"/>
        <w:spacing w:line="224" w:lineRule="exact"/>
        <w:rPr>
          <w:rFonts w:ascii="Barlow" w:hAnsi="Barlow" w:cstheme="minorHAnsi"/>
          <w:b/>
          <w:smallCaps/>
          <w:sz w:val="20"/>
        </w:rPr>
      </w:pPr>
      <w:r w:rsidRPr="00131992">
        <w:rPr>
          <w:rFonts w:ascii="Barlow" w:hAnsi="Barlow" w:cstheme="minorHAnsi"/>
          <w:b/>
          <w:smallCaps/>
          <w:sz w:val="20"/>
        </w:rPr>
        <w:t>III)</w:t>
      </w:r>
      <w:r w:rsidRPr="00131992">
        <w:rPr>
          <w:rFonts w:ascii="Barlow" w:hAnsi="Barlow" w:cstheme="minorHAnsi"/>
          <w:b/>
          <w:smallCaps/>
          <w:sz w:val="20"/>
        </w:rPr>
        <w:tab/>
        <w:t>Notas al Estado de Variación en la Hacienda Pública</w:t>
      </w:r>
    </w:p>
    <w:p w:rsidR="00E97268" w:rsidRPr="00131992" w:rsidRDefault="00012A8C" w:rsidP="00012A8C">
      <w:pPr>
        <w:jc w:val="both"/>
        <w:rPr>
          <w:rFonts w:ascii="Barlow" w:hAnsi="Barlow"/>
          <w:sz w:val="20"/>
          <w:szCs w:val="20"/>
        </w:rPr>
      </w:pPr>
      <w:r w:rsidRPr="00131992">
        <w:rPr>
          <w:rFonts w:ascii="Barlow" w:hAnsi="Barlow"/>
          <w:sz w:val="20"/>
          <w:szCs w:val="20"/>
        </w:rPr>
        <w:lastRenderedPageBreak/>
        <w:t xml:space="preserve">El importe de las aportaciones refleja el total de los activos adquiridos y obras de infraestructura concluidas y en proceso que son reconocidos como Patrimonio Propio por el Instituto de Infraestructura Carretera de Yucatán. Sin embargo en el ejercicio 2017 y de acuerdo a los lineamientos de la CONAC se registraron todos los gastos de obra en proceso en la cuenta de activo denominada “Obra en proceso” y al cierre de año se registró un asiento de reclasificación en la cuenta de activo Infraestructura 2018, esto para  reconocer la obra terminada en el ejercicio y enviarlo al respectivo rubro de infraestructura.  Al cambiar el método y enviarlo directamente a la cuenta de infraestructura en el momento en que se va ejerciendo ya no se realiza el asiento contable de reconocimiento de patrimonio  donde se registraba el activo y en contra partida en la cuenta de aportaciones se registraba la Infraestructura del Ejercicio vigente, ya que esta misma se encuentra contemplada en la cuenta de ahorro/ desahorro del ejercicio. Derivado de este nuevo método El ahorro/desahorro del ejercicio se incrementó con respecto a otros años porque en ese monto se encuentra contemplada la infraestructura del ejercicio ya capitalizada. El  ingreso entra en la partida 4000 y el gasto de obra se ejecuta contablemente en las cuentas 1200, por lo tanto en la cuenta de aportaciones se dejara de reflejar el monto de infraestructura del ejercicio y ese monto se quedara reflejado en el ahorro/desahorro del ejercicio fiscal respectivo. </w:t>
      </w:r>
    </w:p>
    <w:tbl>
      <w:tblPr>
        <w:tblW w:w="8804" w:type="dxa"/>
        <w:tblInd w:w="55" w:type="dxa"/>
        <w:tblCellMar>
          <w:left w:w="70" w:type="dxa"/>
          <w:right w:w="70" w:type="dxa"/>
        </w:tblCellMar>
        <w:tblLook w:val="04A0" w:firstRow="1" w:lastRow="0" w:firstColumn="1" w:lastColumn="0" w:noHBand="0" w:noVBand="1"/>
      </w:tblPr>
      <w:tblGrid>
        <w:gridCol w:w="4367"/>
        <w:gridCol w:w="2374"/>
        <w:gridCol w:w="2063"/>
      </w:tblGrid>
      <w:tr w:rsidR="00034C83" w:rsidRPr="00131992" w:rsidTr="00A26D0E">
        <w:trPr>
          <w:trHeight w:val="820"/>
        </w:trPr>
        <w:tc>
          <w:tcPr>
            <w:tcW w:w="4367" w:type="dxa"/>
            <w:tcBorders>
              <w:top w:val="single" w:sz="8" w:space="0" w:color="auto"/>
              <w:left w:val="single" w:sz="8" w:space="0" w:color="auto"/>
              <w:bottom w:val="nil"/>
              <w:right w:val="single" w:sz="8" w:space="0" w:color="auto"/>
            </w:tcBorders>
            <w:shd w:val="clear" w:color="000000" w:fill="FFFFFF"/>
            <w:noWrap/>
            <w:vAlign w:val="center"/>
            <w:hideMark/>
          </w:tcPr>
          <w:p w:rsidR="00034C83" w:rsidRPr="00131992" w:rsidRDefault="00034C83" w:rsidP="00A26D0E">
            <w:pPr>
              <w:spacing w:after="0" w:line="240" w:lineRule="auto"/>
              <w:rPr>
                <w:rFonts w:ascii="Barlow" w:eastAsia="Times New Roman" w:hAnsi="Barlow" w:cs="Times New Roman"/>
                <w:color w:val="000000"/>
                <w:sz w:val="20"/>
                <w:szCs w:val="20"/>
                <w:lang w:eastAsia="es-MX"/>
              </w:rPr>
            </w:pPr>
            <w:r w:rsidRPr="00131992">
              <w:rPr>
                <w:rFonts w:ascii="Barlow" w:eastAsia="Times New Roman" w:hAnsi="Barlow" w:cs="Times New Roman"/>
                <w:color w:val="000000"/>
                <w:sz w:val="20"/>
                <w:szCs w:val="20"/>
                <w:lang w:eastAsia="es-MX"/>
              </w:rPr>
              <w:t>Nombre</w:t>
            </w:r>
          </w:p>
        </w:tc>
        <w:tc>
          <w:tcPr>
            <w:tcW w:w="2374"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034C83" w:rsidRPr="00131992" w:rsidRDefault="00C30893" w:rsidP="00401F42">
            <w:pPr>
              <w:spacing w:after="0" w:line="240" w:lineRule="auto"/>
              <w:jc w:val="center"/>
              <w:rPr>
                <w:rFonts w:ascii="Barlow" w:eastAsia="Times New Roman" w:hAnsi="Barlow" w:cs="Times New Roman"/>
                <w:color w:val="000000"/>
                <w:sz w:val="20"/>
                <w:szCs w:val="20"/>
                <w:lang w:eastAsia="es-MX"/>
              </w:rPr>
            </w:pPr>
            <w:r w:rsidRPr="00131992">
              <w:rPr>
                <w:rFonts w:ascii="Barlow" w:eastAsia="Times New Roman" w:hAnsi="Barlow" w:cs="Times New Roman"/>
                <w:color w:val="000000"/>
                <w:sz w:val="20"/>
                <w:szCs w:val="20"/>
                <w:lang w:eastAsia="es-MX"/>
              </w:rPr>
              <w:t>31</w:t>
            </w:r>
            <w:r w:rsidR="00034C83" w:rsidRPr="00131992">
              <w:rPr>
                <w:rFonts w:ascii="Barlow" w:eastAsia="Times New Roman" w:hAnsi="Barlow" w:cs="Times New Roman"/>
                <w:color w:val="000000"/>
                <w:sz w:val="20"/>
                <w:szCs w:val="20"/>
                <w:lang w:eastAsia="es-MX"/>
              </w:rPr>
              <w:t xml:space="preserve"> de </w:t>
            </w:r>
            <w:r w:rsidRPr="00131992">
              <w:rPr>
                <w:rFonts w:ascii="Barlow" w:eastAsia="Times New Roman" w:hAnsi="Barlow" w:cs="Times New Roman"/>
                <w:color w:val="000000"/>
                <w:sz w:val="20"/>
                <w:szCs w:val="20"/>
                <w:lang w:eastAsia="es-MX"/>
              </w:rPr>
              <w:t>Marz</w:t>
            </w:r>
            <w:r w:rsidR="00401F42" w:rsidRPr="00131992">
              <w:rPr>
                <w:rFonts w:ascii="Barlow" w:eastAsia="Times New Roman" w:hAnsi="Barlow" w:cs="Times New Roman"/>
                <w:color w:val="000000"/>
                <w:sz w:val="20"/>
                <w:szCs w:val="20"/>
                <w:lang w:eastAsia="es-MX"/>
              </w:rPr>
              <w:t>o</w:t>
            </w:r>
            <w:r w:rsidR="00034C83" w:rsidRPr="00131992">
              <w:rPr>
                <w:rFonts w:ascii="Barlow" w:eastAsia="Times New Roman" w:hAnsi="Barlow" w:cs="Times New Roman"/>
                <w:color w:val="000000"/>
                <w:sz w:val="20"/>
                <w:szCs w:val="20"/>
                <w:lang w:eastAsia="es-MX"/>
              </w:rPr>
              <w:t xml:space="preserve"> 201</w:t>
            </w:r>
            <w:r w:rsidR="00401F42" w:rsidRPr="00131992">
              <w:rPr>
                <w:rFonts w:ascii="Barlow" w:eastAsia="Times New Roman" w:hAnsi="Barlow" w:cs="Times New Roman"/>
                <w:color w:val="000000"/>
                <w:sz w:val="20"/>
                <w:szCs w:val="20"/>
                <w:lang w:eastAsia="es-MX"/>
              </w:rPr>
              <w:t>9</w:t>
            </w:r>
          </w:p>
        </w:tc>
        <w:tc>
          <w:tcPr>
            <w:tcW w:w="2063"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034C83" w:rsidRPr="00131992" w:rsidRDefault="00C30893" w:rsidP="00401F42">
            <w:pPr>
              <w:spacing w:after="0" w:line="240" w:lineRule="auto"/>
              <w:jc w:val="center"/>
              <w:rPr>
                <w:rFonts w:ascii="Barlow" w:eastAsia="Times New Roman" w:hAnsi="Barlow" w:cs="Times New Roman"/>
                <w:color w:val="000000"/>
                <w:sz w:val="20"/>
                <w:szCs w:val="20"/>
                <w:lang w:eastAsia="es-MX"/>
              </w:rPr>
            </w:pPr>
            <w:r w:rsidRPr="00131992">
              <w:rPr>
                <w:rFonts w:ascii="Barlow" w:eastAsia="Times New Roman" w:hAnsi="Barlow" w:cs="Times New Roman"/>
                <w:color w:val="000000"/>
                <w:sz w:val="20"/>
                <w:szCs w:val="20"/>
                <w:lang w:eastAsia="es-MX"/>
              </w:rPr>
              <w:t>31</w:t>
            </w:r>
            <w:r w:rsidR="00034C83" w:rsidRPr="00131992">
              <w:rPr>
                <w:rFonts w:ascii="Barlow" w:eastAsia="Times New Roman" w:hAnsi="Barlow" w:cs="Times New Roman"/>
                <w:color w:val="000000"/>
                <w:sz w:val="20"/>
                <w:szCs w:val="20"/>
                <w:lang w:eastAsia="es-MX"/>
              </w:rPr>
              <w:t xml:space="preserve"> de </w:t>
            </w:r>
            <w:r w:rsidRPr="00131992">
              <w:rPr>
                <w:rFonts w:ascii="Barlow" w:eastAsia="Times New Roman" w:hAnsi="Barlow" w:cs="Times New Roman"/>
                <w:color w:val="000000"/>
                <w:sz w:val="20"/>
                <w:szCs w:val="20"/>
                <w:lang w:eastAsia="es-MX"/>
              </w:rPr>
              <w:t>Marz</w:t>
            </w:r>
            <w:r w:rsidR="00401F42" w:rsidRPr="00131992">
              <w:rPr>
                <w:rFonts w:ascii="Barlow" w:eastAsia="Times New Roman" w:hAnsi="Barlow" w:cs="Times New Roman"/>
                <w:color w:val="000000"/>
                <w:sz w:val="20"/>
                <w:szCs w:val="20"/>
                <w:lang w:eastAsia="es-MX"/>
              </w:rPr>
              <w:t>o</w:t>
            </w:r>
            <w:r w:rsidR="00034C83" w:rsidRPr="00131992">
              <w:rPr>
                <w:rFonts w:ascii="Barlow" w:eastAsia="Times New Roman" w:hAnsi="Barlow" w:cs="Times New Roman"/>
                <w:color w:val="000000"/>
                <w:sz w:val="20"/>
                <w:szCs w:val="20"/>
                <w:lang w:eastAsia="es-MX"/>
              </w:rPr>
              <w:t xml:space="preserve"> 201</w:t>
            </w:r>
            <w:r w:rsidR="00401F42" w:rsidRPr="00131992">
              <w:rPr>
                <w:rFonts w:ascii="Barlow" w:eastAsia="Times New Roman" w:hAnsi="Barlow" w:cs="Times New Roman"/>
                <w:color w:val="000000"/>
                <w:sz w:val="20"/>
                <w:szCs w:val="20"/>
                <w:lang w:eastAsia="es-MX"/>
              </w:rPr>
              <w:t>8</w:t>
            </w:r>
          </w:p>
        </w:tc>
      </w:tr>
      <w:tr w:rsidR="00034C83" w:rsidRPr="00131992" w:rsidTr="00A26D0E">
        <w:trPr>
          <w:trHeight w:val="328"/>
        </w:trPr>
        <w:tc>
          <w:tcPr>
            <w:tcW w:w="4367" w:type="dxa"/>
            <w:tcBorders>
              <w:top w:val="nil"/>
              <w:left w:val="single" w:sz="8" w:space="0" w:color="auto"/>
              <w:bottom w:val="single" w:sz="8" w:space="0" w:color="auto"/>
              <w:right w:val="single" w:sz="8" w:space="0" w:color="auto"/>
            </w:tcBorders>
            <w:shd w:val="clear" w:color="000000" w:fill="FFFFFF"/>
            <w:noWrap/>
            <w:vAlign w:val="center"/>
            <w:hideMark/>
          </w:tcPr>
          <w:p w:rsidR="00034C83" w:rsidRPr="00131992" w:rsidRDefault="00034C83" w:rsidP="00A26D0E">
            <w:pPr>
              <w:spacing w:after="0" w:line="240" w:lineRule="auto"/>
              <w:rPr>
                <w:rFonts w:ascii="Barlow" w:eastAsia="Times New Roman" w:hAnsi="Barlow" w:cs="Times New Roman"/>
                <w:color w:val="000000"/>
                <w:sz w:val="20"/>
                <w:szCs w:val="20"/>
                <w:lang w:eastAsia="es-MX"/>
              </w:rPr>
            </w:pPr>
            <w:r w:rsidRPr="00131992">
              <w:rPr>
                <w:rFonts w:ascii="Barlow" w:eastAsia="Times New Roman" w:hAnsi="Barlow" w:cs="Times New Roman"/>
                <w:color w:val="000000"/>
                <w:sz w:val="20"/>
                <w:szCs w:val="20"/>
                <w:lang w:eastAsia="es-MX"/>
              </w:rPr>
              <w:t> </w:t>
            </w:r>
          </w:p>
        </w:tc>
        <w:tc>
          <w:tcPr>
            <w:tcW w:w="2374" w:type="dxa"/>
            <w:vMerge/>
            <w:tcBorders>
              <w:top w:val="single" w:sz="8" w:space="0" w:color="auto"/>
              <w:left w:val="single" w:sz="8" w:space="0" w:color="auto"/>
              <w:bottom w:val="single" w:sz="8" w:space="0" w:color="000000"/>
              <w:right w:val="single" w:sz="8" w:space="0" w:color="auto"/>
            </w:tcBorders>
            <w:vAlign w:val="center"/>
            <w:hideMark/>
          </w:tcPr>
          <w:p w:rsidR="00034C83" w:rsidRPr="00131992" w:rsidRDefault="00034C83" w:rsidP="00A26D0E">
            <w:pPr>
              <w:spacing w:after="0" w:line="240" w:lineRule="auto"/>
              <w:rPr>
                <w:rFonts w:ascii="Barlow" w:eastAsia="Times New Roman" w:hAnsi="Barlow" w:cs="Times New Roman"/>
                <w:color w:val="000000"/>
                <w:sz w:val="20"/>
                <w:szCs w:val="20"/>
                <w:lang w:eastAsia="es-MX"/>
              </w:rPr>
            </w:pPr>
          </w:p>
        </w:tc>
        <w:tc>
          <w:tcPr>
            <w:tcW w:w="2063" w:type="dxa"/>
            <w:vMerge/>
            <w:tcBorders>
              <w:top w:val="single" w:sz="8" w:space="0" w:color="auto"/>
              <w:left w:val="single" w:sz="8" w:space="0" w:color="auto"/>
              <w:bottom w:val="single" w:sz="8" w:space="0" w:color="000000"/>
              <w:right w:val="single" w:sz="8" w:space="0" w:color="auto"/>
            </w:tcBorders>
            <w:vAlign w:val="center"/>
            <w:hideMark/>
          </w:tcPr>
          <w:p w:rsidR="00034C83" w:rsidRPr="00131992" w:rsidRDefault="00034C83" w:rsidP="00A26D0E">
            <w:pPr>
              <w:spacing w:after="0" w:line="240" w:lineRule="auto"/>
              <w:rPr>
                <w:rFonts w:ascii="Barlow" w:eastAsia="Times New Roman" w:hAnsi="Barlow" w:cs="Times New Roman"/>
                <w:color w:val="000000"/>
                <w:sz w:val="20"/>
                <w:szCs w:val="20"/>
                <w:lang w:eastAsia="es-MX"/>
              </w:rPr>
            </w:pPr>
          </w:p>
        </w:tc>
      </w:tr>
      <w:tr w:rsidR="00034C83" w:rsidRPr="00131992" w:rsidTr="00A26D0E">
        <w:trPr>
          <w:trHeight w:val="328"/>
        </w:trPr>
        <w:tc>
          <w:tcPr>
            <w:tcW w:w="4367" w:type="dxa"/>
            <w:tcBorders>
              <w:top w:val="nil"/>
              <w:left w:val="single" w:sz="8" w:space="0" w:color="auto"/>
              <w:bottom w:val="single" w:sz="8" w:space="0" w:color="auto"/>
              <w:right w:val="single" w:sz="8" w:space="0" w:color="auto"/>
            </w:tcBorders>
            <w:shd w:val="clear" w:color="000000" w:fill="FFFFFF"/>
            <w:noWrap/>
            <w:vAlign w:val="center"/>
            <w:hideMark/>
          </w:tcPr>
          <w:p w:rsidR="00034C83" w:rsidRPr="00131992" w:rsidRDefault="00034C83" w:rsidP="00A26D0E">
            <w:pPr>
              <w:spacing w:after="0" w:line="240" w:lineRule="auto"/>
              <w:rPr>
                <w:rFonts w:ascii="Barlow" w:eastAsia="Times New Roman" w:hAnsi="Barlow" w:cs="Times New Roman"/>
                <w:b/>
                <w:bCs/>
                <w:i/>
                <w:iCs/>
                <w:color w:val="000000"/>
                <w:sz w:val="20"/>
                <w:szCs w:val="20"/>
                <w:lang w:eastAsia="es-MX"/>
              </w:rPr>
            </w:pPr>
            <w:r w:rsidRPr="00131992">
              <w:rPr>
                <w:rFonts w:ascii="Barlow" w:eastAsia="Times New Roman" w:hAnsi="Barlow" w:cs="Times New Roman"/>
                <w:b/>
                <w:bCs/>
                <w:i/>
                <w:iCs/>
                <w:color w:val="000000"/>
                <w:sz w:val="20"/>
                <w:szCs w:val="20"/>
                <w:lang w:eastAsia="es-MX"/>
              </w:rPr>
              <w:t>Hacienda Pública/Patrimonio Contribuido</w:t>
            </w:r>
          </w:p>
        </w:tc>
        <w:tc>
          <w:tcPr>
            <w:tcW w:w="2374" w:type="dxa"/>
            <w:tcBorders>
              <w:top w:val="nil"/>
              <w:left w:val="nil"/>
              <w:bottom w:val="single" w:sz="8" w:space="0" w:color="auto"/>
              <w:right w:val="single" w:sz="8" w:space="0" w:color="auto"/>
            </w:tcBorders>
            <w:shd w:val="clear" w:color="000000" w:fill="FFFFFF"/>
            <w:noWrap/>
            <w:vAlign w:val="center"/>
            <w:hideMark/>
          </w:tcPr>
          <w:p w:rsidR="00034C83" w:rsidRPr="00131992" w:rsidRDefault="00034C83" w:rsidP="00A26D0E">
            <w:pPr>
              <w:jc w:val="both"/>
              <w:rPr>
                <w:rFonts w:ascii="Barlow" w:hAnsi="Barlow" w:cs="Calibri"/>
                <w:color w:val="000000"/>
                <w:sz w:val="20"/>
                <w:szCs w:val="20"/>
              </w:rPr>
            </w:pPr>
            <w:r w:rsidRPr="00131992">
              <w:rPr>
                <w:rFonts w:ascii="Barlow" w:hAnsi="Barlow" w:cs="Calibri"/>
                <w:color w:val="000000"/>
                <w:sz w:val="20"/>
                <w:szCs w:val="20"/>
              </w:rPr>
              <w:t> </w:t>
            </w:r>
          </w:p>
        </w:tc>
        <w:tc>
          <w:tcPr>
            <w:tcW w:w="2063" w:type="dxa"/>
            <w:tcBorders>
              <w:top w:val="nil"/>
              <w:left w:val="nil"/>
              <w:bottom w:val="single" w:sz="8" w:space="0" w:color="auto"/>
              <w:right w:val="single" w:sz="8" w:space="0" w:color="auto"/>
            </w:tcBorders>
            <w:shd w:val="clear" w:color="000000" w:fill="FFFFFF"/>
            <w:noWrap/>
            <w:vAlign w:val="center"/>
            <w:hideMark/>
          </w:tcPr>
          <w:p w:rsidR="00034C83" w:rsidRPr="00131992" w:rsidRDefault="00034C83" w:rsidP="00A26D0E">
            <w:pPr>
              <w:jc w:val="both"/>
              <w:rPr>
                <w:rFonts w:ascii="Barlow" w:hAnsi="Barlow" w:cs="Calibri"/>
                <w:color w:val="000000"/>
                <w:sz w:val="20"/>
                <w:szCs w:val="20"/>
              </w:rPr>
            </w:pPr>
            <w:r w:rsidRPr="00131992">
              <w:rPr>
                <w:rFonts w:ascii="Barlow" w:hAnsi="Barlow" w:cs="Calibri"/>
                <w:color w:val="000000"/>
                <w:sz w:val="20"/>
                <w:szCs w:val="20"/>
              </w:rPr>
              <w:t> </w:t>
            </w:r>
          </w:p>
        </w:tc>
      </w:tr>
      <w:tr w:rsidR="00034C83" w:rsidRPr="00131992" w:rsidTr="00A26D0E">
        <w:trPr>
          <w:trHeight w:val="328"/>
        </w:trPr>
        <w:tc>
          <w:tcPr>
            <w:tcW w:w="4367" w:type="dxa"/>
            <w:tcBorders>
              <w:top w:val="nil"/>
              <w:left w:val="single" w:sz="8" w:space="0" w:color="auto"/>
              <w:bottom w:val="single" w:sz="8" w:space="0" w:color="auto"/>
              <w:right w:val="single" w:sz="8" w:space="0" w:color="auto"/>
            </w:tcBorders>
            <w:shd w:val="clear" w:color="000000" w:fill="FFFFFF"/>
            <w:noWrap/>
            <w:vAlign w:val="center"/>
            <w:hideMark/>
          </w:tcPr>
          <w:p w:rsidR="00034C83" w:rsidRPr="00131992" w:rsidRDefault="00034C83" w:rsidP="00A26D0E">
            <w:pPr>
              <w:spacing w:after="0" w:line="240" w:lineRule="auto"/>
              <w:rPr>
                <w:rFonts w:ascii="Barlow" w:eastAsia="Times New Roman" w:hAnsi="Barlow" w:cs="Times New Roman"/>
                <w:color w:val="000000"/>
                <w:sz w:val="20"/>
                <w:szCs w:val="20"/>
                <w:lang w:eastAsia="es-MX"/>
              </w:rPr>
            </w:pPr>
            <w:r w:rsidRPr="00131992">
              <w:rPr>
                <w:rFonts w:ascii="Barlow" w:eastAsia="Times New Roman" w:hAnsi="Barlow" w:cs="Times New Roman"/>
                <w:color w:val="000000"/>
                <w:sz w:val="20"/>
                <w:szCs w:val="20"/>
                <w:lang w:eastAsia="es-MX"/>
              </w:rPr>
              <w:t>Aportaciones</w:t>
            </w:r>
          </w:p>
        </w:tc>
        <w:tc>
          <w:tcPr>
            <w:tcW w:w="2374" w:type="dxa"/>
            <w:tcBorders>
              <w:top w:val="nil"/>
              <w:left w:val="nil"/>
              <w:bottom w:val="single" w:sz="8" w:space="0" w:color="auto"/>
              <w:right w:val="single" w:sz="8" w:space="0" w:color="auto"/>
            </w:tcBorders>
            <w:shd w:val="clear" w:color="000000" w:fill="FFFFFF"/>
            <w:noWrap/>
            <w:vAlign w:val="bottom"/>
            <w:hideMark/>
          </w:tcPr>
          <w:p w:rsidR="00034C83" w:rsidRPr="00131992" w:rsidRDefault="00034C83" w:rsidP="00401F42">
            <w:pPr>
              <w:jc w:val="right"/>
              <w:rPr>
                <w:rFonts w:ascii="Barlow" w:hAnsi="Barlow" w:cs="Calibri"/>
                <w:color w:val="000000"/>
                <w:sz w:val="20"/>
                <w:szCs w:val="20"/>
              </w:rPr>
            </w:pPr>
            <w:r w:rsidRPr="00131992">
              <w:rPr>
                <w:rFonts w:ascii="Barlow" w:hAnsi="Barlow" w:cs="Calibri"/>
                <w:color w:val="000000"/>
                <w:sz w:val="20"/>
                <w:szCs w:val="20"/>
              </w:rPr>
              <w:t>2,</w:t>
            </w:r>
            <w:r w:rsidR="00401F42" w:rsidRPr="00131992">
              <w:rPr>
                <w:rFonts w:ascii="Barlow" w:hAnsi="Barlow" w:cs="Calibri"/>
                <w:color w:val="000000"/>
                <w:sz w:val="20"/>
                <w:szCs w:val="20"/>
              </w:rPr>
              <w:t>203</w:t>
            </w:r>
            <w:r w:rsidRPr="00131992">
              <w:rPr>
                <w:rFonts w:ascii="Barlow" w:hAnsi="Barlow" w:cs="Calibri"/>
                <w:color w:val="000000"/>
                <w:sz w:val="20"/>
                <w:szCs w:val="20"/>
              </w:rPr>
              <w:t>,</w:t>
            </w:r>
            <w:r w:rsidR="00401F42" w:rsidRPr="00131992">
              <w:rPr>
                <w:rFonts w:ascii="Barlow" w:hAnsi="Barlow" w:cs="Calibri"/>
                <w:color w:val="000000"/>
                <w:sz w:val="20"/>
                <w:szCs w:val="20"/>
              </w:rPr>
              <w:t>367</w:t>
            </w:r>
            <w:r w:rsidRPr="00131992">
              <w:rPr>
                <w:rFonts w:ascii="Barlow" w:hAnsi="Barlow" w:cs="Calibri"/>
                <w:color w:val="000000"/>
                <w:sz w:val="20"/>
                <w:szCs w:val="20"/>
              </w:rPr>
              <w:t>,</w:t>
            </w:r>
            <w:r w:rsidR="00401F42" w:rsidRPr="00131992">
              <w:rPr>
                <w:rFonts w:ascii="Barlow" w:hAnsi="Barlow" w:cs="Calibri"/>
                <w:color w:val="000000"/>
                <w:sz w:val="20"/>
                <w:szCs w:val="20"/>
              </w:rPr>
              <w:t>178</w:t>
            </w:r>
            <w:r w:rsidRPr="00131992">
              <w:rPr>
                <w:rFonts w:ascii="Barlow" w:hAnsi="Barlow" w:cs="Calibri"/>
                <w:color w:val="000000"/>
                <w:sz w:val="20"/>
                <w:szCs w:val="20"/>
              </w:rPr>
              <w:t>.</w:t>
            </w:r>
            <w:r w:rsidR="00401F42" w:rsidRPr="00131992">
              <w:rPr>
                <w:rFonts w:ascii="Barlow" w:hAnsi="Barlow" w:cs="Calibri"/>
                <w:color w:val="000000"/>
                <w:sz w:val="20"/>
                <w:szCs w:val="20"/>
              </w:rPr>
              <w:t>42</w:t>
            </w:r>
          </w:p>
        </w:tc>
        <w:tc>
          <w:tcPr>
            <w:tcW w:w="2063" w:type="dxa"/>
            <w:tcBorders>
              <w:top w:val="nil"/>
              <w:left w:val="nil"/>
              <w:bottom w:val="single" w:sz="8" w:space="0" w:color="auto"/>
              <w:right w:val="single" w:sz="8" w:space="0" w:color="auto"/>
            </w:tcBorders>
            <w:shd w:val="clear" w:color="000000" w:fill="FFFFFF"/>
            <w:noWrap/>
            <w:vAlign w:val="bottom"/>
            <w:hideMark/>
          </w:tcPr>
          <w:p w:rsidR="00034C83" w:rsidRPr="00131992" w:rsidRDefault="00034C83" w:rsidP="00A26D0E">
            <w:pPr>
              <w:jc w:val="right"/>
              <w:rPr>
                <w:rFonts w:ascii="Barlow" w:hAnsi="Barlow" w:cs="Calibri"/>
                <w:color w:val="000000"/>
                <w:sz w:val="20"/>
                <w:szCs w:val="20"/>
              </w:rPr>
            </w:pPr>
            <w:r w:rsidRPr="00131992">
              <w:rPr>
                <w:rFonts w:ascii="Barlow" w:hAnsi="Barlow" w:cs="Calibri"/>
                <w:color w:val="000000"/>
                <w:sz w:val="20"/>
                <w:szCs w:val="20"/>
              </w:rPr>
              <w:t>2,394,706.354.12</w:t>
            </w:r>
          </w:p>
        </w:tc>
      </w:tr>
      <w:tr w:rsidR="00034C83" w:rsidRPr="00131992" w:rsidTr="00A26D0E">
        <w:trPr>
          <w:trHeight w:val="328"/>
        </w:trPr>
        <w:tc>
          <w:tcPr>
            <w:tcW w:w="4367" w:type="dxa"/>
            <w:tcBorders>
              <w:top w:val="nil"/>
              <w:left w:val="single" w:sz="8" w:space="0" w:color="auto"/>
              <w:bottom w:val="single" w:sz="8" w:space="0" w:color="auto"/>
              <w:right w:val="single" w:sz="8" w:space="0" w:color="auto"/>
            </w:tcBorders>
            <w:shd w:val="clear" w:color="000000" w:fill="FFFFFF"/>
            <w:noWrap/>
            <w:vAlign w:val="center"/>
            <w:hideMark/>
          </w:tcPr>
          <w:p w:rsidR="00034C83" w:rsidRPr="00131992" w:rsidRDefault="00034C83" w:rsidP="00A26D0E">
            <w:pPr>
              <w:spacing w:after="0" w:line="240" w:lineRule="auto"/>
              <w:rPr>
                <w:rFonts w:ascii="Barlow" w:eastAsia="Times New Roman" w:hAnsi="Barlow" w:cs="Times New Roman"/>
                <w:color w:val="000000"/>
                <w:sz w:val="20"/>
                <w:szCs w:val="20"/>
                <w:lang w:eastAsia="es-MX"/>
              </w:rPr>
            </w:pPr>
            <w:r w:rsidRPr="00131992">
              <w:rPr>
                <w:rFonts w:ascii="Barlow" w:eastAsia="Times New Roman" w:hAnsi="Barlow" w:cs="Times New Roman"/>
                <w:color w:val="000000"/>
                <w:sz w:val="20"/>
                <w:szCs w:val="20"/>
                <w:lang w:eastAsia="es-MX"/>
              </w:rPr>
              <w:t> </w:t>
            </w:r>
          </w:p>
        </w:tc>
        <w:tc>
          <w:tcPr>
            <w:tcW w:w="2374" w:type="dxa"/>
            <w:tcBorders>
              <w:top w:val="nil"/>
              <w:left w:val="nil"/>
              <w:bottom w:val="single" w:sz="8" w:space="0" w:color="auto"/>
              <w:right w:val="single" w:sz="8" w:space="0" w:color="auto"/>
            </w:tcBorders>
            <w:shd w:val="clear" w:color="000000" w:fill="FFFFFF"/>
            <w:noWrap/>
            <w:vAlign w:val="bottom"/>
            <w:hideMark/>
          </w:tcPr>
          <w:p w:rsidR="00034C83" w:rsidRPr="00131992" w:rsidRDefault="00034C83" w:rsidP="00A26D0E">
            <w:pPr>
              <w:jc w:val="right"/>
              <w:rPr>
                <w:rFonts w:ascii="Barlow" w:hAnsi="Barlow" w:cs="Calibri"/>
                <w:color w:val="000000"/>
                <w:sz w:val="20"/>
                <w:szCs w:val="20"/>
              </w:rPr>
            </w:pPr>
            <w:r w:rsidRPr="00131992">
              <w:rPr>
                <w:rFonts w:ascii="Barlow" w:hAnsi="Barlow" w:cs="Calibri"/>
                <w:color w:val="000000"/>
                <w:sz w:val="20"/>
                <w:szCs w:val="20"/>
              </w:rPr>
              <w:t> </w:t>
            </w:r>
          </w:p>
        </w:tc>
        <w:tc>
          <w:tcPr>
            <w:tcW w:w="2063" w:type="dxa"/>
            <w:tcBorders>
              <w:top w:val="nil"/>
              <w:left w:val="nil"/>
              <w:bottom w:val="single" w:sz="8" w:space="0" w:color="auto"/>
              <w:right w:val="single" w:sz="8" w:space="0" w:color="auto"/>
            </w:tcBorders>
            <w:shd w:val="clear" w:color="000000" w:fill="FFFFFF"/>
            <w:noWrap/>
            <w:vAlign w:val="bottom"/>
            <w:hideMark/>
          </w:tcPr>
          <w:p w:rsidR="00034C83" w:rsidRPr="00131992" w:rsidRDefault="00034C83" w:rsidP="00A26D0E">
            <w:pPr>
              <w:jc w:val="right"/>
              <w:rPr>
                <w:rFonts w:ascii="Barlow" w:hAnsi="Barlow" w:cs="Calibri"/>
                <w:color w:val="000000"/>
                <w:sz w:val="20"/>
                <w:szCs w:val="20"/>
              </w:rPr>
            </w:pPr>
            <w:r w:rsidRPr="00131992">
              <w:rPr>
                <w:rFonts w:ascii="Barlow" w:hAnsi="Barlow" w:cs="Calibri"/>
                <w:color w:val="000000"/>
                <w:sz w:val="20"/>
                <w:szCs w:val="20"/>
              </w:rPr>
              <w:t> </w:t>
            </w:r>
          </w:p>
        </w:tc>
      </w:tr>
      <w:tr w:rsidR="00034C83" w:rsidRPr="00131992" w:rsidTr="00A26D0E">
        <w:trPr>
          <w:trHeight w:val="328"/>
        </w:trPr>
        <w:tc>
          <w:tcPr>
            <w:tcW w:w="4367" w:type="dxa"/>
            <w:tcBorders>
              <w:top w:val="nil"/>
              <w:left w:val="single" w:sz="8" w:space="0" w:color="auto"/>
              <w:bottom w:val="single" w:sz="8" w:space="0" w:color="auto"/>
              <w:right w:val="single" w:sz="8" w:space="0" w:color="auto"/>
            </w:tcBorders>
            <w:shd w:val="clear" w:color="000000" w:fill="FFFFFF"/>
            <w:noWrap/>
            <w:vAlign w:val="center"/>
            <w:hideMark/>
          </w:tcPr>
          <w:p w:rsidR="00034C83" w:rsidRPr="00131992" w:rsidRDefault="00034C83" w:rsidP="00A26D0E">
            <w:pPr>
              <w:spacing w:after="0" w:line="240" w:lineRule="auto"/>
              <w:rPr>
                <w:rFonts w:ascii="Barlow" w:eastAsia="Times New Roman" w:hAnsi="Barlow" w:cs="Times New Roman"/>
                <w:b/>
                <w:bCs/>
                <w:i/>
                <w:iCs/>
                <w:color w:val="000000"/>
                <w:sz w:val="20"/>
                <w:szCs w:val="20"/>
                <w:lang w:eastAsia="es-MX"/>
              </w:rPr>
            </w:pPr>
            <w:r w:rsidRPr="00131992">
              <w:rPr>
                <w:rFonts w:ascii="Barlow" w:eastAsia="Times New Roman" w:hAnsi="Barlow" w:cs="Times New Roman"/>
                <w:b/>
                <w:bCs/>
                <w:i/>
                <w:iCs/>
                <w:color w:val="000000"/>
                <w:sz w:val="20"/>
                <w:szCs w:val="20"/>
                <w:lang w:eastAsia="es-MX"/>
              </w:rPr>
              <w:t>Hacienda Pública/Patrimonio Generado</w:t>
            </w:r>
          </w:p>
        </w:tc>
        <w:tc>
          <w:tcPr>
            <w:tcW w:w="2374" w:type="dxa"/>
            <w:tcBorders>
              <w:top w:val="nil"/>
              <w:left w:val="nil"/>
              <w:bottom w:val="single" w:sz="8" w:space="0" w:color="auto"/>
              <w:right w:val="single" w:sz="8" w:space="0" w:color="auto"/>
            </w:tcBorders>
            <w:shd w:val="clear" w:color="000000" w:fill="FFFFFF"/>
            <w:noWrap/>
            <w:vAlign w:val="bottom"/>
            <w:hideMark/>
          </w:tcPr>
          <w:p w:rsidR="00034C83" w:rsidRPr="00131992" w:rsidRDefault="00034C83" w:rsidP="00A26D0E">
            <w:pPr>
              <w:jc w:val="right"/>
              <w:rPr>
                <w:rFonts w:ascii="Barlow" w:hAnsi="Barlow" w:cs="Calibri"/>
                <w:color w:val="000000"/>
                <w:sz w:val="20"/>
                <w:szCs w:val="20"/>
              </w:rPr>
            </w:pPr>
            <w:r w:rsidRPr="00131992">
              <w:rPr>
                <w:rFonts w:ascii="Barlow" w:hAnsi="Barlow" w:cs="Calibri"/>
                <w:color w:val="000000"/>
                <w:sz w:val="20"/>
                <w:szCs w:val="20"/>
              </w:rPr>
              <w:t> </w:t>
            </w:r>
          </w:p>
        </w:tc>
        <w:tc>
          <w:tcPr>
            <w:tcW w:w="2063" w:type="dxa"/>
            <w:tcBorders>
              <w:top w:val="nil"/>
              <w:left w:val="nil"/>
              <w:bottom w:val="single" w:sz="8" w:space="0" w:color="auto"/>
              <w:right w:val="single" w:sz="8" w:space="0" w:color="auto"/>
            </w:tcBorders>
            <w:shd w:val="clear" w:color="000000" w:fill="FFFFFF"/>
            <w:noWrap/>
            <w:vAlign w:val="bottom"/>
            <w:hideMark/>
          </w:tcPr>
          <w:p w:rsidR="00034C83" w:rsidRPr="00131992" w:rsidRDefault="00034C83" w:rsidP="00A26D0E">
            <w:pPr>
              <w:jc w:val="right"/>
              <w:rPr>
                <w:rFonts w:ascii="Barlow" w:hAnsi="Barlow" w:cs="Calibri"/>
                <w:color w:val="000000"/>
                <w:sz w:val="20"/>
                <w:szCs w:val="20"/>
              </w:rPr>
            </w:pPr>
            <w:r w:rsidRPr="00131992">
              <w:rPr>
                <w:rFonts w:ascii="Barlow" w:hAnsi="Barlow" w:cs="Calibri"/>
                <w:color w:val="000000"/>
                <w:sz w:val="20"/>
                <w:szCs w:val="20"/>
              </w:rPr>
              <w:t> </w:t>
            </w:r>
          </w:p>
        </w:tc>
      </w:tr>
      <w:tr w:rsidR="00034C83" w:rsidRPr="00131992" w:rsidTr="00A26D0E">
        <w:trPr>
          <w:trHeight w:val="328"/>
        </w:trPr>
        <w:tc>
          <w:tcPr>
            <w:tcW w:w="4367" w:type="dxa"/>
            <w:tcBorders>
              <w:top w:val="nil"/>
              <w:left w:val="single" w:sz="8" w:space="0" w:color="auto"/>
              <w:bottom w:val="single" w:sz="8" w:space="0" w:color="auto"/>
              <w:right w:val="single" w:sz="8" w:space="0" w:color="auto"/>
            </w:tcBorders>
            <w:shd w:val="clear" w:color="000000" w:fill="FFFFFF"/>
            <w:noWrap/>
            <w:vAlign w:val="center"/>
            <w:hideMark/>
          </w:tcPr>
          <w:p w:rsidR="00034C83" w:rsidRPr="00131992" w:rsidRDefault="00034C83" w:rsidP="00A26D0E">
            <w:pPr>
              <w:spacing w:after="0" w:line="240" w:lineRule="auto"/>
              <w:rPr>
                <w:rFonts w:ascii="Barlow" w:eastAsia="Times New Roman" w:hAnsi="Barlow" w:cs="Times New Roman"/>
                <w:color w:val="000000"/>
                <w:sz w:val="20"/>
                <w:szCs w:val="20"/>
                <w:lang w:eastAsia="es-MX"/>
              </w:rPr>
            </w:pPr>
            <w:r w:rsidRPr="00131992">
              <w:rPr>
                <w:rFonts w:ascii="Barlow" w:eastAsia="Times New Roman" w:hAnsi="Barlow" w:cs="Times New Roman"/>
                <w:color w:val="000000"/>
                <w:sz w:val="20"/>
                <w:szCs w:val="20"/>
                <w:lang w:eastAsia="es-MX"/>
              </w:rPr>
              <w:t>Resultados del Ejercicio (Ahorro / Desahorro)</w:t>
            </w:r>
          </w:p>
        </w:tc>
        <w:tc>
          <w:tcPr>
            <w:tcW w:w="2374" w:type="dxa"/>
            <w:tcBorders>
              <w:top w:val="nil"/>
              <w:left w:val="nil"/>
              <w:bottom w:val="single" w:sz="8" w:space="0" w:color="auto"/>
              <w:right w:val="single" w:sz="8" w:space="0" w:color="auto"/>
            </w:tcBorders>
            <w:shd w:val="clear" w:color="000000" w:fill="FFFFFF"/>
            <w:noWrap/>
            <w:vAlign w:val="bottom"/>
            <w:hideMark/>
          </w:tcPr>
          <w:p w:rsidR="00034C83" w:rsidRPr="00131992" w:rsidRDefault="00C30893" w:rsidP="00401F42">
            <w:pPr>
              <w:jc w:val="right"/>
              <w:rPr>
                <w:rFonts w:ascii="Barlow" w:hAnsi="Barlow" w:cs="Calibri"/>
                <w:color w:val="000000"/>
                <w:sz w:val="20"/>
                <w:szCs w:val="20"/>
              </w:rPr>
            </w:pPr>
            <w:r w:rsidRPr="00131992">
              <w:rPr>
                <w:rFonts w:ascii="Barlow" w:hAnsi="Barlow" w:cs="Calibri"/>
                <w:color w:val="000000"/>
                <w:sz w:val="20"/>
                <w:szCs w:val="20"/>
              </w:rPr>
              <w:t>56,810,063.56</w:t>
            </w:r>
          </w:p>
        </w:tc>
        <w:tc>
          <w:tcPr>
            <w:tcW w:w="2063" w:type="dxa"/>
            <w:tcBorders>
              <w:top w:val="nil"/>
              <w:left w:val="nil"/>
              <w:bottom w:val="single" w:sz="8" w:space="0" w:color="auto"/>
              <w:right w:val="single" w:sz="8" w:space="0" w:color="auto"/>
            </w:tcBorders>
            <w:shd w:val="clear" w:color="000000" w:fill="FFFFFF"/>
            <w:noWrap/>
            <w:vAlign w:val="bottom"/>
            <w:hideMark/>
          </w:tcPr>
          <w:p w:rsidR="00034C83" w:rsidRPr="00131992" w:rsidRDefault="00C30893" w:rsidP="00401F42">
            <w:pPr>
              <w:jc w:val="right"/>
              <w:rPr>
                <w:rFonts w:ascii="Barlow" w:hAnsi="Barlow" w:cs="Calibri"/>
                <w:color w:val="000000" w:themeColor="text1"/>
                <w:sz w:val="20"/>
                <w:szCs w:val="20"/>
              </w:rPr>
            </w:pPr>
            <w:r w:rsidRPr="00131992">
              <w:rPr>
                <w:rFonts w:ascii="Barlow" w:hAnsi="Barlow" w:cs="Calibri"/>
                <w:color w:val="000000" w:themeColor="text1"/>
                <w:sz w:val="20"/>
                <w:szCs w:val="20"/>
              </w:rPr>
              <w:t>26,558,670.47</w:t>
            </w:r>
          </w:p>
        </w:tc>
      </w:tr>
      <w:tr w:rsidR="00034C83" w:rsidRPr="00131992" w:rsidTr="00A26D0E">
        <w:trPr>
          <w:trHeight w:val="328"/>
        </w:trPr>
        <w:tc>
          <w:tcPr>
            <w:tcW w:w="4367" w:type="dxa"/>
            <w:tcBorders>
              <w:top w:val="nil"/>
              <w:left w:val="single" w:sz="8" w:space="0" w:color="auto"/>
              <w:bottom w:val="single" w:sz="8" w:space="0" w:color="auto"/>
              <w:right w:val="single" w:sz="8" w:space="0" w:color="auto"/>
            </w:tcBorders>
            <w:shd w:val="clear" w:color="000000" w:fill="FFFFFF"/>
            <w:noWrap/>
            <w:vAlign w:val="center"/>
            <w:hideMark/>
          </w:tcPr>
          <w:p w:rsidR="00034C83" w:rsidRPr="00131992" w:rsidRDefault="00034C83" w:rsidP="00A26D0E">
            <w:pPr>
              <w:spacing w:after="0" w:line="240" w:lineRule="auto"/>
              <w:rPr>
                <w:rFonts w:ascii="Barlow" w:eastAsia="Times New Roman" w:hAnsi="Barlow" w:cs="Times New Roman"/>
                <w:color w:val="000000"/>
                <w:sz w:val="20"/>
                <w:szCs w:val="20"/>
                <w:lang w:eastAsia="es-MX"/>
              </w:rPr>
            </w:pPr>
            <w:r w:rsidRPr="00131992">
              <w:rPr>
                <w:rFonts w:ascii="Barlow" w:eastAsia="Times New Roman" w:hAnsi="Barlow" w:cs="Times New Roman"/>
                <w:color w:val="000000"/>
                <w:sz w:val="20"/>
                <w:szCs w:val="20"/>
                <w:lang w:eastAsia="es-MX"/>
              </w:rPr>
              <w:t>Resultados de Ejercicios Anteriores</w:t>
            </w:r>
          </w:p>
        </w:tc>
        <w:tc>
          <w:tcPr>
            <w:tcW w:w="2374" w:type="dxa"/>
            <w:tcBorders>
              <w:top w:val="nil"/>
              <w:left w:val="nil"/>
              <w:bottom w:val="single" w:sz="8" w:space="0" w:color="auto"/>
              <w:right w:val="single" w:sz="8" w:space="0" w:color="auto"/>
            </w:tcBorders>
            <w:shd w:val="clear" w:color="000000" w:fill="FFFFFF"/>
            <w:noWrap/>
            <w:vAlign w:val="bottom"/>
            <w:hideMark/>
          </w:tcPr>
          <w:p w:rsidR="00034C83" w:rsidRPr="00131992" w:rsidRDefault="00401F42" w:rsidP="00401F42">
            <w:pPr>
              <w:jc w:val="right"/>
              <w:rPr>
                <w:rFonts w:ascii="Barlow" w:hAnsi="Barlow" w:cs="Calibri"/>
                <w:color w:val="000000"/>
                <w:sz w:val="20"/>
                <w:szCs w:val="20"/>
              </w:rPr>
            </w:pPr>
            <w:r w:rsidRPr="00131992">
              <w:rPr>
                <w:rFonts w:ascii="Barlow" w:hAnsi="Barlow" w:cs="Calibri"/>
                <w:color w:val="000000"/>
                <w:sz w:val="20"/>
                <w:szCs w:val="20"/>
              </w:rPr>
              <w:t>2</w:t>
            </w:r>
            <w:r w:rsidR="00034C83" w:rsidRPr="00131992">
              <w:rPr>
                <w:rFonts w:ascii="Barlow" w:hAnsi="Barlow" w:cs="Calibri"/>
                <w:color w:val="000000"/>
                <w:sz w:val="20"/>
                <w:szCs w:val="20"/>
              </w:rPr>
              <w:t>,</w:t>
            </w:r>
            <w:r w:rsidRPr="00131992">
              <w:rPr>
                <w:rFonts w:ascii="Barlow" w:hAnsi="Barlow" w:cs="Calibri"/>
                <w:color w:val="000000"/>
                <w:sz w:val="20"/>
                <w:szCs w:val="20"/>
              </w:rPr>
              <w:t>167</w:t>
            </w:r>
            <w:r w:rsidR="00034C83" w:rsidRPr="00131992">
              <w:rPr>
                <w:rFonts w:ascii="Barlow" w:hAnsi="Barlow" w:cs="Calibri"/>
                <w:color w:val="000000"/>
                <w:sz w:val="20"/>
                <w:szCs w:val="20"/>
              </w:rPr>
              <w:t>,</w:t>
            </w:r>
            <w:r w:rsidRPr="00131992">
              <w:rPr>
                <w:rFonts w:ascii="Barlow" w:hAnsi="Barlow" w:cs="Calibri"/>
                <w:color w:val="000000"/>
                <w:sz w:val="20"/>
                <w:szCs w:val="20"/>
              </w:rPr>
              <w:t>282</w:t>
            </w:r>
            <w:r w:rsidR="00034C83" w:rsidRPr="00131992">
              <w:rPr>
                <w:rFonts w:ascii="Barlow" w:hAnsi="Barlow" w:cs="Calibri"/>
                <w:color w:val="000000"/>
                <w:sz w:val="20"/>
                <w:szCs w:val="20"/>
              </w:rPr>
              <w:t>,</w:t>
            </w:r>
            <w:r w:rsidRPr="00131992">
              <w:rPr>
                <w:rFonts w:ascii="Barlow" w:hAnsi="Barlow" w:cs="Calibri"/>
                <w:color w:val="000000"/>
                <w:sz w:val="20"/>
                <w:szCs w:val="20"/>
              </w:rPr>
              <w:t>127</w:t>
            </w:r>
            <w:r w:rsidR="00034C83" w:rsidRPr="00131992">
              <w:rPr>
                <w:rFonts w:ascii="Barlow" w:hAnsi="Barlow" w:cs="Calibri"/>
                <w:color w:val="000000"/>
                <w:sz w:val="20"/>
                <w:szCs w:val="20"/>
              </w:rPr>
              <w:t>.</w:t>
            </w:r>
            <w:r w:rsidRPr="00131992">
              <w:rPr>
                <w:rFonts w:ascii="Barlow" w:hAnsi="Barlow" w:cs="Calibri"/>
                <w:color w:val="000000"/>
                <w:sz w:val="20"/>
                <w:szCs w:val="20"/>
              </w:rPr>
              <w:t>40</w:t>
            </w:r>
          </w:p>
        </w:tc>
        <w:tc>
          <w:tcPr>
            <w:tcW w:w="2063" w:type="dxa"/>
            <w:tcBorders>
              <w:top w:val="nil"/>
              <w:left w:val="nil"/>
              <w:bottom w:val="single" w:sz="8" w:space="0" w:color="auto"/>
              <w:right w:val="single" w:sz="8" w:space="0" w:color="auto"/>
            </w:tcBorders>
            <w:shd w:val="clear" w:color="000000" w:fill="FFFFFF"/>
            <w:noWrap/>
            <w:vAlign w:val="bottom"/>
            <w:hideMark/>
          </w:tcPr>
          <w:p w:rsidR="00034C83" w:rsidRPr="00131992" w:rsidRDefault="00034C83" w:rsidP="00401F42">
            <w:pPr>
              <w:jc w:val="right"/>
              <w:rPr>
                <w:rFonts w:ascii="Barlow" w:hAnsi="Barlow" w:cs="Calibri"/>
                <w:color w:val="000000"/>
                <w:sz w:val="20"/>
                <w:szCs w:val="20"/>
              </w:rPr>
            </w:pPr>
            <w:r w:rsidRPr="00131992">
              <w:rPr>
                <w:rFonts w:ascii="Barlow" w:hAnsi="Barlow" w:cs="Calibri"/>
                <w:color w:val="000000"/>
                <w:sz w:val="20"/>
                <w:szCs w:val="20"/>
              </w:rPr>
              <w:t>1,</w:t>
            </w:r>
            <w:r w:rsidR="00C30893" w:rsidRPr="00131992">
              <w:rPr>
                <w:rFonts w:ascii="Barlow" w:hAnsi="Barlow" w:cs="Calibri"/>
                <w:color w:val="000000"/>
                <w:sz w:val="20"/>
                <w:szCs w:val="20"/>
              </w:rPr>
              <w:t>697,869,204.82</w:t>
            </w:r>
          </w:p>
        </w:tc>
      </w:tr>
      <w:tr w:rsidR="00034C83" w:rsidRPr="00131992" w:rsidTr="00A26D0E">
        <w:trPr>
          <w:trHeight w:val="328"/>
        </w:trPr>
        <w:tc>
          <w:tcPr>
            <w:tcW w:w="4367" w:type="dxa"/>
            <w:tcBorders>
              <w:top w:val="nil"/>
              <w:left w:val="single" w:sz="8" w:space="0" w:color="auto"/>
              <w:bottom w:val="single" w:sz="8" w:space="0" w:color="auto"/>
              <w:right w:val="single" w:sz="8" w:space="0" w:color="auto"/>
            </w:tcBorders>
            <w:shd w:val="clear" w:color="000000" w:fill="FFFFFF"/>
            <w:noWrap/>
            <w:vAlign w:val="center"/>
            <w:hideMark/>
          </w:tcPr>
          <w:p w:rsidR="00034C83" w:rsidRPr="00131992" w:rsidRDefault="00034C83" w:rsidP="00A26D0E">
            <w:pPr>
              <w:spacing w:after="0" w:line="240" w:lineRule="auto"/>
              <w:rPr>
                <w:rFonts w:ascii="Barlow" w:eastAsia="Times New Roman" w:hAnsi="Barlow" w:cs="Times New Roman"/>
                <w:color w:val="000000"/>
                <w:sz w:val="20"/>
                <w:szCs w:val="20"/>
                <w:lang w:eastAsia="es-MX"/>
              </w:rPr>
            </w:pPr>
            <w:r w:rsidRPr="00131992">
              <w:rPr>
                <w:rFonts w:ascii="Barlow" w:eastAsia="Times New Roman" w:hAnsi="Barlow" w:cs="Times New Roman"/>
                <w:color w:val="000000"/>
                <w:sz w:val="20"/>
                <w:szCs w:val="20"/>
                <w:lang w:eastAsia="es-MX"/>
              </w:rPr>
              <w:t> </w:t>
            </w:r>
          </w:p>
        </w:tc>
        <w:tc>
          <w:tcPr>
            <w:tcW w:w="2374" w:type="dxa"/>
            <w:tcBorders>
              <w:top w:val="nil"/>
              <w:left w:val="nil"/>
              <w:bottom w:val="single" w:sz="8" w:space="0" w:color="auto"/>
              <w:right w:val="single" w:sz="8" w:space="0" w:color="auto"/>
            </w:tcBorders>
            <w:shd w:val="clear" w:color="000000" w:fill="FFFFFF"/>
            <w:noWrap/>
            <w:vAlign w:val="bottom"/>
            <w:hideMark/>
          </w:tcPr>
          <w:p w:rsidR="00034C83" w:rsidRPr="00131992" w:rsidRDefault="00034C83" w:rsidP="00A26D0E">
            <w:pPr>
              <w:jc w:val="right"/>
              <w:rPr>
                <w:rFonts w:ascii="Barlow" w:hAnsi="Barlow" w:cs="Calibri"/>
                <w:color w:val="000000"/>
                <w:sz w:val="20"/>
                <w:szCs w:val="20"/>
              </w:rPr>
            </w:pPr>
            <w:r w:rsidRPr="00131992">
              <w:rPr>
                <w:rFonts w:ascii="Barlow" w:hAnsi="Barlow" w:cs="Calibri"/>
                <w:color w:val="000000"/>
                <w:sz w:val="20"/>
                <w:szCs w:val="20"/>
              </w:rPr>
              <w:t> </w:t>
            </w:r>
          </w:p>
        </w:tc>
        <w:tc>
          <w:tcPr>
            <w:tcW w:w="2063" w:type="dxa"/>
            <w:tcBorders>
              <w:top w:val="nil"/>
              <w:left w:val="nil"/>
              <w:bottom w:val="single" w:sz="8" w:space="0" w:color="auto"/>
              <w:right w:val="single" w:sz="8" w:space="0" w:color="auto"/>
            </w:tcBorders>
            <w:shd w:val="clear" w:color="000000" w:fill="FFFFFF"/>
            <w:noWrap/>
            <w:vAlign w:val="bottom"/>
            <w:hideMark/>
          </w:tcPr>
          <w:p w:rsidR="00034C83" w:rsidRPr="00131992" w:rsidRDefault="00034C83" w:rsidP="00A26D0E">
            <w:pPr>
              <w:jc w:val="right"/>
              <w:rPr>
                <w:rFonts w:ascii="Barlow" w:hAnsi="Barlow" w:cs="Calibri"/>
                <w:color w:val="000000"/>
                <w:sz w:val="20"/>
                <w:szCs w:val="20"/>
              </w:rPr>
            </w:pPr>
            <w:r w:rsidRPr="00131992">
              <w:rPr>
                <w:rFonts w:ascii="Barlow" w:hAnsi="Barlow" w:cs="Calibri"/>
                <w:color w:val="000000"/>
                <w:sz w:val="20"/>
                <w:szCs w:val="20"/>
              </w:rPr>
              <w:t> </w:t>
            </w:r>
          </w:p>
        </w:tc>
      </w:tr>
      <w:tr w:rsidR="00034C83" w:rsidRPr="00131992" w:rsidTr="00A26D0E">
        <w:trPr>
          <w:trHeight w:val="328"/>
        </w:trPr>
        <w:tc>
          <w:tcPr>
            <w:tcW w:w="4367" w:type="dxa"/>
            <w:tcBorders>
              <w:top w:val="nil"/>
              <w:left w:val="single" w:sz="8" w:space="0" w:color="auto"/>
              <w:bottom w:val="single" w:sz="8" w:space="0" w:color="auto"/>
              <w:right w:val="single" w:sz="8" w:space="0" w:color="auto"/>
            </w:tcBorders>
            <w:shd w:val="clear" w:color="000000" w:fill="FFFFFF"/>
            <w:noWrap/>
            <w:vAlign w:val="center"/>
            <w:hideMark/>
          </w:tcPr>
          <w:p w:rsidR="00034C83" w:rsidRPr="00131992" w:rsidRDefault="00034C83" w:rsidP="00A26D0E">
            <w:pPr>
              <w:spacing w:after="0" w:line="240" w:lineRule="auto"/>
              <w:rPr>
                <w:rFonts w:ascii="Barlow" w:eastAsia="Times New Roman" w:hAnsi="Barlow" w:cs="Times New Roman"/>
                <w:color w:val="000000"/>
                <w:sz w:val="20"/>
                <w:szCs w:val="20"/>
                <w:lang w:eastAsia="es-MX"/>
              </w:rPr>
            </w:pPr>
            <w:r w:rsidRPr="00131992">
              <w:rPr>
                <w:rFonts w:ascii="Barlow" w:eastAsia="Times New Roman" w:hAnsi="Barlow" w:cs="Times New Roman"/>
                <w:color w:val="000000"/>
                <w:sz w:val="20"/>
                <w:szCs w:val="20"/>
                <w:lang w:eastAsia="es-MX"/>
              </w:rPr>
              <w:lastRenderedPageBreak/>
              <w:t>Total</w:t>
            </w:r>
          </w:p>
        </w:tc>
        <w:tc>
          <w:tcPr>
            <w:tcW w:w="2374" w:type="dxa"/>
            <w:tcBorders>
              <w:top w:val="nil"/>
              <w:left w:val="nil"/>
              <w:bottom w:val="single" w:sz="8" w:space="0" w:color="auto"/>
              <w:right w:val="single" w:sz="8" w:space="0" w:color="auto"/>
            </w:tcBorders>
            <w:shd w:val="clear" w:color="000000" w:fill="FFFFFF"/>
            <w:noWrap/>
            <w:vAlign w:val="bottom"/>
            <w:hideMark/>
          </w:tcPr>
          <w:p w:rsidR="00034C83" w:rsidRPr="00131992" w:rsidRDefault="001F67DF" w:rsidP="00401F42">
            <w:pPr>
              <w:jc w:val="right"/>
              <w:rPr>
                <w:rFonts w:ascii="Barlow" w:hAnsi="Barlow" w:cs="Calibri"/>
                <w:color w:val="000000"/>
                <w:sz w:val="20"/>
                <w:szCs w:val="20"/>
              </w:rPr>
            </w:pPr>
            <w:r w:rsidRPr="00131992">
              <w:rPr>
                <w:rFonts w:ascii="Barlow" w:hAnsi="Barlow" w:cs="Calibri"/>
                <w:color w:val="000000"/>
                <w:sz w:val="20"/>
                <w:szCs w:val="20"/>
              </w:rPr>
              <w:t>4,</w:t>
            </w:r>
            <w:r w:rsidR="00C30893" w:rsidRPr="00131992">
              <w:rPr>
                <w:rFonts w:ascii="Barlow" w:hAnsi="Barlow" w:cs="Calibri"/>
                <w:color w:val="000000"/>
                <w:sz w:val="20"/>
                <w:szCs w:val="20"/>
              </w:rPr>
              <w:t>427,459,369.38</w:t>
            </w:r>
          </w:p>
        </w:tc>
        <w:tc>
          <w:tcPr>
            <w:tcW w:w="2063" w:type="dxa"/>
            <w:tcBorders>
              <w:top w:val="nil"/>
              <w:left w:val="nil"/>
              <w:bottom w:val="single" w:sz="8" w:space="0" w:color="auto"/>
              <w:right w:val="single" w:sz="8" w:space="0" w:color="auto"/>
            </w:tcBorders>
            <w:shd w:val="clear" w:color="000000" w:fill="FFFFFF"/>
            <w:noWrap/>
            <w:vAlign w:val="bottom"/>
            <w:hideMark/>
          </w:tcPr>
          <w:p w:rsidR="00034C83" w:rsidRPr="00131992" w:rsidRDefault="00034C83" w:rsidP="00401F42">
            <w:pPr>
              <w:jc w:val="right"/>
              <w:rPr>
                <w:rFonts w:ascii="Barlow" w:hAnsi="Barlow" w:cs="Calibri"/>
                <w:color w:val="000000"/>
                <w:sz w:val="20"/>
                <w:szCs w:val="20"/>
              </w:rPr>
            </w:pPr>
            <w:r w:rsidRPr="00131992">
              <w:rPr>
                <w:rFonts w:ascii="Barlow" w:hAnsi="Barlow" w:cs="Calibri"/>
                <w:color w:val="000000"/>
                <w:sz w:val="20"/>
                <w:szCs w:val="20"/>
              </w:rPr>
              <w:t>4,</w:t>
            </w:r>
            <w:r w:rsidR="00C30893" w:rsidRPr="00131992">
              <w:rPr>
                <w:rFonts w:ascii="Barlow" w:hAnsi="Barlow" w:cs="Calibri"/>
                <w:color w:val="000000"/>
                <w:sz w:val="20"/>
                <w:szCs w:val="20"/>
              </w:rPr>
              <w:t>119,134,229.41</w:t>
            </w:r>
          </w:p>
        </w:tc>
      </w:tr>
    </w:tbl>
    <w:p w:rsidR="00034C83" w:rsidRPr="00131992" w:rsidRDefault="00034C83" w:rsidP="00376F59">
      <w:pPr>
        <w:spacing w:after="0"/>
        <w:jc w:val="both"/>
        <w:rPr>
          <w:rFonts w:ascii="Barlow" w:hAnsi="Barlow" w:cstheme="minorHAnsi"/>
          <w:sz w:val="20"/>
          <w:szCs w:val="20"/>
          <w:lang w:val="es-ES"/>
        </w:rPr>
      </w:pPr>
    </w:p>
    <w:p w:rsidR="00034C83" w:rsidRPr="00131992" w:rsidRDefault="00034C83" w:rsidP="00376F59">
      <w:pPr>
        <w:spacing w:after="0"/>
        <w:jc w:val="both"/>
        <w:rPr>
          <w:rFonts w:ascii="Barlow" w:hAnsi="Barlow" w:cstheme="minorHAnsi"/>
          <w:sz w:val="20"/>
          <w:szCs w:val="20"/>
          <w:lang w:val="es-ES"/>
        </w:rPr>
      </w:pPr>
    </w:p>
    <w:p w:rsidR="00E44253" w:rsidRPr="00131992" w:rsidRDefault="00E44253" w:rsidP="00376F59">
      <w:pPr>
        <w:spacing w:after="0"/>
        <w:jc w:val="both"/>
        <w:rPr>
          <w:rFonts w:ascii="Barlow" w:hAnsi="Barlow" w:cstheme="minorHAnsi"/>
          <w:sz w:val="20"/>
          <w:szCs w:val="20"/>
          <w:lang w:val="es-ES"/>
        </w:rPr>
      </w:pPr>
    </w:p>
    <w:p w:rsidR="00E44253" w:rsidRPr="00131992" w:rsidRDefault="00E44253" w:rsidP="00376F59">
      <w:pPr>
        <w:spacing w:after="0"/>
        <w:jc w:val="both"/>
        <w:rPr>
          <w:rFonts w:ascii="Barlow" w:hAnsi="Barlow" w:cstheme="minorHAnsi"/>
          <w:sz w:val="20"/>
          <w:szCs w:val="20"/>
          <w:lang w:val="es-ES"/>
        </w:rPr>
      </w:pPr>
    </w:p>
    <w:p w:rsidR="00E44253" w:rsidRPr="00131992" w:rsidRDefault="00E44253" w:rsidP="00376F59">
      <w:pPr>
        <w:spacing w:after="0"/>
        <w:jc w:val="both"/>
        <w:rPr>
          <w:rFonts w:ascii="Barlow" w:hAnsi="Barlow" w:cstheme="minorHAnsi"/>
          <w:sz w:val="20"/>
          <w:szCs w:val="20"/>
          <w:lang w:val="es-ES"/>
        </w:rPr>
      </w:pPr>
    </w:p>
    <w:p w:rsidR="00376F59" w:rsidRPr="00131992" w:rsidRDefault="00376F59" w:rsidP="00376F59">
      <w:pPr>
        <w:pStyle w:val="Texto"/>
        <w:spacing w:line="224" w:lineRule="exact"/>
        <w:rPr>
          <w:rFonts w:ascii="Barlow" w:hAnsi="Barlow" w:cstheme="minorHAnsi"/>
          <w:b/>
          <w:smallCaps/>
          <w:sz w:val="20"/>
        </w:rPr>
      </w:pPr>
      <w:r w:rsidRPr="00131992">
        <w:rPr>
          <w:rFonts w:ascii="Barlow" w:hAnsi="Barlow" w:cstheme="minorHAnsi"/>
          <w:b/>
          <w:smallCaps/>
          <w:sz w:val="20"/>
        </w:rPr>
        <w:t>IV)</w:t>
      </w:r>
      <w:r w:rsidRPr="00131992">
        <w:rPr>
          <w:rFonts w:ascii="Barlow" w:hAnsi="Barlow" w:cstheme="minorHAnsi"/>
          <w:b/>
          <w:smallCaps/>
          <w:sz w:val="20"/>
        </w:rPr>
        <w:tab/>
        <w:t>Notas al Estado de Flujos de Efectivo</w:t>
      </w:r>
    </w:p>
    <w:p w:rsidR="00AC0389" w:rsidRPr="00131992" w:rsidRDefault="00AC0389" w:rsidP="00376F59">
      <w:pPr>
        <w:pStyle w:val="Texto"/>
        <w:spacing w:line="224" w:lineRule="exact"/>
        <w:ind w:firstLine="0"/>
        <w:rPr>
          <w:rFonts w:ascii="Barlow" w:hAnsi="Barlow" w:cstheme="minorHAnsi"/>
          <w:b/>
          <w:sz w:val="20"/>
        </w:rPr>
      </w:pPr>
    </w:p>
    <w:p w:rsidR="00376F59" w:rsidRPr="00131992" w:rsidRDefault="00376F59" w:rsidP="00376F59">
      <w:pPr>
        <w:pStyle w:val="Texto"/>
        <w:spacing w:line="224" w:lineRule="exact"/>
        <w:ind w:firstLine="0"/>
        <w:rPr>
          <w:rFonts w:ascii="Barlow" w:hAnsi="Barlow" w:cstheme="minorHAnsi"/>
          <w:b/>
          <w:sz w:val="20"/>
          <w:lang w:val="es-MX"/>
        </w:rPr>
      </w:pPr>
      <w:r w:rsidRPr="00131992">
        <w:rPr>
          <w:rFonts w:ascii="Barlow" w:hAnsi="Barlow" w:cstheme="minorHAnsi"/>
          <w:b/>
          <w:sz w:val="20"/>
          <w:lang w:val="es-MX"/>
        </w:rPr>
        <w:t>Efectivo y equivalentes</w:t>
      </w:r>
    </w:p>
    <w:p w:rsidR="00376F59" w:rsidRPr="00131992" w:rsidRDefault="00135B9A" w:rsidP="00376F59">
      <w:pPr>
        <w:spacing w:after="0"/>
        <w:jc w:val="both"/>
        <w:rPr>
          <w:rFonts w:ascii="Barlow" w:hAnsi="Barlow" w:cstheme="minorHAnsi"/>
          <w:sz w:val="20"/>
          <w:szCs w:val="20"/>
        </w:rPr>
      </w:pPr>
      <w:r w:rsidRPr="00131992">
        <w:rPr>
          <w:rFonts w:ascii="Barlow" w:hAnsi="Barlow" w:cstheme="minorHAnsi"/>
          <w:sz w:val="20"/>
          <w:szCs w:val="20"/>
        </w:rPr>
        <w:t xml:space="preserve">El efectivo y Equivalentes </w:t>
      </w:r>
      <w:r w:rsidR="0087324C" w:rsidRPr="00131992">
        <w:rPr>
          <w:rFonts w:ascii="Barlow" w:hAnsi="Barlow" w:cstheme="minorHAnsi"/>
          <w:sz w:val="20"/>
          <w:szCs w:val="20"/>
        </w:rPr>
        <w:t xml:space="preserve">del instituto de Infraestructura Carretera de </w:t>
      </w:r>
      <w:r w:rsidR="00F479A6" w:rsidRPr="00131992">
        <w:rPr>
          <w:rFonts w:ascii="Barlow" w:hAnsi="Barlow" w:cstheme="minorHAnsi"/>
          <w:sz w:val="20"/>
          <w:szCs w:val="20"/>
        </w:rPr>
        <w:t>Yucatán</w:t>
      </w:r>
      <w:r w:rsidR="00376F59" w:rsidRPr="00131992">
        <w:rPr>
          <w:rFonts w:ascii="Barlow" w:hAnsi="Barlow" w:cstheme="minorHAnsi"/>
          <w:sz w:val="20"/>
          <w:szCs w:val="20"/>
        </w:rPr>
        <w:t xml:space="preserve"> por el período comprendido al </w:t>
      </w:r>
      <w:r w:rsidR="00C30893" w:rsidRPr="00131992">
        <w:rPr>
          <w:rFonts w:ascii="Barlow" w:hAnsi="Barlow" w:cstheme="minorHAnsi"/>
          <w:sz w:val="20"/>
          <w:szCs w:val="20"/>
        </w:rPr>
        <w:t>31</w:t>
      </w:r>
      <w:r w:rsidR="00930A89" w:rsidRPr="00131992">
        <w:rPr>
          <w:rFonts w:ascii="Barlow" w:hAnsi="Barlow" w:cstheme="minorHAnsi"/>
          <w:sz w:val="20"/>
          <w:szCs w:val="20"/>
        </w:rPr>
        <w:t xml:space="preserve"> de </w:t>
      </w:r>
      <w:r w:rsidR="00C30893" w:rsidRPr="00131992">
        <w:rPr>
          <w:rFonts w:ascii="Barlow" w:hAnsi="Barlow" w:cstheme="minorHAnsi"/>
          <w:sz w:val="20"/>
          <w:szCs w:val="20"/>
        </w:rPr>
        <w:t>Marz</w:t>
      </w:r>
      <w:r w:rsidR="00401F42" w:rsidRPr="00131992">
        <w:rPr>
          <w:rFonts w:ascii="Barlow" w:hAnsi="Barlow" w:cstheme="minorHAnsi"/>
          <w:sz w:val="20"/>
          <w:szCs w:val="20"/>
        </w:rPr>
        <w:t>o</w:t>
      </w:r>
      <w:r w:rsidR="002C5B18" w:rsidRPr="00131992">
        <w:rPr>
          <w:rFonts w:ascii="Barlow" w:hAnsi="Barlow" w:cstheme="minorHAnsi"/>
          <w:sz w:val="20"/>
          <w:szCs w:val="20"/>
        </w:rPr>
        <w:t xml:space="preserve"> de 201</w:t>
      </w:r>
      <w:r w:rsidR="00401F42" w:rsidRPr="00131992">
        <w:rPr>
          <w:rFonts w:ascii="Barlow" w:hAnsi="Barlow" w:cstheme="minorHAnsi"/>
          <w:sz w:val="20"/>
          <w:szCs w:val="20"/>
        </w:rPr>
        <w:t>9</w:t>
      </w:r>
      <w:r w:rsidR="00376F59" w:rsidRPr="00131992">
        <w:rPr>
          <w:rFonts w:ascii="Barlow" w:hAnsi="Barlow" w:cstheme="minorHAnsi"/>
          <w:sz w:val="20"/>
          <w:szCs w:val="20"/>
        </w:rPr>
        <w:t xml:space="preserve"> se integran de la siguiente manera:</w:t>
      </w:r>
    </w:p>
    <w:p w:rsidR="0087324C" w:rsidRPr="00131992" w:rsidRDefault="0087324C" w:rsidP="00376F59">
      <w:pPr>
        <w:spacing w:after="0"/>
        <w:jc w:val="both"/>
        <w:rPr>
          <w:rFonts w:ascii="Barlow" w:hAnsi="Barlow" w:cstheme="minorHAnsi"/>
          <w:sz w:val="20"/>
          <w:szCs w:val="20"/>
        </w:rPr>
      </w:pPr>
    </w:p>
    <w:p w:rsidR="00376F59" w:rsidRPr="00131992" w:rsidRDefault="00376F59" w:rsidP="00376F59">
      <w:pPr>
        <w:spacing w:after="0"/>
        <w:jc w:val="both"/>
        <w:rPr>
          <w:rFonts w:ascii="Barlow" w:hAnsi="Barlow" w:cstheme="minorHAnsi"/>
          <w:b/>
          <w:sz w:val="20"/>
          <w:szCs w:val="20"/>
          <w:lang w:val="es-ES"/>
        </w:rPr>
      </w:pPr>
    </w:p>
    <w:p w:rsidR="002837FA" w:rsidRPr="00131992" w:rsidRDefault="002837FA" w:rsidP="00376F59">
      <w:pPr>
        <w:spacing w:after="0"/>
        <w:jc w:val="both"/>
        <w:rPr>
          <w:rFonts w:ascii="Barlow" w:hAnsi="Barlow" w:cstheme="minorHAnsi"/>
          <w:b/>
          <w:sz w:val="20"/>
          <w:szCs w:val="20"/>
          <w:lang w:val="es-ES"/>
        </w:rPr>
      </w:pPr>
    </w:p>
    <w:p w:rsidR="00973913" w:rsidRPr="00131992" w:rsidRDefault="00973913" w:rsidP="00376F59">
      <w:pPr>
        <w:spacing w:after="0"/>
        <w:jc w:val="both"/>
        <w:rPr>
          <w:rFonts w:ascii="Barlow" w:hAnsi="Barlow" w:cstheme="minorHAnsi"/>
          <w:b/>
          <w:sz w:val="20"/>
          <w:szCs w:val="20"/>
          <w:lang w:val="es-ES"/>
        </w:rPr>
      </w:pPr>
    </w:p>
    <w:tbl>
      <w:tblPr>
        <w:tblStyle w:val="Tablaconcuadrcula"/>
        <w:tblW w:w="0" w:type="auto"/>
        <w:tblInd w:w="-5" w:type="dxa"/>
        <w:tblLook w:val="04A0" w:firstRow="1" w:lastRow="0" w:firstColumn="1" w:lastColumn="0" w:noHBand="0" w:noVBand="1"/>
      </w:tblPr>
      <w:tblGrid>
        <w:gridCol w:w="3969"/>
        <w:gridCol w:w="2552"/>
        <w:gridCol w:w="2410"/>
      </w:tblGrid>
      <w:tr w:rsidR="00973913" w:rsidRPr="00131992" w:rsidTr="002474B9">
        <w:tc>
          <w:tcPr>
            <w:tcW w:w="3969" w:type="dxa"/>
            <w:tcBorders>
              <w:top w:val="single" w:sz="4" w:space="0" w:color="auto"/>
              <w:left w:val="single" w:sz="4" w:space="0" w:color="auto"/>
              <w:bottom w:val="single" w:sz="4" w:space="0" w:color="auto"/>
              <w:right w:val="single" w:sz="4" w:space="0" w:color="auto"/>
            </w:tcBorders>
          </w:tcPr>
          <w:p w:rsidR="00973913" w:rsidRPr="00131992" w:rsidRDefault="00973913" w:rsidP="00DD3C95">
            <w:pPr>
              <w:jc w:val="both"/>
              <w:rPr>
                <w:rFonts w:ascii="Barlow" w:hAnsi="Barlow" w:cstheme="minorHAnsi"/>
                <w:bCs/>
              </w:rPr>
            </w:pPr>
            <w:r w:rsidRPr="00131992">
              <w:rPr>
                <w:rFonts w:ascii="Barlow" w:hAnsi="Barlow" w:cstheme="minorHAnsi"/>
                <w:bCs/>
              </w:rPr>
              <w:t>NOMBRE</w:t>
            </w:r>
          </w:p>
        </w:tc>
        <w:tc>
          <w:tcPr>
            <w:tcW w:w="2552" w:type="dxa"/>
            <w:tcBorders>
              <w:left w:val="single" w:sz="4" w:space="0" w:color="auto"/>
              <w:bottom w:val="single" w:sz="4" w:space="0" w:color="auto"/>
            </w:tcBorders>
          </w:tcPr>
          <w:p w:rsidR="00973913" w:rsidRPr="00131992" w:rsidRDefault="000C52A0" w:rsidP="002474B9">
            <w:pPr>
              <w:jc w:val="both"/>
              <w:rPr>
                <w:rFonts w:ascii="Barlow" w:hAnsi="Barlow" w:cstheme="minorHAnsi"/>
                <w:bCs/>
              </w:rPr>
            </w:pPr>
            <w:r w:rsidRPr="00131992">
              <w:rPr>
                <w:rFonts w:ascii="Barlow" w:hAnsi="Barlow" w:cstheme="minorHAnsi"/>
                <w:bCs/>
              </w:rPr>
              <w:t>31 DE MARZO</w:t>
            </w:r>
            <w:r w:rsidR="002474B9" w:rsidRPr="00131992">
              <w:rPr>
                <w:rFonts w:ascii="Barlow" w:hAnsi="Barlow" w:cstheme="minorHAnsi"/>
                <w:bCs/>
              </w:rPr>
              <w:t xml:space="preserve"> 2019</w:t>
            </w:r>
          </w:p>
        </w:tc>
        <w:tc>
          <w:tcPr>
            <w:tcW w:w="2410" w:type="dxa"/>
            <w:tcBorders>
              <w:top w:val="single" w:sz="4" w:space="0" w:color="auto"/>
              <w:bottom w:val="single" w:sz="4" w:space="0" w:color="auto"/>
              <w:right w:val="single" w:sz="4" w:space="0" w:color="auto"/>
            </w:tcBorders>
          </w:tcPr>
          <w:p w:rsidR="00973913" w:rsidRPr="00131992" w:rsidRDefault="000C52A0" w:rsidP="00DD3C95">
            <w:pPr>
              <w:jc w:val="both"/>
              <w:rPr>
                <w:rFonts w:ascii="Barlow" w:hAnsi="Barlow" w:cstheme="minorHAnsi"/>
                <w:bCs/>
              </w:rPr>
            </w:pPr>
            <w:r w:rsidRPr="00131992">
              <w:rPr>
                <w:rFonts w:ascii="Barlow" w:hAnsi="Barlow" w:cstheme="minorHAnsi"/>
                <w:bCs/>
              </w:rPr>
              <w:t>31 DE MARZO</w:t>
            </w:r>
            <w:r w:rsidR="002474B9" w:rsidRPr="00131992">
              <w:rPr>
                <w:rFonts w:ascii="Barlow" w:hAnsi="Barlow" w:cstheme="minorHAnsi"/>
                <w:bCs/>
              </w:rPr>
              <w:t xml:space="preserve"> 2018</w:t>
            </w:r>
          </w:p>
        </w:tc>
      </w:tr>
      <w:tr w:rsidR="00973913" w:rsidRPr="00131992" w:rsidTr="002474B9">
        <w:tc>
          <w:tcPr>
            <w:tcW w:w="3969" w:type="dxa"/>
            <w:tcBorders>
              <w:top w:val="single" w:sz="4" w:space="0" w:color="auto"/>
              <w:left w:val="single" w:sz="4" w:space="0" w:color="auto"/>
              <w:bottom w:val="single" w:sz="4" w:space="0" w:color="auto"/>
            </w:tcBorders>
          </w:tcPr>
          <w:p w:rsidR="00973913" w:rsidRPr="00131992" w:rsidRDefault="003652C4" w:rsidP="00DD3C95">
            <w:pPr>
              <w:jc w:val="both"/>
              <w:rPr>
                <w:rFonts w:ascii="Barlow" w:hAnsi="Barlow" w:cstheme="minorHAnsi"/>
                <w:bCs/>
              </w:rPr>
            </w:pPr>
            <w:r w:rsidRPr="00131992">
              <w:rPr>
                <w:rFonts w:ascii="Barlow" w:hAnsi="Barlow" w:cstheme="minorHAnsi"/>
                <w:bCs/>
              </w:rPr>
              <w:t>EFECTIVO</w:t>
            </w:r>
          </w:p>
        </w:tc>
        <w:tc>
          <w:tcPr>
            <w:tcW w:w="2552" w:type="dxa"/>
            <w:tcBorders>
              <w:top w:val="single" w:sz="4" w:space="0" w:color="auto"/>
              <w:bottom w:val="single" w:sz="4" w:space="0" w:color="auto"/>
            </w:tcBorders>
          </w:tcPr>
          <w:p w:rsidR="00973913" w:rsidRPr="00131992" w:rsidRDefault="002474B9" w:rsidP="00DD3C95">
            <w:pPr>
              <w:jc w:val="both"/>
              <w:rPr>
                <w:rFonts w:ascii="Barlow" w:hAnsi="Barlow" w:cstheme="minorHAnsi"/>
                <w:bCs/>
              </w:rPr>
            </w:pPr>
            <w:r w:rsidRPr="00131992">
              <w:rPr>
                <w:rFonts w:ascii="Barlow" w:hAnsi="Barlow" w:cstheme="minorHAnsi"/>
                <w:bCs/>
              </w:rPr>
              <w:t xml:space="preserve">                         20,000.00</w:t>
            </w:r>
          </w:p>
        </w:tc>
        <w:tc>
          <w:tcPr>
            <w:tcW w:w="2410" w:type="dxa"/>
            <w:tcBorders>
              <w:top w:val="single" w:sz="4" w:space="0" w:color="auto"/>
              <w:bottom w:val="single" w:sz="4" w:space="0" w:color="auto"/>
              <w:right w:val="single" w:sz="4" w:space="0" w:color="auto"/>
            </w:tcBorders>
          </w:tcPr>
          <w:p w:rsidR="00973913" w:rsidRPr="00131992" w:rsidRDefault="002474B9" w:rsidP="00DD3C95">
            <w:pPr>
              <w:jc w:val="both"/>
              <w:rPr>
                <w:rFonts w:ascii="Barlow" w:hAnsi="Barlow" w:cstheme="minorHAnsi"/>
                <w:bCs/>
              </w:rPr>
            </w:pPr>
            <w:r w:rsidRPr="00131992">
              <w:rPr>
                <w:rFonts w:ascii="Barlow" w:hAnsi="Barlow" w:cstheme="minorHAnsi"/>
                <w:bCs/>
              </w:rPr>
              <w:t xml:space="preserve">                           20,000.00</w:t>
            </w:r>
          </w:p>
        </w:tc>
      </w:tr>
      <w:tr w:rsidR="00973913" w:rsidRPr="00131992" w:rsidTr="002474B9">
        <w:tc>
          <w:tcPr>
            <w:tcW w:w="3969" w:type="dxa"/>
            <w:tcBorders>
              <w:top w:val="single" w:sz="4" w:space="0" w:color="auto"/>
              <w:left w:val="single" w:sz="4" w:space="0" w:color="auto"/>
              <w:bottom w:val="single" w:sz="4" w:space="0" w:color="auto"/>
            </w:tcBorders>
          </w:tcPr>
          <w:p w:rsidR="00973913" w:rsidRPr="00131992" w:rsidRDefault="003652C4" w:rsidP="00DD3C95">
            <w:pPr>
              <w:jc w:val="both"/>
              <w:rPr>
                <w:rFonts w:ascii="Barlow" w:hAnsi="Barlow" w:cstheme="minorHAnsi"/>
                <w:bCs/>
              </w:rPr>
            </w:pPr>
            <w:r w:rsidRPr="00131992">
              <w:rPr>
                <w:rFonts w:ascii="Barlow" w:hAnsi="Barlow" w:cstheme="minorHAnsi"/>
                <w:bCs/>
              </w:rPr>
              <w:t>BANCOS</w:t>
            </w:r>
          </w:p>
        </w:tc>
        <w:tc>
          <w:tcPr>
            <w:tcW w:w="2552" w:type="dxa"/>
            <w:tcBorders>
              <w:top w:val="single" w:sz="4" w:space="0" w:color="auto"/>
              <w:bottom w:val="single" w:sz="4" w:space="0" w:color="auto"/>
            </w:tcBorders>
          </w:tcPr>
          <w:p w:rsidR="00973913" w:rsidRPr="00131992" w:rsidRDefault="00C30893" w:rsidP="00871185">
            <w:pPr>
              <w:jc w:val="both"/>
              <w:rPr>
                <w:rFonts w:ascii="Barlow" w:hAnsi="Barlow" w:cstheme="minorHAnsi"/>
                <w:bCs/>
              </w:rPr>
            </w:pPr>
            <w:r w:rsidRPr="00131992">
              <w:rPr>
                <w:rFonts w:ascii="Barlow" w:hAnsi="Barlow" w:cstheme="minorHAnsi"/>
                <w:bCs/>
              </w:rPr>
              <w:t xml:space="preserve">                  33,499,105.20</w:t>
            </w:r>
          </w:p>
        </w:tc>
        <w:tc>
          <w:tcPr>
            <w:tcW w:w="2410" w:type="dxa"/>
            <w:tcBorders>
              <w:top w:val="single" w:sz="4" w:space="0" w:color="auto"/>
              <w:bottom w:val="single" w:sz="4" w:space="0" w:color="auto"/>
              <w:right w:val="single" w:sz="4" w:space="0" w:color="auto"/>
            </w:tcBorders>
          </w:tcPr>
          <w:p w:rsidR="00973913" w:rsidRPr="00131992" w:rsidRDefault="00D06A10" w:rsidP="001D343C">
            <w:pPr>
              <w:jc w:val="both"/>
              <w:rPr>
                <w:rFonts w:ascii="Barlow" w:hAnsi="Barlow" w:cstheme="minorHAnsi"/>
                <w:bCs/>
              </w:rPr>
            </w:pPr>
            <w:r w:rsidRPr="00131992">
              <w:rPr>
                <w:rFonts w:ascii="Barlow" w:hAnsi="Barlow" w:cstheme="minorHAnsi"/>
                <w:b/>
                <w:bCs/>
              </w:rPr>
              <w:t xml:space="preserve">                  </w:t>
            </w:r>
            <w:r w:rsidR="00926CED" w:rsidRPr="00131992">
              <w:rPr>
                <w:rFonts w:ascii="Barlow" w:hAnsi="Barlow" w:cstheme="minorHAnsi"/>
                <w:bCs/>
              </w:rPr>
              <w:t>49,423,715.09</w:t>
            </w:r>
          </w:p>
        </w:tc>
      </w:tr>
      <w:tr w:rsidR="00973913" w:rsidRPr="00131992" w:rsidTr="002474B9">
        <w:tc>
          <w:tcPr>
            <w:tcW w:w="3969" w:type="dxa"/>
            <w:tcBorders>
              <w:top w:val="single" w:sz="4" w:space="0" w:color="auto"/>
              <w:left w:val="single" w:sz="4" w:space="0" w:color="auto"/>
              <w:bottom w:val="single" w:sz="4" w:space="0" w:color="auto"/>
            </w:tcBorders>
          </w:tcPr>
          <w:p w:rsidR="00973913" w:rsidRPr="00131992" w:rsidRDefault="003652C4" w:rsidP="003652C4">
            <w:pPr>
              <w:rPr>
                <w:rFonts w:ascii="Barlow" w:hAnsi="Barlow" w:cstheme="minorHAnsi"/>
                <w:b/>
                <w:bCs/>
              </w:rPr>
            </w:pPr>
            <w:r w:rsidRPr="00131992">
              <w:rPr>
                <w:rFonts w:ascii="Barlow" w:hAnsi="Barlow" w:cstheme="minorHAnsi"/>
                <w:b/>
                <w:bCs/>
              </w:rPr>
              <w:t>TOTAL EFECTIVO Y EQUIVALENTES</w:t>
            </w:r>
          </w:p>
        </w:tc>
        <w:tc>
          <w:tcPr>
            <w:tcW w:w="2552" w:type="dxa"/>
            <w:tcBorders>
              <w:top w:val="single" w:sz="4" w:space="0" w:color="auto"/>
              <w:bottom w:val="single" w:sz="4" w:space="0" w:color="auto"/>
            </w:tcBorders>
          </w:tcPr>
          <w:p w:rsidR="00973913" w:rsidRPr="00131992" w:rsidRDefault="00926CED" w:rsidP="005F234E">
            <w:pPr>
              <w:jc w:val="both"/>
              <w:rPr>
                <w:rFonts w:ascii="Barlow" w:hAnsi="Barlow" w:cstheme="minorHAnsi"/>
                <w:bCs/>
              </w:rPr>
            </w:pPr>
            <w:r w:rsidRPr="00131992">
              <w:rPr>
                <w:rFonts w:ascii="Barlow" w:hAnsi="Barlow" w:cstheme="minorHAnsi"/>
                <w:bCs/>
              </w:rPr>
              <w:t xml:space="preserve">                  33,519,105.20</w:t>
            </w:r>
          </w:p>
        </w:tc>
        <w:tc>
          <w:tcPr>
            <w:tcW w:w="2410" w:type="dxa"/>
            <w:tcBorders>
              <w:top w:val="single" w:sz="4" w:space="0" w:color="auto"/>
              <w:bottom w:val="single" w:sz="4" w:space="0" w:color="auto"/>
              <w:right w:val="single" w:sz="4" w:space="0" w:color="auto"/>
            </w:tcBorders>
          </w:tcPr>
          <w:p w:rsidR="00973913" w:rsidRPr="00131992" w:rsidRDefault="00D06A10" w:rsidP="00DD3C95">
            <w:pPr>
              <w:jc w:val="both"/>
              <w:rPr>
                <w:rFonts w:ascii="Barlow" w:hAnsi="Barlow" w:cstheme="minorHAnsi"/>
                <w:bCs/>
              </w:rPr>
            </w:pPr>
            <w:r w:rsidRPr="00131992">
              <w:rPr>
                <w:rFonts w:ascii="Barlow" w:hAnsi="Barlow" w:cstheme="minorHAnsi"/>
                <w:b/>
                <w:bCs/>
              </w:rPr>
              <w:t xml:space="preserve">                  </w:t>
            </w:r>
            <w:r w:rsidR="00926CED" w:rsidRPr="00131992">
              <w:rPr>
                <w:rFonts w:ascii="Barlow" w:hAnsi="Barlow" w:cstheme="minorHAnsi"/>
                <w:bCs/>
              </w:rPr>
              <w:t>49,443,715.09</w:t>
            </w:r>
          </w:p>
        </w:tc>
      </w:tr>
    </w:tbl>
    <w:p w:rsidR="00973913" w:rsidRPr="00131992" w:rsidRDefault="00973913" w:rsidP="00376F59">
      <w:pPr>
        <w:spacing w:after="0"/>
        <w:jc w:val="both"/>
        <w:rPr>
          <w:rFonts w:ascii="Barlow" w:hAnsi="Barlow" w:cstheme="minorHAnsi"/>
          <w:b/>
          <w:sz w:val="20"/>
          <w:szCs w:val="20"/>
          <w:lang w:val="es-ES"/>
        </w:rPr>
      </w:pPr>
    </w:p>
    <w:p w:rsidR="00973913" w:rsidRPr="00131992" w:rsidRDefault="00973913" w:rsidP="00376F59">
      <w:pPr>
        <w:spacing w:after="0"/>
        <w:jc w:val="both"/>
        <w:rPr>
          <w:rFonts w:ascii="Barlow" w:hAnsi="Barlow" w:cstheme="minorHAnsi"/>
          <w:b/>
          <w:sz w:val="20"/>
          <w:szCs w:val="20"/>
          <w:lang w:val="es-ES"/>
        </w:rPr>
      </w:pPr>
    </w:p>
    <w:p w:rsidR="00973913" w:rsidRPr="00131992" w:rsidRDefault="00973913" w:rsidP="00376F59">
      <w:pPr>
        <w:spacing w:after="0"/>
        <w:jc w:val="both"/>
        <w:rPr>
          <w:rFonts w:ascii="Barlow" w:hAnsi="Barlow" w:cstheme="minorHAnsi"/>
          <w:b/>
          <w:sz w:val="20"/>
          <w:szCs w:val="20"/>
          <w:lang w:val="es-ES"/>
        </w:rPr>
      </w:pPr>
    </w:p>
    <w:p w:rsidR="00973913" w:rsidRPr="00131992" w:rsidRDefault="00973913" w:rsidP="00376F59">
      <w:pPr>
        <w:spacing w:after="0"/>
        <w:jc w:val="both"/>
        <w:rPr>
          <w:rFonts w:ascii="Barlow" w:hAnsi="Barlow" w:cstheme="minorHAnsi"/>
          <w:b/>
          <w:sz w:val="20"/>
          <w:szCs w:val="20"/>
          <w:lang w:val="es-ES"/>
        </w:rPr>
      </w:pPr>
    </w:p>
    <w:p w:rsidR="00973913" w:rsidRPr="00131992" w:rsidRDefault="00973913" w:rsidP="00376F59">
      <w:pPr>
        <w:spacing w:after="0"/>
        <w:jc w:val="both"/>
        <w:rPr>
          <w:rFonts w:ascii="Barlow" w:hAnsi="Barlow" w:cstheme="minorHAnsi"/>
          <w:b/>
          <w:sz w:val="20"/>
          <w:szCs w:val="20"/>
          <w:lang w:val="es-ES"/>
        </w:rPr>
      </w:pPr>
    </w:p>
    <w:p w:rsidR="00973913" w:rsidRPr="00131992" w:rsidRDefault="00973913" w:rsidP="00376F59">
      <w:pPr>
        <w:spacing w:after="0"/>
        <w:jc w:val="both"/>
        <w:rPr>
          <w:rFonts w:ascii="Barlow" w:hAnsi="Barlow" w:cstheme="minorHAnsi"/>
          <w:b/>
          <w:sz w:val="20"/>
          <w:szCs w:val="20"/>
          <w:lang w:val="es-ES"/>
        </w:rPr>
      </w:pPr>
    </w:p>
    <w:p w:rsidR="00973913" w:rsidRDefault="00973913" w:rsidP="00376F59">
      <w:pPr>
        <w:spacing w:after="0"/>
        <w:jc w:val="both"/>
        <w:rPr>
          <w:rFonts w:ascii="Barlow" w:hAnsi="Barlow" w:cstheme="minorHAnsi"/>
          <w:b/>
          <w:sz w:val="20"/>
          <w:szCs w:val="20"/>
          <w:lang w:val="es-ES"/>
        </w:rPr>
      </w:pPr>
    </w:p>
    <w:p w:rsidR="00131992" w:rsidRPr="00131992" w:rsidRDefault="00131992" w:rsidP="00376F59">
      <w:pPr>
        <w:spacing w:after="0"/>
        <w:jc w:val="both"/>
        <w:rPr>
          <w:rFonts w:ascii="Barlow" w:hAnsi="Barlow" w:cstheme="minorHAnsi"/>
          <w:b/>
          <w:sz w:val="20"/>
          <w:szCs w:val="20"/>
          <w:lang w:val="es-ES"/>
        </w:rPr>
      </w:pPr>
    </w:p>
    <w:p w:rsidR="00376F59" w:rsidRPr="00131992" w:rsidRDefault="00376F59" w:rsidP="00376F59">
      <w:pPr>
        <w:spacing w:after="0"/>
        <w:jc w:val="both"/>
        <w:rPr>
          <w:rFonts w:ascii="Barlow" w:hAnsi="Barlow" w:cstheme="minorHAnsi"/>
          <w:b/>
          <w:sz w:val="20"/>
          <w:szCs w:val="20"/>
          <w:lang w:val="es-ES"/>
        </w:rPr>
      </w:pPr>
      <w:r w:rsidRPr="00131992">
        <w:rPr>
          <w:rFonts w:ascii="Barlow" w:hAnsi="Barlow" w:cstheme="minorHAnsi"/>
          <w:b/>
          <w:sz w:val="20"/>
          <w:szCs w:val="20"/>
          <w:lang w:val="es-ES"/>
        </w:rPr>
        <w:lastRenderedPageBreak/>
        <w:t>ADQUISICION DE BIENES MUEBLES</w:t>
      </w:r>
    </w:p>
    <w:p w:rsidR="00376F59" w:rsidRPr="00131992" w:rsidRDefault="009A0458" w:rsidP="00376F59">
      <w:pPr>
        <w:spacing w:after="0"/>
        <w:jc w:val="both"/>
        <w:rPr>
          <w:rFonts w:ascii="Barlow" w:hAnsi="Barlow" w:cstheme="minorHAnsi"/>
          <w:sz w:val="20"/>
          <w:szCs w:val="20"/>
        </w:rPr>
      </w:pPr>
      <w:r w:rsidRPr="00131992">
        <w:rPr>
          <w:rFonts w:ascii="Barlow" w:hAnsi="Barlow" w:cstheme="minorHAnsi"/>
          <w:sz w:val="20"/>
          <w:szCs w:val="20"/>
          <w:lang w:val="es-ES"/>
        </w:rPr>
        <w:t>S</w:t>
      </w:r>
      <w:r w:rsidR="00197566" w:rsidRPr="00131992">
        <w:rPr>
          <w:rFonts w:ascii="Barlow" w:hAnsi="Barlow" w:cstheme="minorHAnsi"/>
          <w:sz w:val="20"/>
          <w:szCs w:val="20"/>
          <w:lang w:val="es-ES"/>
        </w:rPr>
        <w:t>e</w:t>
      </w:r>
      <w:r w:rsidR="00081ACC" w:rsidRPr="00131992">
        <w:rPr>
          <w:rFonts w:ascii="Barlow" w:hAnsi="Barlow" w:cstheme="minorHAnsi"/>
          <w:sz w:val="20"/>
          <w:szCs w:val="20"/>
        </w:rPr>
        <w:t xml:space="preserve"> adquirieron</w:t>
      </w:r>
      <w:r w:rsidR="00376F59" w:rsidRPr="00131992">
        <w:rPr>
          <w:rFonts w:ascii="Barlow" w:hAnsi="Barlow" w:cstheme="minorHAnsi"/>
          <w:sz w:val="20"/>
          <w:szCs w:val="20"/>
        </w:rPr>
        <w:t xml:space="preserve"> bienes muebles</w:t>
      </w:r>
      <w:r w:rsidR="00197566" w:rsidRPr="00131992">
        <w:rPr>
          <w:rFonts w:ascii="Barlow" w:hAnsi="Barlow" w:cstheme="minorHAnsi"/>
          <w:sz w:val="20"/>
          <w:szCs w:val="20"/>
        </w:rPr>
        <w:t xml:space="preserve"> </w:t>
      </w:r>
      <w:r w:rsidRPr="00131992">
        <w:rPr>
          <w:rFonts w:ascii="Barlow" w:hAnsi="Barlow" w:cstheme="minorHAnsi"/>
          <w:sz w:val="20"/>
          <w:szCs w:val="20"/>
        </w:rPr>
        <w:t xml:space="preserve">$ </w:t>
      </w:r>
      <w:r w:rsidR="00926CED" w:rsidRPr="00131992">
        <w:rPr>
          <w:rFonts w:ascii="Barlow" w:hAnsi="Barlow" w:cstheme="minorHAnsi"/>
          <w:sz w:val="20"/>
          <w:szCs w:val="20"/>
        </w:rPr>
        <w:t>85,629.96</w:t>
      </w:r>
      <w:r w:rsidR="00DA29DF" w:rsidRPr="00131992">
        <w:rPr>
          <w:rFonts w:ascii="Barlow" w:hAnsi="Barlow" w:cstheme="minorHAnsi"/>
          <w:sz w:val="20"/>
          <w:szCs w:val="20"/>
        </w:rPr>
        <w:t xml:space="preserve"> </w:t>
      </w:r>
      <w:r w:rsidR="00376F59" w:rsidRPr="00131992">
        <w:rPr>
          <w:rFonts w:ascii="Barlow" w:hAnsi="Barlow" w:cstheme="minorHAnsi"/>
          <w:sz w:val="20"/>
          <w:szCs w:val="20"/>
        </w:rPr>
        <w:t>durante el periodo del 1</w:t>
      </w:r>
      <w:r w:rsidR="00B14602" w:rsidRPr="00131992">
        <w:rPr>
          <w:rFonts w:ascii="Barlow" w:hAnsi="Barlow" w:cstheme="minorHAnsi"/>
          <w:sz w:val="20"/>
          <w:szCs w:val="20"/>
        </w:rPr>
        <w:t xml:space="preserve">º </w:t>
      </w:r>
      <w:r w:rsidR="00231D94" w:rsidRPr="00131992">
        <w:rPr>
          <w:rFonts w:ascii="Barlow" w:hAnsi="Barlow" w:cstheme="minorHAnsi"/>
          <w:sz w:val="20"/>
          <w:szCs w:val="20"/>
        </w:rPr>
        <w:t xml:space="preserve"> </w:t>
      </w:r>
      <w:r w:rsidR="00B14602" w:rsidRPr="00131992">
        <w:rPr>
          <w:rFonts w:ascii="Barlow" w:hAnsi="Barlow" w:cstheme="minorHAnsi"/>
          <w:sz w:val="20"/>
          <w:szCs w:val="20"/>
        </w:rPr>
        <w:t>al</w:t>
      </w:r>
      <w:r w:rsidR="00376F59" w:rsidRPr="00131992">
        <w:rPr>
          <w:rFonts w:ascii="Barlow" w:hAnsi="Barlow" w:cstheme="minorHAnsi"/>
          <w:sz w:val="20"/>
          <w:szCs w:val="20"/>
        </w:rPr>
        <w:t xml:space="preserve"> </w:t>
      </w:r>
      <w:r w:rsidR="00926CED" w:rsidRPr="00131992">
        <w:rPr>
          <w:rFonts w:ascii="Barlow" w:hAnsi="Barlow" w:cstheme="minorHAnsi"/>
          <w:sz w:val="20"/>
          <w:szCs w:val="20"/>
        </w:rPr>
        <w:t>31</w:t>
      </w:r>
      <w:r w:rsidR="00930A89" w:rsidRPr="00131992">
        <w:rPr>
          <w:rFonts w:ascii="Barlow" w:hAnsi="Barlow" w:cstheme="minorHAnsi"/>
          <w:sz w:val="20"/>
          <w:szCs w:val="20"/>
        </w:rPr>
        <w:t xml:space="preserve"> de </w:t>
      </w:r>
      <w:r w:rsidR="00926CED" w:rsidRPr="00131992">
        <w:rPr>
          <w:rFonts w:ascii="Barlow" w:hAnsi="Barlow" w:cstheme="minorHAnsi"/>
          <w:sz w:val="20"/>
          <w:szCs w:val="20"/>
        </w:rPr>
        <w:t>Marz</w:t>
      </w:r>
      <w:r w:rsidR="005F234E" w:rsidRPr="00131992">
        <w:rPr>
          <w:rFonts w:ascii="Barlow" w:hAnsi="Barlow" w:cstheme="minorHAnsi"/>
          <w:sz w:val="20"/>
          <w:szCs w:val="20"/>
        </w:rPr>
        <w:t>o</w:t>
      </w:r>
      <w:r w:rsidR="002C5B18" w:rsidRPr="00131992">
        <w:rPr>
          <w:rFonts w:ascii="Barlow" w:hAnsi="Barlow" w:cstheme="minorHAnsi"/>
          <w:sz w:val="20"/>
          <w:szCs w:val="20"/>
        </w:rPr>
        <w:t xml:space="preserve"> de 201</w:t>
      </w:r>
      <w:r w:rsidR="005F234E" w:rsidRPr="00131992">
        <w:rPr>
          <w:rFonts w:ascii="Barlow" w:hAnsi="Barlow" w:cstheme="minorHAnsi"/>
          <w:sz w:val="20"/>
          <w:szCs w:val="20"/>
        </w:rPr>
        <w:t>9</w:t>
      </w:r>
      <w:r w:rsidR="00795AF9" w:rsidRPr="00131992">
        <w:rPr>
          <w:rFonts w:ascii="Barlow" w:hAnsi="Barlow" w:cstheme="minorHAnsi"/>
          <w:sz w:val="20"/>
          <w:szCs w:val="20"/>
        </w:rPr>
        <w:t>.</w:t>
      </w:r>
    </w:p>
    <w:p w:rsidR="0087324C" w:rsidRPr="00131992" w:rsidRDefault="0087324C" w:rsidP="00376F59">
      <w:pPr>
        <w:spacing w:after="0"/>
        <w:jc w:val="both"/>
        <w:rPr>
          <w:rFonts w:ascii="Barlow" w:hAnsi="Barlow" w:cstheme="minorHAnsi"/>
          <w:sz w:val="20"/>
          <w:szCs w:val="20"/>
        </w:rPr>
      </w:pPr>
    </w:p>
    <w:p w:rsidR="00376F59" w:rsidRPr="00131992" w:rsidRDefault="00376F59" w:rsidP="00376F59">
      <w:pPr>
        <w:pStyle w:val="Texto"/>
        <w:spacing w:line="224" w:lineRule="exact"/>
        <w:ind w:firstLine="0"/>
        <w:rPr>
          <w:rFonts w:ascii="Barlow" w:hAnsi="Barlow" w:cstheme="minorHAnsi"/>
          <w:b/>
          <w:sz w:val="20"/>
          <w:lang w:val="es-MX"/>
        </w:rPr>
      </w:pPr>
      <w:r w:rsidRPr="00131992">
        <w:rPr>
          <w:rFonts w:ascii="Barlow" w:hAnsi="Barlow" w:cstheme="minorHAnsi"/>
          <w:b/>
          <w:sz w:val="20"/>
          <w:lang w:val="es-MX"/>
        </w:rPr>
        <w:t>FLUJO DE EFECTIVO NETO:</w:t>
      </w:r>
    </w:p>
    <w:p w:rsidR="00376F59" w:rsidRPr="00131992" w:rsidRDefault="00376F59" w:rsidP="00376F59">
      <w:pPr>
        <w:spacing w:after="0"/>
        <w:jc w:val="both"/>
        <w:rPr>
          <w:rFonts w:ascii="Barlow" w:hAnsi="Barlow" w:cstheme="minorHAnsi"/>
          <w:sz w:val="20"/>
          <w:szCs w:val="20"/>
        </w:rPr>
      </w:pPr>
      <w:r w:rsidRPr="00131992">
        <w:rPr>
          <w:rFonts w:ascii="Barlow" w:hAnsi="Barlow" w:cstheme="minorHAnsi"/>
          <w:sz w:val="20"/>
          <w:szCs w:val="20"/>
        </w:rPr>
        <w:t>La conciliación de los flujos de Efectivo Netos de las activi</w:t>
      </w:r>
      <w:r w:rsidR="003F4F41" w:rsidRPr="00131992">
        <w:rPr>
          <w:rFonts w:ascii="Barlow" w:hAnsi="Barlow" w:cstheme="minorHAnsi"/>
          <w:sz w:val="20"/>
          <w:szCs w:val="20"/>
        </w:rPr>
        <w:t xml:space="preserve">dades de Operación </w:t>
      </w:r>
      <w:r w:rsidRPr="00131992">
        <w:rPr>
          <w:rFonts w:ascii="Barlow" w:hAnsi="Barlow" w:cstheme="minorHAnsi"/>
          <w:sz w:val="20"/>
          <w:szCs w:val="20"/>
        </w:rPr>
        <w:t xml:space="preserve"> se desglosa a continuación:</w:t>
      </w:r>
    </w:p>
    <w:p w:rsidR="00F479A6" w:rsidRPr="00131992" w:rsidRDefault="00F479A6" w:rsidP="00376F59">
      <w:pPr>
        <w:spacing w:after="0"/>
        <w:jc w:val="both"/>
        <w:rPr>
          <w:rFonts w:ascii="Barlow" w:hAnsi="Barlow" w:cstheme="minorHAnsi"/>
          <w:sz w:val="20"/>
          <w:szCs w:val="20"/>
        </w:rPr>
      </w:pPr>
    </w:p>
    <w:tbl>
      <w:tblPr>
        <w:tblStyle w:val="Tablaconcuadrcula1"/>
        <w:tblW w:w="0" w:type="auto"/>
        <w:tblLook w:val="04A0" w:firstRow="1" w:lastRow="0" w:firstColumn="1" w:lastColumn="0" w:noHBand="0" w:noVBand="1"/>
      </w:tblPr>
      <w:tblGrid>
        <w:gridCol w:w="7508"/>
        <w:gridCol w:w="2268"/>
        <w:gridCol w:w="1985"/>
      </w:tblGrid>
      <w:tr w:rsidR="00376834" w:rsidRPr="00131992" w:rsidTr="00301B8D">
        <w:tc>
          <w:tcPr>
            <w:tcW w:w="7508" w:type="dxa"/>
          </w:tcPr>
          <w:p w:rsidR="00376834" w:rsidRPr="00131992" w:rsidRDefault="00376834" w:rsidP="00376834">
            <w:pPr>
              <w:spacing w:after="101" w:line="224" w:lineRule="exact"/>
              <w:jc w:val="both"/>
              <w:rPr>
                <w:rFonts w:ascii="Barlow" w:hAnsi="Barlow" w:cstheme="minorHAnsi"/>
                <w:b/>
                <w:smallCaps/>
                <w:lang w:val="es-ES" w:eastAsia="es-ES"/>
              </w:rPr>
            </w:pPr>
            <w:r w:rsidRPr="00131992">
              <w:rPr>
                <w:rFonts w:ascii="Barlow" w:hAnsi="Barlow" w:cstheme="minorHAnsi"/>
                <w:b/>
                <w:smallCaps/>
                <w:lang w:val="es-ES" w:eastAsia="es-ES"/>
              </w:rPr>
              <w:t>CONCEPTO</w:t>
            </w:r>
          </w:p>
        </w:tc>
        <w:tc>
          <w:tcPr>
            <w:tcW w:w="2268" w:type="dxa"/>
          </w:tcPr>
          <w:p w:rsidR="00376834" w:rsidRPr="00131992" w:rsidRDefault="000C52A0" w:rsidP="00376834">
            <w:pPr>
              <w:spacing w:after="101" w:line="224" w:lineRule="exact"/>
              <w:jc w:val="both"/>
              <w:rPr>
                <w:rFonts w:ascii="Barlow" w:hAnsi="Barlow" w:cstheme="minorHAnsi"/>
                <w:b/>
                <w:smallCaps/>
                <w:lang w:val="es-ES" w:eastAsia="es-ES"/>
              </w:rPr>
            </w:pPr>
            <w:r w:rsidRPr="00131992">
              <w:rPr>
                <w:rFonts w:ascii="Barlow" w:hAnsi="Barlow" w:cstheme="minorHAnsi"/>
                <w:b/>
                <w:smallCaps/>
                <w:lang w:val="es-ES" w:eastAsia="es-ES"/>
              </w:rPr>
              <w:t>31 DE MARZ</w:t>
            </w:r>
            <w:r w:rsidR="00376834" w:rsidRPr="00131992">
              <w:rPr>
                <w:rFonts w:ascii="Barlow" w:hAnsi="Barlow" w:cstheme="minorHAnsi"/>
                <w:b/>
                <w:smallCaps/>
                <w:lang w:val="es-ES" w:eastAsia="es-ES"/>
              </w:rPr>
              <w:t>O 2019</w:t>
            </w:r>
          </w:p>
        </w:tc>
        <w:tc>
          <w:tcPr>
            <w:tcW w:w="1985" w:type="dxa"/>
          </w:tcPr>
          <w:p w:rsidR="00376834" w:rsidRPr="00131992" w:rsidRDefault="000C52A0" w:rsidP="00376834">
            <w:pPr>
              <w:spacing w:after="101" w:line="224" w:lineRule="exact"/>
              <w:jc w:val="both"/>
              <w:rPr>
                <w:rFonts w:ascii="Barlow" w:hAnsi="Barlow" w:cstheme="minorHAnsi"/>
                <w:b/>
                <w:smallCaps/>
                <w:lang w:val="es-ES" w:eastAsia="es-ES"/>
              </w:rPr>
            </w:pPr>
            <w:r w:rsidRPr="00131992">
              <w:rPr>
                <w:rFonts w:ascii="Barlow" w:hAnsi="Barlow" w:cstheme="minorHAnsi"/>
                <w:b/>
                <w:smallCaps/>
                <w:lang w:val="es-ES" w:eastAsia="es-ES"/>
              </w:rPr>
              <w:t>31 DE MARZ</w:t>
            </w:r>
            <w:r w:rsidR="00376834" w:rsidRPr="00131992">
              <w:rPr>
                <w:rFonts w:ascii="Barlow" w:hAnsi="Barlow" w:cstheme="minorHAnsi"/>
                <w:b/>
                <w:smallCaps/>
                <w:lang w:val="es-ES" w:eastAsia="es-ES"/>
              </w:rPr>
              <w:t>O 2018</w:t>
            </w:r>
          </w:p>
        </w:tc>
      </w:tr>
      <w:tr w:rsidR="00376834" w:rsidRPr="00131992" w:rsidTr="00301B8D">
        <w:tc>
          <w:tcPr>
            <w:tcW w:w="7508" w:type="dxa"/>
          </w:tcPr>
          <w:p w:rsidR="00376834" w:rsidRPr="00131992" w:rsidRDefault="00376834" w:rsidP="00376834">
            <w:pPr>
              <w:spacing w:after="101" w:line="224" w:lineRule="exact"/>
              <w:jc w:val="both"/>
              <w:rPr>
                <w:rFonts w:ascii="Barlow" w:hAnsi="Barlow" w:cstheme="minorHAnsi"/>
                <w:b/>
                <w:smallCaps/>
                <w:lang w:val="es-ES" w:eastAsia="es-ES"/>
              </w:rPr>
            </w:pPr>
            <w:r w:rsidRPr="00131992">
              <w:rPr>
                <w:rFonts w:ascii="Barlow" w:hAnsi="Barlow" w:cstheme="minorHAnsi"/>
                <w:b/>
                <w:smallCaps/>
                <w:lang w:val="es-ES" w:eastAsia="es-ES"/>
              </w:rPr>
              <w:t>FLUJOS NETOS DE EFECTIVO POR ACTIVIDADES DE OPERACION</w:t>
            </w:r>
          </w:p>
        </w:tc>
        <w:tc>
          <w:tcPr>
            <w:tcW w:w="2268" w:type="dxa"/>
          </w:tcPr>
          <w:p w:rsidR="00376834" w:rsidRPr="00131992" w:rsidRDefault="00D21991" w:rsidP="00376834">
            <w:pPr>
              <w:spacing w:after="101" w:line="224" w:lineRule="exact"/>
              <w:jc w:val="both"/>
              <w:rPr>
                <w:rFonts w:ascii="Barlow" w:hAnsi="Barlow" w:cstheme="minorHAnsi"/>
                <w:b/>
                <w:smallCaps/>
                <w:lang w:val="es-ES" w:eastAsia="es-ES"/>
              </w:rPr>
            </w:pPr>
            <w:r w:rsidRPr="00131992">
              <w:rPr>
                <w:rFonts w:ascii="Barlow" w:hAnsi="Barlow" w:cstheme="minorHAnsi"/>
                <w:b/>
                <w:smallCaps/>
                <w:lang w:val="es-ES" w:eastAsia="es-ES"/>
              </w:rPr>
              <w:t>4,723,390.61</w:t>
            </w:r>
          </w:p>
        </w:tc>
        <w:tc>
          <w:tcPr>
            <w:tcW w:w="1985" w:type="dxa"/>
          </w:tcPr>
          <w:p w:rsidR="00376834" w:rsidRPr="00131992" w:rsidRDefault="00D21991" w:rsidP="00376834">
            <w:pPr>
              <w:spacing w:after="101" w:line="224" w:lineRule="exact"/>
              <w:jc w:val="both"/>
              <w:rPr>
                <w:rFonts w:ascii="Barlow" w:hAnsi="Barlow" w:cstheme="minorHAnsi"/>
                <w:b/>
                <w:smallCaps/>
                <w:lang w:val="es-ES" w:eastAsia="es-ES"/>
              </w:rPr>
            </w:pPr>
            <w:r w:rsidRPr="00131992">
              <w:rPr>
                <w:rFonts w:ascii="Barlow" w:hAnsi="Barlow" w:cstheme="minorHAnsi"/>
                <w:b/>
                <w:smallCaps/>
                <w:lang w:val="es-ES" w:eastAsia="es-ES"/>
              </w:rPr>
              <w:t>26,558,670.47</w:t>
            </w:r>
          </w:p>
        </w:tc>
      </w:tr>
      <w:tr w:rsidR="00376834" w:rsidRPr="00131992" w:rsidTr="00301B8D">
        <w:tc>
          <w:tcPr>
            <w:tcW w:w="7508" w:type="dxa"/>
          </w:tcPr>
          <w:p w:rsidR="00376834" w:rsidRPr="00131992" w:rsidRDefault="00376834" w:rsidP="00376834">
            <w:pPr>
              <w:spacing w:after="101" w:line="224" w:lineRule="exact"/>
              <w:jc w:val="both"/>
              <w:rPr>
                <w:rFonts w:ascii="Barlow" w:hAnsi="Barlow" w:cstheme="minorHAnsi"/>
                <w:b/>
                <w:smallCaps/>
                <w:lang w:val="es-ES" w:eastAsia="es-ES"/>
              </w:rPr>
            </w:pPr>
            <w:r w:rsidRPr="00131992">
              <w:rPr>
                <w:rFonts w:ascii="Barlow" w:hAnsi="Barlow" w:cstheme="minorHAnsi"/>
                <w:b/>
                <w:smallCaps/>
                <w:lang w:val="es-ES" w:eastAsia="es-ES"/>
              </w:rPr>
              <w:t>FLUJOS NETOS DE EFECTIVO POR ACTIVIDADES DE INVERSION</w:t>
            </w:r>
          </w:p>
        </w:tc>
        <w:tc>
          <w:tcPr>
            <w:tcW w:w="2268" w:type="dxa"/>
          </w:tcPr>
          <w:p w:rsidR="00376834" w:rsidRPr="00131992" w:rsidRDefault="00D21991" w:rsidP="00376834">
            <w:pPr>
              <w:spacing w:after="101" w:line="224" w:lineRule="exact"/>
              <w:jc w:val="both"/>
              <w:rPr>
                <w:rFonts w:ascii="Barlow" w:hAnsi="Barlow" w:cstheme="minorHAnsi"/>
                <w:b/>
                <w:smallCaps/>
                <w:lang w:val="es-ES" w:eastAsia="es-ES"/>
              </w:rPr>
            </w:pPr>
            <w:r w:rsidRPr="00131992">
              <w:rPr>
                <w:rFonts w:ascii="Barlow" w:hAnsi="Barlow" w:cstheme="minorHAnsi"/>
                <w:b/>
                <w:smallCaps/>
                <w:lang w:val="es-ES" w:eastAsia="es-ES"/>
              </w:rPr>
              <w:t>30,320,796.73</w:t>
            </w:r>
          </w:p>
        </w:tc>
        <w:tc>
          <w:tcPr>
            <w:tcW w:w="1985" w:type="dxa"/>
          </w:tcPr>
          <w:p w:rsidR="00376834" w:rsidRPr="00131992" w:rsidRDefault="00D21991" w:rsidP="00376834">
            <w:pPr>
              <w:spacing w:after="101" w:line="224" w:lineRule="exact"/>
              <w:jc w:val="both"/>
              <w:rPr>
                <w:rFonts w:ascii="Barlow" w:hAnsi="Barlow" w:cstheme="minorHAnsi"/>
                <w:b/>
                <w:smallCaps/>
                <w:lang w:val="es-ES" w:eastAsia="es-ES"/>
              </w:rPr>
            </w:pPr>
            <w:r w:rsidRPr="00131992">
              <w:rPr>
                <w:rFonts w:ascii="Barlow" w:hAnsi="Barlow" w:cstheme="minorHAnsi"/>
                <w:b/>
                <w:smallCaps/>
                <w:lang w:val="es-ES" w:eastAsia="es-ES"/>
              </w:rPr>
              <w:t>93,907,181.30</w:t>
            </w:r>
          </w:p>
        </w:tc>
      </w:tr>
      <w:tr w:rsidR="00376834" w:rsidRPr="00131992" w:rsidTr="00301B8D">
        <w:tc>
          <w:tcPr>
            <w:tcW w:w="7508" w:type="dxa"/>
          </w:tcPr>
          <w:p w:rsidR="00376834" w:rsidRPr="00131992" w:rsidRDefault="00376834" w:rsidP="00376834">
            <w:pPr>
              <w:spacing w:after="101" w:line="224" w:lineRule="exact"/>
              <w:jc w:val="both"/>
              <w:rPr>
                <w:rFonts w:ascii="Barlow" w:hAnsi="Barlow" w:cstheme="minorHAnsi"/>
                <w:b/>
                <w:smallCaps/>
                <w:lang w:val="es-ES" w:eastAsia="es-ES"/>
              </w:rPr>
            </w:pPr>
            <w:r w:rsidRPr="00131992">
              <w:rPr>
                <w:rFonts w:ascii="Barlow" w:hAnsi="Barlow" w:cstheme="minorHAnsi"/>
                <w:b/>
                <w:smallCaps/>
                <w:lang w:val="es-ES" w:eastAsia="es-ES"/>
              </w:rPr>
              <w:t>FLUJOS NETOS DE EFECTIVO POR ACTIVIDADES DE FINANCIAMIENTO</w:t>
            </w:r>
          </w:p>
        </w:tc>
        <w:tc>
          <w:tcPr>
            <w:tcW w:w="2268" w:type="dxa"/>
          </w:tcPr>
          <w:p w:rsidR="00376834" w:rsidRPr="00131992" w:rsidRDefault="00376834" w:rsidP="00376834">
            <w:pPr>
              <w:spacing w:after="101" w:line="224" w:lineRule="exact"/>
              <w:jc w:val="both"/>
              <w:rPr>
                <w:rFonts w:ascii="Barlow" w:hAnsi="Barlow" w:cstheme="minorHAnsi"/>
                <w:b/>
                <w:smallCaps/>
                <w:lang w:val="es-ES" w:eastAsia="es-ES"/>
              </w:rPr>
            </w:pPr>
            <w:r w:rsidRPr="00131992">
              <w:rPr>
                <w:rFonts w:ascii="Barlow" w:hAnsi="Barlow" w:cstheme="minorHAnsi"/>
                <w:b/>
                <w:smallCaps/>
                <w:lang w:val="es-ES" w:eastAsia="es-ES"/>
              </w:rPr>
              <w:t>0</w:t>
            </w:r>
          </w:p>
        </w:tc>
        <w:tc>
          <w:tcPr>
            <w:tcW w:w="1985" w:type="dxa"/>
          </w:tcPr>
          <w:p w:rsidR="00376834" w:rsidRPr="00131992" w:rsidRDefault="00376834" w:rsidP="00376834">
            <w:pPr>
              <w:spacing w:after="101" w:line="224" w:lineRule="exact"/>
              <w:jc w:val="both"/>
              <w:rPr>
                <w:rFonts w:ascii="Barlow" w:hAnsi="Barlow" w:cstheme="minorHAnsi"/>
                <w:b/>
                <w:smallCaps/>
                <w:lang w:val="es-ES" w:eastAsia="es-ES"/>
              </w:rPr>
            </w:pPr>
            <w:r w:rsidRPr="00131992">
              <w:rPr>
                <w:rFonts w:ascii="Barlow" w:hAnsi="Barlow" w:cstheme="minorHAnsi"/>
                <w:b/>
                <w:smallCaps/>
                <w:lang w:val="es-ES" w:eastAsia="es-ES"/>
              </w:rPr>
              <w:t>0</w:t>
            </w:r>
          </w:p>
        </w:tc>
      </w:tr>
      <w:tr w:rsidR="00376834" w:rsidRPr="00131992" w:rsidTr="00301B8D">
        <w:tc>
          <w:tcPr>
            <w:tcW w:w="7508" w:type="dxa"/>
          </w:tcPr>
          <w:p w:rsidR="00376834" w:rsidRPr="00131992" w:rsidRDefault="00376834" w:rsidP="00376834">
            <w:pPr>
              <w:spacing w:after="101" w:line="224" w:lineRule="exact"/>
              <w:jc w:val="both"/>
              <w:rPr>
                <w:rFonts w:ascii="Barlow" w:hAnsi="Barlow" w:cstheme="minorHAnsi"/>
                <w:b/>
                <w:smallCaps/>
                <w:lang w:val="es-ES" w:eastAsia="es-ES"/>
              </w:rPr>
            </w:pPr>
            <w:r w:rsidRPr="00131992">
              <w:rPr>
                <w:rFonts w:ascii="Barlow" w:hAnsi="Barlow" w:cstheme="minorHAnsi"/>
                <w:b/>
                <w:smallCaps/>
                <w:lang w:val="es-ES" w:eastAsia="es-ES"/>
              </w:rPr>
              <w:t>INCREMENTO/DISMINUCION NETA EN EL EFECTIVO Y EQUIVALENTES AL EFECTIVO</w:t>
            </w:r>
          </w:p>
        </w:tc>
        <w:tc>
          <w:tcPr>
            <w:tcW w:w="2268" w:type="dxa"/>
          </w:tcPr>
          <w:p w:rsidR="00376834" w:rsidRPr="00131992" w:rsidRDefault="00D21991" w:rsidP="00376834">
            <w:pPr>
              <w:spacing w:after="101" w:line="224" w:lineRule="exact"/>
              <w:jc w:val="both"/>
              <w:rPr>
                <w:rFonts w:ascii="Barlow" w:hAnsi="Barlow" w:cstheme="minorHAnsi"/>
                <w:b/>
                <w:smallCaps/>
                <w:lang w:val="es-ES" w:eastAsia="es-ES"/>
              </w:rPr>
            </w:pPr>
            <w:r w:rsidRPr="00131992">
              <w:rPr>
                <w:rFonts w:ascii="Barlow" w:hAnsi="Barlow" w:cstheme="minorHAnsi"/>
                <w:b/>
                <w:smallCaps/>
                <w:lang w:val="es-ES" w:eastAsia="es-ES"/>
              </w:rPr>
              <w:t>35,044,187.34</w:t>
            </w:r>
          </w:p>
        </w:tc>
        <w:tc>
          <w:tcPr>
            <w:tcW w:w="1985" w:type="dxa"/>
          </w:tcPr>
          <w:p w:rsidR="00376834" w:rsidRPr="00131992" w:rsidRDefault="00D21991" w:rsidP="00376834">
            <w:pPr>
              <w:spacing w:after="101" w:line="224" w:lineRule="exact"/>
              <w:jc w:val="both"/>
              <w:rPr>
                <w:rFonts w:ascii="Barlow" w:hAnsi="Barlow" w:cstheme="minorHAnsi"/>
                <w:b/>
                <w:smallCaps/>
                <w:lang w:val="es-ES" w:eastAsia="es-ES"/>
              </w:rPr>
            </w:pPr>
            <w:r w:rsidRPr="00131992">
              <w:rPr>
                <w:rFonts w:ascii="Barlow" w:hAnsi="Barlow" w:cstheme="minorHAnsi"/>
                <w:b/>
                <w:smallCaps/>
                <w:lang w:val="es-ES" w:eastAsia="es-ES"/>
              </w:rPr>
              <w:t>138,333,084.39</w:t>
            </w:r>
          </w:p>
        </w:tc>
      </w:tr>
      <w:tr w:rsidR="00376834" w:rsidRPr="00131992" w:rsidTr="00301B8D">
        <w:tc>
          <w:tcPr>
            <w:tcW w:w="7508" w:type="dxa"/>
          </w:tcPr>
          <w:p w:rsidR="00376834" w:rsidRPr="00131992" w:rsidRDefault="00376834" w:rsidP="00376834">
            <w:pPr>
              <w:spacing w:after="101" w:line="224" w:lineRule="exact"/>
              <w:jc w:val="both"/>
              <w:rPr>
                <w:rFonts w:ascii="Barlow" w:hAnsi="Barlow" w:cstheme="minorHAnsi"/>
                <w:b/>
                <w:smallCaps/>
                <w:lang w:val="es-ES" w:eastAsia="es-ES"/>
              </w:rPr>
            </w:pPr>
            <w:r w:rsidRPr="00131992">
              <w:rPr>
                <w:rFonts w:ascii="Barlow" w:hAnsi="Barlow" w:cstheme="minorHAnsi"/>
                <w:b/>
                <w:smallCaps/>
                <w:lang w:val="es-ES" w:eastAsia="es-ES"/>
              </w:rPr>
              <w:t>EFECTIVO Y EQUIVALENTES AL EFECTIVO AL INICIO DEL EJERCICIO</w:t>
            </w:r>
          </w:p>
        </w:tc>
        <w:tc>
          <w:tcPr>
            <w:tcW w:w="2268" w:type="dxa"/>
          </w:tcPr>
          <w:p w:rsidR="00376834" w:rsidRPr="00131992" w:rsidRDefault="00376834" w:rsidP="00376834">
            <w:pPr>
              <w:spacing w:after="101" w:line="224" w:lineRule="exact"/>
              <w:jc w:val="both"/>
              <w:rPr>
                <w:rFonts w:ascii="Barlow" w:hAnsi="Barlow" w:cstheme="minorHAnsi"/>
                <w:b/>
                <w:smallCaps/>
                <w:lang w:val="es-ES" w:eastAsia="es-ES"/>
              </w:rPr>
            </w:pPr>
            <w:r w:rsidRPr="00131992">
              <w:rPr>
                <w:rFonts w:ascii="Barlow" w:hAnsi="Barlow" w:cstheme="minorHAnsi"/>
                <w:b/>
                <w:smallCaps/>
                <w:lang w:val="es-ES" w:eastAsia="es-ES"/>
              </w:rPr>
              <w:t>68,563,292.54</w:t>
            </w:r>
          </w:p>
        </w:tc>
        <w:tc>
          <w:tcPr>
            <w:tcW w:w="1985" w:type="dxa"/>
          </w:tcPr>
          <w:p w:rsidR="00376834" w:rsidRPr="00131992" w:rsidRDefault="00376834" w:rsidP="00376834">
            <w:pPr>
              <w:spacing w:after="101" w:line="224" w:lineRule="exact"/>
              <w:jc w:val="both"/>
              <w:rPr>
                <w:rFonts w:ascii="Barlow" w:hAnsi="Barlow" w:cstheme="minorHAnsi"/>
                <w:b/>
                <w:smallCaps/>
                <w:lang w:val="es-ES" w:eastAsia="es-ES"/>
              </w:rPr>
            </w:pPr>
            <w:r w:rsidRPr="00131992">
              <w:rPr>
                <w:rFonts w:ascii="Barlow" w:hAnsi="Barlow" w:cstheme="minorHAnsi"/>
                <w:b/>
                <w:smallCaps/>
                <w:lang w:val="es-ES" w:eastAsia="es-ES"/>
              </w:rPr>
              <w:t>187,776,799.48</w:t>
            </w:r>
          </w:p>
        </w:tc>
      </w:tr>
      <w:tr w:rsidR="00376834" w:rsidRPr="00131992" w:rsidTr="00301B8D">
        <w:tc>
          <w:tcPr>
            <w:tcW w:w="7508" w:type="dxa"/>
          </w:tcPr>
          <w:p w:rsidR="00376834" w:rsidRPr="00131992" w:rsidRDefault="00376834" w:rsidP="00376834">
            <w:pPr>
              <w:spacing w:after="101" w:line="224" w:lineRule="exact"/>
              <w:jc w:val="both"/>
              <w:rPr>
                <w:rFonts w:ascii="Barlow" w:hAnsi="Barlow" w:cstheme="minorHAnsi"/>
                <w:b/>
                <w:smallCaps/>
                <w:lang w:val="es-ES" w:eastAsia="es-ES"/>
              </w:rPr>
            </w:pPr>
            <w:r w:rsidRPr="00131992">
              <w:rPr>
                <w:rFonts w:ascii="Barlow" w:hAnsi="Barlow" w:cstheme="minorHAnsi"/>
                <w:b/>
                <w:smallCaps/>
                <w:lang w:val="es-ES" w:eastAsia="es-ES"/>
              </w:rPr>
              <w:t>EFECTIVO Y EQUIVALENTES AL EFECTIVO AL FINAL DEL EJERCICIO</w:t>
            </w:r>
          </w:p>
        </w:tc>
        <w:tc>
          <w:tcPr>
            <w:tcW w:w="2268" w:type="dxa"/>
          </w:tcPr>
          <w:p w:rsidR="00376834" w:rsidRPr="00131992" w:rsidRDefault="00D21991" w:rsidP="00376834">
            <w:pPr>
              <w:spacing w:after="101" w:line="224" w:lineRule="exact"/>
              <w:jc w:val="both"/>
              <w:rPr>
                <w:rFonts w:ascii="Barlow" w:hAnsi="Barlow" w:cstheme="minorHAnsi"/>
                <w:b/>
                <w:smallCaps/>
                <w:lang w:val="es-ES" w:eastAsia="es-ES"/>
              </w:rPr>
            </w:pPr>
            <w:r w:rsidRPr="00131992">
              <w:rPr>
                <w:rFonts w:ascii="Barlow" w:hAnsi="Barlow" w:cstheme="minorHAnsi"/>
                <w:b/>
                <w:smallCaps/>
                <w:lang w:val="es-ES" w:eastAsia="es-ES"/>
              </w:rPr>
              <w:t>33,519,105.20</w:t>
            </w:r>
          </w:p>
        </w:tc>
        <w:tc>
          <w:tcPr>
            <w:tcW w:w="1985" w:type="dxa"/>
          </w:tcPr>
          <w:p w:rsidR="00376834" w:rsidRPr="00131992" w:rsidRDefault="00D21991" w:rsidP="00376834">
            <w:pPr>
              <w:spacing w:after="101" w:line="224" w:lineRule="exact"/>
              <w:jc w:val="both"/>
              <w:rPr>
                <w:rFonts w:ascii="Barlow" w:hAnsi="Barlow" w:cstheme="minorHAnsi"/>
                <w:b/>
                <w:smallCaps/>
                <w:lang w:val="es-ES" w:eastAsia="es-ES"/>
              </w:rPr>
            </w:pPr>
            <w:r w:rsidRPr="00131992">
              <w:rPr>
                <w:rFonts w:ascii="Barlow" w:hAnsi="Barlow" w:cstheme="minorHAnsi"/>
                <w:b/>
                <w:smallCaps/>
                <w:lang w:val="es-ES" w:eastAsia="es-ES"/>
              </w:rPr>
              <w:t>49,443,715.09</w:t>
            </w:r>
          </w:p>
        </w:tc>
      </w:tr>
    </w:tbl>
    <w:p w:rsidR="00DA44E7" w:rsidRPr="00131992" w:rsidRDefault="00DA44E7" w:rsidP="009B6A5A">
      <w:pPr>
        <w:pStyle w:val="Texto"/>
        <w:spacing w:line="224" w:lineRule="exact"/>
        <w:ind w:firstLine="0"/>
        <w:rPr>
          <w:rFonts w:ascii="Barlow" w:hAnsi="Barlow" w:cstheme="minorHAnsi"/>
          <w:b/>
          <w:smallCaps/>
          <w:sz w:val="20"/>
        </w:rPr>
      </w:pPr>
    </w:p>
    <w:p w:rsidR="003F4F41" w:rsidRPr="00131992" w:rsidRDefault="003F4F41" w:rsidP="00376F59">
      <w:pPr>
        <w:pStyle w:val="Texto"/>
        <w:spacing w:line="224" w:lineRule="exact"/>
        <w:rPr>
          <w:rFonts w:ascii="Barlow" w:hAnsi="Barlow" w:cstheme="minorHAnsi"/>
          <w:b/>
          <w:smallCaps/>
          <w:sz w:val="20"/>
        </w:rPr>
      </w:pPr>
    </w:p>
    <w:p w:rsidR="00131992" w:rsidRDefault="00131992" w:rsidP="00376F59">
      <w:pPr>
        <w:pStyle w:val="Texto"/>
        <w:spacing w:line="224" w:lineRule="exact"/>
        <w:rPr>
          <w:rFonts w:ascii="Barlow" w:hAnsi="Barlow" w:cstheme="minorHAnsi"/>
          <w:b/>
          <w:smallCaps/>
          <w:sz w:val="20"/>
        </w:rPr>
      </w:pPr>
    </w:p>
    <w:p w:rsidR="00131992" w:rsidRDefault="00131992" w:rsidP="00376F59">
      <w:pPr>
        <w:pStyle w:val="Texto"/>
        <w:spacing w:line="224" w:lineRule="exact"/>
        <w:rPr>
          <w:rFonts w:ascii="Barlow" w:hAnsi="Barlow" w:cstheme="minorHAnsi"/>
          <w:b/>
          <w:smallCaps/>
          <w:sz w:val="20"/>
        </w:rPr>
      </w:pPr>
    </w:p>
    <w:p w:rsidR="00131992" w:rsidRDefault="00131992" w:rsidP="00376F59">
      <w:pPr>
        <w:pStyle w:val="Texto"/>
        <w:spacing w:line="224" w:lineRule="exact"/>
        <w:rPr>
          <w:rFonts w:ascii="Barlow" w:hAnsi="Barlow" w:cstheme="minorHAnsi"/>
          <w:b/>
          <w:smallCaps/>
          <w:sz w:val="20"/>
        </w:rPr>
      </w:pPr>
    </w:p>
    <w:p w:rsidR="00131992" w:rsidRDefault="00131992" w:rsidP="00376F59">
      <w:pPr>
        <w:pStyle w:val="Texto"/>
        <w:spacing w:line="224" w:lineRule="exact"/>
        <w:rPr>
          <w:rFonts w:ascii="Barlow" w:hAnsi="Barlow" w:cstheme="minorHAnsi"/>
          <w:b/>
          <w:smallCaps/>
          <w:sz w:val="20"/>
        </w:rPr>
      </w:pPr>
    </w:p>
    <w:p w:rsidR="00131992" w:rsidRDefault="00131992" w:rsidP="00376F59">
      <w:pPr>
        <w:pStyle w:val="Texto"/>
        <w:spacing w:line="224" w:lineRule="exact"/>
        <w:rPr>
          <w:rFonts w:ascii="Barlow" w:hAnsi="Barlow" w:cstheme="minorHAnsi"/>
          <w:b/>
          <w:smallCaps/>
          <w:sz w:val="20"/>
        </w:rPr>
      </w:pPr>
    </w:p>
    <w:p w:rsidR="00131992" w:rsidRDefault="00131992" w:rsidP="00376F59">
      <w:pPr>
        <w:pStyle w:val="Texto"/>
        <w:spacing w:line="224" w:lineRule="exact"/>
        <w:rPr>
          <w:rFonts w:ascii="Barlow" w:hAnsi="Barlow" w:cstheme="minorHAnsi"/>
          <w:b/>
          <w:smallCaps/>
          <w:sz w:val="20"/>
        </w:rPr>
      </w:pPr>
    </w:p>
    <w:p w:rsidR="00131992" w:rsidRDefault="00131992" w:rsidP="00376F59">
      <w:pPr>
        <w:pStyle w:val="Texto"/>
        <w:spacing w:line="224" w:lineRule="exact"/>
        <w:rPr>
          <w:rFonts w:ascii="Barlow" w:hAnsi="Barlow" w:cstheme="minorHAnsi"/>
          <w:b/>
          <w:smallCaps/>
          <w:sz w:val="20"/>
        </w:rPr>
      </w:pPr>
    </w:p>
    <w:p w:rsidR="00131992" w:rsidRDefault="00131992" w:rsidP="00376F59">
      <w:pPr>
        <w:pStyle w:val="Texto"/>
        <w:spacing w:line="224" w:lineRule="exact"/>
        <w:rPr>
          <w:rFonts w:ascii="Barlow" w:hAnsi="Barlow" w:cstheme="minorHAnsi"/>
          <w:b/>
          <w:smallCaps/>
          <w:sz w:val="20"/>
        </w:rPr>
      </w:pPr>
    </w:p>
    <w:p w:rsidR="00131992" w:rsidRDefault="00131992" w:rsidP="00376F59">
      <w:pPr>
        <w:pStyle w:val="Texto"/>
        <w:spacing w:line="224" w:lineRule="exact"/>
        <w:rPr>
          <w:rFonts w:ascii="Barlow" w:hAnsi="Barlow" w:cstheme="minorHAnsi"/>
          <w:b/>
          <w:smallCaps/>
          <w:sz w:val="20"/>
        </w:rPr>
      </w:pPr>
    </w:p>
    <w:p w:rsidR="00CF772B" w:rsidRPr="00131992" w:rsidRDefault="00376F59" w:rsidP="00376F59">
      <w:pPr>
        <w:pStyle w:val="Texto"/>
        <w:spacing w:line="224" w:lineRule="exact"/>
        <w:rPr>
          <w:rFonts w:ascii="Barlow" w:hAnsi="Barlow" w:cstheme="minorHAnsi"/>
          <w:b/>
          <w:smallCaps/>
          <w:sz w:val="20"/>
        </w:rPr>
      </w:pPr>
      <w:r w:rsidRPr="00131992">
        <w:rPr>
          <w:rFonts w:ascii="Barlow" w:hAnsi="Barlow" w:cstheme="minorHAnsi"/>
          <w:b/>
          <w:smallCaps/>
          <w:sz w:val="20"/>
        </w:rPr>
        <w:lastRenderedPageBreak/>
        <w:t>Conciliación entre los ingresos presupuestarios y contables, así como entre los egresos</w:t>
      </w:r>
    </w:p>
    <w:tbl>
      <w:tblPr>
        <w:tblW w:w="12279" w:type="dxa"/>
        <w:tblCellMar>
          <w:left w:w="70" w:type="dxa"/>
          <w:right w:w="70" w:type="dxa"/>
        </w:tblCellMar>
        <w:tblLook w:val="04A0" w:firstRow="1" w:lastRow="0" w:firstColumn="1" w:lastColumn="0" w:noHBand="0" w:noVBand="1"/>
      </w:tblPr>
      <w:tblGrid>
        <w:gridCol w:w="194"/>
        <w:gridCol w:w="194"/>
        <w:gridCol w:w="4389"/>
        <w:gridCol w:w="211"/>
        <w:gridCol w:w="710"/>
        <w:gridCol w:w="908"/>
        <w:gridCol w:w="5673"/>
      </w:tblGrid>
      <w:tr w:rsidR="003630BD" w:rsidRPr="00131992" w:rsidTr="003630BD">
        <w:trPr>
          <w:trHeight w:val="300"/>
        </w:trPr>
        <w:tc>
          <w:tcPr>
            <w:tcW w:w="12279" w:type="dxa"/>
            <w:gridSpan w:val="7"/>
            <w:tcBorders>
              <w:top w:val="single" w:sz="8" w:space="0" w:color="auto"/>
              <w:left w:val="single" w:sz="8" w:space="0" w:color="auto"/>
              <w:bottom w:val="nil"/>
              <w:right w:val="single" w:sz="8" w:space="0" w:color="000000"/>
            </w:tcBorders>
            <w:shd w:val="clear" w:color="auto" w:fill="auto"/>
            <w:noWrap/>
            <w:vAlign w:val="bottom"/>
            <w:hideMark/>
          </w:tcPr>
          <w:p w:rsidR="003630BD" w:rsidRPr="00131992" w:rsidRDefault="003630BD" w:rsidP="003630BD">
            <w:pPr>
              <w:spacing w:after="0" w:line="240" w:lineRule="auto"/>
              <w:jc w:val="center"/>
              <w:rPr>
                <w:rFonts w:ascii="Barlow" w:eastAsia="Times New Roman" w:hAnsi="Barlow" w:cs="Calibri"/>
                <w:b/>
                <w:bCs/>
                <w:color w:val="000000"/>
                <w:sz w:val="20"/>
                <w:szCs w:val="20"/>
                <w:lang w:eastAsia="es-MX"/>
              </w:rPr>
            </w:pPr>
            <w:r w:rsidRPr="00131992">
              <w:rPr>
                <w:rFonts w:ascii="Barlow" w:eastAsia="Times New Roman" w:hAnsi="Barlow" w:cs="Calibri"/>
                <w:b/>
                <w:bCs/>
                <w:color w:val="000000"/>
                <w:sz w:val="20"/>
                <w:szCs w:val="20"/>
                <w:lang w:eastAsia="es-MX"/>
              </w:rPr>
              <w:t>INSTITUTO DE INFRAESTRUCTURA CARRETERA DE YUCATAN</w:t>
            </w:r>
          </w:p>
        </w:tc>
      </w:tr>
      <w:tr w:rsidR="003630BD" w:rsidRPr="00131992" w:rsidTr="003630BD">
        <w:trPr>
          <w:trHeight w:val="300"/>
        </w:trPr>
        <w:tc>
          <w:tcPr>
            <w:tcW w:w="12279" w:type="dxa"/>
            <w:gridSpan w:val="7"/>
            <w:tcBorders>
              <w:top w:val="nil"/>
              <w:left w:val="single" w:sz="8" w:space="0" w:color="auto"/>
              <w:bottom w:val="nil"/>
              <w:right w:val="single" w:sz="8" w:space="0" w:color="000000"/>
            </w:tcBorders>
            <w:shd w:val="clear" w:color="auto" w:fill="auto"/>
            <w:noWrap/>
            <w:vAlign w:val="bottom"/>
            <w:hideMark/>
          </w:tcPr>
          <w:p w:rsidR="003630BD" w:rsidRPr="00131992" w:rsidRDefault="003630BD" w:rsidP="003630BD">
            <w:pPr>
              <w:spacing w:after="0" w:line="240" w:lineRule="auto"/>
              <w:jc w:val="center"/>
              <w:rPr>
                <w:rFonts w:ascii="Barlow" w:eastAsia="Times New Roman" w:hAnsi="Barlow" w:cs="Calibri"/>
                <w:b/>
                <w:bCs/>
                <w:color w:val="000000"/>
                <w:sz w:val="20"/>
                <w:szCs w:val="20"/>
                <w:lang w:eastAsia="es-MX"/>
              </w:rPr>
            </w:pPr>
            <w:r w:rsidRPr="00131992">
              <w:rPr>
                <w:rFonts w:ascii="Barlow" w:eastAsia="Times New Roman" w:hAnsi="Barlow" w:cs="Calibri"/>
                <w:b/>
                <w:bCs/>
                <w:color w:val="000000"/>
                <w:sz w:val="20"/>
                <w:szCs w:val="20"/>
                <w:lang w:eastAsia="es-MX"/>
              </w:rPr>
              <w:t>CONCILIACIÓN ENTRE LOS INGRESOS PRESUPUESTARIOS Y CONTABLES</w:t>
            </w:r>
          </w:p>
        </w:tc>
      </w:tr>
      <w:tr w:rsidR="003630BD" w:rsidRPr="00131992" w:rsidTr="003630BD">
        <w:trPr>
          <w:trHeight w:val="300"/>
        </w:trPr>
        <w:tc>
          <w:tcPr>
            <w:tcW w:w="12279" w:type="dxa"/>
            <w:gridSpan w:val="7"/>
            <w:tcBorders>
              <w:top w:val="nil"/>
              <w:left w:val="single" w:sz="8" w:space="0" w:color="auto"/>
              <w:bottom w:val="nil"/>
              <w:right w:val="single" w:sz="8" w:space="0" w:color="000000"/>
            </w:tcBorders>
            <w:shd w:val="clear" w:color="auto" w:fill="auto"/>
            <w:noWrap/>
            <w:vAlign w:val="bottom"/>
            <w:hideMark/>
          </w:tcPr>
          <w:p w:rsidR="003630BD" w:rsidRPr="00131992" w:rsidRDefault="003630BD" w:rsidP="003630BD">
            <w:pPr>
              <w:spacing w:after="0" w:line="240" w:lineRule="auto"/>
              <w:jc w:val="center"/>
              <w:rPr>
                <w:rFonts w:ascii="Barlow" w:eastAsia="Times New Roman" w:hAnsi="Barlow" w:cs="Calibri"/>
                <w:b/>
                <w:bCs/>
                <w:color w:val="000000"/>
                <w:sz w:val="20"/>
                <w:szCs w:val="20"/>
                <w:lang w:eastAsia="es-MX"/>
              </w:rPr>
            </w:pPr>
            <w:r w:rsidRPr="00131992">
              <w:rPr>
                <w:rFonts w:ascii="Barlow" w:eastAsia="Times New Roman" w:hAnsi="Barlow" w:cs="Calibri"/>
                <w:b/>
                <w:bCs/>
                <w:color w:val="000000"/>
                <w:sz w:val="20"/>
                <w:szCs w:val="20"/>
                <w:lang w:eastAsia="es-MX"/>
              </w:rPr>
              <w:t xml:space="preserve">DEL 01 ENERO AL 31 DE </w:t>
            </w:r>
            <w:r w:rsidR="000E521B" w:rsidRPr="00131992">
              <w:rPr>
                <w:rFonts w:ascii="Barlow" w:eastAsia="Times New Roman" w:hAnsi="Barlow" w:cs="Calibri"/>
                <w:b/>
                <w:bCs/>
                <w:color w:val="000000"/>
                <w:sz w:val="20"/>
                <w:szCs w:val="20"/>
                <w:lang w:eastAsia="es-MX"/>
              </w:rPr>
              <w:t>MARZO DE 2019</w:t>
            </w:r>
          </w:p>
        </w:tc>
      </w:tr>
      <w:tr w:rsidR="003630BD" w:rsidRPr="00131992" w:rsidTr="003630BD">
        <w:trPr>
          <w:trHeight w:val="210"/>
        </w:trPr>
        <w:tc>
          <w:tcPr>
            <w:tcW w:w="12279" w:type="dxa"/>
            <w:gridSpan w:val="7"/>
            <w:tcBorders>
              <w:top w:val="nil"/>
              <w:left w:val="single" w:sz="8" w:space="0" w:color="auto"/>
              <w:bottom w:val="single" w:sz="8" w:space="0" w:color="auto"/>
              <w:right w:val="single" w:sz="8" w:space="0" w:color="000000"/>
            </w:tcBorders>
            <w:shd w:val="clear" w:color="auto" w:fill="auto"/>
            <w:noWrap/>
            <w:vAlign w:val="bottom"/>
            <w:hideMark/>
          </w:tcPr>
          <w:p w:rsidR="003630BD" w:rsidRPr="00131992" w:rsidRDefault="003630BD" w:rsidP="003630BD">
            <w:pPr>
              <w:spacing w:after="0" w:line="240" w:lineRule="auto"/>
              <w:jc w:val="center"/>
              <w:rPr>
                <w:rFonts w:ascii="Barlow" w:eastAsia="Times New Roman" w:hAnsi="Barlow" w:cs="Calibri"/>
                <w:b/>
                <w:bCs/>
                <w:color w:val="000000"/>
                <w:sz w:val="20"/>
                <w:szCs w:val="20"/>
                <w:lang w:eastAsia="es-MX"/>
              </w:rPr>
            </w:pPr>
            <w:r w:rsidRPr="00131992">
              <w:rPr>
                <w:rFonts w:ascii="Barlow" w:eastAsia="Times New Roman" w:hAnsi="Barlow" w:cs="Calibri"/>
                <w:b/>
                <w:bCs/>
                <w:color w:val="000000"/>
                <w:sz w:val="20"/>
                <w:szCs w:val="20"/>
                <w:lang w:eastAsia="es-MX"/>
              </w:rPr>
              <w:t>CIFRAS EN PESOS MEXICANOS</w:t>
            </w:r>
          </w:p>
        </w:tc>
      </w:tr>
      <w:tr w:rsidR="003630BD" w:rsidRPr="00131992" w:rsidTr="003630BD">
        <w:trPr>
          <w:trHeight w:val="210"/>
        </w:trPr>
        <w:tc>
          <w:tcPr>
            <w:tcW w:w="194" w:type="dxa"/>
            <w:tcBorders>
              <w:top w:val="nil"/>
              <w:left w:val="single" w:sz="8" w:space="0" w:color="auto"/>
              <w:bottom w:val="single" w:sz="8" w:space="0" w:color="auto"/>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b/>
                <w:bCs/>
                <w:color w:val="000000"/>
                <w:sz w:val="20"/>
                <w:szCs w:val="20"/>
                <w:lang w:eastAsia="es-MX"/>
              </w:rPr>
            </w:pPr>
            <w:r w:rsidRPr="00131992">
              <w:rPr>
                <w:rFonts w:ascii="Barlow" w:eastAsia="Times New Roman" w:hAnsi="Barlow" w:cs="Calibri"/>
                <w:b/>
                <w:bCs/>
                <w:color w:val="000000"/>
                <w:sz w:val="20"/>
                <w:szCs w:val="20"/>
                <w:lang w:eastAsia="es-MX"/>
              </w:rPr>
              <w:t> </w:t>
            </w:r>
          </w:p>
        </w:tc>
        <w:tc>
          <w:tcPr>
            <w:tcW w:w="4583" w:type="dxa"/>
            <w:gridSpan w:val="2"/>
            <w:tcBorders>
              <w:top w:val="nil"/>
              <w:left w:val="nil"/>
              <w:bottom w:val="single" w:sz="8" w:space="0" w:color="auto"/>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b/>
                <w:bCs/>
                <w:color w:val="000000"/>
                <w:sz w:val="20"/>
                <w:szCs w:val="20"/>
                <w:lang w:eastAsia="es-MX"/>
              </w:rPr>
            </w:pPr>
            <w:r w:rsidRPr="00131992">
              <w:rPr>
                <w:rFonts w:ascii="Barlow" w:eastAsia="Times New Roman" w:hAnsi="Barlow" w:cs="Calibri"/>
                <w:b/>
                <w:bCs/>
                <w:color w:val="000000"/>
                <w:sz w:val="20"/>
                <w:szCs w:val="20"/>
                <w:lang w:eastAsia="es-MX"/>
              </w:rPr>
              <w:t>1. Ingresos Presupuestarios</w:t>
            </w:r>
          </w:p>
        </w:tc>
        <w:tc>
          <w:tcPr>
            <w:tcW w:w="211" w:type="dxa"/>
            <w:tcBorders>
              <w:top w:val="nil"/>
              <w:left w:val="nil"/>
              <w:bottom w:val="single" w:sz="8" w:space="0" w:color="auto"/>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b/>
                <w:bCs/>
                <w:color w:val="000000"/>
                <w:sz w:val="20"/>
                <w:szCs w:val="20"/>
                <w:lang w:eastAsia="es-MX"/>
              </w:rPr>
            </w:pPr>
            <w:r w:rsidRPr="00131992">
              <w:rPr>
                <w:rFonts w:ascii="Barlow" w:eastAsia="Times New Roman" w:hAnsi="Barlow" w:cs="Calibri"/>
                <w:b/>
                <w:bCs/>
                <w:color w:val="000000"/>
                <w:sz w:val="20"/>
                <w:szCs w:val="20"/>
                <w:lang w:eastAsia="es-MX"/>
              </w:rPr>
              <w:t> </w:t>
            </w:r>
          </w:p>
        </w:tc>
        <w:tc>
          <w:tcPr>
            <w:tcW w:w="710" w:type="dxa"/>
            <w:tcBorders>
              <w:top w:val="nil"/>
              <w:left w:val="nil"/>
              <w:bottom w:val="single" w:sz="8" w:space="0" w:color="auto"/>
              <w:right w:val="nil"/>
            </w:tcBorders>
            <w:shd w:val="clear" w:color="auto" w:fill="auto"/>
            <w:noWrap/>
            <w:vAlign w:val="bottom"/>
            <w:hideMark/>
          </w:tcPr>
          <w:p w:rsidR="003630BD" w:rsidRPr="00131992" w:rsidRDefault="003630BD" w:rsidP="003630BD">
            <w:pPr>
              <w:spacing w:after="0" w:line="240" w:lineRule="auto"/>
              <w:jc w:val="center"/>
              <w:rPr>
                <w:rFonts w:ascii="Barlow" w:eastAsia="Times New Roman" w:hAnsi="Barlow" w:cs="Calibri"/>
                <w:b/>
                <w:bCs/>
                <w:color w:val="000000"/>
                <w:sz w:val="20"/>
                <w:szCs w:val="20"/>
                <w:lang w:eastAsia="es-MX"/>
              </w:rPr>
            </w:pPr>
            <w:r w:rsidRPr="00131992">
              <w:rPr>
                <w:rFonts w:ascii="Barlow" w:eastAsia="Times New Roman" w:hAnsi="Barlow" w:cs="Calibri"/>
                <w:b/>
                <w:bCs/>
                <w:color w:val="000000"/>
                <w:sz w:val="20"/>
                <w:szCs w:val="20"/>
                <w:lang w:eastAsia="es-MX"/>
              </w:rPr>
              <w:t> </w:t>
            </w:r>
          </w:p>
        </w:tc>
        <w:tc>
          <w:tcPr>
            <w:tcW w:w="908" w:type="dxa"/>
            <w:tcBorders>
              <w:top w:val="nil"/>
              <w:left w:val="single" w:sz="8" w:space="0" w:color="auto"/>
              <w:bottom w:val="single" w:sz="8" w:space="0" w:color="auto"/>
              <w:right w:val="single" w:sz="8" w:space="0" w:color="auto"/>
            </w:tcBorders>
            <w:shd w:val="clear" w:color="auto" w:fill="auto"/>
            <w:noWrap/>
            <w:vAlign w:val="bottom"/>
            <w:hideMark/>
          </w:tcPr>
          <w:p w:rsidR="003630BD" w:rsidRPr="00131992" w:rsidRDefault="003630BD" w:rsidP="003630BD">
            <w:pPr>
              <w:spacing w:after="0" w:line="240" w:lineRule="auto"/>
              <w:jc w:val="center"/>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 </w:t>
            </w:r>
          </w:p>
        </w:tc>
        <w:tc>
          <w:tcPr>
            <w:tcW w:w="5673" w:type="dxa"/>
            <w:tcBorders>
              <w:top w:val="nil"/>
              <w:left w:val="nil"/>
              <w:bottom w:val="single" w:sz="8" w:space="0" w:color="auto"/>
              <w:right w:val="single" w:sz="8" w:space="0" w:color="auto"/>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b/>
                <w:bCs/>
                <w:color w:val="000000"/>
                <w:sz w:val="20"/>
                <w:szCs w:val="20"/>
                <w:lang w:eastAsia="es-MX"/>
              </w:rPr>
            </w:pPr>
            <w:r w:rsidRPr="00131992">
              <w:rPr>
                <w:rFonts w:ascii="Barlow" w:eastAsia="Times New Roman" w:hAnsi="Barlow" w:cs="Calibri"/>
                <w:b/>
                <w:bCs/>
                <w:color w:val="000000"/>
                <w:sz w:val="20"/>
                <w:szCs w:val="20"/>
                <w:lang w:eastAsia="es-MX"/>
              </w:rPr>
              <w:t xml:space="preserve"> $     </w:t>
            </w:r>
            <w:r w:rsidR="002F5428" w:rsidRPr="00131992">
              <w:rPr>
                <w:rFonts w:ascii="Barlow" w:eastAsia="Times New Roman" w:hAnsi="Barlow" w:cs="Calibri"/>
                <w:b/>
                <w:bCs/>
                <w:color w:val="000000"/>
                <w:sz w:val="20"/>
                <w:szCs w:val="20"/>
                <w:lang w:eastAsia="es-MX"/>
              </w:rPr>
              <w:t xml:space="preserve">                 36,759,135.48</w:t>
            </w:r>
          </w:p>
        </w:tc>
      </w:tr>
      <w:tr w:rsidR="003630BD" w:rsidRPr="00131992" w:rsidTr="003630BD">
        <w:trPr>
          <w:trHeight w:val="300"/>
        </w:trPr>
        <w:tc>
          <w:tcPr>
            <w:tcW w:w="194" w:type="dxa"/>
            <w:tcBorders>
              <w:top w:val="nil"/>
              <w:left w:val="nil"/>
              <w:bottom w:val="nil"/>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b/>
                <w:bCs/>
                <w:color w:val="000000"/>
                <w:sz w:val="20"/>
                <w:szCs w:val="20"/>
                <w:lang w:eastAsia="es-MX"/>
              </w:rPr>
            </w:pPr>
          </w:p>
        </w:tc>
        <w:tc>
          <w:tcPr>
            <w:tcW w:w="194" w:type="dxa"/>
            <w:tcBorders>
              <w:top w:val="nil"/>
              <w:left w:val="nil"/>
              <w:bottom w:val="nil"/>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Times New Roman"/>
                <w:sz w:val="20"/>
                <w:szCs w:val="20"/>
                <w:lang w:eastAsia="es-MX"/>
              </w:rPr>
            </w:pPr>
          </w:p>
        </w:tc>
        <w:tc>
          <w:tcPr>
            <w:tcW w:w="4389" w:type="dxa"/>
            <w:tcBorders>
              <w:top w:val="nil"/>
              <w:left w:val="nil"/>
              <w:bottom w:val="nil"/>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Times New Roman"/>
                <w:sz w:val="20"/>
                <w:szCs w:val="20"/>
                <w:lang w:eastAsia="es-MX"/>
              </w:rPr>
            </w:pPr>
          </w:p>
        </w:tc>
        <w:tc>
          <w:tcPr>
            <w:tcW w:w="211" w:type="dxa"/>
            <w:tcBorders>
              <w:top w:val="nil"/>
              <w:left w:val="nil"/>
              <w:bottom w:val="nil"/>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Times New Roman"/>
                <w:sz w:val="20"/>
                <w:szCs w:val="20"/>
                <w:lang w:eastAsia="es-MX"/>
              </w:rPr>
            </w:pPr>
          </w:p>
        </w:tc>
        <w:tc>
          <w:tcPr>
            <w:tcW w:w="710" w:type="dxa"/>
            <w:tcBorders>
              <w:top w:val="nil"/>
              <w:left w:val="nil"/>
              <w:bottom w:val="nil"/>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Times New Roman"/>
                <w:sz w:val="20"/>
                <w:szCs w:val="20"/>
                <w:lang w:eastAsia="es-MX"/>
              </w:rPr>
            </w:pPr>
          </w:p>
        </w:tc>
        <w:tc>
          <w:tcPr>
            <w:tcW w:w="908" w:type="dxa"/>
            <w:tcBorders>
              <w:top w:val="nil"/>
              <w:left w:val="nil"/>
              <w:bottom w:val="nil"/>
              <w:right w:val="nil"/>
            </w:tcBorders>
            <w:shd w:val="clear" w:color="auto" w:fill="auto"/>
            <w:noWrap/>
            <w:vAlign w:val="bottom"/>
            <w:hideMark/>
          </w:tcPr>
          <w:p w:rsidR="003630BD" w:rsidRPr="00131992" w:rsidRDefault="003630BD" w:rsidP="003630BD">
            <w:pPr>
              <w:spacing w:after="0" w:line="240" w:lineRule="auto"/>
              <w:jc w:val="center"/>
              <w:rPr>
                <w:rFonts w:ascii="Barlow" w:eastAsia="Times New Roman" w:hAnsi="Barlow" w:cs="Times New Roman"/>
                <w:sz w:val="20"/>
                <w:szCs w:val="20"/>
                <w:lang w:eastAsia="es-MX"/>
              </w:rPr>
            </w:pPr>
          </w:p>
        </w:tc>
        <w:tc>
          <w:tcPr>
            <w:tcW w:w="5673" w:type="dxa"/>
            <w:tcBorders>
              <w:top w:val="nil"/>
              <w:left w:val="nil"/>
              <w:bottom w:val="nil"/>
              <w:right w:val="nil"/>
            </w:tcBorders>
            <w:shd w:val="clear" w:color="auto" w:fill="auto"/>
            <w:noWrap/>
            <w:vAlign w:val="bottom"/>
            <w:hideMark/>
          </w:tcPr>
          <w:p w:rsidR="003630BD" w:rsidRPr="00131992" w:rsidRDefault="003630BD" w:rsidP="003630BD">
            <w:pPr>
              <w:spacing w:after="0" w:line="240" w:lineRule="auto"/>
              <w:jc w:val="center"/>
              <w:rPr>
                <w:rFonts w:ascii="Barlow" w:eastAsia="Times New Roman" w:hAnsi="Barlow" w:cs="Times New Roman"/>
                <w:sz w:val="20"/>
                <w:szCs w:val="20"/>
                <w:lang w:eastAsia="es-MX"/>
              </w:rPr>
            </w:pPr>
          </w:p>
        </w:tc>
      </w:tr>
      <w:tr w:rsidR="003630BD" w:rsidRPr="00131992" w:rsidTr="003630BD">
        <w:trPr>
          <w:trHeight w:val="300"/>
        </w:trPr>
        <w:tc>
          <w:tcPr>
            <w:tcW w:w="194" w:type="dxa"/>
            <w:tcBorders>
              <w:top w:val="single" w:sz="4" w:space="0" w:color="auto"/>
              <w:left w:val="single" w:sz="8" w:space="0" w:color="auto"/>
              <w:bottom w:val="single" w:sz="4" w:space="0" w:color="auto"/>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 </w:t>
            </w:r>
          </w:p>
        </w:tc>
        <w:tc>
          <w:tcPr>
            <w:tcW w:w="4583" w:type="dxa"/>
            <w:gridSpan w:val="2"/>
            <w:tcBorders>
              <w:top w:val="single" w:sz="4" w:space="0" w:color="auto"/>
              <w:left w:val="nil"/>
              <w:bottom w:val="single" w:sz="4" w:space="0" w:color="auto"/>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b/>
                <w:bCs/>
                <w:color w:val="000000"/>
                <w:sz w:val="20"/>
                <w:szCs w:val="20"/>
                <w:lang w:eastAsia="es-MX"/>
              </w:rPr>
            </w:pPr>
            <w:r w:rsidRPr="00131992">
              <w:rPr>
                <w:rFonts w:ascii="Barlow" w:eastAsia="Times New Roman" w:hAnsi="Barlow" w:cs="Calibri"/>
                <w:b/>
                <w:bCs/>
                <w:color w:val="000000"/>
                <w:sz w:val="20"/>
                <w:szCs w:val="20"/>
                <w:lang w:eastAsia="es-MX"/>
              </w:rPr>
              <w:t>2. Más ingresos contables no presupuestarios.</w:t>
            </w:r>
          </w:p>
        </w:tc>
        <w:tc>
          <w:tcPr>
            <w:tcW w:w="211" w:type="dxa"/>
            <w:tcBorders>
              <w:top w:val="single" w:sz="4" w:space="0" w:color="auto"/>
              <w:left w:val="nil"/>
              <w:bottom w:val="single" w:sz="4" w:space="0" w:color="auto"/>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b/>
                <w:bCs/>
                <w:color w:val="000000"/>
                <w:sz w:val="20"/>
                <w:szCs w:val="20"/>
                <w:lang w:eastAsia="es-MX"/>
              </w:rPr>
            </w:pPr>
            <w:r w:rsidRPr="00131992">
              <w:rPr>
                <w:rFonts w:ascii="Barlow" w:eastAsia="Times New Roman" w:hAnsi="Barlow" w:cs="Calibri"/>
                <w:b/>
                <w:bCs/>
                <w:color w:val="000000"/>
                <w:sz w:val="20"/>
                <w:szCs w:val="20"/>
                <w:lang w:eastAsia="es-MX"/>
              </w:rPr>
              <w:t> </w:t>
            </w:r>
          </w:p>
        </w:tc>
        <w:tc>
          <w:tcPr>
            <w:tcW w:w="710" w:type="dxa"/>
            <w:tcBorders>
              <w:top w:val="single" w:sz="4" w:space="0" w:color="auto"/>
              <w:left w:val="nil"/>
              <w:bottom w:val="single" w:sz="4" w:space="0" w:color="auto"/>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 </w:t>
            </w:r>
          </w:p>
        </w:tc>
        <w:tc>
          <w:tcPr>
            <w:tcW w:w="90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 </w:t>
            </w:r>
          </w:p>
        </w:tc>
        <w:tc>
          <w:tcPr>
            <w:tcW w:w="5673" w:type="dxa"/>
            <w:tcBorders>
              <w:top w:val="single" w:sz="4" w:space="0" w:color="auto"/>
              <w:left w:val="nil"/>
              <w:bottom w:val="single" w:sz="4" w:space="0" w:color="auto"/>
              <w:right w:val="single" w:sz="8" w:space="0" w:color="auto"/>
            </w:tcBorders>
            <w:shd w:val="clear" w:color="auto" w:fill="auto"/>
            <w:noWrap/>
            <w:vAlign w:val="bottom"/>
            <w:hideMark/>
          </w:tcPr>
          <w:p w:rsidR="003630BD" w:rsidRPr="00131992" w:rsidRDefault="003630BD" w:rsidP="003630BD">
            <w:pPr>
              <w:spacing w:after="0" w:line="240" w:lineRule="auto"/>
              <w:jc w:val="right"/>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0.00</w:t>
            </w:r>
          </w:p>
        </w:tc>
      </w:tr>
      <w:tr w:rsidR="003630BD" w:rsidRPr="00131992" w:rsidTr="003630BD">
        <w:trPr>
          <w:trHeight w:val="315"/>
        </w:trPr>
        <w:tc>
          <w:tcPr>
            <w:tcW w:w="194" w:type="dxa"/>
            <w:tcBorders>
              <w:top w:val="nil"/>
              <w:left w:val="single" w:sz="8" w:space="0" w:color="auto"/>
              <w:bottom w:val="single" w:sz="8" w:space="0" w:color="auto"/>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 </w:t>
            </w:r>
          </w:p>
        </w:tc>
        <w:tc>
          <w:tcPr>
            <w:tcW w:w="194" w:type="dxa"/>
            <w:tcBorders>
              <w:top w:val="nil"/>
              <w:left w:val="nil"/>
              <w:bottom w:val="single" w:sz="8" w:space="0" w:color="auto"/>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 </w:t>
            </w:r>
          </w:p>
        </w:tc>
        <w:tc>
          <w:tcPr>
            <w:tcW w:w="4600" w:type="dxa"/>
            <w:gridSpan w:val="2"/>
            <w:tcBorders>
              <w:top w:val="nil"/>
              <w:left w:val="nil"/>
              <w:bottom w:val="single" w:sz="8" w:space="0" w:color="auto"/>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Incremento por variación de inventarios.</w:t>
            </w:r>
          </w:p>
        </w:tc>
        <w:tc>
          <w:tcPr>
            <w:tcW w:w="710" w:type="dxa"/>
            <w:tcBorders>
              <w:top w:val="nil"/>
              <w:left w:val="nil"/>
              <w:bottom w:val="single" w:sz="8" w:space="0" w:color="auto"/>
              <w:right w:val="nil"/>
            </w:tcBorders>
            <w:shd w:val="clear" w:color="auto" w:fill="auto"/>
            <w:noWrap/>
            <w:vAlign w:val="bottom"/>
            <w:hideMark/>
          </w:tcPr>
          <w:p w:rsidR="003630BD" w:rsidRPr="00131992" w:rsidRDefault="003630BD" w:rsidP="003630BD">
            <w:pPr>
              <w:spacing w:after="0" w:line="240" w:lineRule="auto"/>
              <w:jc w:val="center"/>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 </w:t>
            </w:r>
          </w:p>
        </w:tc>
        <w:tc>
          <w:tcPr>
            <w:tcW w:w="908" w:type="dxa"/>
            <w:tcBorders>
              <w:top w:val="nil"/>
              <w:left w:val="single" w:sz="8" w:space="0" w:color="auto"/>
              <w:bottom w:val="single" w:sz="8" w:space="0" w:color="auto"/>
              <w:right w:val="single" w:sz="8" w:space="0" w:color="auto"/>
            </w:tcBorders>
            <w:shd w:val="clear" w:color="auto" w:fill="auto"/>
            <w:noWrap/>
            <w:vAlign w:val="bottom"/>
            <w:hideMark/>
          </w:tcPr>
          <w:p w:rsidR="003630BD" w:rsidRPr="00131992" w:rsidRDefault="003630BD" w:rsidP="003630BD">
            <w:pPr>
              <w:spacing w:after="0" w:line="240" w:lineRule="auto"/>
              <w:jc w:val="right"/>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0.00</w:t>
            </w:r>
          </w:p>
        </w:tc>
        <w:tc>
          <w:tcPr>
            <w:tcW w:w="5673" w:type="dxa"/>
            <w:tcBorders>
              <w:top w:val="nil"/>
              <w:left w:val="nil"/>
              <w:bottom w:val="nil"/>
              <w:right w:val="nil"/>
            </w:tcBorders>
            <w:shd w:val="clear" w:color="auto" w:fill="auto"/>
            <w:noWrap/>
            <w:vAlign w:val="bottom"/>
            <w:hideMark/>
          </w:tcPr>
          <w:p w:rsidR="003630BD" w:rsidRPr="00131992" w:rsidRDefault="003630BD" w:rsidP="003630BD">
            <w:pPr>
              <w:spacing w:after="0" w:line="240" w:lineRule="auto"/>
              <w:jc w:val="right"/>
              <w:rPr>
                <w:rFonts w:ascii="Barlow" w:eastAsia="Times New Roman" w:hAnsi="Barlow" w:cs="Calibri"/>
                <w:color w:val="000000"/>
                <w:sz w:val="20"/>
                <w:szCs w:val="20"/>
                <w:lang w:eastAsia="es-MX"/>
              </w:rPr>
            </w:pPr>
          </w:p>
        </w:tc>
      </w:tr>
      <w:tr w:rsidR="003630BD" w:rsidRPr="00131992" w:rsidTr="003630BD">
        <w:trPr>
          <w:trHeight w:val="315"/>
        </w:trPr>
        <w:tc>
          <w:tcPr>
            <w:tcW w:w="194" w:type="dxa"/>
            <w:tcBorders>
              <w:top w:val="nil"/>
              <w:left w:val="single" w:sz="8" w:space="0" w:color="auto"/>
              <w:bottom w:val="single" w:sz="8" w:space="0" w:color="auto"/>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 </w:t>
            </w:r>
          </w:p>
        </w:tc>
        <w:tc>
          <w:tcPr>
            <w:tcW w:w="194" w:type="dxa"/>
            <w:tcBorders>
              <w:top w:val="nil"/>
              <w:left w:val="nil"/>
              <w:bottom w:val="single" w:sz="8" w:space="0" w:color="auto"/>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 </w:t>
            </w:r>
          </w:p>
        </w:tc>
        <w:tc>
          <w:tcPr>
            <w:tcW w:w="5310" w:type="dxa"/>
            <w:gridSpan w:val="3"/>
            <w:tcBorders>
              <w:top w:val="nil"/>
              <w:left w:val="nil"/>
              <w:bottom w:val="single" w:sz="8" w:space="0" w:color="auto"/>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Disminución del exceso de estimaciones por pérdida o deterioro u obsolescencia.</w:t>
            </w:r>
          </w:p>
        </w:tc>
        <w:tc>
          <w:tcPr>
            <w:tcW w:w="908" w:type="dxa"/>
            <w:tcBorders>
              <w:top w:val="nil"/>
              <w:left w:val="single" w:sz="8" w:space="0" w:color="auto"/>
              <w:bottom w:val="single" w:sz="8" w:space="0" w:color="auto"/>
              <w:right w:val="single" w:sz="8" w:space="0" w:color="auto"/>
            </w:tcBorders>
            <w:shd w:val="clear" w:color="auto" w:fill="auto"/>
            <w:noWrap/>
            <w:vAlign w:val="bottom"/>
            <w:hideMark/>
          </w:tcPr>
          <w:p w:rsidR="003630BD" w:rsidRPr="00131992" w:rsidRDefault="003630BD" w:rsidP="003630BD">
            <w:pPr>
              <w:spacing w:after="0" w:line="240" w:lineRule="auto"/>
              <w:jc w:val="right"/>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0.00</w:t>
            </w:r>
          </w:p>
        </w:tc>
        <w:tc>
          <w:tcPr>
            <w:tcW w:w="5673" w:type="dxa"/>
            <w:tcBorders>
              <w:top w:val="nil"/>
              <w:left w:val="nil"/>
              <w:bottom w:val="nil"/>
              <w:right w:val="nil"/>
            </w:tcBorders>
            <w:shd w:val="clear" w:color="auto" w:fill="auto"/>
            <w:noWrap/>
            <w:vAlign w:val="bottom"/>
            <w:hideMark/>
          </w:tcPr>
          <w:p w:rsidR="003630BD" w:rsidRPr="00131992" w:rsidRDefault="003630BD" w:rsidP="003630BD">
            <w:pPr>
              <w:spacing w:after="0" w:line="240" w:lineRule="auto"/>
              <w:jc w:val="right"/>
              <w:rPr>
                <w:rFonts w:ascii="Barlow" w:eastAsia="Times New Roman" w:hAnsi="Barlow" w:cs="Calibri"/>
                <w:color w:val="000000"/>
                <w:sz w:val="20"/>
                <w:szCs w:val="20"/>
                <w:lang w:eastAsia="es-MX"/>
              </w:rPr>
            </w:pPr>
          </w:p>
        </w:tc>
      </w:tr>
      <w:tr w:rsidR="003630BD" w:rsidRPr="00131992" w:rsidTr="003630BD">
        <w:trPr>
          <w:trHeight w:val="315"/>
        </w:trPr>
        <w:tc>
          <w:tcPr>
            <w:tcW w:w="194" w:type="dxa"/>
            <w:tcBorders>
              <w:top w:val="nil"/>
              <w:left w:val="single" w:sz="8" w:space="0" w:color="auto"/>
              <w:bottom w:val="single" w:sz="8" w:space="0" w:color="auto"/>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 </w:t>
            </w:r>
          </w:p>
        </w:tc>
        <w:tc>
          <w:tcPr>
            <w:tcW w:w="194" w:type="dxa"/>
            <w:tcBorders>
              <w:top w:val="nil"/>
              <w:left w:val="nil"/>
              <w:bottom w:val="single" w:sz="8" w:space="0" w:color="auto"/>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b/>
                <w:bCs/>
                <w:color w:val="000000"/>
                <w:sz w:val="20"/>
                <w:szCs w:val="20"/>
                <w:lang w:eastAsia="es-MX"/>
              </w:rPr>
            </w:pPr>
            <w:r w:rsidRPr="00131992">
              <w:rPr>
                <w:rFonts w:ascii="Barlow" w:eastAsia="Times New Roman" w:hAnsi="Barlow" w:cs="Calibri"/>
                <w:b/>
                <w:bCs/>
                <w:color w:val="000000"/>
                <w:sz w:val="20"/>
                <w:szCs w:val="20"/>
                <w:lang w:eastAsia="es-MX"/>
              </w:rPr>
              <w:t> </w:t>
            </w:r>
          </w:p>
        </w:tc>
        <w:tc>
          <w:tcPr>
            <w:tcW w:w="4600" w:type="dxa"/>
            <w:gridSpan w:val="2"/>
            <w:tcBorders>
              <w:top w:val="nil"/>
              <w:left w:val="nil"/>
              <w:bottom w:val="single" w:sz="8" w:space="0" w:color="auto"/>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Disminución del exceso de provisiones.</w:t>
            </w:r>
          </w:p>
        </w:tc>
        <w:tc>
          <w:tcPr>
            <w:tcW w:w="710" w:type="dxa"/>
            <w:tcBorders>
              <w:top w:val="nil"/>
              <w:left w:val="nil"/>
              <w:bottom w:val="single" w:sz="8" w:space="0" w:color="auto"/>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 </w:t>
            </w:r>
          </w:p>
        </w:tc>
        <w:tc>
          <w:tcPr>
            <w:tcW w:w="908" w:type="dxa"/>
            <w:tcBorders>
              <w:top w:val="nil"/>
              <w:left w:val="single" w:sz="8" w:space="0" w:color="auto"/>
              <w:bottom w:val="single" w:sz="8" w:space="0" w:color="auto"/>
              <w:right w:val="single" w:sz="8" w:space="0" w:color="auto"/>
            </w:tcBorders>
            <w:shd w:val="clear" w:color="auto" w:fill="auto"/>
            <w:noWrap/>
            <w:vAlign w:val="bottom"/>
            <w:hideMark/>
          </w:tcPr>
          <w:p w:rsidR="003630BD" w:rsidRPr="00131992" w:rsidRDefault="003630BD" w:rsidP="003630BD">
            <w:pPr>
              <w:spacing w:after="0" w:line="240" w:lineRule="auto"/>
              <w:jc w:val="right"/>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0.00</w:t>
            </w:r>
          </w:p>
        </w:tc>
        <w:tc>
          <w:tcPr>
            <w:tcW w:w="5673" w:type="dxa"/>
            <w:tcBorders>
              <w:top w:val="nil"/>
              <w:left w:val="nil"/>
              <w:bottom w:val="nil"/>
              <w:right w:val="nil"/>
            </w:tcBorders>
            <w:shd w:val="clear" w:color="auto" w:fill="auto"/>
            <w:noWrap/>
            <w:vAlign w:val="bottom"/>
            <w:hideMark/>
          </w:tcPr>
          <w:p w:rsidR="003630BD" w:rsidRPr="00131992" w:rsidRDefault="003630BD" w:rsidP="003630BD">
            <w:pPr>
              <w:spacing w:after="0" w:line="240" w:lineRule="auto"/>
              <w:jc w:val="right"/>
              <w:rPr>
                <w:rFonts w:ascii="Barlow" w:eastAsia="Times New Roman" w:hAnsi="Barlow" w:cs="Calibri"/>
                <w:color w:val="000000"/>
                <w:sz w:val="20"/>
                <w:szCs w:val="20"/>
                <w:lang w:eastAsia="es-MX"/>
              </w:rPr>
            </w:pPr>
          </w:p>
        </w:tc>
      </w:tr>
      <w:tr w:rsidR="003630BD" w:rsidRPr="00131992" w:rsidTr="003630BD">
        <w:trPr>
          <w:trHeight w:val="315"/>
        </w:trPr>
        <w:tc>
          <w:tcPr>
            <w:tcW w:w="194" w:type="dxa"/>
            <w:tcBorders>
              <w:top w:val="nil"/>
              <w:left w:val="single" w:sz="8" w:space="0" w:color="auto"/>
              <w:bottom w:val="single" w:sz="8" w:space="0" w:color="auto"/>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 </w:t>
            </w:r>
          </w:p>
        </w:tc>
        <w:tc>
          <w:tcPr>
            <w:tcW w:w="194" w:type="dxa"/>
            <w:tcBorders>
              <w:top w:val="nil"/>
              <w:left w:val="nil"/>
              <w:bottom w:val="single" w:sz="8" w:space="0" w:color="auto"/>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b/>
                <w:bCs/>
                <w:color w:val="000000"/>
                <w:sz w:val="20"/>
                <w:szCs w:val="20"/>
                <w:lang w:eastAsia="es-MX"/>
              </w:rPr>
            </w:pPr>
            <w:r w:rsidRPr="00131992">
              <w:rPr>
                <w:rFonts w:ascii="Barlow" w:eastAsia="Times New Roman" w:hAnsi="Barlow" w:cs="Calibri"/>
                <w:b/>
                <w:bCs/>
                <w:color w:val="000000"/>
                <w:sz w:val="20"/>
                <w:szCs w:val="20"/>
                <w:lang w:eastAsia="es-MX"/>
              </w:rPr>
              <w:t> </w:t>
            </w:r>
          </w:p>
        </w:tc>
        <w:tc>
          <w:tcPr>
            <w:tcW w:w="4600" w:type="dxa"/>
            <w:gridSpan w:val="2"/>
            <w:tcBorders>
              <w:top w:val="nil"/>
              <w:left w:val="nil"/>
              <w:bottom w:val="single" w:sz="8" w:space="0" w:color="auto"/>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Otros ingresos y beneficios varios.</w:t>
            </w:r>
          </w:p>
        </w:tc>
        <w:tc>
          <w:tcPr>
            <w:tcW w:w="710" w:type="dxa"/>
            <w:tcBorders>
              <w:top w:val="nil"/>
              <w:left w:val="nil"/>
              <w:bottom w:val="single" w:sz="8" w:space="0" w:color="auto"/>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 </w:t>
            </w:r>
          </w:p>
        </w:tc>
        <w:tc>
          <w:tcPr>
            <w:tcW w:w="908" w:type="dxa"/>
            <w:tcBorders>
              <w:top w:val="nil"/>
              <w:left w:val="single" w:sz="8" w:space="0" w:color="auto"/>
              <w:bottom w:val="single" w:sz="8" w:space="0" w:color="auto"/>
              <w:right w:val="single" w:sz="8" w:space="0" w:color="auto"/>
            </w:tcBorders>
            <w:shd w:val="clear" w:color="auto" w:fill="auto"/>
            <w:noWrap/>
            <w:vAlign w:val="bottom"/>
            <w:hideMark/>
          </w:tcPr>
          <w:p w:rsidR="003630BD" w:rsidRPr="00131992" w:rsidRDefault="003630BD" w:rsidP="003630BD">
            <w:pPr>
              <w:spacing w:after="0" w:line="240" w:lineRule="auto"/>
              <w:jc w:val="right"/>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0.00</w:t>
            </w:r>
          </w:p>
        </w:tc>
        <w:tc>
          <w:tcPr>
            <w:tcW w:w="5673" w:type="dxa"/>
            <w:tcBorders>
              <w:top w:val="nil"/>
              <w:left w:val="nil"/>
              <w:bottom w:val="nil"/>
              <w:right w:val="nil"/>
            </w:tcBorders>
            <w:shd w:val="clear" w:color="auto" w:fill="auto"/>
            <w:noWrap/>
            <w:vAlign w:val="bottom"/>
            <w:hideMark/>
          </w:tcPr>
          <w:p w:rsidR="003630BD" w:rsidRPr="00131992" w:rsidRDefault="003630BD" w:rsidP="003630BD">
            <w:pPr>
              <w:spacing w:after="0" w:line="240" w:lineRule="auto"/>
              <w:jc w:val="right"/>
              <w:rPr>
                <w:rFonts w:ascii="Barlow" w:eastAsia="Times New Roman" w:hAnsi="Barlow" w:cs="Calibri"/>
                <w:color w:val="000000"/>
                <w:sz w:val="20"/>
                <w:szCs w:val="20"/>
                <w:lang w:eastAsia="es-MX"/>
              </w:rPr>
            </w:pPr>
          </w:p>
        </w:tc>
      </w:tr>
      <w:tr w:rsidR="003630BD" w:rsidRPr="00131992" w:rsidTr="003630BD">
        <w:trPr>
          <w:trHeight w:val="315"/>
        </w:trPr>
        <w:tc>
          <w:tcPr>
            <w:tcW w:w="194" w:type="dxa"/>
            <w:tcBorders>
              <w:top w:val="nil"/>
              <w:left w:val="single" w:sz="8" w:space="0" w:color="auto"/>
              <w:bottom w:val="single" w:sz="8" w:space="0" w:color="auto"/>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 </w:t>
            </w:r>
          </w:p>
        </w:tc>
        <w:tc>
          <w:tcPr>
            <w:tcW w:w="4794" w:type="dxa"/>
            <w:gridSpan w:val="3"/>
            <w:tcBorders>
              <w:top w:val="nil"/>
              <w:left w:val="nil"/>
              <w:bottom w:val="single" w:sz="8" w:space="0" w:color="auto"/>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Otros ingresos contables no presupuestarios.</w:t>
            </w:r>
          </w:p>
        </w:tc>
        <w:tc>
          <w:tcPr>
            <w:tcW w:w="710" w:type="dxa"/>
            <w:tcBorders>
              <w:top w:val="nil"/>
              <w:left w:val="nil"/>
              <w:bottom w:val="single" w:sz="8" w:space="0" w:color="auto"/>
              <w:right w:val="nil"/>
            </w:tcBorders>
            <w:shd w:val="clear" w:color="auto" w:fill="auto"/>
            <w:noWrap/>
            <w:vAlign w:val="bottom"/>
            <w:hideMark/>
          </w:tcPr>
          <w:p w:rsidR="003630BD" w:rsidRPr="00131992" w:rsidRDefault="003630BD" w:rsidP="003630BD">
            <w:pPr>
              <w:spacing w:after="0" w:line="240" w:lineRule="auto"/>
              <w:jc w:val="right"/>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 xml:space="preserve"> * </w:t>
            </w:r>
          </w:p>
        </w:tc>
        <w:tc>
          <w:tcPr>
            <w:tcW w:w="908" w:type="dxa"/>
            <w:tcBorders>
              <w:top w:val="nil"/>
              <w:left w:val="single" w:sz="8" w:space="0" w:color="auto"/>
              <w:bottom w:val="single" w:sz="8" w:space="0" w:color="auto"/>
              <w:right w:val="single" w:sz="8" w:space="0" w:color="auto"/>
            </w:tcBorders>
            <w:shd w:val="clear" w:color="auto" w:fill="auto"/>
            <w:noWrap/>
            <w:vAlign w:val="bottom"/>
            <w:hideMark/>
          </w:tcPr>
          <w:p w:rsidR="003630BD" w:rsidRPr="00131992" w:rsidRDefault="003630BD" w:rsidP="003630BD">
            <w:pPr>
              <w:spacing w:after="0" w:line="240" w:lineRule="auto"/>
              <w:jc w:val="right"/>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0.00</w:t>
            </w:r>
          </w:p>
        </w:tc>
        <w:tc>
          <w:tcPr>
            <w:tcW w:w="5673" w:type="dxa"/>
            <w:tcBorders>
              <w:top w:val="nil"/>
              <w:left w:val="nil"/>
              <w:bottom w:val="nil"/>
              <w:right w:val="nil"/>
            </w:tcBorders>
            <w:shd w:val="clear" w:color="auto" w:fill="auto"/>
            <w:noWrap/>
            <w:vAlign w:val="bottom"/>
            <w:hideMark/>
          </w:tcPr>
          <w:p w:rsidR="003630BD" w:rsidRPr="00131992" w:rsidRDefault="003630BD" w:rsidP="003630BD">
            <w:pPr>
              <w:spacing w:after="0" w:line="240" w:lineRule="auto"/>
              <w:jc w:val="right"/>
              <w:rPr>
                <w:rFonts w:ascii="Barlow" w:eastAsia="Times New Roman" w:hAnsi="Barlow" w:cs="Calibri"/>
                <w:color w:val="000000"/>
                <w:sz w:val="20"/>
                <w:szCs w:val="20"/>
                <w:lang w:eastAsia="es-MX"/>
              </w:rPr>
            </w:pPr>
          </w:p>
        </w:tc>
      </w:tr>
      <w:tr w:rsidR="003630BD" w:rsidRPr="00131992" w:rsidTr="003630BD">
        <w:trPr>
          <w:trHeight w:val="300"/>
        </w:trPr>
        <w:tc>
          <w:tcPr>
            <w:tcW w:w="194" w:type="dxa"/>
            <w:tcBorders>
              <w:top w:val="nil"/>
              <w:left w:val="nil"/>
              <w:bottom w:val="nil"/>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Times New Roman"/>
                <w:sz w:val="20"/>
                <w:szCs w:val="20"/>
                <w:lang w:eastAsia="es-MX"/>
              </w:rPr>
            </w:pPr>
          </w:p>
        </w:tc>
        <w:tc>
          <w:tcPr>
            <w:tcW w:w="194" w:type="dxa"/>
            <w:tcBorders>
              <w:top w:val="nil"/>
              <w:left w:val="nil"/>
              <w:bottom w:val="nil"/>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Times New Roman"/>
                <w:sz w:val="20"/>
                <w:szCs w:val="20"/>
                <w:lang w:eastAsia="es-MX"/>
              </w:rPr>
            </w:pPr>
          </w:p>
        </w:tc>
        <w:tc>
          <w:tcPr>
            <w:tcW w:w="4389" w:type="dxa"/>
            <w:tcBorders>
              <w:top w:val="nil"/>
              <w:left w:val="nil"/>
              <w:bottom w:val="nil"/>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Times New Roman"/>
                <w:sz w:val="20"/>
                <w:szCs w:val="20"/>
                <w:lang w:eastAsia="es-MX"/>
              </w:rPr>
            </w:pPr>
          </w:p>
        </w:tc>
        <w:tc>
          <w:tcPr>
            <w:tcW w:w="211" w:type="dxa"/>
            <w:tcBorders>
              <w:top w:val="nil"/>
              <w:left w:val="nil"/>
              <w:bottom w:val="nil"/>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Times New Roman"/>
                <w:sz w:val="20"/>
                <w:szCs w:val="20"/>
                <w:lang w:eastAsia="es-MX"/>
              </w:rPr>
            </w:pPr>
          </w:p>
        </w:tc>
        <w:tc>
          <w:tcPr>
            <w:tcW w:w="710" w:type="dxa"/>
            <w:tcBorders>
              <w:top w:val="nil"/>
              <w:left w:val="nil"/>
              <w:bottom w:val="nil"/>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Times New Roman"/>
                <w:sz w:val="20"/>
                <w:szCs w:val="20"/>
                <w:lang w:eastAsia="es-MX"/>
              </w:rPr>
            </w:pPr>
          </w:p>
        </w:tc>
        <w:tc>
          <w:tcPr>
            <w:tcW w:w="908" w:type="dxa"/>
            <w:tcBorders>
              <w:top w:val="nil"/>
              <w:left w:val="nil"/>
              <w:bottom w:val="nil"/>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Times New Roman"/>
                <w:sz w:val="20"/>
                <w:szCs w:val="20"/>
                <w:lang w:eastAsia="es-MX"/>
              </w:rPr>
            </w:pPr>
          </w:p>
        </w:tc>
        <w:tc>
          <w:tcPr>
            <w:tcW w:w="5673" w:type="dxa"/>
            <w:tcBorders>
              <w:top w:val="nil"/>
              <w:left w:val="nil"/>
              <w:bottom w:val="nil"/>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Times New Roman"/>
                <w:sz w:val="20"/>
                <w:szCs w:val="20"/>
                <w:lang w:eastAsia="es-MX"/>
              </w:rPr>
            </w:pPr>
          </w:p>
        </w:tc>
      </w:tr>
      <w:tr w:rsidR="003630BD" w:rsidRPr="00131992" w:rsidTr="003630BD">
        <w:trPr>
          <w:trHeight w:val="315"/>
        </w:trPr>
        <w:tc>
          <w:tcPr>
            <w:tcW w:w="194" w:type="dxa"/>
            <w:tcBorders>
              <w:top w:val="nil"/>
              <w:left w:val="nil"/>
              <w:bottom w:val="nil"/>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Times New Roman"/>
                <w:sz w:val="20"/>
                <w:szCs w:val="20"/>
                <w:lang w:eastAsia="es-MX"/>
              </w:rPr>
            </w:pPr>
          </w:p>
        </w:tc>
        <w:tc>
          <w:tcPr>
            <w:tcW w:w="194" w:type="dxa"/>
            <w:tcBorders>
              <w:top w:val="nil"/>
              <w:left w:val="nil"/>
              <w:bottom w:val="nil"/>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Times New Roman"/>
                <w:sz w:val="20"/>
                <w:szCs w:val="20"/>
                <w:lang w:eastAsia="es-MX"/>
              </w:rPr>
            </w:pPr>
          </w:p>
        </w:tc>
        <w:tc>
          <w:tcPr>
            <w:tcW w:w="4389" w:type="dxa"/>
            <w:tcBorders>
              <w:top w:val="nil"/>
              <w:left w:val="nil"/>
              <w:bottom w:val="nil"/>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Times New Roman"/>
                <w:sz w:val="20"/>
                <w:szCs w:val="20"/>
                <w:lang w:eastAsia="es-MX"/>
              </w:rPr>
            </w:pPr>
          </w:p>
        </w:tc>
        <w:tc>
          <w:tcPr>
            <w:tcW w:w="211" w:type="dxa"/>
            <w:tcBorders>
              <w:top w:val="nil"/>
              <w:left w:val="nil"/>
              <w:bottom w:val="nil"/>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Times New Roman"/>
                <w:sz w:val="20"/>
                <w:szCs w:val="20"/>
                <w:lang w:eastAsia="es-MX"/>
              </w:rPr>
            </w:pPr>
          </w:p>
        </w:tc>
        <w:tc>
          <w:tcPr>
            <w:tcW w:w="710" w:type="dxa"/>
            <w:tcBorders>
              <w:top w:val="nil"/>
              <w:left w:val="nil"/>
              <w:bottom w:val="nil"/>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Times New Roman"/>
                <w:sz w:val="20"/>
                <w:szCs w:val="20"/>
                <w:lang w:eastAsia="es-MX"/>
              </w:rPr>
            </w:pPr>
          </w:p>
        </w:tc>
        <w:tc>
          <w:tcPr>
            <w:tcW w:w="908" w:type="dxa"/>
            <w:tcBorders>
              <w:top w:val="nil"/>
              <w:left w:val="nil"/>
              <w:bottom w:val="nil"/>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Times New Roman"/>
                <w:sz w:val="20"/>
                <w:szCs w:val="20"/>
                <w:lang w:eastAsia="es-MX"/>
              </w:rPr>
            </w:pPr>
          </w:p>
        </w:tc>
        <w:tc>
          <w:tcPr>
            <w:tcW w:w="5673" w:type="dxa"/>
            <w:tcBorders>
              <w:top w:val="nil"/>
              <w:left w:val="nil"/>
              <w:bottom w:val="nil"/>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Times New Roman"/>
                <w:sz w:val="20"/>
                <w:szCs w:val="20"/>
                <w:lang w:eastAsia="es-MX"/>
              </w:rPr>
            </w:pPr>
          </w:p>
        </w:tc>
      </w:tr>
      <w:tr w:rsidR="003630BD" w:rsidRPr="00131992" w:rsidTr="003630BD">
        <w:trPr>
          <w:trHeight w:val="300"/>
        </w:trPr>
        <w:tc>
          <w:tcPr>
            <w:tcW w:w="194" w:type="dxa"/>
            <w:tcBorders>
              <w:top w:val="single" w:sz="8" w:space="0" w:color="auto"/>
              <w:left w:val="single" w:sz="8" w:space="0" w:color="auto"/>
              <w:bottom w:val="nil"/>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 </w:t>
            </w:r>
          </w:p>
        </w:tc>
        <w:tc>
          <w:tcPr>
            <w:tcW w:w="194" w:type="dxa"/>
            <w:tcBorders>
              <w:top w:val="single" w:sz="8" w:space="0" w:color="auto"/>
              <w:left w:val="nil"/>
              <w:bottom w:val="nil"/>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 </w:t>
            </w:r>
          </w:p>
        </w:tc>
        <w:tc>
          <w:tcPr>
            <w:tcW w:w="4389" w:type="dxa"/>
            <w:tcBorders>
              <w:top w:val="single" w:sz="8" w:space="0" w:color="auto"/>
              <w:left w:val="nil"/>
              <w:bottom w:val="nil"/>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b/>
                <w:bCs/>
                <w:color w:val="000000"/>
                <w:sz w:val="20"/>
                <w:szCs w:val="20"/>
                <w:lang w:eastAsia="es-MX"/>
              </w:rPr>
            </w:pPr>
            <w:r w:rsidRPr="00131992">
              <w:rPr>
                <w:rFonts w:ascii="Barlow" w:eastAsia="Times New Roman" w:hAnsi="Barlow" w:cs="Calibri"/>
                <w:b/>
                <w:bCs/>
                <w:color w:val="000000"/>
                <w:sz w:val="20"/>
                <w:szCs w:val="20"/>
                <w:lang w:eastAsia="es-MX"/>
              </w:rPr>
              <w:t> </w:t>
            </w:r>
          </w:p>
        </w:tc>
        <w:tc>
          <w:tcPr>
            <w:tcW w:w="211" w:type="dxa"/>
            <w:tcBorders>
              <w:top w:val="single" w:sz="8" w:space="0" w:color="auto"/>
              <w:left w:val="nil"/>
              <w:bottom w:val="nil"/>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b/>
                <w:bCs/>
                <w:color w:val="000000"/>
                <w:sz w:val="20"/>
                <w:szCs w:val="20"/>
                <w:lang w:eastAsia="es-MX"/>
              </w:rPr>
            </w:pPr>
            <w:r w:rsidRPr="00131992">
              <w:rPr>
                <w:rFonts w:ascii="Barlow" w:eastAsia="Times New Roman" w:hAnsi="Barlow" w:cs="Calibri"/>
                <w:b/>
                <w:bCs/>
                <w:color w:val="000000"/>
                <w:sz w:val="20"/>
                <w:szCs w:val="20"/>
                <w:lang w:eastAsia="es-MX"/>
              </w:rPr>
              <w:t> </w:t>
            </w:r>
          </w:p>
        </w:tc>
        <w:tc>
          <w:tcPr>
            <w:tcW w:w="710" w:type="dxa"/>
            <w:tcBorders>
              <w:top w:val="single" w:sz="8" w:space="0" w:color="auto"/>
              <w:left w:val="nil"/>
              <w:bottom w:val="nil"/>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 </w:t>
            </w:r>
          </w:p>
        </w:tc>
        <w:tc>
          <w:tcPr>
            <w:tcW w:w="908" w:type="dxa"/>
            <w:tcBorders>
              <w:top w:val="single" w:sz="8" w:space="0" w:color="auto"/>
              <w:left w:val="single" w:sz="8" w:space="0" w:color="auto"/>
              <w:bottom w:val="nil"/>
              <w:right w:val="single" w:sz="8" w:space="0" w:color="auto"/>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 </w:t>
            </w:r>
          </w:p>
        </w:tc>
        <w:tc>
          <w:tcPr>
            <w:tcW w:w="5673" w:type="dxa"/>
            <w:tcBorders>
              <w:top w:val="single" w:sz="8" w:space="0" w:color="auto"/>
              <w:left w:val="nil"/>
              <w:bottom w:val="nil"/>
              <w:right w:val="single" w:sz="8" w:space="0" w:color="auto"/>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 </w:t>
            </w:r>
          </w:p>
        </w:tc>
      </w:tr>
      <w:tr w:rsidR="003630BD" w:rsidRPr="00131992" w:rsidTr="003630BD">
        <w:trPr>
          <w:trHeight w:val="315"/>
        </w:trPr>
        <w:tc>
          <w:tcPr>
            <w:tcW w:w="194" w:type="dxa"/>
            <w:tcBorders>
              <w:top w:val="nil"/>
              <w:left w:val="single" w:sz="8" w:space="0" w:color="auto"/>
              <w:bottom w:val="single" w:sz="8" w:space="0" w:color="auto"/>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 </w:t>
            </w:r>
          </w:p>
        </w:tc>
        <w:tc>
          <w:tcPr>
            <w:tcW w:w="4794" w:type="dxa"/>
            <w:gridSpan w:val="3"/>
            <w:tcBorders>
              <w:top w:val="nil"/>
              <w:left w:val="nil"/>
              <w:bottom w:val="single" w:sz="8" w:space="0" w:color="auto"/>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b/>
                <w:bCs/>
                <w:color w:val="000000"/>
                <w:sz w:val="20"/>
                <w:szCs w:val="20"/>
                <w:lang w:eastAsia="es-MX"/>
              </w:rPr>
            </w:pPr>
            <w:r w:rsidRPr="00131992">
              <w:rPr>
                <w:rFonts w:ascii="Barlow" w:eastAsia="Times New Roman" w:hAnsi="Barlow" w:cs="Calibri"/>
                <w:b/>
                <w:bCs/>
                <w:color w:val="000000"/>
                <w:sz w:val="20"/>
                <w:szCs w:val="20"/>
                <w:lang w:eastAsia="es-MX"/>
              </w:rPr>
              <w:t>3. Menos ingresos presupuestarios no contables</w:t>
            </w:r>
          </w:p>
        </w:tc>
        <w:tc>
          <w:tcPr>
            <w:tcW w:w="710" w:type="dxa"/>
            <w:tcBorders>
              <w:top w:val="nil"/>
              <w:left w:val="nil"/>
              <w:bottom w:val="single" w:sz="8" w:space="0" w:color="auto"/>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 </w:t>
            </w:r>
          </w:p>
        </w:tc>
        <w:tc>
          <w:tcPr>
            <w:tcW w:w="908" w:type="dxa"/>
            <w:tcBorders>
              <w:top w:val="nil"/>
              <w:left w:val="single" w:sz="8" w:space="0" w:color="auto"/>
              <w:bottom w:val="single" w:sz="8" w:space="0" w:color="auto"/>
              <w:right w:val="single" w:sz="8" w:space="0" w:color="auto"/>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 </w:t>
            </w:r>
          </w:p>
        </w:tc>
        <w:tc>
          <w:tcPr>
            <w:tcW w:w="5673" w:type="dxa"/>
            <w:tcBorders>
              <w:top w:val="nil"/>
              <w:left w:val="nil"/>
              <w:bottom w:val="single" w:sz="8" w:space="0" w:color="auto"/>
              <w:right w:val="single" w:sz="8" w:space="0" w:color="auto"/>
            </w:tcBorders>
            <w:shd w:val="clear" w:color="auto" w:fill="auto"/>
            <w:noWrap/>
            <w:vAlign w:val="bottom"/>
            <w:hideMark/>
          </w:tcPr>
          <w:p w:rsidR="003630BD" w:rsidRPr="00131992" w:rsidRDefault="003630BD" w:rsidP="003630BD">
            <w:pPr>
              <w:spacing w:after="0" w:line="240" w:lineRule="auto"/>
              <w:jc w:val="right"/>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0.00</w:t>
            </w:r>
          </w:p>
        </w:tc>
      </w:tr>
      <w:tr w:rsidR="003630BD" w:rsidRPr="00131992" w:rsidTr="003630BD">
        <w:trPr>
          <w:trHeight w:val="315"/>
        </w:trPr>
        <w:tc>
          <w:tcPr>
            <w:tcW w:w="194" w:type="dxa"/>
            <w:tcBorders>
              <w:top w:val="nil"/>
              <w:left w:val="single" w:sz="8" w:space="0" w:color="auto"/>
              <w:bottom w:val="single" w:sz="8" w:space="0" w:color="auto"/>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 </w:t>
            </w:r>
          </w:p>
        </w:tc>
        <w:tc>
          <w:tcPr>
            <w:tcW w:w="194" w:type="dxa"/>
            <w:tcBorders>
              <w:top w:val="nil"/>
              <w:left w:val="nil"/>
              <w:bottom w:val="single" w:sz="8" w:space="0" w:color="auto"/>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 </w:t>
            </w:r>
          </w:p>
        </w:tc>
        <w:tc>
          <w:tcPr>
            <w:tcW w:w="4389" w:type="dxa"/>
            <w:tcBorders>
              <w:top w:val="nil"/>
              <w:left w:val="nil"/>
              <w:bottom w:val="single" w:sz="8" w:space="0" w:color="auto"/>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Productos de capital.</w:t>
            </w:r>
          </w:p>
        </w:tc>
        <w:tc>
          <w:tcPr>
            <w:tcW w:w="211" w:type="dxa"/>
            <w:tcBorders>
              <w:top w:val="nil"/>
              <w:left w:val="nil"/>
              <w:bottom w:val="single" w:sz="8" w:space="0" w:color="auto"/>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 </w:t>
            </w:r>
          </w:p>
        </w:tc>
        <w:tc>
          <w:tcPr>
            <w:tcW w:w="710" w:type="dxa"/>
            <w:tcBorders>
              <w:top w:val="nil"/>
              <w:left w:val="nil"/>
              <w:bottom w:val="single" w:sz="8" w:space="0" w:color="auto"/>
              <w:right w:val="nil"/>
            </w:tcBorders>
            <w:shd w:val="clear" w:color="auto" w:fill="auto"/>
            <w:noWrap/>
            <w:vAlign w:val="bottom"/>
            <w:hideMark/>
          </w:tcPr>
          <w:p w:rsidR="003630BD" w:rsidRPr="00131992" w:rsidRDefault="003630BD" w:rsidP="003630BD">
            <w:pPr>
              <w:spacing w:after="0" w:line="240" w:lineRule="auto"/>
              <w:jc w:val="center"/>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 </w:t>
            </w:r>
          </w:p>
        </w:tc>
        <w:tc>
          <w:tcPr>
            <w:tcW w:w="908" w:type="dxa"/>
            <w:tcBorders>
              <w:top w:val="nil"/>
              <w:left w:val="single" w:sz="8" w:space="0" w:color="auto"/>
              <w:bottom w:val="single" w:sz="8" w:space="0" w:color="auto"/>
              <w:right w:val="single" w:sz="8" w:space="0" w:color="auto"/>
            </w:tcBorders>
            <w:shd w:val="clear" w:color="auto" w:fill="auto"/>
            <w:noWrap/>
            <w:vAlign w:val="bottom"/>
            <w:hideMark/>
          </w:tcPr>
          <w:p w:rsidR="003630BD" w:rsidRPr="00131992" w:rsidRDefault="003630BD" w:rsidP="003630BD">
            <w:pPr>
              <w:spacing w:after="0" w:line="240" w:lineRule="auto"/>
              <w:jc w:val="right"/>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0.00</w:t>
            </w:r>
          </w:p>
        </w:tc>
        <w:tc>
          <w:tcPr>
            <w:tcW w:w="5673" w:type="dxa"/>
            <w:tcBorders>
              <w:top w:val="nil"/>
              <w:left w:val="nil"/>
              <w:bottom w:val="nil"/>
              <w:right w:val="nil"/>
            </w:tcBorders>
            <w:shd w:val="clear" w:color="auto" w:fill="auto"/>
            <w:noWrap/>
            <w:vAlign w:val="bottom"/>
            <w:hideMark/>
          </w:tcPr>
          <w:p w:rsidR="003630BD" w:rsidRPr="00131992" w:rsidRDefault="003630BD" w:rsidP="003630BD">
            <w:pPr>
              <w:spacing w:after="0" w:line="240" w:lineRule="auto"/>
              <w:jc w:val="right"/>
              <w:rPr>
                <w:rFonts w:ascii="Barlow" w:eastAsia="Times New Roman" w:hAnsi="Barlow" w:cs="Calibri"/>
                <w:color w:val="000000"/>
                <w:sz w:val="20"/>
                <w:szCs w:val="20"/>
                <w:lang w:eastAsia="es-MX"/>
              </w:rPr>
            </w:pPr>
          </w:p>
        </w:tc>
      </w:tr>
      <w:tr w:rsidR="003630BD" w:rsidRPr="00131992" w:rsidTr="003630BD">
        <w:trPr>
          <w:trHeight w:val="315"/>
        </w:trPr>
        <w:tc>
          <w:tcPr>
            <w:tcW w:w="194" w:type="dxa"/>
            <w:tcBorders>
              <w:top w:val="nil"/>
              <w:left w:val="single" w:sz="8" w:space="0" w:color="auto"/>
              <w:bottom w:val="single" w:sz="8" w:space="0" w:color="auto"/>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 </w:t>
            </w:r>
          </w:p>
        </w:tc>
        <w:tc>
          <w:tcPr>
            <w:tcW w:w="194" w:type="dxa"/>
            <w:tcBorders>
              <w:top w:val="nil"/>
              <w:left w:val="nil"/>
              <w:bottom w:val="single" w:sz="8" w:space="0" w:color="auto"/>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 </w:t>
            </w:r>
          </w:p>
        </w:tc>
        <w:tc>
          <w:tcPr>
            <w:tcW w:w="4600" w:type="dxa"/>
            <w:gridSpan w:val="2"/>
            <w:tcBorders>
              <w:top w:val="nil"/>
              <w:left w:val="nil"/>
              <w:bottom w:val="single" w:sz="8" w:space="0" w:color="auto"/>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Aprovechamientos de capital.</w:t>
            </w:r>
          </w:p>
        </w:tc>
        <w:tc>
          <w:tcPr>
            <w:tcW w:w="710" w:type="dxa"/>
            <w:tcBorders>
              <w:top w:val="nil"/>
              <w:left w:val="nil"/>
              <w:bottom w:val="single" w:sz="8" w:space="0" w:color="auto"/>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 </w:t>
            </w:r>
          </w:p>
        </w:tc>
        <w:tc>
          <w:tcPr>
            <w:tcW w:w="908" w:type="dxa"/>
            <w:tcBorders>
              <w:top w:val="nil"/>
              <w:left w:val="single" w:sz="8" w:space="0" w:color="auto"/>
              <w:bottom w:val="single" w:sz="8" w:space="0" w:color="auto"/>
              <w:right w:val="single" w:sz="8" w:space="0" w:color="auto"/>
            </w:tcBorders>
            <w:shd w:val="clear" w:color="auto" w:fill="auto"/>
            <w:noWrap/>
            <w:vAlign w:val="bottom"/>
            <w:hideMark/>
          </w:tcPr>
          <w:p w:rsidR="003630BD" w:rsidRPr="00131992" w:rsidRDefault="003630BD" w:rsidP="003630BD">
            <w:pPr>
              <w:spacing w:after="0" w:line="240" w:lineRule="auto"/>
              <w:jc w:val="right"/>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0.00</w:t>
            </w:r>
          </w:p>
        </w:tc>
        <w:tc>
          <w:tcPr>
            <w:tcW w:w="5673" w:type="dxa"/>
            <w:tcBorders>
              <w:top w:val="nil"/>
              <w:left w:val="nil"/>
              <w:bottom w:val="nil"/>
              <w:right w:val="nil"/>
            </w:tcBorders>
            <w:shd w:val="clear" w:color="auto" w:fill="auto"/>
            <w:noWrap/>
            <w:vAlign w:val="bottom"/>
            <w:hideMark/>
          </w:tcPr>
          <w:p w:rsidR="003630BD" w:rsidRPr="00131992" w:rsidRDefault="003630BD" w:rsidP="003630BD">
            <w:pPr>
              <w:spacing w:after="0" w:line="240" w:lineRule="auto"/>
              <w:jc w:val="right"/>
              <w:rPr>
                <w:rFonts w:ascii="Barlow" w:eastAsia="Times New Roman" w:hAnsi="Barlow" w:cs="Calibri"/>
                <w:color w:val="000000"/>
                <w:sz w:val="20"/>
                <w:szCs w:val="20"/>
                <w:lang w:eastAsia="es-MX"/>
              </w:rPr>
            </w:pPr>
          </w:p>
        </w:tc>
      </w:tr>
      <w:tr w:rsidR="003630BD" w:rsidRPr="00131992" w:rsidTr="003630BD">
        <w:trPr>
          <w:trHeight w:val="315"/>
        </w:trPr>
        <w:tc>
          <w:tcPr>
            <w:tcW w:w="194" w:type="dxa"/>
            <w:tcBorders>
              <w:top w:val="nil"/>
              <w:left w:val="single" w:sz="8" w:space="0" w:color="auto"/>
              <w:bottom w:val="single" w:sz="8" w:space="0" w:color="auto"/>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 </w:t>
            </w:r>
          </w:p>
        </w:tc>
        <w:tc>
          <w:tcPr>
            <w:tcW w:w="194" w:type="dxa"/>
            <w:tcBorders>
              <w:top w:val="nil"/>
              <w:left w:val="nil"/>
              <w:bottom w:val="single" w:sz="8" w:space="0" w:color="auto"/>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b/>
                <w:bCs/>
                <w:color w:val="000000"/>
                <w:sz w:val="20"/>
                <w:szCs w:val="20"/>
                <w:lang w:eastAsia="es-MX"/>
              </w:rPr>
            </w:pPr>
            <w:r w:rsidRPr="00131992">
              <w:rPr>
                <w:rFonts w:ascii="Barlow" w:eastAsia="Times New Roman" w:hAnsi="Barlow" w:cs="Calibri"/>
                <w:b/>
                <w:bCs/>
                <w:color w:val="000000"/>
                <w:sz w:val="20"/>
                <w:szCs w:val="20"/>
                <w:lang w:eastAsia="es-MX"/>
              </w:rPr>
              <w:t> </w:t>
            </w:r>
          </w:p>
        </w:tc>
        <w:tc>
          <w:tcPr>
            <w:tcW w:w="4600" w:type="dxa"/>
            <w:gridSpan w:val="2"/>
            <w:tcBorders>
              <w:top w:val="nil"/>
              <w:left w:val="nil"/>
              <w:bottom w:val="single" w:sz="8" w:space="0" w:color="auto"/>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Ingresos derivados de financiamiento.</w:t>
            </w:r>
          </w:p>
        </w:tc>
        <w:tc>
          <w:tcPr>
            <w:tcW w:w="710" w:type="dxa"/>
            <w:tcBorders>
              <w:top w:val="nil"/>
              <w:left w:val="nil"/>
              <w:bottom w:val="single" w:sz="8" w:space="0" w:color="auto"/>
              <w:right w:val="nil"/>
            </w:tcBorders>
            <w:shd w:val="clear" w:color="auto" w:fill="auto"/>
            <w:noWrap/>
            <w:vAlign w:val="bottom"/>
            <w:hideMark/>
          </w:tcPr>
          <w:p w:rsidR="003630BD" w:rsidRPr="00131992" w:rsidRDefault="003630BD" w:rsidP="003630BD">
            <w:pPr>
              <w:spacing w:after="0" w:line="240" w:lineRule="auto"/>
              <w:jc w:val="right"/>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 </w:t>
            </w:r>
          </w:p>
        </w:tc>
        <w:tc>
          <w:tcPr>
            <w:tcW w:w="908" w:type="dxa"/>
            <w:tcBorders>
              <w:top w:val="nil"/>
              <w:left w:val="single" w:sz="8" w:space="0" w:color="auto"/>
              <w:bottom w:val="single" w:sz="8" w:space="0" w:color="auto"/>
              <w:right w:val="single" w:sz="8" w:space="0" w:color="auto"/>
            </w:tcBorders>
            <w:shd w:val="clear" w:color="auto" w:fill="auto"/>
            <w:noWrap/>
            <w:vAlign w:val="bottom"/>
            <w:hideMark/>
          </w:tcPr>
          <w:p w:rsidR="003630BD" w:rsidRPr="00131992" w:rsidRDefault="003630BD" w:rsidP="003630BD">
            <w:pPr>
              <w:spacing w:after="0" w:line="240" w:lineRule="auto"/>
              <w:jc w:val="right"/>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0.00</w:t>
            </w:r>
          </w:p>
        </w:tc>
        <w:tc>
          <w:tcPr>
            <w:tcW w:w="5673" w:type="dxa"/>
            <w:tcBorders>
              <w:top w:val="nil"/>
              <w:left w:val="nil"/>
              <w:bottom w:val="nil"/>
              <w:right w:val="nil"/>
            </w:tcBorders>
            <w:shd w:val="clear" w:color="auto" w:fill="auto"/>
            <w:noWrap/>
            <w:vAlign w:val="bottom"/>
            <w:hideMark/>
          </w:tcPr>
          <w:p w:rsidR="003630BD" w:rsidRPr="00131992" w:rsidRDefault="003630BD" w:rsidP="003630BD">
            <w:pPr>
              <w:spacing w:after="0" w:line="240" w:lineRule="auto"/>
              <w:jc w:val="right"/>
              <w:rPr>
                <w:rFonts w:ascii="Barlow" w:eastAsia="Times New Roman" w:hAnsi="Barlow" w:cs="Calibri"/>
                <w:color w:val="000000"/>
                <w:sz w:val="20"/>
                <w:szCs w:val="20"/>
                <w:lang w:eastAsia="es-MX"/>
              </w:rPr>
            </w:pPr>
          </w:p>
        </w:tc>
      </w:tr>
      <w:tr w:rsidR="003630BD" w:rsidRPr="00131992" w:rsidTr="003630BD">
        <w:trPr>
          <w:trHeight w:val="315"/>
        </w:trPr>
        <w:tc>
          <w:tcPr>
            <w:tcW w:w="194" w:type="dxa"/>
            <w:tcBorders>
              <w:top w:val="nil"/>
              <w:left w:val="single" w:sz="8" w:space="0" w:color="auto"/>
              <w:bottom w:val="single" w:sz="8" w:space="0" w:color="auto"/>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 </w:t>
            </w:r>
          </w:p>
        </w:tc>
        <w:tc>
          <w:tcPr>
            <w:tcW w:w="4794" w:type="dxa"/>
            <w:gridSpan w:val="3"/>
            <w:tcBorders>
              <w:top w:val="nil"/>
              <w:left w:val="nil"/>
              <w:bottom w:val="single" w:sz="8" w:space="0" w:color="auto"/>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Otros ingresos presupuestarios no contables.</w:t>
            </w:r>
          </w:p>
        </w:tc>
        <w:tc>
          <w:tcPr>
            <w:tcW w:w="710" w:type="dxa"/>
            <w:tcBorders>
              <w:top w:val="nil"/>
              <w:left w:val="nil"/>
              <w:bottom w:val="single" w:sz="8" w:space="0" w:color="auto"/>
              <w:right w:val="nil"/>
            </w:tcBorders>
            <w:shd w:val="clear" w:color="auto" w:fill="auto"/>
            <w:noWrap/>
            <w:vAlign w:val="bottom"/>
            <w:hideMark/>
          </w:tcPr>
          <w:p w:rsidR="003630BD" w:rsidRPr="00131992" w:rsidRDefault="003630BD" w:rsidP="003630BD">
            <w:pPr>
              <w:spacing w:after="0" w:line="240" w:lineRule="auto"/>
              <w:jc w:val="right"/>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 xml:space="preserve"> ** </w:t>
            </w:r>
          </w:p>
        </w:tc>
        <w:tc>
          <w:tcPr>
            <w:tcW w:w="908" w:type="dxa"/>
            <w:tcBorders>
              <w:top w:val="nil"/>
              <w:left w:val="single" w:sz="8" w:space="0" w:color="auto"/>
              <w:bottom w:val="single" w:sz="8" w:space="0" w:color="auto"/>
              <w:right w:val="single" w:sz="8" w:space="0" w:color="auto"/>
            </w:tcBorders>
            <w:shd w:val="clear" w:color="auto" w:fill="auto"/>
            <w:noWrap/>
            <w:vAlign w:val="bottom"/>
            <w:hideMark/>
          </w:tcPr>
          <w:p w:rsidR="003630BD" w:rsidRPr="00131992" w:rsidRDefault="003630BD" w:rsidP="003630BD">
            <w:pPr>
              <w:spacing w:after="0" w:line="240" w:lineRule="auto"/>
              <w:jc w:val="right"/>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0.00</w:t>
            </w:r>
          </w:p>
        </w:tc>
        <w:tc>
          <w:tcPr>
            <w:tcW w:w="5673" w:type="dxa"/>
            <w:tcBorders>
              <w:top w:val="nil"/>
              <w:left w:val="nil"/>
              <w:bottom w:val="nil"/>
              <w:right w:val="nil"/>
            </w:tcBorders>
            <w:shd w:val="clear" w:color="auto" w:fill="auto"/>
            <w:noWrap/>
            <w:vAlign w:val="bottom"/>
            <w:hideMark/>
          </w:tcPr>
          <w:p w:rsidR="003630BD" w:rsidRPr="00131992" w:rsidRDefault="003630BD" w:rsidP="003630BD">
            <w:pPr>
              <w:spacing w:after="0" w:line="240" w:lineRule="auto"/>
              <w:jc w:val="right"/>
              <w:rPr>
                <w:rFonts w:ascii="Barlow" w:eastAsia="Times New Roman" w:hAnsi="Barlow" w:cs="Calibri"/>
                <w:color w:val="000000"/>
                <w:sz w:val="20"/>
                <w:szCs w:val="20"/>
                <w:lang w:eastAsia="es-MX"/>
              </w:rPr>
            </w:pPr>
          </w:p>
        </w:tc>
      </w:tr>
      <w:tr w:rsidR="003630BD" w:rsidRPr="00131992" w:rsidTr="003630BD">
        <w:trPr>
          <w:trHeight w:val="300"/>
        </w:trPr>
        <w:tc>
          <w:tcPr>
            <w:tcW w:w="194" w:type="dxa"/>
            <w:tcBorders>
              <w:top w:val="nil"/>
              <w:left w:val="nil"/>
              <w:bottom w:val="nil"/>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Times New Roman"/>
                <w:sz w:val="20"/>
                <w:szCs w:val="20"/>
                <w:lang w:eastAsia="es-MX"/>
              </w:rPr>
            </w:pPr>
          </w:p>
        </w:tc>
        <w:tc>
          <w:tcPr>
            <w:tcW w:w="194" w:type="dxa"/>
            <w:tcBorders>
              <w:top w:val="nil"/>
              <w:left w:val="nil"/>
              <w:bottom w:val="nil"/>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Times New Roman"/>
                <w:sz w:val="20"/>
                <w:szCs w:val="20"/>
                <w:lang w:eastAsia="es-MX"/>
              </w:rPr>
            </w:pPr>
          </w:p>
        </w:tc>
        <w:tc>
          <w:tcPr>
            <w:tcW w:w="4389" w:type="dxa"/>
            <w:tcBorders>
              <w:top w:val="nil"/>
              <w:left w:val="nil"/>
              <w:bottom w:val="nil"/>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Times New Roman"/>
                <w:sz w:val="20"/>
                <w:szCs w:val="20"/>
                <w:lang w:eastAsia="es-MX"/>
              </w:rPr>
            </w:pPr>
          </w:p>
        </w:tc>
        <w:tc>
          <w:tcPr>
            <w:tcW w:w="211" w:type="dxa"/>
            <w:tcBorders>
              <w:top w:val="nil"/>
              <w:left w:val="nil"/>
              <w:bottom w:val="nil"/>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Times New Roman"/>
                <w:sz w:val="20"/>
                <w:szCs w:val="20"/>
                <w:lang w:eastAsia="es-MX"/>
              </w:rPr>
            </w:pPr>
          </w:p>
        </w:tc>
        <w:tc>
          <w:tcPr>
            <w:tcW w:w="710" w:type="dxa"/>
            <w:tcBorders>
              <w:top w:val="nil"/>
              <w:left w:val="nil"/>
              <w:bottom w:val="nil"/>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Times New Roman"/>
                <w:sz w:val="20"/>
                <w:szCs w:val="20"/>
                <w:lang w:eastAsia="es-MX"/>
              </w:rPr>
            </w:pPr>
          </w:p>
        </w:tc>
        <w:tc>
          <w:tcPr>
            <w:tcW w:w="908" w:type="dxa"/>
            <w:tcBorders>
              <w:top w:val="nil"/>
              <w:left w:val="nil"/>
              <w:bottom w:val="nil"/>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Times New Roman"/>
                <w:sz w:val="20"/>
                <w:szCs w:val="20"/>
                <w:lang w:eastAsia="es-MX"/>
              </w:rPr>
            </w:pPr>
          </w:p>
        </w:tc>
        <w:tc>
          <w:tcPr>
            <w:tcW w:w="5673" w:type="dxa"/>
            <w:tcBorders>
              <w:top w:val="nil"/>
              <w:left w:val="nil"/>
              <w:bottom w:val="nil"/>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Times New Roman"/>
                <w:sz w:val="20"/>
                <w:szCs w:val="20"/>
                <w:lang w:eastAsia="es-MX"/>
              </w:rPr>
            </w:pPr>
          </w:p>
        </w:tc>
      </w:tr>
      <w:tr w:rsidR="003630BD" w:rsidRPr="00131992" w:rsidTr="003630BD">
        <w:trPr>
          <w:trHeight w:val="315"/>
        </w:trPr>
        <w:tc>
          <w:tcPr>
            <w:tcW w:w="194" w:type="dxa"/>
            <w:tcBorders>
              <w:top w:val="nil"/>
              <w:left w:val="nil"/>
              <w:bottom w:val="nil"/>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Times New Roman"/>
                <w:sz w:val="20"/>
                <w:szCs w:val="20"/>
                <w:lang w:eastAsia="es-MX"/>
              </w:rPr>
            </w:pPr>
          </w:p>
        </w:tc>
        <w:tc>
          <w:tcPr>
            <w:tcW w:w="194" w:type="dxa"/>
            <w:tcBorders>
              <w:top w:val="nil"/>
              <w:left w:val="nil"/>
              <w:bottom w:val="nil"/>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Times New Roman"/>
                <w:sz w:val="20"/>
                <w:szCs w:val="20"/>
                <w:lang w:eastAsia="es-MX"/>
              </w:rPr>
            </w:pPr>
          </w:p>
        </w:tc>
        <w:tc>
          <w:tcPr>
            <w:tcW w:w="4389" w:type="dxa"/>
            <w:tcBorders>
              <w:top w:val="nil"/>
              <w:left w:val="nil"/>
              <w:bottom w:val="nil"/>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Times New Roman"/>
                <w:sz w:val="20"/>
                <w:szCs w:val="20"/>
                <w:lang w:eastAsia="es-MX"/>
              </w:rPr>
            </w:pPr>
          </w:p>
        </w:tc>
        <w:tc>
          <w:tcPr>
            <w:tcW w:w="211" w:type="dxa"/>
            <w:tcBorders>
              <w:top w:val="nil"/>
              <w:left w:val="nil"/>
              <w:bottom w:val="nil"/>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Times New Roman"/>
                <w:sz w:val="20"/>
                <w:szCs w:val="20"/>
                <w:lang w:eastAsia="es-MX"/>
              </w:rPr>
            </w:pPr>
          </w:p>
        </w:tc>
        <w:tc>
          <w:tcPr>
            <w:tcW w:w="710" w:type="dxa"/>
            <w:tcBorders>
              <w:top w:val="nil"/>
              <w:left w:val="nil"/>
              <w:bottom w:val="nil"/>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Times New Roman"/>
                <w:sz w:val="20"/>
                <w:szCs w:val="20"/>
                <w:lang w:eastAsia="es-MX"/>
              </w:rPr>
            </w:pPr>
          </w:p>
        </w:tc>
        <w:tc>
          <w:tcPr>
            <w:tcW w:w="908" w:type="dxa"/>
            <w:tcBorders>
              <w:top w:val="nil"/>
              <w:left w:val="nil"/>
              <w:bottom w:val="nil"/>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Times New Roman"/>
                <w:sz w:val="20"/>
                <w:szCs w:val="20"/>
                <w:lang w:eastAsia="es-MX"/>
              </w:rPr>
            </w:pPr>
          </w:p>
        </w:tc>
        <w:tc>
          <w:tcPr>
            <w:tcW w:w="5673" w:type="dxa"/>
            <w:tcBorders>
              <w:top w:val="nil"/>
              <w:left w:val="nil"/>
              <w:bottom w:val="nil"/>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Times New Roman"/>
                <w:sz w:val="20"/>
                <w:szCs w:val="20"/>
                <w:lang w:eastAsia="es-MX"/>
              </w:rPr>
            </w:pPr>
          </w:p>
        </w:tc>
      </w:tr>
      <w:tr w:rsidR="003630BD" w:rsidRPr="00131992" w:rsidTr="003630BD">
        <w:trPr>
          <w:trHeight w:val="300"/>
        </w:trPr>
        <w:tc>
          <w:tcPr>
            <w:tcW w:w="194" w:type="dxa"/>
            <w:tcBorders>
              <w:top w:val="single" w:sz="8" w:space="0" w:color="auto"/>
              <w:left w:val="single" w:sz="8" w:space="0" w:color="auto"/>
              <w:bottom w:val="nil"/>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lastRenderedPageBreak/>
              <w:t> </w:t>
            </w:r>
          </w:p>
        </w:tc>
        <w:tc>
          <w:tcPr>
            <w:tcW w:w="194" w:type="dxa"/>
            <w:tcBorders>
              <w:top w:val="single" w:sz="8" w:space="0" w:color="auto"/>
              <w:left w:val="nil"/>
              <w:bottom w:val="nil"/>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b/>
                <w:bCs/>
                <w:color w:val="000000"/>
                <w:sz w:val="20"/>
                <w:szCs w:val="20"/>
                <w:lang w:eastAsia="es-MX"/>
              </w:rPr>
            </w:pPr>
            <w:r w:rsidRPr="00131992">
              <w:rPr>
                <w:rFonts w:ascii="Barlow" w:eastAsia="Times New Roman" w:hAnsi="Barlow" w:cs="Calibri"/>
                <w:b/>
                <w:bCs/>
                <w:color w:val="000000"/>
                <w:sz w:val="20"/>
                <w:szCs w:val="20"/>
                <w:lang w:eastAsia="es-MX"/>
              </w:rPr>
              <w:t> </w:t>
            </w:r>
          </w:p>
        </w:tc>
        <w:tc>
          <w:tcPr>
            <w:tcW w:w="4389" w:type="dxa"/>
            <w:tcBorders>
              <w:top w:val="single" w:sz="8" w:space="0" w:color="auto"/>
              <w:left w:val="nil"/>
              <w:bottom w:val="nil"/>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 </w:t>
            </w:r>
          </w:p>
        </w:tc>
        <w:tc>
          <w:tcPr>
            <w:tcW w:w="211" w:type="dxa"/>
            <w:tcBorders>
              <w:top w:val="single" w:sz="8" w:space="0" w:color="auto"/>
              <w:left w:val="nil"/>
              <w:bottom w:val="nil"/>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 </w:t>
            </w:r>
          </w:p>
        </w:tc>
        <w:tc>
          <w:tcPr>
            <w:tcW w:w="710" w:type="dxa"/>
            <w:tcBorders>
              <w:top w:val="single" w:sz="8" w:space="0" w:color="auto"/>
              <w:left w:val="nil"/>
              <w:bottom w:val="nil"/>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 </w:t>
            </w:r>
          </w:p>
        </w:tc>
        <w:tc>
          <w:tcPr>
            <w:tcW w:w="908" w:type="dxa"/>
            <w:tcBorders>
              <w:top w:val="single" w:sz="8" w:space="0" w:color="auto"/>
              <w:left w:val="single" w:sz="8" w:space="0" w:color="auto"/>
              <w:bottom w:val="nil"/>
              <w:right w:val="single" w:sz="8" w:space="0" w:color="auto"/>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 </w:t>
            </w:r>
          </w:p>
        </w:tc>
        <w:tc>
          <w:tcPr>
            <w:tcW w:w="5673" w:type="dxa"/>
            <w:tcBorders>
              <w:top w:val="single" w:sz="8" w:space="0" w:color="auto"/>
              <w:left w:val="nil"/>
              <w:bottom w:val="nil"/>
              <w:right w:val="single" w:sz="8" w:space="0" w:color="auto"/>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 </w:t>
            </w:r>
          </w:p>
        </w:tc>
      </w:tr>
      <w:tr w:rsidR="003630BD" w:rsidRPr="00131992" w:rsidTr="003630BD">
        <w:trPr>
          <w:trHeight w:val="315"/>
        </w:trPr>
        <w:tc>
          <w:tcPr>
            <w:tcW w:w="194" w:type="dxa"/>
            <w:tcBorders>
              <w:top w:val="nil"/>
              <w:left w:val="single" w:sz="8" w:space="0" w:color="auto"/>
              <w:bottom w:val="single" w:sz="8" w:space="0" w:color="auto"/>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 </w:t>
            </w:r>
          </w:p>
        </w:tc>
        <w:tc>
          <w:tcPr>
            <w:tcW w:w="4583" w:type="dxa"/>
            <w:gridSpan w:val="2"/>
            <w:tcBorders>
              <w:top w:val="nil"/>
              <w:left w:val="nil"/>
              <w:bottom w:val="single" w:sz="8" w:space="0" w:color="auto"/>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b/>
                <w:bCs/>
                <w:color w:val="000000"/>
                <w:sz w:val="20"/>
                <w:szCs w:val="20"/>
                <w:lang w:eastAsia="es-MX"/>
              </w:rPr>
            </w:pPr>
            <w:r w:rsidRPr="00131992">
              <w:rPr>
                <w:rFonts w:ascii="Barlow" w:eastAsia="Times New Roman" w:hAnsi="Barlow" w:cs="Calibri"/>
                <w:b/>
                <w:bCs/>
                <w:color w:val="000000"/>
                <w:sz w:val="20"/>
                <w:szCs w:val="20"/>
                <w:lang w:eastAsia="es-MX"/>
              </w:rPr>
              <w:t>4. Ingresos Contables ( 1+2-3=4)</w:t>
            </w:r>
          </w:p>
        </w:tc>
        <w:tc>
          <w:tcPr>
            <w:tcW w:w="211" w:type="dxa"/>
            <w:tcBorders>
              <w:top w:val="nil"/>
              <w:left w:val="nil"/>
              <w:bottom w:val="single" w:sz="8" w:space="0" w:color="auto"/>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 </w:t>
            </w:r>
          </w:p>
        </w:tc>
        <w:tc>
          <w:tcPr>
            <w:tcW w:w="710" w:type="dxa"/>
            <w:tcBorders>
              <w:top w:val="nil"/>
              <w:left w:val="nil"/>
              <w:bottom w:val="single" w:sz="8" w:space="0" w:color="auto"/>
              <w:right w:val="nil"/>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 </w:t>
            </w:r>
          </w:p>
        </w:tc>
        <w:tc>
          <w:tcPr>
            <w:tcW w:w="908" w:type="dxa"/>
            <w:tcBorders>
              <w:top w:val="nil"/>
              <w:left w:val="single" w:sz="8" w:space="0" w:color="auto"/>
              <w:bottom w:val="single" w:sz="8" w:space="0" w:color="auto"/>
              <w:right w:val="single" w:sz="8" w:space="0" w:color="auto"/>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color w:val="000000"/>
                <w:sz w:val="20"/>
                <w:szCs w:val="20"/>
                <w:lang w:eastAsia="es-MX"/>
              </w:rPr>
            </w:pPr>
            <w:r w:rsidRPr="00131992">
              <w:rPr>
                <w:rFonts w:ascii="Barlow" w:eastAsia="Times New Roman" w:hAnsi="Barlow" w:cs="Calibri"/>
                <w:color w:val="000000"/>
                <w:sz w:val="20"/>
                <w:szCs w:val="20"/>
                <w:lang w:eastAsia="es-MX"/>
              </w:rPr>
              <w:t> </w:t>
            </w:r>
          </w:p>
        </w:tc>
        <w:tc>
          <w:tcPr>
            <w:tcW w:w="5673" w:type="dxa"/>
            <w:tcBorders>
              <w:top w:val="nil"/>
              <w:left w:val="nil"/>
              <w:bottom w:val="single" w:sz="8" w:space="0" w:color="auto"/>
              <w:right w:val="single" w:sz="8" w:space="0" w:color="auto"/>
            </w:tcBorders>
            <w:shd w:val="clear" w:color="auto" w:fill="auto"/>
            <w:noWrap/>
            <w:vAlign w:val="bottom"/>
            <w:hideMark/>
          </w:tcPr>
          <w:p w:rsidR="003630BD" w:rsidRPr="00131992" w:rsidRDefault="003630BD" w:rsidP="003630BD">
            <w:pPr>
              <w:spacing w:after="0" w:line="240" w:lineRule="auto"/>
              <w:rPr>
                <w:rFonts w:ascii="Barlow" w:eastAsia="Times New Roman" w:hAnsi="Barlow" w:cs="Calibri"/>
                <w:b/>
                <w:bCs/>
                <w:color w:val="000000"/>
                <w:sz w:val="20"/>
                <w:szCs w:val="20"/>
                <w:lang w:eastAsia="es-MX"/>
              </w:rPr>
            </w:pPr>
            <w:r w:rsidRPr="00131992">
              <w:rPr>
                <w:rFonts w:ascii="Barlow" w:eastAsia="Times New Roman" w:hAnsi="Barlow" w:cs="Calibri"/>
                <w:b/>
                <w:bCs/>
                <w:color w:val="000000"/>
                <w:sz w:val="20"/>
                <w:szCs w:val="20"/>
                <w:lang w:eastAsia="es-MX"/>
              </w:rPr>
              <w:t xml:space="preserve"> $     </w:t>
            </w:r>
            <w:r w:rsidR="00B97A58" w:rsidRPr="00131992">
              <w:rPr>
                <w:rFonts w:ascii="Barlow" w:eastAsia="Times New Roman" w:hAnsi="Barlow" w:cs="Calibri"/>
                <w:b/>
                <w:bCs/>
                <w:color w:val="000000"/>
                <w:sz w:val="20"/>
                <w:szCs w:val="20"/>
                <w:lang w:eastAsia="es-MX"/>
              </w:rPr>
              <w:t xml:space="preserve">                 36,759,135.48</w:t>
            </w:r>
          </w:p>
        </w:tc>
      </w:tr>
    </w:tbl>
    <w:p w:rsidR="00DA44E7" w:rsidRPr="00131992" w:rsidRDefault="00DA44E7" w:rsidP="00376F59">
      <w:pPr>
        <w:pStyle w:val="Texto"/>
        <w:spacing w:line="224" w:lineRule="exact"/>
        <w:rPr>
          <w:rFonts w:ascii="Barlow" w:hAnsi="Barlow" w:cstheme="minorHAnsi"/>
          <w:b/>
          <w:smallCaps/>
          <w:sz w:val="20"/>
        </w:rPr>
      </w:pPr>
    </w:p>
    <w:p w:rsidR="009B6A5A" w:rsidRPr="00131992" w:rsidRDefault="009B6A5A" w:rsidP="00376F59">
      <w:pPr>
        <w:pStyle w:val="Texto"/>
        <w:spacing w:line="224" w:lineRule="exact"/>
        <w:rPr>
          <w:rFonts w:ascii="Barlow" w:hAnsi="Barlow" w:cstheme="minorHAnsi"/>
          <w:b/>
          <w:smallCaps/>
          <w:sz w:val="20"/>
        </w:rPr>
      </w:pPr>
    </w:p>
    <w:p w:rsidR="009B6A5A" w:rsidRPr="00131992" w:rsidRDefault="009B6A5A" w:rsidP="00376F59">
      <w:pPr>
        <w:pStyle w:val="Texto"/>
        <w:spacing w:line="224" w:lineRule="exact"/>
        <w:rPr>
          <w:rFonts w:ascii="Barlow" w:hAnsi="Barlow" w:cstheme="minorHAnsi"/>
          <w:b/>
          <w:smallCaps/>
          <w:sz w:val="20"/>
        </w:rPr>
      </w:pPr>
    </w:p>
    <w:tbl>
      <w:tblPr>
        <w:tblStyle w:val="Tablaconcuadrcula2"/>
        <w:tblW w:w="0" w:type="auto"/>
        <w:tblLook w:val="04A0" w:firstRow="1" w:lastRow="0" w:firstColumn="1" w:lastColumn="0" w:noHBand="0" w:noVBand="1"/>
      </w:tblPr>
      <w:tblGrid>
        <w:gridCol w:w="5665"/>
        <w:gridCol w:w="4678"/>
      </w:tblGrid>
      <w:tr w:rsidR="009B6A5A" w:rsidRPr="00131992" w:rsidTr="00B02845">
        <w:tc>
          <w:tcPr>
            <w:tcW w:w="5665" w:type="dxa"/>
          </w:tcPr>
          <w:p w:rsidR="009B6A5A" w:rsidRPr="00131992" w:rsidRDefault="009B6A5A" w:rsidP="009B6A5A">
            <w:pPr>
              <w:spacing w:after="101" w:line="224" w:lineRule="exact"/>
              <w:jc w:val="both"/>
              <w:rPr>
                <w:rFonts w:ascii="Barlow" w:hAnsi="Barlow" w:cstheme="minorHAnsi"/>
                <w:b/>
                <w:lang w:val="es-ES" w:eastAsia="es-ES"/>
              </w:rPr>
            </w:pPr>
            <w:r w:rsidRPr="00131992">
              <w:rPr>
                <w:rFonts w:ascii="Barlow" w:hAnsi="Barlow" w:cstheme="minorHAnsi"/>
                <w:b/>
                <w:lang w:val="es-ES" w:eastAsia="es-ES"/>
              </w:rPr>
              <w:t>CUENTAS POR COBRAR</w:t>
            </w:r>
          </w:p>
        </w:tc>
        <w:tc>
          <w:tcPr>
            <w:tcW w:w="4678" w:type="dxa"/>
          </w:tcPr>
          <w:p w:rsidR="009B6A5A" w:rsidRPr="00131992" w:rsidRDefault="00D21991" w:rsidP="00B02845">
            <w:pPr>
              <w:spacing w:after="101" w:line="224" w:lineRule="exact"/>
              <w:jc w:val="right"/>
              <w:rPr>
                <w:rFonts w:ascii="Barlow" w:hAnsi="Barlow" w:cstheme="minorHAnsi"/>
                <w:b/>
                <w:lang w:val="es-ES" w:eastAsia="es-ES"/>
              </w:rPr>
            </w:pPr>
            <w:r w:rsidRPr="00131992">
              <w:rPr>
                <w:rFonts w:ascii="Barlow" w:hAnsi="Barlow" w:cstheme="minorHAnsi"/>
                <w:b/>
                <w:lang w:val="es-ES" w:eastAsia="es-ES"/>
              </w:rPr>
              <w:t>69,452,227.35</w:t>
            </w:r>
          </w:p>
        </w:tc>
      </w:tr>
      <w:tr w:rsidR="009B6A5A" w:rsidRPr="00131992" w:rsidTr="00B02845">
        <w:tc>
          <w:tcPr>
            <w:tcW w:w="5665" w:type="dxa"/>
          </w:tcPr>
          <w:p w:rsidR="009B6A5A" w:rsidRPr="00131992" w:rsidRDefault="009B6A5A" w:rsidP="009B6A5A">
            <w:pPr>
              <w:spacing w:after="101" w:line="224" w:lineRule="exact"/>
              <w:jc w:val="both"/>
              <w:rPr>
                <w:rFonts w:ascii="Barlow" w:hAnsi="Barlow" w:cstheme="minorHAnsi"/>
                <w:b/>
                <w:lang w:val="es-ES" w:eastAsia="es-ES"/>
              </w:rPr>
            </w:pPr>
            <w:r w:rsidRPr="00131992">
              <w:rPr>
                <w:rFonts w:ascii="Barlow" w:hAnsi="Barlow" w:cstheme="minorHAnsi"/>
                <w:b/>
                <w:lang w:val="es-ES" w:eastAsia="es-ES"/>
              </w:rPr>
              <w:t>DEUDORES DIVERSOS</w:t>
            </w:r>
          </w:p>
        </w:tc>
        <w:tc>
          <w:tcPr>
            <w:tcW w:w="4678" w:type="dxa"/>
          </w:tcPr>
          <w:p w:rsidR="009B6A5A" w:rsidRPr="00131992" w:rsidRDefault="009B6A5A" w:rsidP="00B02845">
            <w:pPr>
              <w:spacing w:after="101" w:line="224" w:lineRule="exact"/>
              <w:jc w:val="right"/>
              <w:rPr>
                <w:rFonts w:ascii="Barlow" w:hAnsi="Barlow" w:cstheme="minorHAnsi"/>
                <w:b/>
                <w:lang w:val="es-ES" w:eastAsia="es-ES"/>
              </w:rPr>
            </w:pPr>
            <w:r w:rsidRPr="00131992">
              <w:rPr>
                <w:rFonts w:ascii="Barlow" w:hAnsi="Barlow" w:cstheme="minorHAnsi"/>
                <w:b/>
                <w:lang w:val="es-ES" w:eastAsia="es-ES"/>
              </w:rPr>
              <w:t>1,244,850.48</w:t>
            </w:r>
          </w:p>
        </w:tc>
      </w:tr>
      <w:tr w:rsidR="009B6A5A" w:rsidRPr="00131992" w:rsidTr="00B02845">
        <w:tc>
          <w:tcPr>
            <w:tcW w:w="5665" w:type="dxa"/>
          </w:tcPr>
          <w:p w:rsidR="009B6A5A" w:rsidRPr="00131992" w:rsidRDefault="009B6A5A" w:rsidP="009B6A5A">
            <w:pPr>
              <w:spacing w:after="101" w:line="224" w:lineRule="exact"/>
              <w:jc w:val="both"/>
              <w:rPr>
                <w:rFonts w:ascii="Barlow" w:hAnsi="Barlow" w:cstheme="minorHAnsi"/>
                <w:b/>
                <w:lang w:val="es-ES" w:eastAsia="es-ES"/>
              </w:rPr>
            </w:pPr>
            <w:r w:rsidRPr="00131992">
              <w:rPr>
                <w:rFonts w:ascii="Barlow" w:hAnsi="Barlow" w:cstheme="minorHAnsi"/>
                <w:b/>
                <w:lang w:val="es-ES" w:eastAsia="es-ES"/>
              </w:rPr>
              <w:t>COMISIONES BANCARIAS</w:t>
            </w:r>
          </w:p>
        </w:tc>
        <w:tc>
          <w:tcPr>
            <w:tcW w:w="4678" w:type="dxa"/>
          </w:tcPr>
          <w:p w:rsidR="009B6A5A" w:rsidRPr="00131992" w:rsidRDefault="009B6A5A" w:rsidP="00B02845">
            <w:pPr>
              <w:spacing w:after="101" w:line="224" w:lineRule="exact"/>
              <w:jc w:val="right"/>
              <w:rPr>
                <w:rFonts w:ascii="Barlow" w:hAnsi="Barlow" w:cstheme="minorHAnsi"/>
                <w:b/>
                <w:lang w:val="es-ES" w:eastAsia="es-ES"/>
              </w:rPr>
            </w:pPr>
            <w:r w:rsidRPr="00131992">
              <w:rPr>
                <w:rFonts w:ascii="Barlow" w:hAnsi="Barlow" w:cstheme="minorHAnsi"/>
                <w:b/>
                <w:lang w:val="es-ES" w:eastAsia="es-ES"/>
              </w:rPr>
              <w:t>207,989.96</w:t>
            </w:r>
          </w:p>
        </w:tc>
      </w:tr>
      <w:tr w:rsidR="009B6A5A" w:rsidRPr="00131992" w:rsidTr="00B02845">
        <w:tc>
          <w:tcPr>
            <w:tcW w:w="5665" w:type="dxa"/>
          </w:tcPr>
          <w:p w:rsidR="009B6A5A" w:rsidRPr="00131992" w:rsidRDefault="009B6A5A" w:rsidP="009B6A5A">
            <w:pPr>
              <w:spacing w:after="101" w:line="224" w:lineRule="exact"/>
              <w:jc w:val="both"/>
              <w:rPr>
                <w:rFonts w:ascii="Barlow" w:hAnsi="Barlow" w:cstheme="minorHAnsi"/>
                <w:b/>
                <w:lang w:val="es-ES" w:eastAsia="es-ES"/>
              </w:rPr>
            </w:pPr>
            <w:r w:rsidRPr="00131992">
              <w:rPr>
                <w:rFonts w:ascii="Barlow" w:hAnsi="Barlow" w:cstheme="minorHAnsi"/>
                <w:b/>
                <w:lang w:val="es-ES" w:eastAsia="es-ES"/>
              </w:rPr>
              <w:t>CONTRIBUCIONES POR RECUPERAR A CORTO PLAZO</w:t>
            </w:r>
          </w:p>
        </w:tc>
        <w:tc>
          <w:tcPr>
            <w:tcW w:w="4678" w:type="dxa"/>
          </w:tcPr>
          <w:p w:rsidR="009B6A5A" w:rsidRPr="00131992" w:rsidRDefault="00D21991" w:rsidP="00B02845">
            <w:pPr>
              <w:spacing w:after="101" w:line="224" w:lineRule="exact"/>
              <w:jc w:val="right"/>
              <w:rPr>
                <w:rFonts w:ascii="Barlow" w:hAnsi="Barlow" w:cstheme="minorHAnsi"/>
                <w:b/>
                <w:lang w:val="es-ES" w:eastAsia="es-ES"/>
              </w:rPr>
            </w:pPr>
            <w:r w:rsidRPr="00131992">
              <w:rPr>
                <w:rFonts w:ascii="Barlow" w:hAnsi="Barlow" w:cstheme="minorHAnsi"/>
                <w:b/>
                <w:lang w:val="es-ES" w:eastAsia="es-ES"/>
              </w:rPr>
              <w:t>257,472.94</w:t>
            </w:r>
          </w:p>
        </w:tc>
      </w:tr>
      <w:tr w:rsidR="009B6A5A" w:rsidRPr="00131992" w:rsidTr="00B02845">
        <w:tc>
          <w:tcPr>
            <w:tcW w:w="5665" w:type="dxa"/>
          </w:tcPr>
          <w:p w:rsidR="009B6A5A" w:rsidRPr="00131992" w:rsidRDefault="009B6A5A" w:rsidP="009B6A5A">
            <w:pPr>
              <w:spacing w:after="101" w:line="224" w:lineRule="exact"/>
              <w:jc w:val="both"/>
              <w:rPr>
                <w:rFonts w:ascii="Barlow" w:hAnsi="Barlow" w:cstheme="minorHAnsi"/>
                <w:b/>
                <w:lang w:val="es-ES" w:eastAsia="es-ES"/>
              </w:rPr>
            </w:pPr>
            <w:r w:rsidRPr="00131992">
              <w:rPr>
                <w:rFonts w:ascii="Barlow" w:hAnsi="Barlow" w:cstheme="minorHAnsi"/>
                <w:b/>
                <w:lang w:val="es-ES" w:eastAsia="es-ES"/>
              </w:rPr>
              <w:t>REINTEGROS Y CANALIZACIONES PENDIENTES DE APLICAR</w:t>
            </w:r>
          </w:p>
        </w:tc>
        <w:tc>
          <w:tcPr>
            <w:tcW w:w="4678" w:type="dxa"/>
          </w:tcPr>
          <w:p w:rsidR="009B6A5A" w:rsidRPr="00131992" w:rsidRDefault="009B6A5A" w:rsidP="00B02845">
            <w:pPr>
              <w:spacing w:after="101" w:line="224" w:lineRule="exact"/>
              <w:jc w:val="right"/>
              <w:rPr>
                <w:rFonts w:ascii="Barlow" w:hAnsi="Barlow" w:cstheme="minorHAnsi"/>
                <w:b/>
                <w:lang w:val="es-ES" w:eastAsia="es-ES"/>
              </w:rPr>
            </w:pPr>
            <w:r w:rsidRPr="00131992">
              <w:rPr>
                <w:rFonts w:ascii="Barlow" w:hAnsi="Barlow" w:cstheme="minorHAnsi"/>
                <w:b/>
                <w:lang w:val="es-ES" w:eastAsia="es-ES"/>
              </w:rPr>
              <w:t>150.34</w:t>
            </w:r>
          </w:p>
        </w:tc>
      </w:tr>
      <w:tr w:rsidR="009B6A5A" w:rsidRPr="00131992" w:rsidTr="00B02845">
        <w:tc>
          <w:tcPr>
            <w:tcW w:w="5665" w:type="dxa"/>
          </w:tcPr>
          <w:p w:rsidR="009B6A5A" w:rsidRPr="00131992" w:rsidRDefault="009B6A5A" w:rsidP="009B6A5A">
            <w:pPr>
              <w:spacing w:after="101" w:line="224" w:lineRule="exact"/>
              <w:jc w:val="both"/>
              <w:rPr>
                <w:rFonts w:ascii="Barlow" w:hAnsi="Barlow" w:cstheme="minorHAnsi"/>
                <w:b/>
                <w:lang w:val="es-ES" w:eastAsia="es-ES"/>
              </w:rPr>
            </w:pPr>
            <w:r w:rsidRPr="00131992">
              <w:rPr>
                <w:rFonts w:ascii="Barlow" w:hAnsi="Barlow" w:cstheme="minorHAnsi"/>
                <w:b/>
                <w:lang w:val="es-ES" w:eastAsia="es-ES"/>
              </w:rPr>
              <w:t>TOTAL</w:t>
            </w:r>
          </w:p>
        </w:tc>
        <w:tc>
          <w:tcPr>
            <w:tcW w:w="4678" w:type="dxa"/>
          </w:tcPr>
          <w:p w:rsidR="009B6A5A" w:rsidRPr="00131992" w:rsidRDefault="00B97A58" w:rsidP="00B02845">
            <w:pPr>
              <w:spacing w:after="101" w:line="224" w:lineRule="exact"/>
              <w:jc w:val="right"/>
              <w:rPr>
                <w:rFonts w:ascii="Barlow" w:hAnsi="Barlow" w:cstheme="minorHAnsi"/>
                <w:b/>
                <w:lang w:val="es-ES" w:eastAsia="es-ES"/>
              </w:rPr>
            </w:pPr>
            <w:r w:rsidRPr="00131992">
              <w:rPr>
                <w:rFonts w:ascii="Barlow" w:hAnsi="Barlow" w:cstheme="minorHAnsi"/>
                <w:b/>
                <w:lang w:val="es-ES" w:eastAsia="es-ES"/>
              </w:rPr>
              <w:t>71,162,691.07</w:t>
            </w:r>
          </w:p>
        </w:tc>
      </w:tr>
    </w:tbl>
    <w:p w:rsidR="000B355C" w:rsidRPr="00131992" w:rsidRDefault="000B355C" w:rsidP="006403BB">
      <w:pPr>
        <w:pStyle w:val="Texto"/>
        <w:spacing w:line="224" w:lineRule="exact"/>
        <w:ind w:firstLine="0"/>
        <w:rPr>
          <w:rFonts w:ascii="Barlow" w:hAnsi="Barlow" w:cstheme="minorHAnsi"/>
          <w:b/>
          <w:sz w:val="20"/>
        </w:rPr>
      </w:pPr>
    </w:p>
    <w:p w:rsidR="00376F59" w:rsidRPr="00131992" w:rsidRDefault="00376F59" w:rsidP="00004C80">
      <w:pPr>
        <w:pStyle w:val="Texto"/>
        <w:numPr>
          <w:ilvl w:val="0"/>
          <w:numId w:val="8"/>
        </w:numPr>
        <w:spacing w:line="224" w:lineRule="exact"/>
        <w:jc w:val="center"/>
        <w:rPr>
          <w:rFonts w:ascii="Barlow" w:hAnsi="Barlow" w:cstheme="minorHAnsi"/>
          <w:b/>
          <w:sz w:val="20"/>
          <w:lang w:val="es-MX"/>
        </w:rPr>
      </w:pPr>
      <w:r w:rsidRPr="00131992">
        <w:rPr>
          <w:rFonts w:ascii="Barlow" w:hAnsi="Barlow" w:cstheme="minorHAnsi"/>
          <w:b/>
          <w:sz w:val="20"/>
          <w:lang w:val="es-MX"/>
        </w:rPr>
        <w:t>NOTAS DE MEMORIA (CUENTAS DE ORDEN)</w:t>
      </w:r>
    </w:p>
    <w:p w:rsidR="00004C80" w:rsidRPr="00131992" w:rsidRDefault="00004C80" w:rsidP="00926953">
      <w:pPr>
        <w:pStyle w:val="Texto"/>
        <w:spacing w:line="224" w:lineRule="exact"/>
        <w:ind w:left="720" w:firstLine="0"/>
        <w:rPr>
          <w:rFonts w:ascii="Barlow" w:hAnsi="Barlow" w:cstheme="minorHAnsi"/>
          <w:b/>
          <w:sz w:val="20"/>
          <w:lang w:val="es-MX"/>
        </w:rPr>
      </w:pPr>
    </w:p>
    <w:p w:rsidR="00376F59" w:rsidRPr="00131992" w:rsidRDefault="00376F59" w:rsidP="00376F59">
      <w:pPr>
        <w:pStyle w:val="Texto"/>
        <w:spacing w:line="224" w:lineRule="exact"/>
        <w:rPr>
          <w:rFonts w:ascii="Barlow" w:hAnsi="Barlow" w:cstheme="minorHAnsi"/>
          <w:b/>
          <w:sz w:val="20"/>
        </w:rPr>
      </w:pPr>
      <w:r w:rsidRPr="00131992">
        <w:rPr>
          <w:rFonts w:ascii="Barlow" w:hAnsi="Barlow" w:cstheme="minorHAnsi"/>
          <w:b/>
          <w:sz w:val="20"/>
        </w:rPr>
        <w:t>Cuentas de Orden Contables y Presupuestarias:</w:t>
      </w:r>
    </w:p>
    <w:p w:rsidR="00926953" w:rsidRPr="00131992" w:rsidRDefault="00926953" w:rsidP="003F4F41">
      <w:pPr>
        <w:pStyle w:val="Texto"/>
        <w:spacing w:line="224" w:lineRule="exact"/>
        <w:ind w:firstLine="0"/>
        <w:rPr>
          <w:rFonts w:ascii="Barlow" w:hAnsi="Barlow" w:cstheme="minorHAnsi"/>
          <w:sz w:val="20"/>
        </w:rPr>
      </w:pPr>
    </w:p>
    <w:p w:rsidR="00586EA4" w:rsidRDefault="00376F59" w:rsidP="004D31F7">
      <w:pPr>
        <w:pStyle w:val="Texto"/>
        <w:spacing w:line="224" w:lineRule="exact"/>
        <w:rPr>
          <w:rFonts w:ascii="Barlow" w:hAnsi="Barlow" w:cstheme="minorHAnsi"/>
          <w:sz w:val="20"/>
        </w:rPr>
      </w:pPr>
      <w:r w:rsidRPr="00131992">
        <w:rPr>
          <w:rFonts w:ascii="Barlow" w:hAnsi="Barlow" w:cstheme="minorHAnsi"/>
          <w:sz w:val="20"/>
        </w:rPr>
        <w:t xml:space="preserve">Al </w:t>
      </w:r>
      <w:r w:rsidR="00B97A58" w:rsidRPr="00131992">
        <w:rPr>
          <w:rFonts w:ascii="Barlow" w:hAnsi="Barlow" w:cstheme="minorHAnsi"/>
          <w:sz w:val="20"/>
        </w:rPr>
        <w:t>31 de Marz</w:t>
      </w:r>
      <w:r w:rsidR="00B02845" w:rsidRPr="00131992">
        <w:rPr>
          <w:rFonts w:ascii="Barlow" w:hAnsi="Barlow" w:cstheme="minorHAnsi"/>
          <w:sz w:val="20"/>
        </w:rPr>
        <w:t>o</w:t>
      </w:r>
      <w:r w:rsidR="002C5B18" w:rsidRPr="00131992">
        <w:rPr>
          <w:rFonts w:ascii="Barlow" w:hAnsi="Barlow" w:cstheme="minorHAnsi"/>
          <w:sz w:val="20"/>
        </w:rPr>
        <w:t xml:space="preserve"> de 201</w:t>
      </w:r>
      <w:r w:rsidR="00B02845" w:rsidRPr="00131992">
        <w:rPr>
          <w:rFonts w:ascii="Barlow" w:hAnsi="Barlow" w:cstheme="minorHAnsi"/>
          <w:sz w:val="20"/>
        </w:rPr>
        <w:t>9</w:t>
      </w:r>
      <w:r w:rsidRPr="00131992">
        <w:rPr>
          <w:rFonts w:ascii="Barlow" w:hAnsi="Barlow" w:cstheme="minorHAnsi"/>
          <w:sz w:val="20"/>
        </w:rPr>
        <w:t>, n</w:t>
      </w:r>
      <w:r w:rsidR="00BD50F6" w:rsidRPr="00131992">
        <w:rPr>
          <w:rFonts w:ascii="Barlow" w:hAnsi="Barlow" w:cstheme="minorHAnsi"/>
          <w:sz w:val="20"/>
        </w:rPr>
        <w:t>o se Utilizan las Cuentas de Orden Contables y Presupuestales</w:t>
      </w:r>
      <w:r w:rsidRPr="00131992">
        <w:rPr>
          <w:rFonts w:ascii="Barlow" w:hAnsi="Barlow" w:cstheme="minorHAnsi"/>
          <w:sz w:val="20"/>
        </w:rPr>
        <w:t xml:space="preserve"> </w:t>
      </w:r>
    </w:p>
    <w:p w:rsidR="00131992" w:rsidRDefault="00131992" w:rsidP="004D31F7">
      <w:pPr>
        <w:pStyle w:val="Texto"/>
        <w:spacing w:line="224" w:lineRule="exact"/>
        <w:rPr>
          <w:rFonts w:ascii="Barlow" w:hAnsi="Barlow" w:cstheme="minorHAnsi"/>
          <w:sz w:val="20"/>
        </w:rPr>
      </w:pPr>
    </w:p>
    <w:p w:rsidR="00131992" w:rsidRDefault="00131992" w:rsidP="004D31F7">
      <w:pPr>
        <w:pStyle w:val="Texto"/>
        <w:spacing w:line="224" w:lineRule="exact"/>
        <w:rPr>
          <w:rFonts w:ascii="Barlow" w:hAnsi="Barlow" w:cstheme="minorHAnsi"/>
          <w:sz w:val="20"/>
        </w:rPr>
      </w:pPr>
    </w:p>
    <w:p w:rsidR="00131992" w:rsidRDefault="00131992" w:rsidP="004D31F7">
      <w:pPr>
        <w:pStyle w:val="Texto"/>
        <w:spacing w:line="224" w:lineRule="exact"/>
        <w:rPr>
          <w:rFonts w:ascii="Barlow" w:hAnsi="Barlow" w:cstheme="minorHAnsi"/>
          <w:sz w:val="20"/>
        </w:rPr>
      </w:pPr>
    </w:p>
    <w:p w:rsidR="00131992" w:rsidRPr="00131992" w:rsidRDefault="00131992" w:rsidP="004D31F7">
      <w:pPr>
        <w:pStyle w:val="Texto"/>
        <w:spacing w:line="224" w:lineRule="exact"/>
        <w:rPr>
          <w:rFonts w:ascii="Barlow" w:hAnsi="Barlow" w:cstheme="minorHAnsi"/>
          <w:b/>
          <w:sz w:val="20"/>
        </w:rPr>
      </w:pPr>
      <w:bookmarkStart w:id="0" w:name="_GoBack"/>
      <w:bookmarkEnd w:id="0"/>
    </w:p>
    <w:p w:rsidR="000B355C" w:rsidRPr="00131992" w:rsidRDefault="0005200B" w:rsidP="00BD50F6">
      <w:pPr>
        <w:pStyle w:val="Texto"/>
        <w:rPr>
          <w:rFonts w:ascii="Barlow" w:hAnsi="Barlow" w:cstheme="minorHAnsi"/>
          <w:b/>
          <w:color w:val="FFFFFF" w:themeColor="background1"/>
          <w:sz w:val="20"/>
        </w:rPr>
      </w:pPr>
      <w:r w:rsidRPr="00131992">
        <w:rPr>
          <w:rFonts w:ascii="Barlow" w:hAnsi="Barlow" w:cstheme="minorHAnsi"/>
          <w:b/>
          <w:color w:val="FFFFFF" w:themeColor="background1"/>
          <w:sz w:val="20"/>
        </w:rPr>
        <w:t>Bajo</w:t>
      </w:r>
    </w:p>
    <w:p w:rsidR="000B355C" w:rsidRPr="00131992" w:rsidRDefault="000B355C" w:rsidP="00BD50F6">
      <w:pPr>
        <w:pStyle w:val="Texto"/>
        <w:ind w:firstLine="0"/>
        <w:rPr>
          <w:rFonts w:ascii="Barlow" w:hAnsi="Barlow" w:cstheme="minorHAnsi"/>
          <w:b/>
          <w:sz w:val="20"/>
          <w:lang w:val="es-MX"/>
        </w:rPr>
      </w:pPr>
    </w:p>
    <w:p w:rsidR="00B86AB2" w:rsidRPr="00131992" w:rsidRDefault="00642ED9" w:rsidP="00004C80">
      <w:pPr>
        <w:pStyle w:val="Texto"/>
        <w:jc w:val="center"/>
        <w:rPr>
          <w:rFonts w:ascii="Barlow" w:hAnsi="Barlow" w:cstheme="minorHAnsi"/>
          <w:b/>
          <w:sz w:val="20"/>
          <w:lang w:val="es-MX"/>
        </w:rPr>
      </w:pPr>
      <w:r w:rsidRPr="00131992">
        <w:rPr>
          <w:rFonts w:ascii="Barlow" w:hAnsi="Barlow" w:cstheme="minorHAnsi"/>
          <w:b/>
          <w:sz w:val="20"/>
          <w:lang w:val="es-MX"/>
        </w:rPr>
        <w:lastRenderedPageBreak/>
        <w:t>c</w:t>
      </w:r>
      <w:r w:rsidR="00B86AB2" w:rsidRPr="00131992">
        <w:rPr>
          <w:rFonts w:ascii="Barlow" w:hAnsi="Barlow" w:cstheme="minorHAnsi"/>
          <w:b/>
          <w:sz w:val="20"/>
          <w:lang w:val="es-MX"/>
        </w:rPr>
        <w:t>) NOTAS DE GESTIÓN ADMINISTRATIVA</w:t>
      </w:r>
    </w:p>
    <w:p w:rsidR="00B86AB2" w:rsidRPr="00131992" w:rsidRDefault="00B86AB2" w:rsidP="00B86AB2">
      <w:pPr>
        <w:pStyle w:val="Texto"/>
        <w:rPr>
          <w:rFonts w:ascii="Barlow" w:hAnsi="Barlow" w:cstheme="minorHAnsi"/>
          <w:b/>
          <w:sz w:val="20"/>
          <w:lang w:val="es-MX"/>
        </w:rPr>
      </w:pPr>
    </w:p>
    <w:p w:rsidR="00B86AB2" w:rsidRPr="00131992" w:rsidRDefault="00B86AB2" w:rsidP="00B86AB2">
      <w:pPr>
        <w:ind w:left="360"/>
        <w:jc w:val="both"/>
        <w:rPr>
          <w:rFonts w:ascii="Barlow" w:hAnsi="Barlow" w:cstheme="minorHAnsi"/>
          <w:b/>
          <w:smallCaps/>
          <w:sz w:val="20"/>
          <w:szCs w:val="20"/>
        </w:rPr>
      </w:pPr>
    </w:p>
    <w:p w:rsidR="00B86AB2" w:rsidRPr="00131992" w:rsidRDefault="00B86AB2" w:rsidP="00B86AB2">
      <w:pPr>
        <w:pStyle w:val="Texto"/>
        <w:numPr>
          <w:ilvl w:val="0"/>
          <w:numId w:val="5"/>
        </w:numPr>
        <w:spacing w:after="98"/>
        <w:rPr>
          <w:rFonts w:ascii="Barlow" w:hAnsi="Barlow" w:cstheme="minorHAnsi"/>
          <w:b/>
          <w:sz w:val="20"/>
          <w:lang w:val="es-MX"/>
        </w:rPr>
      </w:pPr>
      <w:r w:rsidRPr="00131992">
        <w:rPr>
          <w:rFonts w:ascii="Barlow" w:hAnsi="Barlow" w:cstheme="minorHAnsi"/>
          <w:b/>
          <w:sz w:val="20"/>
          <w:lang w:val="es-MX"/>
        </w:rPr>
        <w:t>Introducción</w:t>
      </w:r>
    </w:p>
    <w:p w:rsidR="00E32950" w:rsidRPr="00131992" w:rsidRDefault="00E32950" w:rsidP="00E32950">
      <w:pPr>
        <w:jc w:val="both"/>
        <w:rPr>
          <w:rFonts w:ascii="Barlow" w:hAnsi="Barlow"/>
          <w:sz w:val="20"/>
          <w:szCs w:val="20"/>
        </w:rPr>
      </w:pPr>
      <w:r w:rsidRPr="00131992">
        <w:rPr>
          <w:rFonts w:ascii="Barlow" w:hAnsi="Barlow" w:cstheme="minorHAnsi"/>
          <w:sz w:val="20"/>
          <w:szCs w:val="20"/>
        </w:rPr>
        <w:t>El Objetivo Primordial al elaborar l</w:t>
      </w:r>
      <w:r w:rsidR="00B86AB2" w:rsidRPr="00131992">
        <w:rPr>
          <w:rFonts w:ascii="Barlow" w:hAnsi="Barlow" w:cstheme="minorHAnsi"/>
          <w:sz w:val="20"/>
          <w:szCs w:val="20"/>
        </w:rPr>
        <w:t>os Estados Financieros es satisfacer las necesidades de información f</w:t>
      </w:r>
      <w:r w:rsidR="003F4F41" w:rsidRPr="00131992">
        <w:rPr>
          <w:rFonts w:ascii="Barlow" w:hAnsi="Barlow" w:cstheme="minorHAnsi"/>
          <w:sz w:val="20"/>
          <w:szCs w:val="20"/>
        </w:rPr>
        <w:t>inanciera y presupuestaria en tiempo y forma de la</w:t>
      </w:r>
      <w:r w:rsidR="00B86AB2" w:rsidRPr="00131992">
        <w:rPr>
          <w:rFonts w:ascii="Barlow" w:hAnsi="Barlow" w:cstheme="minorHAnsi"/>
          <w:sz w:val="20"/>
          <w:szCs w:val="20"/>
        </w:rPr>
        <w:t>s diferentes</w:t>
      </w:r>
      <w:r w:rsidR="003F4F41" w:rsidRPr="00131992">
        <w:rPr>
          <w:rFonts w:ascii="Barlow" w:hAnsi="Barlow" w:cstheme="minorHAnsi"/>
          <w:sz w:val="20"/>
          <w:szCs w:val="20"/>
        </w:rPr>
        <w:t xml:space="preserve"> áreas y </w:t>
      </w:r>
      <w:r w:rsidR="00B86AB2" w:rsidRPr="00131992">
        <w:rPr>
          <w:rFonts w:ascii="Barlow" w:hAnsi="Barlow" w:cstheme="minorHAnsi"/>
          <w:sz w:val="20"/>
          <w:szCs w:val="20"/>
        </w:rPr>
        <w:t xml:space="preserve"> </w:t>
      </w:r>
      <w:r w:rsidR="003F4F41" w:rsidRPr="00131992">
        <w:rPr>
          <w:rFonts w:ascii="Barlow" w:hAnsi="Barlow" w:cstheme="minorHAnsi"/>
          <w:sz w:val="20"/>
          <w:szCs w:val="20"/>
        </w:rPr>
        <w:t xml:space="preserve">Direcciones con las que cuenta el Instituto </w:t>
      </w:r>
      <w:r w:rsidRPr="00131992">
        <w:rPr>
          <w:rFonts w:ascii="Barlow" w:hAnsi="Barlow" w:cstheme="minorHAnsi"/>
          <w:sz w:val="20"/>
          <w:szCs w:val="20"/>
        </w:rPr>
        <w:t xml:space="preserve">de Infraestructura de Yucatán, </w:t>
      </w:r>
      <w:r w:rsidR="00B86AB2" w:rsidRPr="00131992">
        <w:rPr>
          <w:rFonts w:ascii="Barlow" w:hAnsi="Barlow" w:cstheme="minorHAnsi"/>
          <w:sz w:val="20"/>
          <w:szCs w:val="20"/>
        </w:rPr>
        <w:t>revelando los aspectos Económico</w:t>
      </w:r>
      <w:r w:rsidRPr="00131992">
        <w:rPr>
          <w:rFonts w:ascii="Barlow" w:hAnsi="Barlow" w:cstheme="minorHAnsi"/>
          <w:sz w:val="20"/>
          <w:szCs w:val="20"/>
        </w:rPr>
        <w:t>s y</w:t>
      </w:r>
      <w:r w:rsidR="00B86AB2" w:rsidRPr="00131992">
        <w:rPr>
          <w:rFonts w:ascii="Barlow" w:hAnsi="Barlow" w:cstheme="minorHAnsi"/>
          <w:sz w:val="20"/>
          <w:szCs w:val="20"/>
        </w:rPr>
        <w:t xml:space="preserve"> financiero</w:t>
      </w:r>
      <w:r w:rsidRPr="00131992">
        <w:rPr>
          <w:rFonts w:ascii="Barlow" w:hAnsi="Barlow" w:cstheme="minorHAnsi"/>
          <w:sz w:val="20"/>
          <w:szCs w:val="20"/>
        </w:rPr>
        <w:t xml:space="preserve">s que influyeron en los datos, Registros y cifras que genero </w:t>
      </w:r>
      <w:r w:rsidR="00B86AB2" w:rsidRPr="00131992">
        <w:rPr>
          <w:rFonts w:ascii="Barlow" w:hAnsi="Barlow" w:cstheme="minorHAnsi"/>
          <w:sz w:val="20"/>
          <w:szCs w:val="20"/>
        </w:rPr>
        <w:t xml:space="preserve">el Instituto de </w:t>
      </w:r>
      <w:r w:rsidR="0091313E" w:rsidRPr="00131992">
        <w:rPr>
          <w:rFonts w:ascii="Barlow" w:hAnsi="Barlow" w:cstheme="minorHAnsi"/>
          <w:sz w:val="20"/>
          <w:szCs w:val="20"/>
        </w:rPr>
        <w:t xml:space="preserve">Infraestructura Carretera </w:t>
      </w:r>
      <w:r w:rsidR="00B86AB2" w:rsidRPr="00131992">
        <w:rPr>
          <w:rFonts w:ascii="Barlow" w:hAnsi="Barlow" w:cstheme="minorHAnsi"/>
          <w:sz w:val="20"/>
          <w:szCs w:val="20"/>
        </w:rPr>
        <w:t xml:space="preserve"> de Yucatán</w:t>
      </w:r>
      <w:r w:rsidRPr="00131992">
        <w:rPr>
          <w:rFonts w:ascii="Barlow" w:hAnsi="Barlow" w:cstheme="minorHAnsi"/>
          <w:sz w:val="20"/>
          <w:szCs w:val="20"/>
        </w:rPr>
        <w:t xml:space="preserve">, </w:t>
      </w:r>
      <w:r w:rsidRPr="00131992">
        <w:rPr>
          <w:rFonts w:ascii="Barlow" w:hAnsi="Barlow"/>
          <w:sz w:val="20"/>
          <w:szCs w:val="20"/>
        </w:rPr>
        <w:t>así mismo cabe mencionar que ya se están implantando las Normas y Procedimientos de la Ley General de Contabilidad Gubernamental del Consejo Nacional de Armonización Contable:</w:t>
      </w:r>
    </w:p>
    <w:p w:rsidR="00B86AB2" w:rsidRPr="00131992" w:rsidRDefault="00B86AB2" w:rsidP="00B86AB2">
      <w:pPr>
        <w:pStyle w:val="Texto"/>
        <w:spacing w:after="98"/>
        <w:rPr>
          <w:rFonts w:ascii="Barlow" w:hAnsi="Barlow" w:cstheme="minorHAnsi"/>
          <w:sz w:val="20"/>
          <w:lang w:val="es-MX"/>
        </w:rPr>
      </w:pPr>
    </w:p>
    <w:p w:rsidR="0091313E" w:rsidRPr="00131992" w:rsidRDefault="0091313E" w:rsidP="00B86AB2">
      <w:pPr>
        <w:pStyle w:val="Texto"/>
        <w:spacing w:after="98"/>
        <w:rPr>
          <w:rFonts w:ascii="Barlow" w:hAnsi="Barlow" w:cstheme="minorHAnsi"/>
          <w:sz w:val="20"/>
          <w:lang w:val="es-MX"/>
        </w:rPr>
      </w:pPr>
    </w:p>
    <w:p w:rsidR="006B1D8B" w:rsidRPr="00131992" w:rsidRDefault="006B1D8B" w:rsidP="006B1D8B">
      <w:pPr>
        <w:spacing w:after="0"/>
        <w:jc w:val="both"/>
        <w:rPr>
          <w:rFonts w:ascii="Barlow" w:hAnsi="Barlow" w:cstheme="minorHAnsi"/>
          <w:b/>
          <w:sz w:val="20"/>
          <w:szCs w:val="20"/>
        </w:rPr>
      </w:pPr>
    </w:p>
    <w:p w:rsidR="006B1D8B" w:rsidRPr="00131992" w:rsidRDefault="006B1D8B" w:rsidP="006B1D8B">
      <w:pPr>
        <w:spacing w:after="0"/>
        <w:jc w:val="both"/>
        <w:rPr>
          <w:rFonts w:ascii="Barlow" w:hAnsi="Barlow" w:cstheme="minorHAnsi"/>
          <w:b/>
          <w:sz w:val="20"/>
          <w:szCs w:val="20"/>
        </w:rPr>
      </w:pPr>
      <w:r w:rsidRPr="00131992">
        <w:rPr>
          <w:rFonts w:ascii="Barlow" w:hAnsi="Barlow" w:cstheme="minorHAnsi"/>
          <w:b/>
          <w:sz w:val="20"/>
          <w:szCs w:val="20"/>
        </w:rPr>
        <w:t>PERSONALIDAD JURÍDICA</w:t>
      </w:r>
    </w:p>
    <w:p w:rsidR="0091313E" w:rsidRPr="00131992" w:rsidRDefault="0091313E" w:rsidP="0091313E">
      <w:pPr>
        <w:jc w:val="both"/>
        <w:rPr>
          <w:rFonts w:ascii="Barlow" w:hAnsi="Barlow"/>
          <w:sz w:val="20"/>
          <w:szCs w:val="20"/>
        </w:rPr>
      </w:pPr>
      <w:r w:rsidRPr="00131992">
        <w:rPr>
          <w:rFonts w:ascii="Barlow" w:hAnsi="Barlow"/>
          <w:sz w:val="20"/>
          <w:szCs w:val="20"/>
        </w:rPr>
        <w:t>El Instituto de Infraestructura Carretera de Yucatán es un organismo descentralizado de la administración pública estatal, creada mediante Decreto 239 de fecha 21 de Octubre de 2009 y oficializada mediante Sesión Ordinaria realizada el 05 de Enero de 2010. En esta sesión se constituyó el Órgano Supremo de la Comisión representado por el Consejo de Administración, dando lugar con este acto a la instalación formal y legal del Instituto de Infraestructura Carretera de Yucatán.</w:t>
      </w:r>
    </w:p>
    <w:p w:rsidR="0091313E" w:rsidRPr="00131992" w:rsidRDefault="0091313E" w:rsidP="0091313E">
      <w:pPr>
        <w:jc w:val="both"/>
        <w:rPr>
          <w:rFonts w:ascii="Barlow" w:hAnsi="Barlow"/>
          <w:sz w:val="20"/>
          <w:szCs w:val="20"/>
        </w:rPr>
      </w:pPr>
      <w:r w:rsidRPr="00131992">
        <w:rPr>
          <w:rFonts w:ascii="Barlow" w:hAnsi="Barlow"/>
          <w:sz w:val="20"/>
          <w:szCs w:val="20"/>
        </w:rPr>
        <w:t>Así mismo, esta dependencia cuenta con patrimonio propio y con las funciones y atribuciones que establece su propia Ley, la Ley de Vías Terrestres y demás ordenamientos aplicables, y cuya responsabilidad consiste en la aplicación de las normas y políticas relativas a la Planeación, Promoción, Ejecución, Mantenimiento, Modernización y Aprovechamiento de la Infraestructura Carretera de Jurisdicción Estatal.</w:t>
      </w:r>
    </w:p>
    <w:p w:rsidR="006B1D8B" w:rsidRPr="00131992" w:rsidRDefault="006B1D8B" w:rsidP="006B1D8B">
      <w:pPr>
        <w:spacing w:after="0"/>
        <w:jc w:val="both"/>
        <w:rPr>
          <w:rFonts w:ascii="Barlow" w:hAnsi="Barlow" w:cstheme="minorHAnsi"/>
          <w:b/>
          <w:sz w:val="20"/>
          <w:szCs w:val="20"/>
        </w:rPr>
      </w:pPr>
      <w:r w:rsidRPr="00131992">
        <w:rPr>
          <w:rFonts w:ascii="Barlow" w:hAnsi="Barlow" w:cstheme="minorHAnsi"/>
          <w:b/>
          <w:sz w:val="20"/>
          <w:szCs w:val="20"/>
        </w:rPr>
        <w:t>RESUMEN DE LAS PRINCIPALES POLÍTICAS CONTABLES</w:t>
      </w:r>
    </w:p>
    <w:p w:rsidR="000B355C" w:rsidRPr="00131992" w:rsidRDefault="000B355C" w:rsidP="000B355C">
      <w:pPr>
        <w:jc w:val="both"/>
        <w:rPr>
          <w:rFonts w:ascii="Barlow" w:hAnsi="Barlow"/>
          <w:sz w:val="20"/>
          <w:szCs w:val="20"/>
        </w:rPr>
      </w:pPr>
      <w:r w:rsidRPr="00131992">
        <w:rPr>
          <w:rFonts w:ascii="Barlow" w:hAnsi="Barlow"/>
          <w:sz w:val="20"/>
          <w:szCs w:val="20"/>
        </w:rPr>
        <w:t>La preparación de los Estados Financieros se basa en las siguientes políticas y prácticas contables, así mismo cabe mencionar que ya se están implantando las Normas y Procedimientos de la Ley General de Contabilidad Gubernamental del Consejo Nacional de Armonización Contable:</w:t>
      </w:r>
    </w:p>
    <w:p w:rsidR="006B1D8B" w:rsidRPr="00131992" w:rsidRDefault="006B1D8B" w:rsidP="006B1D8B">
      <w:pPr>
        <w:jc w:val="both"/>
        <w:rPr>
          <w:rFonts w:ascii="Barlow" w:hAnsi="Barlow" w:cstheme="minorHAnsi"/>
          <w:sz w:val="20"/>
          <w:szCs w:val="20"/>
        </w:rPr>
      </w:pPr>
    </w:p>
    <w:p w:rsidR="006B1D8B" w:rsidRPr="00131992" w:rsidRDefault="006B1D8B" w:rsidP="006B1D8B">
      <w:pPr>
        <w:numPr>
          <w:ilvl w:val="0"/>
          <w:numId w:val="2"/>
        </w:numPr>
        <w:spacing w:after="0" w:line="240" w:lineRule="auto"/>
        <w:jc w:val="both"/>
        <w:rPr>
          <w:rFonts w:ascii="Barlow" w:hAnsi="Barlow" w:cstheme="minorHAnsi"/>
          <w:sz w:val="20"/>
          <w:szCs w:val="20"/>
        </w:rPr>
      </w:pPr>
      <w:r w:rsidRPr="00131992">
        <w:rPr>
          <w:rFonts w:ascii="Barlow" w:hAnsi="Barlow" w:cstheme="minorHAnsi"/>
          <w:sz w:val="20"/>
          <w:szCs w:val="20"/>
        </w:rPr>
        <w:lastRenderedPageBreak/>
        <w:t>Período contable</w:t>
      </w:r>
    </w:p>
    <w:p w:rsidR="006B1D8B" w:rsidRPr="00131992" w:rsidRDefault="006B1D8B" w:rsidP="006B1D8B">
      <w:pPr>
        <w:ind w:left="360"/>
        <w:jc w:val="both"/>
        <w:rPr>
          <w:rFonts w:ascii="Barlow" w:hAnsi="Barlow" w:cstheme="minorHAnsi"/>
          <w:sz w:val="20"/>
          <w:szCs w:val="20"/>
        </w:rPr>
      </w:pPr>
      <w:r w:rsidRPr="00131992">
        <w:rPr>
          <w:rFonts w:ascii="Barlow" w:hAnsi="Barlow" w:cstheme="minorHAnsi"/>
          <w:sz w:val="20"/>
          <w:szCs w:val="20"/>
        </w:rPr>
        <w:t>Las cifras que se presentan en los estado</w:t>
      </w:r>
      <w:r w:rsidR="00B97A58" w:rsidRPr="00131992">
        <w:rPr>
          <w:rFonts w:ascii="Barlow" w:hAnsi="Barlow" w:cstheme="minorHAnsi"/>
          <w:sz w:val="20"/>
          <w:szCs w:val="20"/>
        </w:rPr>
        <w:t>s financieros corresponden al 31 de Marz</w:t>
      </w:r>
      <w:r w:rsidR="00B02845" w:rsidRPr="00131992">
        <w:rPr>
          <w:rFonts w:ascii="Barlow" w:hAnsi="Barlow" w:cstheme="minorHAnsi"/>
          <w:sz w:val="20"/>
          <w:szCs w:val="20"/>
        </w:rPr>
        <w:t>o</w:t>
      </w:r>
      <w:r w:rsidR="00B97A58" w:rsidRPr="00131992">
        <w:rPr>
          <w:rFonts w:ascii="Barlow" w:hAnsi="Barlow" w:cstheme="minorHAnsi"/>
          <w:sz w:val="20"/>
          <w:szCs w:val="20"/>
        </w:rPr>
        <w:t xml:space="preserve"> de 2019</w:t>
      </w:r>
      <w:r w:rsidRPr="00131992">
        <w:rPr>
          <w:rFonts w:ascii="Barlow" w:hAnsi="Barlow" w:cstheme="minorHAnsi"/>
          <w:sz w:val="20"/>
          <w:szCs w:val="20"/>
        </w:rPr>
        <w:t xml:space="preserve">. </w:t>
      </w:r>
    </w:p>
    <w:p w:rsidR="006B1D8B" w:rsidRPr="00131992" w:rsidRDefault="006B1D8B" w:rsidP="006B1D8B">
      <w:pPr>
        <w:numPr>
          <w:ilvl w:val="0"/>
          <w:numId w:val="2"/>
        </w:numPr>
        <w:spacing w:after="0" w:line="240" w:lineRule="auto"/>
        <w:jc w:val="both"/>
        <w:rPr>
          <w:rFonts w:ascii="Barlow" w:hAnsi="Barlow" w:cstheme="minorHAnsi"/>
          <w:sz w:val="20"/>
          <w:szCs w:val="20"/>
        </w:rPr>
      </w:pPr>
      <w:r w:rsidRPr="00131992">
        <w:rPr>
          <w:rFonts w:ascii="Barlow" w:hAnsi="Barlow" w:cstheme="minorHAnsi"/>
          <w:sz w:val="20"/>
          <w:szCs w:val="20"/>
        </w:rPr>
        <w:t>Inmuebles maquinaria y equipo.</w:t>
      </w:r>
    </w:p>
    <w:p w:rsidR="006B1D8B" w:rsidRPr="00131992" w:rsidRDefault="006403BB" w:rsidP="006B1D8B">
      <w:pPr>
        <w:ind w:left="360"/>
        <w:jc w:val="both"/>
        <w:rPr>
          <w:rFonts w:ascii="Barlow" w:hAnsi="Barlow" w:cstheme="minorHAnsi"/>
          <w:sz w:val="20"/>
          <w:szCs w:val="20"/>
        </w:rPr>
      </w:pPr>
      <w:r w:rsidRPr="00131992">
        <w:rPr>
          <w:rFonts w:ascii="Barlow" w:hAnsi="Barlow" w:cstheme="minorHAnsi"/>
          <w:sz w:val="20"/>
          <w:szCs w:val="20"/>
        </w:rPr>
        <w:t>Los inmuebles, maquinaria</w:t>
      </w:r>
      <w:r w:rsidR="006B1D8B" w:rsidRPr="00131992">
        <w:rPr>
          <w:rFonts w:ascii="Barlow" w:hAnsi="Barlow" w:cstheme="minorHAnsi"/>
          <w:sz w:val="20"/>
          <w:szCs w:val="20"/>
        </w:rPr>
        <w:t xml:space="preserve"> y equipo </w:t>
      </w:r>
      <w:r w:rsidRPr="00131992">
        <w:rPr>
          <w:rFonts w:ascii="Barlow" w:hAnsi="Barlow" w:cstheme="minorHAnsi"/>
          <w:sz w:val="20"/>
          <w:szCs w:val="20"/>
        </w:rPr>
        <w:t xml:space="preserve">cuando se realizan </w:t>
      </w:r>
      <w:r w:rsidR="006B1D8B" w:rsidRPr="00131992">
        <w:rPr>
          <w:rFonts w:ascii="Barlow" w:hAnsi="Barlow" w:cstheme="minorHAnsi"/>
          <w:sz w:val="20"/>
          <w:szCs w:val="20"/>
        </w:rPr>
        <w:t>se val</w:t>
      </w:r>
      <w:r w:rsidRPr="00131992">
        <w:rPr>
          <w:rFonts w:ascii="Barlow" w:hAnsi="Barlow" w:cstheme="minorHAnsi"/>
          <w:sz w:val="20"/>
          <w:szCs w:val="20"/>
        </w:rPr>
        <w:t xml:space="preserve">úan al costo de </w:t>
      </w:r>
      <w:r w:rsidR="00723EE2" w:rsidRPr="00131992">
        <w:rPr>
          <w:rFonts w:ascii="Barlow" w:hAnsi="Barlow" w:cstheme="minorHAnsi"/>
          <w:sz w:val="20"/>
          <w:szCs w:val="20"/>
        </w:rPr>
        <w:t>adquisición.</w:t>
      </w:r>
    </w:p>
    <w:p w:rsidR="006B1D8B" w:rsidRPr="00131992" w:rsidRDefault="006B1D8B" w:rsidP="006B1D8B">
      <w:pPr>
        <w:spacing w:after="0"/>
        <w:ind w:left="357"/>
        <w:jc w:val="both"/>
        <w:rPr>
          <w:rFonts w:ascii="Barlow" w:hAnsi="Barlow" w:cstheme="minorHAnsi"/>
          <w:sz w:val="20"/>
          <w:szCs w:val="20"/>
        </w:rPr>
      </w:pPr>
      <w:r w:rsidRPr="00131992">
        <w:rPr>
          <w:rFonts w:ascii="Barlow" w:hAnsi="Barlow" w:cstheme="minorHAnsi"/>
          <w:sz w:val="20"/>
          <w:szCs w:val="20"/>
        </w:rPr>
        <w:t>D)</w:t>
      </w:r>
      <w:r w:rsidRPr="00131992">
        <w:rPr>
          <w:rFonts w:ascii="Barlow" w:hAnsi="Barlow" w:cstheme="minorHAnsi"/>
          <w:sz w:val="20"/>
          <w:szCs w:val="20"/>
        </w:rPr>
        <w:tab/>
        <w:t xml:space="preserve"> Ingresos </w:t>
      </w:r>
    </w:p>
    <w:p w:rsidR="0078394E" w:rsidRPr="00131992" w:rsidRDefault="0078394E" w:rsidP="0078394E">
      <w:pPr>
        <w:ind w:left="360"/>
        <w:jc w:val="both"/>
        <w:rPr>
          <w:rFonts w:ascii="Barlow" w:hAnsi="Barlow" w:cstheme="minorHAnsi"/>
          <w:sz w:val="20"/>
          <w:szCs w:val="20"/>
        </w:rPr>
      </w:pPr>
      <w:r w:rsidRPr="00131992">
        <w:rPr>
          <w:rFonts w:ascii="Barlow" w:hAnsi="Barlow" w:cstheme="minorHAnsi"/>
          <w:sz w:val="20"/>
          <w:szCs w:val="20"/>
        </w:rPr>
        <w:t>El Instituto recibe sus ingresos por medio transferencias por parte del gobierno del Estado de Yucatán atreves del sistema SIGEY previa firma de convenios y oficios autorizados por la misma secretaria de administración y finanzas tanto de recursos con fuentes de financiamientos estatales y federales.</w:t>
      </w:r>
    </w:p>
    <w:p w:rsidR="006B1D8B" w:rsidRPr="00131992" w:rsidRDefault="006B1D8B" w:rsidP="006B1D8B">
      <w:pPr>
        <w:spacing w:after="0"/>
        <w:ind w:left="357"/>
        <w:jc w:val="both"/>
        <w:rPr>
          <w:rFonts w:ascii="Barlow" w:hAnsi="Barlow" w:cstheme="minorHAnsi"/>
          <w:sz w:val="20"/>
          <w:szCs w:val="20"/>
        </w:rPr>
      </w:pPr>
      <w:r w:rsidRPr="00131992">
        <w:rPr>
          <w:rFonts w:ascii="Barlow" w:hAnsi="Barlow" w:cstheme="minorHAnsi"/>
          <w:sz w:val="20"/>
          <w:szCs w:val="20"/>
        </w:rPr>
        <w:t>E)</w:t>
      </w:r>
      <w:r w:rsidRPr="00131992">
        <w:rPr>
          <w:rFonts w:ascii="Barlow" w:hAnsi="Barlow" w:cstheme="minorHAnsi"/>
          <w:sz w:val="20"/>
          <w:szCs w:val="20"/>
        </w:rPr>
        <w:tab/>
        <w:t>Impuesto sobre la Renta</w:t>
      </w:r>
    </w:p>
    <w:p w:rsidR="006B1D8B" w:rsidRPr="00131992" w:rsidRDefault="006B1D8B" w:rsidP="006B1D8B">
      <w:pPr>
        <w:ind w:left="360"/>
        <w:jc w:val="both"/>
        <w:rPr>
          <w:rFonts w:ascii="Barlow" w:hAnsi="Barlow" w:cstheme="minorHAnsi"/>
          <w:sz w:val="20"/>
          <w:szCs w:val="20"/>
        </w:rPr>
      </w:pPr>
      <w:r w:rsidRPr="00131992">
        <w:rPr>
          <w:rFonts w:ascii="Barlow" w:hAnsi="Barlow" w:cstheme="minorHAnsi"/>
          <w:sz w:val="20"/>
          <w:szCs w:val="20"/>
        </w:rPr>
        <w:t xml:space="preserve">El organismo </w:t>
      </w:r>
      <w:r w:rsidR="00723EE2" w:rsidRPr="00131992">
        <w:rPr>
          <w:rFonts w:ascii="Barlow" w:hAnsi="Barlow" w:cstheme="minorHAnsi"/>
          <w:sz w:val="20"/>
          <w:szCs w:val="20"/>
        </w:rPr>
        <w:t xml:space="preserve">Esta en el régimen de Personas Morales con fines no Lucrativos; </w:t>
      </w:r>
      <w:r w:rsidRPr="00131992">
        <w:rPr>
          <w:rFonts w:ascii="Barlow" w:hAnsi="Barlow" w:cstheme="minorHAnsi"/>
          <w:sz w:val="20"/>
          <w:szCs w:val="20"/>
        </w:rPr>
        <w:t xml:space="preserve"> tiene como </w:t>
      </w:r>
      <w:r w:rsidR="0046649A" w:rsidRPr="00131992">
        <w:rPr>
          <w:rFonts w:ascii="Barlow" w:hAnsi="Barlow" w:cstheme="minorHAnsi"/>
          <w:sz w:val="20"/>
          <w:szCs w:val="20"/>
        </w:rPr>
        <w:t>obligaciones</w:t>
      </w:r>
      <w:r w:rsidRPr="00131992">
        <w:rPr>
          <w:rFonts w:ascii="Barlow" w:hAnsi="Barlow" w:cstheme="minorHAnsi"/>
          <w:sz w:val="20"/>
          <w:szCs w:val="20"/>
        </w:rPr>
        <w:t xml:space="preserve"> la</w:t>
      </w:r>
      <w:r w:rsidR="0046649A" w:rsidRPr="00131992">
        <w:rPr>
          <w:rFonts w:ascii="Barlow" w:hAnsi="Barlow" w:cstheme="minorHAnsi"/>
          <w:sz w:val="20"/>
          <w:szCs w:val="20"/>
        </w:rPr>
        <w:t xml:space="preserve">s siguientes: </w:t>
      </w:r>
      <w:r w:rsidR="0046649A" w:rsidRPr="00131992">
        <w:rPr>
          <w:rFonts w:ascii="Barlow" w:hAnsi="Barlow"/>
          <w:sz w:val="20"/>
          <w:szCs w:val="20"/>
        </w:rPr>
        <w:t>Entero</w:t>
      </w:r>
      <w:r w:rsidR="00723EE2" w:rsidRPr="00131992">
        <w:rPr>
          <w:rFonts w:ascii="Barlow" w:hAnsi="Barlow" w:cstheme="minorHAnsi"/>
          <w:sz w:val="20"/>
          <w:szCs w:val="20"/>
        </w:rPr>
        <w:t xml:space="preserve"> de retenciones mensuales de ISR por sueldos y salario,  Entero de retención de ISR por servicios profesionales. MENSUAL, Entero de retenciones mensuales de ISR por ingresos asimilados a salarios</w:t>
      </w:r>
      <w:r w:rsidRPr="00131992">
        <w:rPr>
          <w:rFonts w:ascii="Barlow" w:hAnsi="Barlow" w:cstheme="minorHAnsi"/>
          <w:sz w:val="20"/>
          <w:szCs w:val="20"/>
        </w:rPr>
        <w:t>.</w:t>
      </w:r>
    </w:p>
    <w:p w:rsidR="006B1D8B" w:rsidRPr="00131992" w:rsidRDefault="006B1D8B" w:rsidP="006B1D8B">
      <w:pPr>
        <w:numPr>
          <w:ilvl w:val="0"/>
          <w:numId w:val="3"/>
        </w:numPr>
        <w:spacing w:after="0" w:line="240" w:lineRule="auto"/>
        <w:jc w:val="both"/>
        <w:rPr>
          <w:rFonts w:ascii="Barlow" w:hAnsi="Barlow" w:cstheme="minorHAnsi"/>
          <w:sz w:val="20"/>
          <w:szCs w:val="20"/>
        </w:rPr>
      </w:pPr>
      <w:r w:rsidRPr="00131992">
        <w:rPr>
          <w:rFonts w:ascii="Barlow" w:hAnsi="Barlow" w:cstheme="minorHAnsi"/>
          <w:sz w:val="20"/>
          <w:szCs w:val="20"/>
        </w:rPr>
        <w:t>Honorarios asimilados</w:t>
      </w:r>
    </w:p>
    <w:p w:rsidR="006B1D8B" w:rsidRPr="00131992" w:rsidRDefault="0046649A" w:rsidP="006B1D8B">
      <w:pPr>
        <w:ind w:left="360"/>
        <w:jc w:val="both"/>
        <w:rPr>
          <w:rFonts w:ascii="Barlow" w:hAnsi="Barlow" w:cstheme="minorHAnsi"/>
          <w:sz w:val="20"/>
          <w:szCs w:val="20"/>
        </w:rPr>
      </w:pPr>
      <w:r w:rsidRPr="00131992">
        <w:rPr>
          <w:rFonts w:ascii="Barlow" w:hAnsi="Barlow" w:cstheme="minorHAnsi"/>
          <w:sz w:val="20"/>
          <w:szCs w:val="20"/>
        </w:rPr>
        <w:t>En el Instituto de Infraestructura Carretera de Yucatán, no tenemos personas que presten sus servicios por asimilados a salarios</w:t>
      </w:r>
      <w:r w:rsidR="006B1D8B" w:rsidRPr="00131992">
        <w:rPr>
          <w:rFonts w:ascii="Barlow" w:hAnsi="Barlow" w:cstheme="minorHAnsi"/>
          <w:sz w:val="20"/>
          <w:szCs w:val="20"/>
        </w:rPr>
        <w:t>.</w:t>
      </w:r>
    </w:p>
    <w:p w:rsidR="006B1D8B" w:rsidRPr="00131992" w:rsidRDefault="006B1D8B" w:rsidP="006B1D8B">
      <w:pPr>
        <w:numPr>
          <w:ilvl w:val="0"/>
          <w:numId w:val="3"/>
        </w:numPr>
        <w:spacing w:after="0" w:line="240" w:lineRule="auto"/>
        <w:jc w:val="both"/>
        <w:rPr>
          <w:rFonts w:ascii="Barlow" w:hAnsi="Barlow" w:cstheme="minorHAnsi"/>
          <w:sz w:val="20"/>
          <w:szCs w:val="20"/>
        </w:rPr>
      </w:pPr>
      <w:r w:rsidRPr="00131992">
        <w:rPr>
          <w:rFonts w:ascii="Barlow" w:hAnsi="Barlow" w:cstheme="minorHAnsi"/>
          <w:sz w:val="20"/>
          <w:szCs w:val="20"/>
        </w:rPr>
        <w:t>Catálogo de Cuentas</w:t>
      </w:r>
    </w:p>
    <w:p w:rsidR="006B1D8B" w:rsidRPr="00131992" w:rsidRDefault="00314A56" w:rsidP="006B1D8B">
      <w:pPr>
        <w:ind w:left="360"/>
        <w:jc w:val="both"/>
        <w:rPr>
          <w:rFonts w:ascii="Barlow" w:hAnsi="Barlow" w:cstheme="minorHAnsi"/>
          <w:sz w:val="20"/>
          <w:szCs w:val="20"/>
        </w:rPr>
      </w:pPr>
      <w:r w:rsidRPr="00131992">
        <w:rPr>
          <w:rFonts w:ascii="Barlow" w:hAnsi="Barlow" w:cstheme="minorHAnsi"/>
          <w:sz w:val="20"/>
          <w:szCs w:val="20"/>
        </w:rPr>
        <w:t xml:space="preserve">No tenemos un Sistema Automatizado de Administración y Contabilidad Gubernamental, Trabajamos en 2 sistemas en uno </w:t>
      </w:r>
      <w:r w:rsidR="0078394E" w:rsidRPr="00131992">
        <w:rPr>
          <w:rFonts w:ascii="Barlow" w:hAnsi="Barlow" w:cstheme="minorHAnsi"/>
          <w:sz w:val="20"/>
          <w:szCs w:val="20"/>
        </w:rPr>
        <w:t>se trabaja</w:t>
      </w:r>
      <w:r w:rsidRPr="00131992">
        <w:rPr>
          <w:rFonts w:ascii="Barlow" w:hAnsi="Barlow" w:cstheme="minorHAnsi"/>
          <w:sz w:val="20"/>
          <w:szCs w:val="20"/>
        </w:rPr>
        <w:t xml:space="preserve"> la parte Presupuestal</w:t>
      </w:r>
      <w:r w:rsidR="00E32950" w:rsidRPr="00131992">
        <w:rPr>
          <w:rFonts w:ascii="Barlow" w:hAnsi="Barlow" w:cstheme="minorHAnsi"/>
          <w:sz w:val="20"/>
          <w:szCs w:val="20"/>
        </w:rPr>
        <w:t xml:space="preserve"> este es un </w:t>
      </w:r>
      <w:r w:rsidR="006B1D8B" w:rsidRPr="00131992">
        <w:rPr>
          <w:rFonts w:ascii="Barlow" w:hAnsi="Barlow" w:cstheme="minorHAnsi"/>
          <w:sz w:val="20"/>
          <w:szCs w:val="20"/>
        </w:rPr>
        <w:t>programa informático</w:t>
      </w:r>
      <w:r w:rsidRPr="00131992">
        <w:rPr>
          <w:rFonts w:ascii="Barlow" w:hAnsi="Barlow" w:cstheme="minorHAnsi"/>
          <w:sz w:val="20"/>
          <w:szCs w:val="20"/>
        </w:rPr>
        <w:t xml:space="preserve"> Desarrollado en el Instituto</w:t>
      </w:r>
      <w:r w:rsidR="0078394E" w:rsidRPr="00131992">
        <w:rPr>
          <w:rFonts w:ascii="Barlow" w:hAnsi="Barlow" w:cstheme="minorHAnsi"/>
          <w:sz w:val="20"/>
          <w:szCs w:val="20"/>
        </w:rPr>
        <w:t xml:space="preserve"> que se llama VTINTE</w:t>
      </w:r>
      <w:r w:rsidRPr="00131992">
        <w:rPr>
          <w:rFonts w:ascii="Barlow" w:hAnsi="Barlow" w:cstheme="minorHAnsi"/>
          <w:sz w:val="20"/>
          <w:szCs w:val="20"/>
        </w:rPr>
        <w:t xml:space="preserve"> y en el otro la parte contable en el CONTPAQ</w:t>
      </w:r>
      <w:r w:rsidR="006B1D8B" w:rsidRPr="00131992">
        <w:rPr>
          <w:rFonts w:ascii="Barlow" w:hAnsi="Barlow" w:cstheme="minorHAnsi"/>
          <w:sz w:val="20"/>
          <w:szCs w:val="20"/>
        </w:rPr>
        <w:t>.</w:t>
      </w:r>
    </w:p>
    <w:p w:rsidR="00B86AB2" w:rsidRPr="00131992" w:rsidRDefault="00B86AB2" w:rsidP="0046649A">
      <w:pPr>
        <w:pStyle w:val="Texto"/>
        <w:spacing w:after="98"/>
        <w:ind w:firstLine="0"/>
        <w:rPr>
          <w:rFonts w:ascii="Barlow" w:hAnsi="Barlow" w:cstheme="minorHAnsi"/>
          <w:b/>
          <w:sz w:val="20"/>
          <w:lang w:val="es-MX"/>
        </w:rPr>
      </w:pPr>
    </w:p>
    <w:p w:rsidR="00B86AB2" w:rsidRPr="00131992" w:rsidRDefault="00B86AB2" w:rsidP="00B86AB2">
      <w:pPr>
        <w:pStyle w:val="Texto"/>
        <w:spacing w:after="98"/>
        <w:rPr>
          <w:rFonts w:ascii="Barlow" w:hAnsi="Barlow" w:cstheme="minorHAnsi"/>
          <w:b/>
          <w:sz w:val="20"/>
          <w:lang w:val="es-MX"/>
        </w:rPr>
      </w:pPr>
      <w:r w:rsidRPr="00131992">
        <w:rPr>
          <w:rFonts w:ascii="Barlow" w:hAnsi="Barlow" w:cstheme="minorHAnsi"/>
          <w:b/>
          <w:sz w:val="20"/>
          <w:lang w:val="es-MX"/>
        </w:rPr>
        <w:t>2.</w:t>
      </w:r>
      <w:r w:rsidRPr="00131992">
        <w:rPr>
          <w:rFonts w:ascii="Barlow" w:hAnsi="Barlow" w:cstheme="minorHAnsi"/>
          <w:b/>
          <w:sz w:val="20"/>
          <w:lang w:val="es-MX"/>
        </w:rPr>
        <w:tab/>
        <w:t>Panorama Económico y Financiero</w:t>
      </w:r>
    </w:p>
    <w:p w:rsidR="0078394E" w:rsidRPr="00131992" w:rsidRDefault="0078394E" w:rsidP="0078394E">
      <w:pPr>
        <w:ind w:left="360"/>
        <w:jc w:val="both"/>
        <w:rPr>
          <w:rFonts w:ascii="Barlow" w:hAnsi="Barlow" w:cstheme="minorHAnsi"/>
          <w:sz w:val="20"/>
          <w:szCs w:val="20"/>
        </w:rPr>
      </w:pPr>
      <w:r w:rsidRPr="00131992">
        <w:rPr>
          <w:rFonts w:ascii="Barlow" w:hAnsi="Barlow" w:cstheme="minorHAnsi"/>
          <w:sz w:val="20"/>
          <w:szCs w:val="20"/>
        </w:rPr>
        <w:t>El Instituto recibe sus ingresos por medio transferencias por parte del gobierno del Estado de Yucatán atreves del sistema SIGEY previa firma de convenios y oficios autorizados por la misma secretaria de administración y finanzas tanto de recursos con fuentes de financiamientos estatales y federales.</w:t>
      </w:r>
    </w:p>
    <w:p w:rsidR="00926953" w:rsidRPr="00131992" w:rsidRDefault="00926953" w:rsidP="0073380C">
      <w:pPr>
        <w:pStyle w:val="Texto"/>
        <w:spacing w:after="98"/>
        <w:ind w:firstLine="0"/>
        <w:rPr>
          <w:rFonts w:ascii="Barlow" w:hAnsi="Barlow" w:cstheme="minorHAnsi"/>
          <w:b/>
          <w:sz w:val="20"/>
          <w:lang w:val="es-MX"/>
        </w:rPr>
      </w:pPr>
    </w:p>
    <w:p w:rsidR="00926953" w:rsidRPr="00131992" w:rsidRDefault="00926953" w:rsidP="00B86AB2">
      <w:pPr>
        <w:pStyle w:val="Texto"/>
        <w:spacing w:after="98"/>
        <w:rPr>
          <w:rFonts w:ascii="Barlow" w:hAnsi="Barlow" w:cstheme="minorHAnsi"/>
          <w:b/>
          <w:sz w:val="20"/>
          <w:lang w:val="es-MX"/>
        </w:rPr>
      </w:pPr>
    </w:p>
    <w:p w:rsidR="00B86AB2" w:rsidRPr="00131992" w:rsidRDefault="00B86AB2" w:rsidP="00B86AB2">
      <w:pPr>
        <w:pStyle w:val="Texto"/>
        <w:spacing w:after="98"/>
        <w:rPr>
          <w:rFonts w:ascii="Barlow" w:hAnsi="Barlow" w:cstheme="minorHAnsi"/>
          <w:b/>
          <w:sz w:val="20"/>
          <w:lang w:val="es-MX"/>
        </w:rPr>
      </w:pPr>
      <w:r w:rsidRPr="00131992">
        <w:rPr>
          <w:rFonts w:ascii="Barlow" w:hAnsi="Barlow" w:cstheme="minorHAnsi"/>
          <w:b/>
          <w:sz w:val="20"/>
          <w:lang w:val="es-MX"/>
        </w:rPr>
        <w:t>3.</w:t>
      </w:r>
      <w:r w:rsidRPr="00131992">
        <w:rPr>
          <w:rFonts w:ascii="Barlow" w:hAnsi="Barlow" w:cstheme="minorHAnsi"/>
          <w:b/>
          <w:sz w:val="20"/>
          <w:lang w:val="es-MX"/>
        </w:rPr>
        <w:tab/>
        <w:t>Autorización e Historia</w:t>
      </w:r>
    </w:p>
    <w:p w:rsidR="00314A56" w:rsidRPr="00131992" w:rsidRDefault="00314A56" w:rsidP="00314A56">
      <w:pPr>
        <w:jc w:val="both"/>
        <w:rPr>
          <w:rFonts w:ascii="Barlow" w:hAnsi="Barlow"/>
          <w:sz w:val="20"/>
          <w:szCs w:val="20"/>
        </w:rPr>
      </w:pPr>
      <w:r w:rsidRPr="00131992">
        <w:rPr>
          <w:rFonts w:ascii="Barlow" w:hAnsi="Barlow"/>
          <w:sz w:val="20"/>
          <w:szCs w:val="20"/>
        </w:rPr>
        <w:t>El Instituto de Infraestructura Carretera de Yucatán es un organismo descentralizado de la administración pública estatal, creada mediante Decreto 239 de fecha 21 de Octubre de 2009 y oficializada mediante Sesión Ordinaria realizada el 05 de Enero de 2010. En esta sesión se constituyó el Órgano Supremo de la Comisión representado por el Consejo de Administración, dando lugar con este acto a la instalación formal y legal del Instituto de Infraestructura Carretera de Yucatán.</w:t>
      </w:r>
    </w:p>
    <w:p w:rsidR="00B86AB2" w:rsidRPr="00131992" w:rsidRDefault="00B86AB2" w:rsidP="00B86AB2">
      <w:pPr>
        <w:pStyle w:val="Texto"/>
        <w:spacing w:line="224" w:lineRule="exact"/>
        <w:rPr>
          <w:rFonts w:ascii="Barlow" w:hAnsi="Barlow" w:cstheme="minorHAnsi"/>
          <w:b/>
          <w:smallCaps/>
          <w:sz w:val="20"/>
        </w:rPr>
      </w:pPr>
    </w:p>
    <w:p w:rsidR="00C63459" w:rsidRPr="00131992" w:rsidRDefault="00C63459" w:rsidP="00B86AB2">
      <w:pPr>
        <w:pStyle w:val="Texto"/>
        <w:spacing w:line="224" w:lineRule="exact"/>
        <w:rPr>
          <w:rFonts w:ascii="Barlow" w:hAnsi="Barlow" w:cstheme="minorHAnsi"/>
          <w:b/>
          <w:smallCaps/>
          <w:sz w:val="20"/>
        </w:rPr>
      </w:pPr>
    </w:p>
    <w:p w:rsidR="00C63459" w:rsidRPr="00131992" w:rsidRDefault="00C63459" w:rsidP="00B86AB2">
      <w:pPr>
        <w:pStyle w:val="Texto"/>
        <w:spacing w:line="224" w:lineRule="exact"/>
        <w:rPr>
          <w:rFonts w:ascii="Barlow" w:hAnsi="Barlow" w:cstheme="minorHAnsi"/>
          <w:b/>
          <w:smallCaps/>
          <w:sz w:val="20"/>
        </w:rPr>
      </w:pPr>
    </w:p>
    <w:p w:rsidR="00C63459" w:rsidRPr="00131992" w:rsidRDefault="00C63459" w:rsidP="00B86AB2">
      <w:pPr>
        <w:pStyle w:val="Texto"/>
        <w:spacing w:line="224" w:lineRule="exact"/>
        <w:rPr>
          <w:rFonts w:ascii="Barlow" w:hAnsi="Barlow" w:cstheme="minorHAnsi"/>
          <w:b/>
          <w:smallCaps/>
          <w:sz w:val="20"/>
        </w:rPr>
      </w:pPr>
    </w:p>
    <w:p w:rsidR="00C63459" w:rsidRPr="00131992" w:rsidRDefault="00C63459" w:rsidP="00B86AB2">
      <w:pPr>
        <w:pStyle w:val="Texto"/>
        <w:spacing w:line="224" w:lineRule="exact"/>
        <w:rPr>
          <w:rFonts w:ascii="Barlow" w:hAnsi="Barlow" w:cstheme="minorHAnsi"/>
          <w:b/>
          <w:smallCaps/>
          <w:sz w:val="20"/>
        </w:rPr>
      </w:pPr>
    </w:p>
    <w:p w:rsidR="00B86AB2" w:rsidRPr="00131992" w:rsidRDefault="00B86AB2" w:rsidP="00B86AB2">
      <w:pPr>
        <w:pStyle w:val="Texto"/>
        <w:spacing w:after="98"/>
        <w:rPr>
          <w:rFonts w:ascii="Barlow" w:hAnsi="Barlow" w:cstheme="minorHAnsi"/>
          <w:b/>
          <w:sz w:val="20"/>
          <w:lang w:val="es-MX"/>
        </w:rPr>
      </w:pPr>
      <w:r w:rsidRPr="00131992">
        <w:rPr>
          <w:rFonts w:ascii="Barlow" w:hAnsi="Barlow" w:cstheme="minorHAnsi"/>
          <w:b/>
          <w:sz w:val="20"/>
          <w:lang w:val="es-MX"/>
        </w:rPr>
        <w:t>4.</w:t>
      </w:r>
      <w:r w:rsidRPr="00131992">
        <w:rPr>
          <w:rFonts w:ascii="Barlow" w:hAnsi="Barlow" w:cstheme="minorHAnsi"/>
          <w:b/>
          <w:sz w:val="20"/>
          <w:lang w:val="es-MX"/>
        </w:rPr>
        <w:tab/>
        <w:t>Organización y Objeto Social</w:t>
      </w:r>
    </w:p>
    <w:p w:rsidR="00B86AB2" w:rsidRPr="00131992" w:rsidRDefault="00B86AB2" w:rsidP="00B86AB2">
      <w:pPr>
        <w:jc w:val="both"/>
        <w:rPr>
          <w:rFonts w:ascii="Barlow" w:hAnsi="Barlow" w:cstheme="minorHAnsi"/>
          <w:sz w:val="20"/>
          <w:szCs w:val="20"/>
        </w:rPr>
      </w:pPr>
      <w:r w:rsidRPr="00131992">
        <w:rPr>
          <w:rFonts w:ascii="Barlow" w:hAnsi="Barlow" w:cstheme="minorHAnsi"/>
          <w:sz w:val="20"/>
          <w:szCs w:val="20"/>
        </w:rPr>
        <w:t>a) Objeto social.</w:t>
      </w:r>
    </w:p>
    <w:p w:rsidR="005E7BB1" w:rsidRPr="00131992" w:rsidRDefault="00A57EB2" w:rsidP="00B86AB2">
      <w:pPr>
        <w:jc w:val="both"/>
        <w:rPr>
          <w:rFonts w:ascii="Barlow" w:hAnsi="Barlow" w:cstheme="minorHAnsi"/>
          <w:sz w:val="20"/>
          <w:szCs w:val="20"/>
        </w:rPr>
      </w:pPr>
      <w:r w:rsidRPr="00131992">
        <w:rPr>
          <w:rFonts w:ascii="Barlow" w:hAnsi="Barlow" w:cstheme="minorHAnsi"/>
          <w:sz w:val="20"/>
          <w:szCs w:val="20"/>
        </w:rPr>
        <w:t xml:space="preserve">Planear y Ejecutar proyectos de construcción, modernización y conservación de infraestructura carretera de jurisdicción estatal, mediante procesos administrativos, jurídicos y constructivos optimizando los recursos financieros, materiales y humanos con la finalidad de contribuir en el desarrollo económico, cultural y social </w:t>
      </w:r>
    </w:p>
    <w:p w:rsidR="00B86AB2" w:rsidRPr="00131992" w:rsidRDefault="00B86AB2" w:rsidP="00B86AB2">
      <w:pPr>
        <w:jc w:val="both"/>
        <w:rPr>
          <w:rFonts w:ascii="Barlow" w:hAnsi="Barlow" w:cstheme="minorHAnsi"/>
          <w:sz w:val="20"/>
          <w:szCs w:val="20"/>
        </w:rPr>
      </w:pPr>
      <w:r w:rsidRPr="00131992">
        <w:rPr>
          <w:rFonts w:ascii="Barlow" w:hAnsi="Barlow" w:cstheme="minorHAnsi"/>
          <w:sz w:val="20"/>
          <w:szCs w:val="20"/>
        </w:rPr>
        <w:t>b) Principal actividad.</w:t>
      </w:r>
    </w:p>
    <w:p w:rsidR="00B86AB2" w:rsidRPr="00131992" w:rsidRDefault="005E7BB1" w:rsidP="00B86AB2">
      <w:pPr>
        <w:jc w:val="both"/>
        <w:rPr>
          <w:rFonts w:ascii="Barlow" w:hAnsi="Barlow" w:cstheme="minorHAnsi"/>
          <w:sz w:val="20"/>
          <w:szCs w:val="20"/>
        </w:rPr>
      </w:pPr>
      <w:r w:rsidRPr="00131992">
        <w:rPr>
          <w:rFonts w:ascii="Barlow" w:hAnsi="Barlow" w:cstheme="minorHAnsi"/>
          <w:sz w:val="20"/>
          <w:szCs w:val="20"/>
        </w:rPr>
        <w:t xml:space="preserve">El </w:t>
      </w:r>
      <w:r w:rsidR="00DB4950" w:rsidRPr="00131992">
        <w:rPr>
          <w:rFonts w:ascii="Barlow" w:hAnsi="Barlow" w:cstheme="minorHAnsi"/>
          <w:sz w:val="20"/>
          <w:szCs w:val="20"/>
        </w:rPr>
        <w:t>Instituto de Infraestructura Carretera de Yucatán su actividad principal es la construcción y conservación de carreteras de jurisdicción estatal</w:t>
      </w:r>
      <w:r w:rsidR="00B86AB2" w:rsidRPr="00131992">
        <w:rPr>
          <w:rFonts w:ascii="Barlow" w:hAnsi="Barlow" w:cstheme="minorHAnsi"/>
          <w:sz w:val="20"/>
          <w:szCs w:val="20"/>
        </w:rPr>
        <w:t>.</w:t>
      </w:r>
    </w:p>
    <w:p w:rsidR="00B86AB2" w:rsidRPr="00131992" w:rsidRDefault="00B86AB2" w:rsidP="00B86AB2">
      <w:pPr>
        <w:jc w:val="both"/>
        <w:rPr>
          <w:rFonts w:ascii="Barlow" w:hAnsi="Barlow" w:cstheme="minorHAnsi"/>
          <w:sz w:val="20"/>
          <w:szCs w:val="20"/>
        </w:rPr>
      </w:pPr>
      <w:r w:rsidRPr="00131992">
        <w:rPr>
          <w:rFonts w:ascii="Barlow" w:hAnsi="Barlow" w:cstheme="minorHAnsi"/>
          <w:sz w:val="20"/>
          <w:szCs w:val="20"/>
        </w:rPr>
        <w:t>c) Ejercicio fiscal.</w:t>
      </w:r>
    </w:p>
    <w:p w:rsidR="00B86AB2" w:rsidRPr="00131992" w:rsidRDefault="00B86AB2" w:rsidP="00B86AB2">
      <w:pPr>
        <w:ind w:left="360"/>
        <w:jc w:val="both"/>
        <w:rPr>
          <w:rFonts w:ascii="Barlow" w:hAnsi="Barlow" w:cstheme="minorHAnsi"/>
          <w:sz w:val="20"/>
          <w:szCs w:val="20"/>
        </w:rPr>
      </w:pPr>
      <w:r w:rsidRPr="00131992">
        <w:rPr>
          <w:rFonts w:ascii="Barlow" w:hAnsi="Barlow" w:cstheme="minorHAnsi"/>
          <w:sz w:val="20"/>
          <w:szCs w:val="20"/>
        </w:rPr>
        <w:t xml:space="preserve">Las cifras que se presentan en los estados financieros corresponden al periodo comprendido del 1 Enero al </w:t>
      </w:r>
      <w:r w:rsidR="00B97A58" w:rsidRPr="00131992">
        <w:rPr>
          <w:rFonts w:ascii="Barlow" w:hAnsi="Barlow" w:cstheme="minorHAnsi"/>
          <w:sz w:val="20"/>
          <w:szCs w:val="20"/>
        </w:rPr>
        <w:t>31</w:t>
      </w:r>
      <w:r w:rsidRPr="00131992">
        <w:rPr>
          <w:rFonts w:ascii="Barlow" w:hAnsi="Barlow" w:cstheme="minorHAnsi"/>
          <w:sz w:val="20"/>
          <w:szCs w:val="20"/>
        </w:rPr>
        <w:t xml:space="preserve"> de </w:t>
      </w:r>
      <w:r w:rsidR="00B97A58" w:rsidRPr="00131992">
        <w:rPr>
          <w:rFonts w:ascii="Barlow" w:hAnsi="Barlow" w:cstheme="minorHAnsi"/>
          <w:sz w:val="20"/>
          <w:szCs w:val="20"/>
        </w:rPr>
        <w:t>Marz</w:t>
      </w:r>
      <w:r w:rsidR="00B41689" w:rsidRPr="00131992">
        <w:rPr>
          <w:rFonts w:ascii="Barlow" w:hAnsi="Barlow" w:cstheme="minorHAnsi"/>
          <w:sz w:val="20"/>
          <w:szCs w:val="20"/>
        </w:rPr>
        <w:t>o</w:t>
      </w:r>
      <w:r w:rsidRPr="00131992">
        <w:rPr>
          <w:rFonts w:ascii="Barlow" w:hAnsi="Barlow" w:cstheme="minorHAnsi"/>
          <w:sz w:val="20"/>
          <w:szCs w:val="20"/>
        </w:rPr>
        <w:t xml:space="preserve"> de 201</w:t>
      </w:r>
      <w:r w:rsidR="00B41689" w:rsidRPr="00131992">
        <w:rPr>
          <w:rFonts w:ascii="Barlow" w:hAnsi="Barlow" w:cstheme="minorHAnsi"/>
          <w:sz w:val="20"/>
          <w:szCs w:val="20"/>
        </w:rPr>
        <w:t>9</w:t>
      </w:r>
      <w:r w:rsidRPr="00131992">
        <w:rPr>
          <w:rFonts w:ascii="Barlow" w:hAnsi="Barlow" w:cstheme="minorHAnsi"/>
          <w:sz w:val="20"/>
          <w:szCs w:val="20"/>
        </w:rPr>
        <w:t xml:space="preserve">. </w:t>
      </w:r>
    </w:p>
    <w:p w:rsidR="00B86AB2" w:rsidRPr="00131992" w:rsidRDefault="00B86AB2" w:rsidP="00B86AB2">
      <w:pPr>
        <w:jc w:val="both"/>
        <w:rPr>
          <w:rFonts w:ascii="Barlow" w:hAnsi="Barlow" w:cstheme="minorHAnsi"/>
          <w:sz w:val="20"/>
          <w:szCs w:val="20"/>
        </w:rPr>
      </w:pPr>
      <w:r w:rsidRPr="00131992">
        <w:rPr>
          <w:rFonts w:ascii="Barlow" w:hAnsi="Barlow" w:cstheme="minorHAnsi"/>
          <w:sz w:val="20"/>
          <w:szCs w:val="20"/>
        </w:rPr>
        <w:t>d) Régimen jurídico.</w:t>
      </w:r>
    </w:p>
    <w:p w:rsidR="00B86AB2" w:rsidRPr="00131992" w:rsidRDefault="00C63459" w:rsidP="00B86AB2">
      <w:pPr>
        <w:jc w:val="both"/>
        <w:rPr>
          <w:rFonts w:ascii="Barlow" w:hAnsi="Barlow" w:cstheme="minorHAnsi"/>
          <w:sz w:val="20"/>
          <w:szCs w:val="20"/>
        </w:rPr>
      </w:pPr>
      <w:r w:rsidRPr="00131992">
        <w:rPr>
          <w:rFonts w:ascii="Barlow" w:hAnsi="Barlow" w:cstheme="minorHAnsi"/>
          <w:sz w:val="20"/>
          <w:szCs w:val="20"/>
        </w:rPr>
        <w:lastRenderedPageBreak/>
        <w:t xml:space="preserve">Organismo </w:t>
      </w:r>
      <w:r w:rsidR="00A57EB2" w:rsidRPr="00131992">
        <w:rPr>
          <w:rFonts w:ascii="Barlow" w:hAnsi="Barlow" w:cstheme="minorHAnsi"/>
          <w:sz w:val="20"/>
          <w:szCs w:val="20"/>
        </w:rPr>
        <w:t>Público</w:t>
      </w:r>
      <w:r w:rsidRPr="00131992">
        <w:rPr>
          <w:rFonts w:ascii="Barlow" w:hAnsi="Barlow" w:cstheme="minorHAnsi"/>
          <w:sz w:val="20"/>
          <w:szCs w:val="20"/>
        </w:rPr>
        <w:t xml:space="preserve"> descentralizado</w:t>
      </w:r>
      <w:r w:rsidR="00B86AB2" w:rsidRPr="00131992">
        <w:rPr>
          <w:rFonts w:ascii="Barlow" w:hAnsi="Barlow" w:cstheme="minorHAnsi"/>
          <w:sz w:val="20"/>
          <w:szCs w:val="20"/>
        </w:rPr>
        <w:t>/ Personas Morales con fines no lucrativos</w:t>
      </w:r>
    </w:p>
    <w:p w:rsidR="00B86AB2" w:rsidRPr="00131992" w:rsidRDefault="00B86AB2" w:rsidP="00B86AB2">
      <w:pPr>
        <w:jc w:val="both"/>
        <w:rPr>
          <w:rFonts w:ascii="Barlow" w:hAnsi="Barlow" w:cstheme="minorHAnsi"/>
          <w:sz w:val="20"/>
          <w:szCs w:val="20"/>
        </w:rPr>
      </w:pPr>
      <w:r w:rsidRPr="00131992">
        <w:rPr>
          <w:rFonts w:ascii="Barlow" w:hAnsi="Barlow" w:cstheme="minorHAnsi"/>
          <w:sz w:val="20"/>
          <w:szCs w:val="20"/>
        </w:rPr>
        <w:t>e) Consideraciones fiscales del ente:</w:t>
      </w:r>
    </w:p>
    <w:p w:rsidR="00C63459" w:rsidRPr="00131992" w:rsidRDefault="00C63459" w:rsidP="00C63459">
      <w:pPr>
        <w:ind w:left="360"/>
        <w:jc w:val="both"/>
        <w:rPr>
          <w:rFonts w:ascii="Barlow" w:hAnsi="Barlow" w:cstheme="minorHAnsi"/>
          <w:sz w:val="20"/>
          <w:szCs w:val="20"/>
        </w:rPr>
      </w:pPr>
      <w:r w:rsidRPr="00131992">
        <w:rPr>
          <w:rFonts w:ascii="Barlow" w:hAnsi="Barlow" w:cstheme="minorHAnsi"/>
          <w:sz w:val="20"/>
          <w:szCs w:val="20"/>
        </w:rPr>
        <w:t xml:space="preserve">El organismo Esta en el régimen de Personas Morales con fines no Lucrativos;  tiene como obligaciones las siguientes: </w:t>
      </w:r>
      <w:r w:rsidRPr="00131992">
        <w:rPr>
          <w:rFonts w:ascii="Barlow" w:hAnsi="Barlow"/>
          <w:sz w:val="20"/>
          <w:szCs w:val="20"/>
        </w:rPr>
        <w:t>Entero</w:t>
      </w:r>
      <w:r w:rsidRPr="00131992">
        <w:rPr>
          <w:rFonts w:ascii="Barlow" w:hAnsi="Barlow" w:cstheme="minorHAnsi"/>
          <w:sz w:val="20"/>
          <w:szCs w:val="20"/>
        </w:rPr>
        <w:t xml:space="preserve"> de retenciones mensuales de ISR por sueldos y salario,  Entero de retención de ISR por servicios profesionales. MENSUAL, Entero de retenciones mensuales de ISR por ingresos asimilados a salarios.</w:t>
      </w:r>
    </w:p>
    <w:p w:rsidR="00B86AB2" w:rsidRPr="00131992" w:rsidRDefault="00B86AB2" w:rsidP="00B86AB2">
      <w:pPr>
        <w:jc w:val="both"/>
        <w:rPr>
          <w:rFonts w:ascii="Barlow" w:hAnsi="Barlow" w:cstheme="minorHAnsi"/>
          <w:sz w:val="20"/>
          <w:szCs w:val="20"/>
        </w:rPr>
      </w:pPr>
      <w:r w:rsidRPr="00131992">
        <w:rPr>
          <w:rFonts w:ascii="Barlow" w:hAnsi="Barlow" w:cstheme="minorHAnsi"/>
          <w:sz w:val="20"/>
          <w:szCs w:val="20"/>
        </w:rPr>
        <w:t>f) Estructura organizacional básica.</w:t>
      </w:r>
    </w:p>
    <w:p w:rsidR="00B86AB2" w:rsidRPr="00131992" w:rsidRDefault="00B86AB2" w:rsidP="00B86AB2">
      <w:pPr>
        <w:jc w:val="both"/>
        <w:rPr>
          <w:rFonts w:ascii="Barlow" w:hAnsi="Barlow" w:cstheme="minorHAnsi"/>
          <w:b/>
          <w:smallCaps/>
          <w:sz w:val="20"/>
          <w:szCs w:val="20"/>
        </w:rPr>
      </w:pPr>
      <w:r w:rsidRPr="00131992">
        <w:rPr>
          <w:rFonts w:ascii="Barlow" w:hAnsi="Barlow" w:cstheme="minorHAnsi"/>
          <w:sz w:val="20"/>
          <w:szCs w:val="20"/>
        </w:rPr>
        <w:t xml:space="preserve">El Instituto cuenta con una </w:t>
      </w:r>
      <w:r w:rsidR="00C63459" w:rsidRPr="00131992">
        <w:rPr>
          <w:rFonts w:ascii="Barlow" w:hAnsi="Barlow" w:cstheme="minorHAnsi"/>
          <w:sz w:val="20"/>
          <w:szCs w:val="20"/>
        </w:rPr>
        <w:t xml:space="preserve">Dirección General, 3 Direcciones de Área y </w:t>
      </w:r>
      <w:r w:rsidR="00DB4950" w:rsidRPr="00131992">
        <w:rPr>
          <w:rFonts w:ascii="Barlow" w:hAnsi="Barlow" w:cstheme="minorHAnsi"/>
          <w:sz w:val="20"/>
          <w:szCs w:val="20"/>
        </w:rPr>
        <w:t>15</w:t>
      </w:r>
      <w:r w:rsidRPr="00131992">
        <w:rPr>
          <w:rFonts w:ascii="Barlow" w:hAnsi="Barlow" w:cstheme="minorHAnsi"/>
          <w:sz w:val="20"/>
          <w:szCs w:val="20"/>
        </w:rPr>
        <w:t xml:space="preserve"> jefaturas.</w:t>
      </w:r>
    </w:p>
    <w:p w:rsidR="00B86AB2" w:rsidRPr="00131992" w:rsidRDefault="00B86AB2" w:rsidP="00B86AB2">
      <w:pPr>
        <w:pStyle w:val="Texto"/>
        <w:spacing w:after="98"/>
        <w:rPr>
          <w:rFonts w:ascii="Barlow" w:hAnsi="Barlow" w:cstheme="minorHAnsi"/>
          <w:b/>
          <w:sz w:val="20"/>
          <w:lang w:val="es-MX"/>
        </w:rPr>
      </w:pPr>
    </w:p>
    <w:p w:rsidR="00B86AB2" w:rsidRPr="00131992" w:rsidRDefault="00B86AB2" w:rsidP="00B86AB2">
      <w:pPr>
        <w:pStyle w:val="Texto"/>
        <w:spacing w:after="98"/>
        <w:rPr>
          <w:rFonts w:ascii="Barlow" w:hAnsi="Barlow" w:cstheme="minorHAnsi"/>
          <w:b/>
          <w:sz w:val="20"/>
          <w:lang w:val="es-MX"/>
        </w:rPr>
      </w:pPr>
    </w:p>
    <w:p w:rsidR="00B86AB2" w:rsidRPr="00131992" w:rsidRDefault="00B86AB2" w:rsidP="00B86AB2">
      <w:pPr>
        <w:pStyle w:val="Texto"/>
        <w:spacing w:after="98"/>
        <w:rPr>
          <w:rFonts w:ascii="Barlow" w:hAnsi="Barlow" w:cstheme="minorHAnsi"/>
          <w:b/>
          <w:sz w:val="20"/>
          <w:lang w:val="es-MX"/>
        </w:rPr>
      </w:pPr>
      <w:r w:rsidRPr="00131992">
        <w:rPr>
          <w:rFonts w:ascii="Barlow" w:hAnsi="Barlow" w:cstheme="minorHAnsi"/>
          <w:b/>
          <w:sz w:val="20"/>
          <w:lang w:val="es-MX"/>
        </w:rPr>
        <w:t>5.</w:t>
      </w:r>
      <w:r w:rsidRPr="00131992">
        <w:rPr>
          <w:rFonts w:ascii="Barlow" w:hAnsi="Barlow" w:cstheme="minorHAnsi"/>
          <w:b/>
          <w:sz w:val="20"/>
          <w:lang w:val="es-MX"/>
        </w:rPr>
        <w:tab/>
        <w:t>Bases de Preparación de los Estados Financieros</w:t>
      </w:r>
    </w:p>
    <w:p w:rsidR="00B86AB2" w:rsidRPr="00131992" w:rsidRDefault="00B86AB2" w:rsidP="00B86AB2">
      <w:pPr>
        <w:pStyle w:val="Texto"/>
        <w:spacing w:after="98"/>
        <w:ind w:firstLine="0"/>
        <w:rPr>
          <w:rFonts w:ascii="Barlow" w:hAnsi="Barlow" w:cstheme="minorHAnsi"/>
          <w:sz w:val="20"/>
        </w:rPr>
      </w:pPr>
      <w:r w:rsidRPr="00131992">
        <w:rPr>
          <w:rFonts w:ascii="Barlow" w:hAnsi="Barlow" w:cstheme="minorHAnsi"/>
          <w:sz w:val="20"/>
          <w:lang w:val="es-MX"/>
        </w:rPr>
        <w:t xml:space="preserve">El Instituto de </w:t>
      </w:r>
      <w:r w:rsidR="00DB4950" w:rsidRPr="00131992">
        <w:rPr>
          <w:rFonts w:ascii="Barlow" w:hAnsi="Barlow" w:cstheme="minorHAnsi"/>
          <w:sz w:val="20"/>
          <w:lang w:val="es-MX"/>
        </w:rPr>
        <w:t>Infraestructura Carretera de Yucatán, utiliza el programa CONTPAQ y el programa VTINTE para la elaboración de los Estados Financieros</w:t>
      </w:r>
      <w:r w:rsidRPr="00131992">
        <w:rPr>
          <w:rFonts w:ascii="Barlow" w:hAnsi="Barlow" w:cstheme="minorHAnsi"/>
          <w:sz w:val="20"/>
        </w:rPr>
        <w:t>.</w:t>
      </w:r>
    </w:p>
    <w:p w:rsidR="00B86AB2" w:rsidRPr="00131992" w:rsidRDefault="00B86AB2" w:rsidP="00B86AB2">
      <w:pPr>
        <w:pStyle w:val="Texto"/>
        <w:spacing w:after="98"/>
        <w:ind w:firstLine="0"/>
        <w:rPr>
          <w:rFonts w:ascii="Barlow" w:hAnsi="Barlow" w:cstheme="minorHAnsi"/>
          <w:sz w:val="20"/>
        </w:rPr>
      </w:pPr>
    </w:p>
    <w:p w:rsidR="00B86AB2" w:rsidRPr="00131992" w:rsidRDefault="00B86AB2" w:rsidP="00B86AB2">
      <w:pPr>
        <w:pStyle w:val="Texto"/>
        <w:spacing w:line="230" w:lineRule="exact"/>
        <w:rPr>
          <w:rFonts w:ascii="Barlow" w:hAnsi="Barlow" w:cstheme="minorHAnsi"/>
          <w:b/>
          <w:sz w:val="20"/>
          <w:lang w:val="es-MX"/>
        </w:rPr>
      </w:pPr>
    </w:p>
    <w:p w:rsidR="00B86AB2" w:rsidRPr="00131992" w:rsidRDefault="00B86AB2" w:rsidP="00B86AB2">
      <w:pPr>
        <w:pStyle w:val="Texto"/>
        <w:spacing w:line="230" w:lineRule="exact"/>
        <w:rPr>
          <w:rFonts w:ascii="Barlow" w:hAnsi="Barlow" w:cstheme="minorHAnsi"/>
          <w:b/>
          <w:sz w:val="20"/>
          <w:lang w:val="es-MX"/>
        </w:rPr>
      </w:pPr>
      <w:r w:rsidRPr="00131992">
        <w:rPr>
          <w:rFonts w:ascii="Barlow" w:hAnsi="Barlow" w:cstheme="minorHAnsi"/>
          <w:b/>
          <w:sz w:val="20"/>
          <w:lang w:val="es-MX"/>
        </w:rPr>
        <w:t>6.</w:t>
      </w:r>
      <w:r w:rsidRPr="00131992">
        <w:rPr>
          <w:rFonts w:ascii="Barlow" w:hAnsi="Barlow" w:cstheme="minorHAnsi"/>
          <w:b/>
          <w:sz w:val="20"/>
          <w:lang w:val="es-MX"/>
        </w:rPr>
        <w:tab/>
        <w:t>Políticas de Contabilidad Significativas</w:t>
      </w:r>
    </w:p>
    <w:p w:rsidR="0078394E" w:rsidRPr="00131992" w:rsidRDefault="0078394E" w:rsidP="0078394E">
      <w:pPr>
        <w:jc w:val="both"/>
        <w:rPr>
          <w:rFonts w:ascii="Barlow" w:hAnsi="Barlow"/>
          <w:sz w:val="20"/>
          <w:szCs w:val="20"/>
        </w:rPr>
      </w:pPr>
      <w:r w:rsidRPr="00131992">
        <w:rPr>
          <w:rFonts w:ascii="Barlow" w:hAnsi="Barlow"/>
          <w:sz w:val="20"/>
          <w:szCs w:val="20"/>
        </w:rPr>
        <w:t>La preparación de los Estados Financieros se basa en las siguientes políticas y prácticas contables, así mismo cabe mencionar que ya se están implantando las Normas y Procedimientos de la Ley General de Contabilidad Gubernamental del Consejo Nacional de Armonización Contable:</w:t>
      </w:r>
    </w:p>
    <w:p w:rsidR="0078394E" w:rsidRPr="00131992" w:rsidRDefault="0078394E" w:rsidP="00B86AB2">
      <w:pPr>
        <w:jc w:val="both"/>
        <w:rPr>
          <w:rFonts w:ascii="Barlow" w:hAnsi="Barlow" w:cstheme="minorHAnsi"/>
          <w:sz w:val="20"/>
          <w:szCs w:val="20"/>
        </w:rPr>
      </w:pPr>
    </w:p>
    <w:p w:rsidR="00B86AB2" w:rsidRPr="00131992" w:rsidRDefault="00B86AB2" w:rsidP="00B86AB2">
      <w:pPr>
        <w:jc w:val="both"/>
        <w:rPr>
          <w:rFonts w:ascii="Barlow" w:hAnsi="Barlow" w:cstheme="minorHAnsi"/>
          <w:sz w:val="20"/>
          <w:szCs w:val="20"/>
        </w:rPr>
      </w:pPr>
      <w:r w:rsidRPr="00131992">
        <w:rPr>
          <w:rFonts w:ascii="Barlow" w:hAnsi="Barlow" w:cstheme="minorHAnsi"/>
          <w:sz w:val="20"/>
          <w:szCs w:val="20"/>
        </w:rPr>
        <w:t>A continuación se resumen las principales políticas contables:</w:t>
      </w:r>
    </w:p>
    <w:p w:rsidR="00B86AB2" w:rsidRPr="00131992" w:rsidRDefault="00B86AB2" w:rsidP="00B86AB2">
      <w:pPr>
        <w:numPr>
          <w:ilvl w:val="0"/>
          <w:numId w:val="6"/>
        </w:numPr>
        <w:spacing w:line="240" w:lineRule="auto"/>
        <w:jc w:val="both"/>
        <w:rPr>
          <w:rFonts w:ascii="Barlow" w:hAnsi="Barlow" w:cstheme="minorHAnsi"/>
          <w:sz w:val="20"/>
          <w:szCs w:val="20"/>
        </w:rPr>
      </w:pPr>
      <w:r w:rsidRPr="00131992">
        <w:rPr>
          <w:rFonts w:ascii="Barlow" w:hAnsi="Barlow" w:cstheme="minorHAnsi"/>
          <w:sz w:val="20"/>
          <w:szCs w:val="20"/>
        </w:rPr>
        <w:t>Período contable</w:t>
      </w:r>
    </w:p>
    <w:p w:rsidR="00B86AB2" w:rsidRPr="00131992" w:rsidRDefault="00B86AB2" w:rsidP="00B86AB2">
      <w:pPr>
        <w:ind w:left="360"/>
        <w:jc w:val="both"/>
        <w:rPr>
          <w:rFonts w:ascii="Barlow" w:hAnsi="Barlow" w:cstheme="minorHAnsi"/>
          <w:sz w:val="20"/>
          <w:szCs w:val="20"/>
        </w:rPr>
      </w:pPr>
      <w:r w:rsidRPr="00131992">
        <w:rPr>
          <w:rFonts w:ascii="Barlow" w:hAnsi="Barlow" w:cstheme="minorHAnsi"/>
          <w:sz w:val="20"/>
          <w:szCs w:val="20"/>
        </w:rPr>
        <w:t>Las cifras que se presentan en los estados financieros cor</w:t>
      </w:r>
      <w:r w:rsidR="000C52A0" w:rsidRPr="00131992">
        <w:rPr>
          <w:rFonts w:ascii="Barlow" w:hAnsi="Barlow" w:cstheme="minorHAnsi"/>
          <w:sz w:val="20"/>
          <w:szCs w:val="20"/>
        </w:rPr>
        <w:t>responden al periodo del 1 de Marzo</w:t>
      </w:r>
      <w:r w:rsidRPr="00131992">
        <w:rPr>
          <w:rFonts w:ascii="Barlow" w:hAnsi="Barlow" w:cstheme="minorHAnsi"/>
          <w:sz w:val="20"/>
          <w:szCs w:val="20"/>
        </w:rPr>
        <w:t xml:space="preserve"> al </w:t>
      </w:r>
      <w:r w:rsidR="00B97A58" w:rsidRPr="00131992">
        <w:rPr>
          <w:rFonts w:ascii="Barlow" w:hAnsi="Barlow" w:cstheme="minorHAnsi"/>
          <w:sz w:val="20"/>
          <w:szCs w:val="20"/>
        </w:rPr>
        <w:t>31</w:t>
      </w:r>
      <w:r w:rsidRPr="00131992">
        <w:rPr>
          <w:rFonts w:ascii="Barlow" w:hAnsi="Barlow" w:cstheme="minorHAnsi"/>
          <w:sz w:val="20"/>
          <w:szCs w:val="20"/>
        </w:rPr>
        <w:t xml:space="preserve"> de </w:t>
      </w:r>
      <w:r w:rsidR="00B97A58" w:rsidRPr="00131992">
        <w:rPr>
          <w:rFonts w:ascii="Barlow" w:hAnsi="Barlow" w:cstheme="minorHAnsi"/>
          <w:sz w:val="20"/>
          <w:szCs w:val="20"/>
        </w:rPr>
        <w:t>Marz</w:t>
      </w:r>
      <w:r w:rsidR="00B41689" w:rsidRPr="00131992">
        <w:rPr>
          <w:rFonts w:ascii="Barlow" w:hAnsi="Barlow" w:cstheme="minorHAnsi"/>
          <w:sz w:val="20"/>
          <w:szCs w:val="20"/>
        </w:rPr>
        <w:t>o</w:t>
      </w:r>
      <w:r w:rsidRPr="00131992">
        <w:rPr>
          <w:rFonts w:ascii="Barlow" w:hAnsi="Barlow" w:cstheme="minorHAnsi"/>
          <w:sz w:val="20"/>
          <w:szCs w:val="20"/>
        </w:rPr>
        <w:t xml:space="preserve"> de 201</w:t>
      </w:r>
      <w:r w:rsidR="00B41689" w:rsidRPr="00131992">
        <w:rPr>
          <w:rFonts w:ascii="Barlow" w:hAnsi="Barlow" w:cstheme="minorHAnsi"/>
          <w:sz w:val="20"/>
          <w:szCs w:val="20"/>
        </w:rPr>
        <w:t>9</w:t>
      </w:r>
      <w:r w:rsidRPr="00131992">
        <w:rPr>
          <w:rFonts w:ascii="Barlow" w:hAnsi="Barlow" w:cstheme="minorHAnsi"/>
          <w:sz w:val="20"/>
          <w:szCs w:val="20"/>
        </w:rPr>
        <w:t xml:space="preserve">. </w:t>
      </w:r>
    </w:p>
    <w:p w:rsidR="00B86AB2" w:rsidRPr="00131992" w:rsidRDefault="00B86AB2" w:rsidP="00B86AB2">
      <w:pPr>
        <w:numPr>
          <w:ilvl w:val="0"/>
          <w:numId w:val="6"/>
        </w:numPr>
        <w:spacing w:after="0" w:line="240" w:lineRule="auto"/>
        <w:jc w:val="both"/>
        <w:rPr>
          <w:rFonts w:ascii="Barlow" w:hAnsi="Barlow" w:cstheme="minorHAnsi"/>
          <w:sz w:val="20"/>
          <w:szCs w:val="20"/>
        </w:rPr>
      </w:pPr>
      <w:r w:rsidRPr="00131992">
        <w:rPr>
          <w:rFonts w:ascii="Barlow" w:hAnsi="Barlow" w:cstheme="minorHAnsi"/>
          <w:sz w:val="20"/>
          <w:szCs w:val="20"/>
        </w:rPr>
        <w:lastRenderedPageBreak/>
        <w:t>Inmuebles maquinaria y equipo.</w:t>
      </w:r>
    </w:p>
    <w:p w:rsidR="00B86AB2" w:rsidRPr="00131992" w:rsidRDefault="0078394E" w:rsidP="00B86AB2">
      <w:pPr>
        <w:ind w:left="360"/>
        <w:jc w:val="both"/>
        <w:rPr>
          <w:rFonts w:ascii="Barlow" w:hAnsi="Barlow" w:cstheme="minorHAnsi"/>
          <w:sz w:val="20"/>
          <w:szCs w:val="20"/>
        </w:rPr>
      </w:pPr>
      <w:r w:rsidRPr="00131992">
        <w:rPr>
          <w:rFonts w:ascii="Barlow" w:hAnsi="Barlow" w:cstheme="minorHAnsi"/>
          <w:sz w:val="20"/>
          <w:szCs w:val="20"/>
        </w:rPr>
        <w:t>Los inmuebles, maquinaria</w:t>
      </w:r>
      <w:r w:rsidR="00B86AB2" w:rsidRPr="00131992">
        <w:rPr>
          <w:rFonts w:ascii="Barlow" w:hAnsi="Barlow" w:cstheme="minorHAnsi"/>
          <w:sz w:val="20"/>
          <w:szCs w:val="20"/>
        </w:rPr>
        <w:t xml:space="preserve"> y equipo se valúan al c</w:t>
      </w:r>
      <w:r w:rsidR="00A26D0E" w:rsidRPr="00131992">
        <w:rPr>
          <w:rFonts w:ascii="Barlow" w:hAnsi="Barlow" w:cstheme="minorHAnsi"/>
          <w:sz w:val="20"/>
          <w:szCs w:val="20"/>
        </w:rPr>
        <w:t>osto de adquisición</w:t>
      </w:r>
      <w:r w:rsidR="00B86AB2" w:rsidRPr="00131992">
        <w:rPr>
          <w:rFonts w:ascii="Barlow" w:hAnsi="Barlow" w:cstheme="minorHAnsi"/>
          <w:sz w:val="20"/>
          <w:szCs w:val="20"/>
        </w:rPr>
        <w:t>.</w:t>
      </w:r>
    </w:p>
    <w:p w:rsidR="00B86AB2" w:rsidRPr="00131992" w:rsidRDefault="00B86AB2" w:rsidP="00B86AB2">
      <w:pPr>
        <w:numPr>
          <w:ilvl w:val="0"/>
          <w:numId w:val="6"/>
        </w:numPr>
        <w:spacing w:after="0" w:line="240" w:lineRule="auto"/>
        <w:jc w:val="both"/>
        <w:rPr>
          <w:rFonts w:ascii="Barlow" w:hAnsi="Barlow" w:cstheme="minorHAnsi"/>
          <w:sz w:val="20"/>
          <w:szCs w:val="20"/>
        </w:rPr>
      </w:pPr>
      <w:r w:rsidRPr="00131992">
        <w:rPr>
          <w:rFonts w:ascii="Barlow" w:hAnsi="Barlow" w:cstheme="minorHAnsi"/>
          <w:sz w:val="20"/>
          <w:szCs w:val="20"/>
        </w:rPr>
        <w:t xml:space="preserve"> Ingresos </w:t>
      </w:r>
    </w:p>
    <w:p w:rsidR="0078394E" w:rsidRPr="00131992" w:rsidRDefault="0078394E" w:rsidP="0078394E">
      <w:pPr>
        <w:ind w:left="360"/>
        <w:jc w:val="both"/>
        <w:rPr>
          <w:rFonts w:ascii="Barlow" w:hAnsi="Barlow" w:cstheme="minorHAnsi"/>
          <w:sz w:val="20"/>
          <w:szCs w:val="20"/>
        </w:rPr>
      </w:pPr>
      <w:r w:rsidRPr="00131992">
        <w:rPr>
          <w:rFonts w:ascii="Barlow" w:hAnsi="Barlow" w:cstheme="minorHAnsi"/>
          <w:sz w:val="20"/>
          <w:szCs w:val="20"/>
        </w:rPr>
        <w:t xml:space="preserve"> El Instituto recibe sus ingresos por medio transferencias por parte del gobierno del Estado de Yucatán atreves del sistema SIGEY previa firma de convenios y oficios autorizados por la misma secretaria de administración y finanzas tanto de recursos con fuentes de financiamientos estatales y federales.</w:t>
      </w:r>
    </w:p>
    <w:p w:rsidR="00A26D0E" w:rsidRPr="00131992" w:rsidRDefault="00A26D0E" w:rsidP="00A26D0E">
      <w:pPr>
        <w:spacing w:after="0" w:line="240" w:lineRule="auto"/>
        <w:ind w:left="720"/>
        <w:jc w:val="both"/>
        <w:rPr>
          <w:rFonts w:ascii="Barlow" w:hAnsi="Barlow" w:cstheme="minorHAnsi"/>
          <w:sz w:val="20"/>
          <w:szCs w:val="20"/>
        </w:rPr>
      </w:pPr>
    </w:p>
    <w:p w:rsidR="00B86AB2" w:rsidRPr="00131992" w:rsidRDefault="00B86AB2" w:rsidP="00B86AB2">
      <w:pPr>
        <w:spacing w:after="0"/>
        <w:ind w:left="357"/>
        <w:jc w:val="both"/>
        <w:rPr>
          <w:rFonts w:ascii="Barlow" w:hAnsi="Barlow" w:cstheme="minorHAnsi"/>
          <w:sz w:val="20"/>
          <w:szCs w:val="20"/>
        </w:rPr>
      </w:pPr>
      <w:r w:rsidRPr="00131992">
        <w:rPr>
          <w:rFonts w:ascii="Barlow" w:hAnsi="Barlow" w:cstheme="minorHAnsi"/>
          <w:sz w:val="20"/>
          <w:szCs w:val="20"/>
        </w:rPr>
        <w:t>d)</w:t>
      </w:r>
      <w:r w:rsidRPr="00131992">
        <w:rPr>
          <w:rFonts w:ascii="Barlow" w:hAnsi="Barlow" w:cstheme="minorHAnsi"/>
          <w:sz w:val="20"/>
          <w:szCs w:val="20"/>
        </w:rPr>
        <w:tab/>
        <w:t>Impuesto sobre la Renta</w:t>
      </w:r>
    </w:p>
    <w:p w:rsidR="00A26D0E" w:rsidRPr="00131992" w:rsidRDefault="00A26D0E" w:rsidP="00A26D0E">
      <w:pPr>
        <w:ind w:left="360"/>
        <w:jc w:val="both"/>
        <w:rPr>
          <w:rFonts w:ascii="Barlow" w:hAnsi="Barlow" w:cstheme="minorHAnsi"/>
          <w:sz w:val="20"/>
          <w:szCs w:val="20"/>
        </w:rPr>
      </w:pPr>
      <w:r w:rsidRPr="00131992">
        <w:rPr>
          <w:rFonts w:ascii="Barlow" w:hAnsi="Barlow" w:cstheme="minorHAnsi"/>
          <w:sz w:val="20"/>
          <w:szCs w:val="20"/>
        </w:rPr>
        <w:t xml:space="preserve"> El organismo Esta en el régimen de Personas Morales con fines no Lucrativos;  tiene como obligaciones las siguientes: </w:t>
      </w:r>
      <w:r w:rsidRPr="00131992">
        <w:rPr>
          <w:rFonts w:ascii="Barlow" w:hAnsi="Barlow"/>
          <w:sz w:val="20"/>
          <w:szCs w:val="20"/>
        </w:rPr>
        <w:t>Entero</w:t>
      </w:r>
      <w:r w:rsidRPr="00131992">
        <w:rPr>
          <w:rFonts w:ascii="Barlow" w:hAnsi="Barlow" w:cstheme="minorHAnsi"/>
          <w:sz w:val="20"/>
          <w:szCs w:val="20"/>
        </w:rPr>
        <w:t xml:space="preserve"> de retenciones mensuales de ISR por sueldos y salario,  Entero de retención de ISR por servicios profesionales. MENSUAL, Entero de retenciones mensuales de ISR por ingresos asimilados a salarios.</w:t>
      </w:r>
    </w:p>
    <w:p w:rsidR="00B86AB2" w:rsidRPr="00131992" w:rsidRDefault="00B86AB2" w:rsidP="00B86AB2">
      <w:pPr>
        <w:spacing w:after="0"/>
        <w:jc w:val="both"/>
        <w:rPr>
          <w:rFonts w:ascii="Barlow" w:hAnsi="Barlow" w:cstheme="minorHAnsi"/>
          <w:sz w:val="20"/>
          <w:szCs w:val="20"/>
        </w:rPr>
      </w:pPr>
      <w:r w:rsidRPr="00131992">
        <w:rPr>
          <w:rFonts w:ascii="Barlow" w:hAnsi="Barlow" w:cstheme="minorHAnsi"/>
          <w:sz w:val="20"/>
          <w:szCs w:val="20"/>
        </w:rPr>
        <w:t xml:space="preserve">       e) Honorarios asimilados</w:t>
      </w:r>
    </w:p>
    <w:p w:rsidR="00A26D0E" w:rsidRPr="00131992" w:rsidRDefault="00A26D0E" w:rsidP="00A26D0E">
      <w:pPr>
        <w:ind w:left="360"/>
        <w:jc w:val="both"/>
        <w:rPr>
          <w:rFonts w:ascii="Barlow" w:hAnsi="Barlow" w:cstheme="minorHAnsi"/>
          <w:sz w:val="20"/>
          <w:szCs w:val="20"/>
        </w:rPr>
      </w:pPr>
      <w:r w:rsidRPr="00131992">
        <w:rPr>
          <w:rFonts w:ascii="Barlow" w:hAnsi="Barlow" w:cstheme="minorHAnsi"/>
          <w:sz w:val="20"/>
          <w:szCs w:val="20"/>
        </w:rPr>
        <w:t>En el Instituto de Infraestructura Carretera de Yucatán, no tenemos personas que presten sus servicios por asimilados a salarios.</w:t>
      </w:r>
    </w:p>
    <w:p w:rsidR="00B86AB2" w:rsidRPr="00131992" w:rsidRDefault="00B86AB2" w:rsidP="00B86AB2">
      <w:pPr>
        <w:pStyle w:val="Texto"/>
        <w:spacing w:line="230" w:lineRule="exact"/>
        <w:rPr>
          <w:rFonts w:ascii="Barlow" w:hAnsi="Barlow" w:cstheme="minorHAnsi"/>
          <w:b/>
          <w:sz w:val="20"/>
          <w:lang w:val="es-MX"/>
        </w:rPr>
      </w:pPr>
      <w:r w:rsidRPr="00131992">
        <w:rPr>
          <w:rFonts w:ascii="Barlow" w:hAnsi="Barlow" w:cstheme="minorHAnsi"/>
          <w:b/>
          <w:sz w:val="20"/>
          <w:lang w:val="es-MX"/>
        </w:rPr>
        <w:t>7.</w:t>
      </w:r>
      <w:r w:rsidRPr="00131992">
        <w:rPr>
          <w:rFonts w:ascii="Barlow" w:hAnsi="Barlow" w:cstheme="minorHAnsi"/>
          <w:b/>
          <w:sz w:val="20"/>
          <w:lang w:val="es-MX"/>
        </w:rPr>
        <w:tab/>
        <w:t>Posición en Moneda Extranjera y Protección por Riesgo Cambiario</w:t>
      </w:r>
    </w:p>
    <w:p w:rsidR="00B86AB2" w:rsidRPr="00131992" w:rsidRDefault="00A26D0E" w:rsidP="00B86AB2">
      <w:pPr>
        <w:pStyle w:val="Texto"/>
        <w:spacing w:line="230" w:lineRule="exact"/>
        <w:rPr>
          <w:rFonts w:ascii="Barlow" w:hAnsi="Barlow" w:cstheme="minorHAnsi"/>
          <w:sz w:val="20"/>
          <w:lang w:val="es-MX"/>
        </w:rPr>
      </w:pPr>
      <w:r w:rsidRPr="00131992">
        <w:rPr>
          <w:rFonts w:ascii="Barlow" w:hAnsi="Barlow" w:cstheme="minorHAnsi"/>
          <w:sz w:val="20"/>
          <w:lang w:val="es-MX"/>
        </w:rPr>
        <w:t>El Instituto de Infraestructura Carretera</w:t>
      </w:r>
      <w:r w:rsidR="00B86AB2" w:rsidRPr="00131992">
        <w:rPr>
          <w:rFonts w:ascii="Barlow" w:hAnsi="Barlow" w:cstheme="minorHAnsi"/>
          <w:sz w:val="20"/>
          <w:lang w:val="es-MX"/>
        </w:rPr>
        <w:t xml:space="preserve"> de Yucatán durante el ejercicio 2018 no realizo operaciones en moneda extranjera</w:t>
      </w:r>
    </w:p>
    <w:p w:rsidR="00B86AB2" w:rsidRPr="00131992" w:rsidRDefault="00B86AB2" w:rsidP="00B86AB2">
      <w:pPr>
        <w:pStyle w:val="Texto"/>
        <w:spacing w:line="224" w:lineRule="exact"/>
        <w:rPr>
          <w:rFonts w:ascii="Barlow" w:hAnsi="Barlow" w:cstheme="minorHAnsi"/>
          <w:b/>
          <w:smallCaps/>
          <w:sz w:val="20"/>
          <w:lang w:val="es-MX"/>
        </w:rPr>
      </w:pPr>
    </w:p>
    <w:p w:rsidR="00B86AB2" w:rsidRPr="00131992" w:rsidRDefault="00B86AB2" w:rsidP="00B86AB2">
      <w:pPr>
        <w:pStyle w:val="Texto"/>
        <w:spacing w:line="230" w:lineRule="exact"/>
        <w:rPr>
          <w:rFonts w:ascii="Barlow" w:hAnsi="Barlow" w:cstheme="minorHAnsi"/>
          <w:b/>
          <w:sz w:val="20"/>
          <w:lang w:val="es-MX"/>
        </w:rPr>
      </w:pPr>
      <w:r w:rsidRPr="00131992">
        <w:rPr>
          <w:rFonts w:ascii="Barlow" w:hAnsi="Barlow" w:cstheme="minorHAnsi"/>
          <w:b/>
          <w:sz w:val="20"/>
          <w:lang w:val="es-MX"/>
        </w:rPr>
        <w:t>8. Reporte Analítico del Activo</w:t>
      </w:r>
    </w:p>
    <w:p w:rsidR="00B86AB2" w:rsidRPr="00131992" w:rsidRDefault="00B86AB2" w:rsidP="00B86AB2">
      <w:pPr>
        <w:pStyle w:val="Texto"/>
        <w:spacing w:line="230" w:lineRule="exact"/>
        <w:rPr>
          <w:rFonts w:ascii="Barlow" w:hAnsi="Barlow" w:cstheme="minorHAnsi"/>
          <w:sz w:val="20"/>
          <w:lang w:val="es-MX"/>
        </w:rPr>
      </w:pPr>
      <w:r w:rsidRPr="00131992">
        <w:rPr>
          <w:rFonts w:ascii="Barlow" w:hAnsi="Barlow" w:cstheme="minorHAnsi"/>
          <w:sz w:val="20"/>
          <w:lang w:val="es-MX"/>
        </w:rPr>
        <w:t>Se anexa el Estado Analítico de Activo y las tasas de Depreciación utilizadas son las emitidas por el CONAC.</w:t>
      </w:r>
    </w:p>
    <w:p w:rsidR="00B86AB2" w:rsidRPr="00131992" w:rsidRDefault="00B86AB2" w:rsidP="00B86AB2">
      <w:pPr>
        <w:pStyle w:val="Texto"/>
        <w:spacing w:line="224" w:lineRule="exact"/>
        <w:rPr>
          <w:rFonts w:ascii="Barlow" w:hAnsi="Barlow" w:cstheme="minorHAnsi"/>
          <w:b/>
          <w:smallCaps/>
          <w:sz w:val="20"/>
          <w:lang w:val="es-MX"/>
        </w:rPr>
      </w:pPr>
    </w:p>
    <w:p w:rsidR="00B86AB2" w:rsidRPr="00131992" w:rsidRDefault="00B86AB2" w:rsidP="00B86AB2">
      <w:pPr>
        <w:pStyle w:val="Texto"/>
        <w:spacing w:after="86"/>
        <w:rPr>
          <w:rFonts w:ascii="Barlow" w:hAnsi="Barlow" w:cstheme="minorHAnsi"/>
          <w:b/>
          <w:sz w:val="20"/>
          <w:lang w:val="es-MX"/>
        </w:rPr>
      </w:pPr>
      <w:r w:rsidRPr="00131992">
        <w:rPr>
          <w:rFonts w:ascii="Barlow" w:hAnsi="Barlow" w:cstheme="minorHAnsi"/>
          <w:b/>
          <w:sz w:val="20"/>
          <w:lang w:val="es-MX"/>
        </w:rPr>
        <w:t>9.</w:t>
      </w:r>
      <w:r w:rsidRPr="00131992">
        <w:rPr>
          <w:rFonts w:ascii="Barlow" w:hAnsi="Barlow" w:cstheme="minorHAnsi"/>
          <w:b/>
          <w:sz w:val="20"/>
          <w:lang w:val="es-MX"/>
        </w:rPr>
        <w:tab/>
        <w:t>Fideicomisos, Mandatos y Análogos</w:t>
      </w:r>
    </w:p>
    <w:p w:rsidR="00B86AB2" w:rsidRPr="00131992" w:rsidRDefault="00B86AB2" w:rsidP="00B86AB2">
      <w:pPr>
        <w:pStyle w:val="Texto"/>
        <w:spacing w:after="86"/>
        <w:rPr>
          <w:rFonts w:ascii="Barlow" w:hAnsi="Barlow" w:cstheme="minorHAnsi"/>
          <w:sz w:val="20"/>
          <w:lang w:val="es-MX"/>
        </w:rPr>
      </w:pPr>
      <w:r w:rsidRPr="00131992">
        <w:rPr>
          <w:rFonts w:ascii="Barlow" w:hAnsi="Barlow" w:cstheme="minorHAnsi"/>
          <w:sz w:val="20"/>
          <w:lang w:val="es-MX"/>
        </w:rPr>
        <w:t>A la fecha el Instituto</w:t>
      </w:r>
      <w:r w:rsidR="00A26D0E" w:rsidRPr="00131992">
        <w:rPr>
          <w:rFonts w:ascii="Barlow" w:hAnsi="Barlow" w:cstheme="minorHAnsi"/>
          <w:sz w:val="20"/>
          <w:lang w:val="es-MX"/>
        </w:rPr>
        <w:t xml:space="preserve"> de Infraestructura Carretera de Yucatán</w:t>
      </w:r>
      <w:r w:rsidRPr="00131992">
        <w:rPr>
          <w:rFonts w:ascii="Barlow" w:hAnsi="Barlow" w:cstheme="minorHAnsi"/>
          <w:sz w:val="20"/>
          <w:lang w:val="es-MX"/>
        </w:rPr>
        <w:t xml:space="preserve"> no maneja Fideicomisos, Mandatos y Análogos.</w:t>
      </w:r>
    </w:p>
    <w:p w:rsidR="00B86AB2" w:rsidRPr="00131992" w:rsidRDefault="00B86AB2" w:rsidP="00B86AB2">
      <w:pPr>
        <w:pStyle w:val="Texto"/>
        <w:spacing w:line="224" w:lineRule="exact"/>
        <w:rPr>
          <w:rFonts w:ascii="Barlow" w:hAnsi="Barlow" w:cstheme="minorHAnsi"/>
          <w:smallCaps/>
          <w:sz w:val="20"/>
          <w:lang w:val="es-MX"/>
        </w:rPr>
      </w:pPr>
    </w:p>
    <w:p w:rsidR="00B86AB2" w:rsidRPr="00131992" w:rsidRDefault="00B86AB2" w:rsidP="00B86AB2">
      <w:pPr>
        <w:pStyle w:val="Texto"/>
        <w:spacing w:after="86"/>
        <w:rPr>
          <w:rFonts w:ascii="Barlow" w:hAnsi="Barlow" w:cstheme="minorHAnsi"/>
          <w:b/>
          <w:sz w:val="20"/>
          <w:lang w:val="es-MX"/>
        </w:rPr>
      </w:pPr>
      <w:r w:rsidRPr="00131992">
        <w:rPr>
          <w:rFonts w:ascii="Barlow" w:hAnsi="Barlow" w:cstheme="minorHAnsi"/>
          <w:b/>
          <w:sz w:val="20"/>
          <w:lang w:val="es-MX"/>
        </w:rPr>
        <w:t>10.</w:t>
      </w:r>
      <w:r w:rsidRPr="00131992">
        <w:rPr>
          <w:rFonts w:ascii="Barlow" w:hAnsi="Barlow" w:cstheme="minorHAnsi"/>
          <w:b/>
          <w:sz w:val="20"/>
          <w:lang w:val="es-MX"/>
        </w:rPr>
        <w:tab/>
        <w:t>Reporte de la Recaudación</w:t>
      </w:r>
    </w:p>
    <w:p w:rsidR="00B86AB2" w:rsidRPr="00131992" w:rsidRDefault="00B86AB2" w:rsidP="00B86AB2">
      <w:pPr>
        <w:ind w:left="360"/>
        <w:jc w:val="both"/>
        <w:rPr>
          <w:rFonts w:ascii="Barlow" w:hAnsi="Barlow" w:cstheme="minorHAnsi"/>
          <w:sz w:val="20"/>
          <w:szCs w:val="20"/>
        </w:rPr>
      </w:pPr>
      <w:r w:rsidRPr="00131992">
        <w:rPr>
          <w:rFonts w:ascii="Barlow" w:hAnsi="Barlow" w:cstheme="minorHAnsi"/>
          <w:sz w:val="20"/>
          <w:szCs w:val="20"/>
        </w:rPr>
        <w:lastRenderedPageBreak/>
        <w:t xml:space="preserve">La recaudación la realiza la Dirección de Administración y Finanzas del Gobierno del Estado, el Instituto </w:t>
      </w:r>
      <w:r w:rsidR="004533FE" w:rsidRPr="00131992">
        <w:rPr>
          <w:rFonts w:ascii="Barlow" w:hAnsi="Barlow" w:cstheme="minorHAnsi"/>
          <w:sz w:val="20"/>
          <w:szCs w:val="20"/>
        </w:rPr>
        <w:t>recibe sus ingresos por medio</w:t>
      </w:r>
      <w:r w:rsidRPr="00131992">
        <w:rPr>
          <w:rFonts w:ascii="Barlow" w:hAnsi="Barlow" w:cstheme="minorHAnsi"/>
          <w:sz w:val="20"/>
          <w:szCs w:val="20"/>
        </w:rPr>
        <w:t xml:space="preserve"> transferencias por parte del gobierno del Estado de Yucatán</w:t>
      </w:r>
      <w:r w:rsidR="004533FE" w:rsidRPr="00131992">
        <w:rPr>
          <w:rFonts w:ascii="Barlow" w:hAnsi="Barlow" w:cstheme="minorHAnsi"/>
          <w:sz w:val="20"/>
          <w:szCs w:val="20"/>
        </w:rPr>
        <w:t xml:space="preserve"> atreves del sistema SIGEY previa firma de convenios y oficios autorizados por la misma secretaria de administración y finanzas tanto de recursos con fuentes de financiamientos estatales y federales.</w:t>
      </w:r>
    </w:p>
    <w:p w:rsidR="00B86AB2" w:rsidRPr="00131992" w:rsidRDefault="00B86AB2" w:rsidP="00B86AB2">
      <w:pPr>
        <w:pStyle w:val="Texto"/>
        <w:spacing w:after="86"/>
        <w:rPr>
          <w:rFonts w:ascii="Barlow" w:hAnsi="Barlow" w:cstheme="minorHAnsi"/>
          <w:b/>
          <w:sz w:val="20"/>
          <w:lang w:val="es-MX"/>
        </w:rPr>
      </w:pPr>
      <w:r w:rsidRPr="00131992">
        <w:rPr>
          <w:rFonts w:ascii="Barlow" w:hAnsi="Barlow" w:cstheme="minorHAnsi"/>
          <w:b/>
          <w:sz w:val="20"/>
          <w:lang w:val="es-MX"/>
        </w:rPr>
        <w:t>11.</w:t>
      </w:r>
      <w:r w:rsidRPr="00131992">
        <w:rPr>
          <w:rFonts w:ascii="Barlow" w:hAnsi="Barlow" w:cstheme="minorHAnsi"/>
          <w:b/>
          <w:sz w:val="20"/>
          <w:lang w:val="es-MX"/>
        </w:rPr>
        <w:tab/>
        <w:t>Información sobre la Deuda y el Reporte Analítico de la Deuda</w:t>
      </w:r>
    </w:p>
    <w:p w:rsidR="00B86AB2" w:rsidRPr="00131992" w:rsidRDefault="00B86AB2" w:rsidP="00B86AB2">
      <w:pPr>
        <w:pStyle w:val="Texto"/>
        <w:spacing w:after="86"/>
        <w:rPr>
          <w:rFonts w:ascii="Barlow" w:hAnsi="Barlow" w:cstheme="minorHAnsi"/>
          <w:sz w:val="20"/>
          <w:lang w:val="es-MX"/>
        </w:rPr>
      </w:pPr>
      <w:r w:rsidRPr="00131992">
        <w:rPr>
          <w:rFonts w:ascii="Barlow" w:hAnsi="Barlow" w:cstheme="minorHAnsi"/>
          <w:sz w:val="20"/>
          <w:lang w:val="es-MX"/>
        </w:rPr>
        <w:t>Se anexa el Estado Analítico de La deuda y Otros Pasivos.</w:t>
      </w:r>
    </w:p>
    <w:p w:rsidR="00012A8C" w:rsidRPr="00131992" w:rsidRDefault="00012A8C" w:rsidP="00012A8C">
      <w:pPr>
        <w:tabs>
          <w:tab w:val="right" w:pos="8838"/>
        </w:tabs>
        <w:jc w:val="both"/>
        <w:rPr>
          <w:rFonts w:ascii="Barlow" w:hAnsi="Barlow"/>
          <w:sz w:val="20"/>
          <w:szCs w:val="20"/>
        </w:rPr>
      </w:pPr>
      <w:r w:rsidRPr="00131992">
        <w:rPr>
          <w:rFonts w:ascii="Barlow" w:hAnsi="Barlow"/>
          <w:sz w:val="20"/>
          <w:szCs w:val="20"/>
        </w:rPr>
        <w:t xml:space="preserve">    </w:t>
      </w:r>
    </w:p>
    <w:p w:rsidR="00B86AB2" w:rsidRPr="00131992" w:rsidRDefault="00B86AB2" w:rsidP="00B86AB2">
      <w:pPr>
        <w:pStyle w:val="Texto"/>
        <w:spacing w:line="224" w:lineRule="exact"/>
        <w:rPr>
          <w:rFonts w:ascii="Barlow" w:hAnsi="Barlow" w:cstheme="minorHAnsi"/>
          <w:b/>
          <w:smallCaps/>
          <w:sz w:val="20"/>
          <w:lang w:val="es-MX"/>
        </w:rPr>
      </w:pPr>
    </w:p>
    <w:p w:rsidR="00B86AB2" w:rsidRPr="00131992" w:rsidRDefault="00B86AB2" w:rsidP="00B86AB2">
      <w:pPr>
        <w:pStyle w:val="Texto"/>
        <w:spacing w:after="86"/>
        <w:rPr>
          <w:rFonts w:ascii="Barlow" w:hAnsi="Barlow" w:cstheme="minorHAnsi"/>
          <w:b/>
          <w:sz w:val="20"/>
          <w:lang w:val="es-MX"/>
        </w:rPr>
      </w:pPr>
      <w:r w:rsidRPr="00131992">
        <w:rPr>
          <w:rFonts w:ascii="Barlow" w:hAnsi="Barlow" w:cstheme="minorHAnsi"/>
          <w:b/>
          <w:sz w:val="20"/>
          <w:lang w:val="es-MX"/>
        </w:rPr>
        <w:t>12.</w:t>
      </w:r>
      <w:r w:rsidRPr="00131992">
        <w:rPr>
          <w:rFonts w:ascii="Barlow" w:hAnsi="Barlow" w:cstheme="minorHAnsi"/>
          <w:b/>
          <w:sz w:val="20"/>
          <w:lang w:val="es-MX"/>
        </w:rPr>
        <w:tab/>
        <w:t>Eventos Posteriores al Cierre</w:t>
      </w:r>
    </w:p>
    <w:p w:rsidR="00B86AB2" w:rsidRPr="00131992" w:rsidRDefault="00A26D0E" w:rsidP="00B86AB2">
      <w:pPr>
        <w:pStyle w:val="Texto"/>
        <w:spacing w:after="86"/>
        <w:rPr>
          <w:rFonts w:ascii="Barlow" w:hAnsi="Barlow" w:cstheme="minorHAnsi"/>
          <w:sz w:val="20"/>
          <w:lang w:val="es-MX"/>
        </w:rPr>
      </w:pPr>
      <w:r w:rsidRPr="00131992">
        <w:rPr>
          <w:rFonts w:ascii="Barlow" w:hAnsi="Barlow" w:cstheme="minorHAnsi"/>
          <w:sz w:val="20"/>
          <w:lang w:val="es-MX"/>
        </w:rPr>
        <w:t>No se realizaron eventos posteriores al cierre</w:t>
      </w:r>
      <w:r w:rsidR="00B86AB2" w:rsidRPr="00131992">
        <w:rPr>
          <w:rFonts w:ascii="Barlow" w:hAnsi="Barlow" w:cstheme="minorHAnsi"/>
          <w:sz w:val="20"/>
          <w:lang w:val="es-MX"/>
        </w:rPr>
        <w:t>.</w:t>
      </w:r>
    </w:p>
    <w:p w:rsidR="00B86AB2" w:rsidRPr="00131992" w:rsidRDefault="00B86AB2" w:rsidP="00B86AB2">
      <w:pPr>
        <w:pStyle w:val="Texto"/>
        <w:spacing w:line="224" w:lineRule="exact"/>
        <w:rPr>
          <w:rFonts w:ascii="Barlow" w:hAnsi="Barlow" w:cstheme="minorHAnsi"/>
          <w:b/>
          <w:smallCaps/>
          <w:sz w:val="20"/>
        </w:rPr>
      </w:pPr>
    </w:p>
    <w:p w:rsidR="00B86AB2" w:rsidRPr="00131992" w:rsidRDefault="00B86AB2" w:rsidP="00B86AB2">
      <w:pPr>
        <w:pStyle w:val="Texto"/>
        <w:spacing w:after="86"/>
        <w:rPr>
          <w:rFonts w:ascii="Barlow" w:hAnsi="Barlow" w:cstheme="minorHAnsi"/>
          <w:b/>
          <w:sz w:val="20"/>
          <w:lang w:val="es-MX"/>
        </w:rPr>
      </w:pPr>
      <w:r w:rsidRPr="00131992">
        <w:rPr>
          <w:rFonts w:ascii="Barlow" w:hAnsi="Barlow" w:cstheme="minorHAnsi"/>
          <w:b/>
          <w:sz w:val="20"/>
          <w:lang w:val="es-MX"/>
        </w:rPr>
        <w:t>17.</w:t>
      </w:r>
      <w:r w:rsidRPr="00131992">
        <w:rPr>
          <w:rFonts w:ascii="Barlow" w:hAnsi="Barlow" w:cstheme="minorHAnsi"/>
          <w:b/>
          <w:sz w:val="20"/>
          <w:lang w:val="es-MX"/>
        </w:rPr>
        <w:tab/>
        <w:t>Responsabilidad Sobre la Presentación Razonable de la Información Contable.</w:t>
      </w:r>
    </w:p>
    <w:p w:rsidR="00B86AB2" w:rsidRPr="00131992" w:rsidRDefault="00B86AB2" w:rsidP="00B86AB2">
      <w:pPr>
        <w:pStyle w:val="Texto"/>
        <w:spacing w:after="86"/>
        <w:rPr>
          <w:rFonts w:ascii="Barlow" w:hAnsi="Barlow" w:cstheme="minorHAnsi"/>
          <w:sz w:val="20"/>
          <w:lang w:val="es-MX"/>
        </w:rPr>
      </w:pPr>
    </w:p>
    <w:p w:rsidR="00622353" w:rsidRPr="00926953" w:rsidRDefault="00926953" w:rsidP="007C2E3B">
      <w:pPr>
        <w:rPr>
          <w:rFonts w:cs="Arial"/>
          <w:sz w:val="20"/>
          <w:szCs w:val="20"/>
        </w:rPr>
      </w:pPr>
      <w:r w:rsidRPr="00131992">
        <w:rPr>
          <w:rFonts w:ascii="Barlow" w:hAnsi="Barlow" w:cstheme="minorHAnsi"/>
          <w:sz w:val="20"/>
          <w:szCs w:val="20"/>
        </w:rPr>
        <w:t>Bajo</w:t>
      </w:r>
      <w:r w:rsidR="00473340" w:rsidRPr="00131992">
        <w:rPr>
          <w:rFonts w:ascii="Barlow" w:hAnsi="Barlow" w:cstheme="minorHAnsi"/>
          <w:sz w:val="20"/>
          <w:szCs w:val="20"/>
        </w:rPr>
        <w:t xml:space="preserve"> protesta de decir</w:t>
      </w:r>
      <w:r w:rsidR="00D9434A" w:rsidRPr="00131992">
        <w:rPr>
          <w:rFonts w:ascii="Barlow" w:hAnsi="Barlow" w:cstheme="minorHAnsi"/>
          <w:sz w:val="20"/>
          <w:szCs w:val="20"/>
        </w:rPr>
        <w:t xml:space="preserve"> verdad declaramos que los Estados Financieros y </w:t>
      </w:r>
      <w:r w:rsidR="00376F59" w:rsidRPr="00131992">
        <w:rPr>
          <w:rFonts w:ascii="Barlow" w:hAnsi="Barlow" w:cstheme="minorHAnsi"/>
          <w:sz w:val="20"/>
          <w:szCs w:val="20"/>
        </w:rPr>
        <w:t>sus notas son razonablemente correctos y responsabilidad del emiso</w:t>
      </w:r>
      <w:r w:rsidR="00376F59" w:rsidRPr="00926953">
        <w:rPr>
          <w:rFonts w:cstheme="minorHAnsi"/>
          <w:sz w:val="20"/>
          <w:szCs w:val="20"/>
        </w:rPr>
        <w:t>r.</w:t>
      </w:r>
      <w:r w:rsidR="00376F59" w:rsidRPr="00926953">
        <w:rPr>
          <w:rFonts w:cstheme="minorHAnsi"/>
          <w:sz w:val="20"/>
          <w:szCs w:val="20"/>
          <w:lang w:val="es-ES"/>
        </w:rPr>
        <w:t xml:space="preserve">          </w:t>
      </w:r>
      <w:r w:rsidR="00376F59" w:rsidRPr="00926953">
        <w:rPr>
          <w:rFonts w:ascii="Calibri" w:hAnsi="Calibri" w:cs="Calibri"/>
          <w:sz w:val="20"/>
          <w:szCs w:val="20"/>
          <w:lang w:val="es-ES"/>
        </w:rPr>
        <w:t xml:space="preserve">          </w:t>
      </w:r>
    </w:p>
    <w:sectPr w:rsidR="00622353" w:rsidRPr="00926953" w:rsidSect="00131992">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048" w:rsidRDefault="00D55048" w:rsidP="008A6873">
      <w:pPr>
        <w:spacing w:after="0" w:line="240" w:lineRule="auto"/>
      </w:pPr>
      <w:r>
        <w:separator/>
      </w:r>
    </w:p>
  </w:endnote>
  <w:endnote w:type="continuationSeparator" w:id="0">
    <w:p w:rsidR="00D55048" w:rsidRDefault="00D55048" w:rsidP="008A6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048" w:rsidRDefault="00D55048" w:rsidP="008A6873">
      <w:pPr>
        <w:spacing w:after="0" w:line="240" w:lineRule="auto"/>
      </w:pPr>
      <w:r>
        <w:separator/>
      </w:r>
    </w:p>
  </w:footnote>
  <w:footnote w:type="continuationSeparator" w:id="0">
    <w:p w:rsidR="00D55048" w:rsidRDefault="00D55048" w:rsidP="008A68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8315242"/>
    <w:multiLevelType w:val="hybridMultilevel"/>
    <w:tmpl w:val="7CCAB0BC"/>
    <w:lvl w:ilvl="0" w:tplc="48927734">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3D907C7D"/>
    <w:multiLevelType w:val="hybridMultilevel"/>
    <w:tmpl w:val="58066CDC"/>
    <w:lvl w:ilvl="0" w:tplc="2B9C5E70">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3E82469F"/>
    <w:multiLevelType w:val="hybridMultilevel"/>
    <w:tmpl w:val="0C5221A2"/>
    <w:lvl w:ilvl="0" w:tplc="FA3A4FCE">
      <w:start w:val="1"/>
      <w:numFmt w:val="decimal"/>
      <w:lvlText w:val="%1."/>
      <w:lvlJc w:val="left"/>
      <w:pPr>
        <w:ind w:left="708" w:hanging="4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
    <w:nsid w:val="56E37BC8"/>
    <w:multiLevelType w:val="hybridMultilevel"/>
    <w:tmpl w:val="36C0EC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1D45D1D"/>
    <w:multiLevelType w:val="hybridMultilevel"/>
    <w:tmpl w:val="5AA49A3E"/>
    <w:lvl w:ilvl="0" w:tplc="7A92962A">
      <w:start w:val="7"/>
      <w:numFmt w:val="upperLetter"/>
      <w:lvlText w:val="%1)"/>
      <w:lvlJc w:val="left"/>
      <w:pPr>
        <w:tabs>
          <w:tab w:val="num" w:pos="735"/>
        </w:tabs>
        <w:ind w:left="735"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65151444"/>
    <w:multiLevelType w:val="hybridMultilevel"/>
    <w:tmpl w:val="3634DF26"/>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DDB36AD"/>
    <w:multiLevelType w:val="hybridMultilevel"/>
    <w:tmpl w:val="D1F2DA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
  </w:num>
  <w:num w:numId="5">
    <w:abstractNumId w:val="3"/>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48"/>
    <w:rsid w:val="000039D9"/>
    <w:rsid w:val="00004C80"/>
    <w:rsid w:val="00012A8C"/>
    <w:rsid w:val="00012D4F"/>
    <w:rsid w:val="000152BE"/>
    <w:rsid w:val="000238C2"/>
    <w:rsid w:val="00026D7D"/>
    <w:rsid w:val="00031906"/>
    <w:rsid w:val="00034C83"/>
    <w:rsid w:val="00044657"/>
    <w:rsid w:val="00044A44"/>
    <w:rsid w:val="000456B7"/>
    <w:rsid w:val="000476B1"/>
    <w:rsid w:val="0005042E"/>
    <w:rsid w:val="00050C39"/>
    <w:rsid w:val="0005200B"/>
    <w:rsid w:val="00064CFD"/>
    <w:rsid w:val="000652A3"/>
    <w:rsid w:val="000674C6"/>
    <w:rsid w:val="0007349F"/>
    <w:rsid w:val="000766CA"/>
    <w:rsid w:val="000773CA"/>
    <w:rsid w:val="00081ACC"/>
    <w:rsid w:val="00086BBE"/>
    <w:rsid w:val="00091A5F"/>
    <w:rsid w:val="00094F2C"/>
    <w:rsid w:val="00096446"/>
    <w:rsid w:val="000971D0"/>
    <w:rsid w:val="000A5EDD"/>
    <w:rsid w:val="000A61D6"/>
    <w:rsid w:val="000B0596"/>
    <w:rsid w:val="000B2433"/>
    <w:rsid w:val="000B355C"/>
    <w:rsid w:val="000B3CB6"/>
    <w:rsid w:val="000B3E21"/>
    <w:rsid w:val="000C19DF"/>
    <w:rsid w:val="000C273D"/>
    <w:rsid w:val="000C52A0"/>
    <w:rsid w:val="000C6151"/>
    <w:rsid w:val="000C6353"/>
    <w:rsid w:val="000D3CF6"/>
    <w:rsid w:val="000D7550"/>
    <w:rsid w:val="000D7E8E"/>
    <w:rsid w:val="000E0029"/>
    <w:rsid w:val="000E521B"/>
    <w:rsid w:val="000E6EC3"/>
    <w:rsid w:val="000E7B8F"/>
    <w:rsid w:val="000F194D"/>
    <w:rsid w:val="000F2760"/>
    <w:rsid w:val="000F2F06"/>
    <w:rsid w:val="000F6E1B"/>
    <w:rsid w:val="00103E67"/>
    <w:rsid w:val="00104D20"/>
    <w:rsid w:val="0010627E"/>
    <w:rsid w:val="00110A11"/>
    <w:rsid w:val="0011245B"/>
    <w:rsid w:val="00114AC3"/>
    <w:rsid w:val="0011742E"/>
    <w:rsid w:val="001214F2"/>
    <w:rsid w:val="00123F0D"/>
    <w:rsid w:val="0012602E"/>
    <w:rsid w:val="001316C9"/>
    <w:rsid w:val="00131992"/>
    <w:rsid w:val="00131A0A"/>
    <w:rsid w:val="0013244D"/>
    <w:rsid w:val="00135B9A"/>
    <w:rsid w:val="00141F00"/>
    <w:rsid w:val="00143EFE"/>
    <w:rsid w:val="00153587"/>
    <w:rsid w:val="00153A12"/>
    <w:rsid w:val="00154B5D"/>
    <w:rsid w:val="00155B87"/>
    <w:rsid w:val="00163E80"/>
    <w:rsid w:val="001648A0"/>
    <w:rsid w:val="0016773F"/>
    <w:rsid w:val="001703FF"/>
    <w:rsid w:val="00172B82"/>
    <w:rsid w:val="001748BE"/>
    <w:rsid w:val="00177AD7"/>
    <w:rsid w:val="00180211"/>
    <w:rsid w:val="00182758"/>
    <w:rsid w:val="00192B79"/>
    <w:rsid w:val="00192EFF"/>
    <w:rsid w:val="00196212"/>
    <w:rsid w:val="00196BD5"/>
    <w:rsid w:val="00197566"/>
    <w:rsid w:val="001A5200"/>
    <w:rsid w:val="001B3589"/>
    <w:rsid w:val="001B3E04"/>
    <w:rsid w:val="001B4DAA"/>
    <w:rsid w:val="001B5C86"/>
    <w:rsid w:val="001D2CAF"/>
    <w:rsid w:val="001D343C"/>
    <w:rsid w:val="001D3DD4"/>
    <w:rsid w:val="001D72D6"/>
    <w:rsid w:val="001D7443"/>
    <w:rsid w:val="001E128A"/>
    <w:rsid w:val="001E2062"/>
    <w:rsid w:val="001E2924"/>
    <w:rsid w:val="001E4020"/>
    <w:rsid w:val="001E417D"/>
    <w:rsid w:val="001E49AB"/>
    <w:rsid w:val="001F1A7F"/>
    <w:rsid w:val="001F1E8A"/>
    <w:rsid w:val="001F225E"/>
    <w:rsid w:val="001F3DBF"/>
    <w:rsid w:val="001F67DF"/>
    <w:rsid w:val="00205162"/>
    <w:rsid w:val="00207556"/>
    <w:rsid w:val="0021124B"/>
    <w:rsid w:val="00214021"/>
    <w:rsid w:val="002152C5"/>
    <w:rsid w:val="00215A29"/>
    <w:rsid w:val="00220641"/>
    <w:rsid w:val="00220F59"/>
    <w:rsid w:val="002212CC"/>
    <w:rsid w:val="00224716"/>
    <w:rsid w:val="00225F92"/>
    <w:rsid w:val="00230E64"/>
    <w:rsid w:val="00231881"/>
    <w:rsid w:val="00231D94"/>
    <w:rsid w:val="00232B52"/>
    <w:rsid w:val="002474B9"/>
    <w:rsid w:val="002506A1"/>
    <w:rsid w:val="00250D90"/>
    <w:rsid w:val="00255B75"/>
    <w:rsid w:val="002574F2"/>
    <w:rsid w:val="00264974"/>
    <w:rsid w:val="0027022C"/>
    <w:rsid w:val="0027372C"/>
    <w:rsid w:val="002837FA"/>
    <w:rsid w:val="00297BB4"/>
    <w:rsid w:val="002A7331"/>
    <w:rsid w:val="002B284D"/>
    <w:rsid w:val="002B29B2"/>
    <w:rsid w:val="002C449A"/>
    <w:rsid w:val="002C5545"/>
    <w:rsid w:val="002C58EF"/>
    <w:rsid w:val="002C5B18"/>
    <w:rsid w:val="002D3B08"/>
    <w:rsid w:val="002E069C"/>
    <w:rsid w:val="002E709E"/>
    <w:rsid w:val="002F4E58"/>
    <w:rsid w:val="002F5428"/>
    <w:rsid w:val="002F58D3"/>
    <w:rsid w:val="002F7B30"/>
    <w:rsid w:val="00307649"/>
    <w:rsid w:val="003129FF"/>
    <w:rsid w:val="00314A56"/>
    <w:rsid w:val="0031776C"/>
    <w:rsid w:val="00341623"/>
    <w:rsid w:val="00343BAD"/>
    <w:rsid w:val="00350E4B"/>
    <w:rsid w:val="00356137"/>
    <w:rsid w:val="00357759"/>
    <w:rsid w:val="003630BD"/>
    <w:rsid w:val="003652C4"/>
    <w:rsid w:val="003675C1"/>
    <w:rsid w:val="00370BC3"/>
    <w:rsid w:val="00371D3B"/>
    <w:rsid w:val="00376834"/>
    <w:rsid w:val="00376F59"/>
    <w:rsid w:val="00383564"/>
    <w:rsid w:val="00393170"/>
    <w:rsid w:val="00397EAE"/>
    <w:rsid w:val="003A25A3"/>
    <w:rsid w:val="003B0A65"/>
    <w:rsid w:val="003C64BA"/>
    <w:rsid w:val="003C6995"/>
    <w:rsid w:val="003D1E5B"/>
    <w:rsid w:val="003D79CB"/>
    <w:rsid w:val="003E15BC"/>
    <w:rsid w:val="003E1897"/>
    <w:rsid w:val="003E2DC9"/>
    <w:rsid w:val="003E5BEC"/>
    <w:rsid w:val="003E7926"/>
    <w:rsid w:val="003F1263"/>
    <w:rsid w:val="003F2383"/>
    <w:rsid w:val="003F27C9"/>
    <w:rsid w:val="003F4F41"/>
    <w:rsid w:val="003F5D36"/>
    <w:rsid w:val="004017C1"/>
    <w:rsid w:val="00401F42"/>
    <w:rsid w:val="00410CFF"/>
    <w:rsid w:val="00411A11"/>
    <w:rsid w:val="00427549"/>
    <w:rsid w:val="00427A2E"/>
    <w:rsid w:val="0044229E"/>
    <w:rsid w:val="0044615C"/>
    <w:rsid w:val="00446E60"/>
    <w:rsid w:val="004533FE"/>
    <w:rsid w:val="00453E26"/>
    <w:rsid w:val="00454900"/>
    <w:rsid w:val="00456989"/>
    <w:rsid w:val="00460F20"/>
    <w:rsid w:val="00461AB9"/>
    <w:rsid w:val="0046283E"/>
    <w:rsid w:val="00465A1C"/>
    <w:rsid w:val="00466253"/>
    <w:rsid w:val="0046649A"/>
    <w:rsid w:val="00466732"/>
    <w:rsid w:val="00467F59"/>
    <w:rsid w:val="004713E0"/>
    <w:rsid w:val="00473340"/>
    <w:rsid w:val="00475365"/>
    <w:rsid w:val="00477643"/>
    <w:rsid w:val="004804AF"/>
    <w:rsid w:val="00480C37"/>
    <w:rsid w:val="00483A69"/>
    <w:rsid w:val="0048422E"/>
    <w:rsid w:val="0048498D"/>
    <w:rsid w:val="00485D44"/>
    <w:rsid w:val="00486F3A"/>
    <w:rsid w:val="00491F0D"/>
    <w:rsid w:val="00493AA2"/>
    <w:rsid w:val="00495032"/>
    <w:rsid w:val="004A0F7E"/>
    <w:rsid w:val="004B0A5F"/>
    <w:rsid w:val="004B69FA"/>
    <w:rsid w:val="004D0387"/>
    <w:rsid w:val="004D1F75"/>
    <w:rsid w:val="004D31F7"/>
    <w:rsid w:val="004D681D"/>
    <w:rsid w:val="004D75FB"/>
    <w:rsid w:val="004E4212"/>
    <w:rsid w:val="004E585D"/>
    <w:rsid w:val="004F0CC5"/>
    <w:rsid w:val="004F47DC"/>
    <w:rsid w:val="00505D72"/>
    <w:rsid w:val="00514602"/>
    <w:rsid w:val="005152BD"/>
    <w:rsid w:val="00520978"/>
    <w:rsid w:val="0052410E"/>
    <w:rsid w:val="005256F0"/>
    <w:rsid w:val="00526E91"/>
    <w:rsid w:val="0052739E"/>
    <w:rsid w:val="00531E04"/>
    <w:rsid w:val="00541260"/>
    <w:rsid w:val="005442B9"/>
    <w:rsid w:val="00547FC0"/>
    <w:rsid w:val="005501E1"/>
    <w:rsid w:val="00550F26"/>
    <w:rsid w:val="00552EB8"/>
    <w:rsid w:val="00556083"/>
    <w:rsid w:val="005620D4"/>
    <w:rsid w:val="00572CC5"/>
    <w:rsid w:val="00583928"/>
    <w:rsid w:val="00586EA4"/>
    <w:rsid w:val="005902CE"/>
    <w:rsid w:val="00594617"/>
    <w:rsid w:val="005A206A"/>
    <w:rsid w:val="005A3E01"/>
    <w:rsid w:val="005A67B0"/>
    <w:rsid w:val="005A7FA3"/>
    <w:rsid w:val="005B05C2"/>
    <w:rsid w:val="005B2DDC"/>
    <w:rsid w:val="005B2ECD"/>
    <w:rsid w:val="005B31F4"/>
    <w:rsid w:val="005B38D0"/>
    <w:rsid w:val="005C0696"/>
    <w:rsid w:val="005C0CC7"/>
    <w:rsid w:val="005C46D5"/>
    <w:rsid w:val="005C59E3"/>
    <w:rsid w:val="005D1931"/>
    <w:rsid w:val="005D3879"/>
    <w:rsid w:val="005D69CB"/>
    <w:rsid w:val="005D7C15"/>
    <w:rsid w:val="005E7532"/>
    <w:rsid w:val="005E783E"/>
    <w:rsid w:val="005E7BB1"/>
    <w:rsid w:val="005F13CE"/>
    <w:rsid w:val="005F234E"/>
    <w:rsid w:val="005F6447"/>
    <w:rsid w:val="005F7405"/>
    <w:rsid w:val="00603E32"/>
    <w:rsid w:val="00607552"/>
    <w:rsid w:val="0061166C"/>
    <w:rsid w:val="00611F96"/>
    <w:rsid w:val="00612C92"/>
    <w:rsid w:val="00613CE1"/>
    <w:rsid w:val="006218A6"/>
    <w:rsid w:val="00622353"/>
    <w:rsid w:val="00623448"/>
    <w:rsid w:val="00624D1B"/>
    <w:rsid w:val="00626DFB"/>
    <w:rsid w:val="00631165"/>
    <w:rsid w:val="00633E34"/>
    <w:rsid w:val="00635F4C"/>
    <w:rsid w:val="006368BD"/>
    <w:rsid w:val="0064029F"/>
    <w:rsid w:val="006403BB"/>
    <w:rsid w:val="00641183"/>
    <w:rsid w:val="0064124B"/>
    <w:rsid w:val="006427A6"/>
    <w:rsid w:val="00642A3B"/>
    <w:rsid w:val="00642ED9"/>
    <w:rsid w:val="00644362"/>
    <w:rsid w:val="00656321"/>
    <w:rsid w:val="0066118D"/>
    <w:rsid w:val="00663972"/>
    <w:rsid w:val="00664548"/>
    <w:rsid w:val="00670430"/>
    <w:rsid w:val="00671A44"/>
    <w:rsid w:val="0067300E"/>
    <w:rsid w:val="00675FC7"/>
    <w:rsid w:val="0067710B"/>
    <w:rsid w:val="0068242F"/>
    <w:rsid w:val="0068549A"/>
    <w:rsid w:val="00686328"/>
    <w:rsid w:val="00690487"/>
    <w:rsid w:val="006956A3"/>
    <w:rsid w:val="006A0D61"/>
    <w:rsid w:val="006A327F"/>
    <w:rsid w:val="006A6A50"/>
    <w:rsid w:val="006B0085"/>
    <w:rsid w:val="006B0ABF"/>
    <w:rsid w:val="006B1D8B"/>
    <w:rsid w:val="006B4278"/>
    <w:rsid w:val="006B4CB8"/>
    <w:rsid w:val="006B594A"/>
    <w:rsid w:val="006C227C"/>
    <w:rsid w:val="006C616A"/>
    <w:rsid w:val="006D1F37"/>
    <w:rsid w:val="006F0BF0"/>
    <w:rsid w:val="006F2065"/>
    <w:rsid w:val="006F2433"/>
    <w:rsid w:val="006F2FFF"/>
    <w:rsid w:val="006F3019"/>
    <w:rsid w:val="006F35EC"/>
    <w:rsid w:val="0070127A"/>
    <w:rsid w:val="0070488E"/>
    <w:rsid w:val="007129F7"/>
    <w:rsid w:val="00722DAB"/>
    <w:rsid w:val="00723EE2"/>
    <w:rsid w:val="0073380C"/>
    <w:rsid w:val="007412B3"/>
    <w:rsid w:val="007443E3"/>
    <w:rsid w:val="00750C0C"/>
    <w:rsid w:val="00755E5E"/>
    <w:rsid w:val="00760D2B"/>
    <w:rsid w:val="00772198"/>
    <w:rsid w:val="0077527B"/>
    <w:rsid w:val="007803B3"/>
    <w:rsid w:val="0078394E"/>
    <w:rsid w:val="0078421C"/>
    <w:rsid w:val="00792C36"/>
    <w:rsid w:val="007959DB"/>
    <w:rsid w:val="00795AF9"/>
    <w:rsid w:val="00796161"/>
    <w:rsid w:val="00796E68"/>
    <w:rsid w:val="007A4738"/>
    <w:rsid w:val="007B4156"/>
    <w:rsid w:val="007C1C2A"/>
    <w:rsid w:val="007C2E3B"/>
    <w:rsid w:val="007C690E"/>
    <w:rsid w:val="007D468A"/>
    <w:rsid w:val="007E4190"/>
    <w:rsid w:val="007E640C"/>
    <w:rsid w:val="007E72D7"/>
    <w:rsid w:val="007E7E81"/>
    <w:rsid w:val="007F402A"/>
    <w:rsid w:val="00802578"/>
    <w:rsid w:val="008039D1"/>
    <w:rsid w:val="00805C1E"/>
    <w:rsid w:val="008079A9"/>
    <w:rsid w:val="00810BF1"/>
    <w:rsid w:val="00822721"/>
    <w:rsid w:val="00831731"/>
    <w:rsid w:val="0083773C"/>
    <w:rsid w:val="00845D04"/>
    <w:rsid w:val="00864A8A"/>
    <w:rsid w:val="00871185"/>
    <w:rsid w:val="00871D4B"/>
    <w:rsid w:val="008726F7"/>
    <w:rsid w:val="00872F75"/>
    <w:rsid w:val="0087324C"/>
    <w:rsid w:val="0087790A"/>
    <w:rsid w:val="008800C8"/>
    <w:rsid w:val="00880136"/>
    <w:rsid w:val="008828B0"/>
    <w:rsid w:val="00890D4E"/>
    <w:rsid w:val="00895334"/>
    <w:rsid w:val="008A12F8"/>
    <w:rsid w:val="008A2D95"/>
    <w:rsid w:val="008A5EFC"/>
    <w:rsid w:val="008A6873"/>
    <w:rsid w:val="008A71F8"/>
    <w:rsid w:val="008B4112"/>
    <w:rsid w:val="008B4440"/>
    <w:rsid w:val="008B7AFF"/>
    <w:rsid w:val="008C1DB6"/>
    <w:rsid w:val="008C33FE"/>
    <w:rsid w:val="008E353C"/>
    <w:rsid w:val="008F69E8"/>
    <w:rsid w:val="0091313E"/>
    <w:rsid w:val="00915AD7"/>
    <w:rsid w:val="00921183"/>
    <w:rsid w:val="009253C1"/>
    <w:rsid w:val="00926953"/>
    <w:rsid w:val="00926CED"/>
    <w:rsid w:val="00930A89"/>
    <w:rsid w:val="00935FA1"/>
    <w:rsid w:val="00947204"/>
    <w:rsid w:val="00954C4C"/>
    <w:rsid w:val="00965E29"/>
    <w:rsid w:val="00966087"/>
    <w:rsid w:val="00966BE7"/>
    <w:rsid w:val="00973913"/>
    <w:rsid w:val="00973D68"/>
    <w:rsid w:val="00974A52"/>
    <w:rsid w:val="00981267"/>
    <w:rsid w:val="0098304D"/>
    <w:rsid w:val="00990FD7"/>
    <w:rsid w:val="009916B5"/>
    <w:rsid w:val="009A0458"/>
    <w:rsid w:val="009B6A5A"/>
    <w:rsid w:val="009C4BA6"/>
    <w:rsid w:val="009C5EAB"/>
    <w:rsid w:val="009C656C"/>
    <w:rsid w:val="009C68F0"/>
    <w:rsid w:val="009C72D5"/>
    <w:rsid w:val="009D1796"/>
    <w:rsid w:val="009D2665"/>
    <w:rsid w:val="009D3F9E"/>
    <w:rsid w:val="009D7263"/>
    <w:rsid w:val="009E39E4"/>
    <w:rsid w:val="009E530E"/>
    <w:rsid w:val="009E57FF"/>
    <w:rsid w:val="009E68A0"/>
    <w:rsid w:val="009F0748"/>
    <w:rsid w:val="009F108E"/>
    <w:rsid w:val="009F16BD"/>
    <w:rsid w:val="009F327E"/>
    <w:rsid w:val="00A0537D"/>
    <w:rsid w:val="00A053BF"/>
    <w:rsid w:val="00A05A4A"/>
    <w:rsid w:val="00A064D6"/>
    <w:rsid w:val="00A11432"/>
    <w:rsid w:val="00A12ED2"/>
    <w:rsid w:val="00A17A15"/>
    <w:rsid w:val="00A17C79"/>
    <w:rsid w:val="00A228F5"/>
    <w:rsid w:val="00A26D0E"/>
    <w:rsid w:val="00A34474"/>
    <w:rsid w:val="00A34D8E"/>
    <w:rsid w:val="00A418D3"/>
    <w:rsid w:val="00A42036"/>
    <w:rsid w:val="00A425AA"/>
    <w:rsid w:val="00A57EB2"/>
    <w:rsid w:val="00A6279B"/>
    <w:rsid w:val="00A62DBC"/>
    <w:rsid w:val="00A666C6"/>
    <w:rsid w:val="00A66F68"/>
    <w:rsid w:val="00A70E9B"/>
    <w:rsid w:val="00A70F53"/>
    <w:rsid w:val="00A72270"/>
    <w:rsid w:val="00A941B5"/>
    <w:rsid w:val="00A96A10"/>
    <w:rsid w:val="00AA579E"/>
    <w:rsid w:val="00AA5DB8"/>
    <w:rsid w:val="00AA5E69"/>
    <w:rsid w:val="00AB6BFD"/>
    <w:rsid w:val="00AC0389"/>
    <w:rsid w:val="00AD4926"/>
    <w:rsid w:val="00AD502F"/>
    <w:rsid w:val="00AD585B"/>
    <w:rsid w:val="00AD5E52"/>
    <w:rsid w:val="00AD768B"/>
    <w:rsid w:val="00AE1F45"/>
    <w:rsid w:val="00AE47CD"/>
    <w:rsid w:val="00AF274C"/>
    <w:rsid w:val="00AF43B1"/>
    <w:rsid w:val="00B01915"/>
    <w:rsid w:val="00B02845"/>
    <w:rsid w:val="00B12B96"/>
    <w:rsid w:val="00B14602"/>
    <w:rsid w:val="00B155D2"/>
    <w:rsid w:val="00B240EA"/>
    <w:rsid w:val="00B304A0"/>
    <w:rsid w:val="00B341E0"/>
    <w:rsid w:val="00B353AC"/>
    <w:rsid w:val="00B379B9"/>
    <w:rsid w:val="00B41689"/>
    <w:rsid w:val="00B54C77"/>
    <w:rsid w:val="00B56042"/>
    <w:rsid w:val="00B57363"/>
    <w:rsid w:val="00B62464"/>
    <w:rsid w:val="00B67EA2"/>
    <w:rsid w:val="00B75488"/>
    <w:rsid w:val="00B81020"/>
    <w:rsid w:val="00B8404F"/>
    <w:rsid w:val="00B852B4"/>
    <w:rsid w:val="00B86AB2"/>
    <w:rsid w:val="00B92913"/>
    <w:rsid w:val="00B97A58"/>
    <w:rsid w:val="00BA065A"/>
    <w:rsid w:val="00BB0BF8"/>
    <w:rsid w:val="00BC11CC"/>
    <w:rsid w:val="00BC2500"/>
    <w:rsid w:val="00BC2BA5"/>
    <w:rsid w:val="00BC2D15"/>
    <w:rsid w:val="00BD1957"/>
    <w:rsid w:val="00BD1FA6"/>
    <w:rsid w:val="00BD256D"/>
    <w:rsid w:val="00BD50F6"/>
    <w:rsid w:val="00BD6C01"/>
    <w:rsid w:val="00BD7509"/>
    <w:rsid w:val="00BD7856"/>
    <w:rsid w:val="00BF083F"/>
    <w:rsid w:val="00BF2309"/>
    <w:rsid w:val="00BF4B28"/>
    <w:rsid w:val="00BF607C"/>
    <w:rsid w:val="00BF6CAF"/>
    <w:rsid w:val="00BF7646"/>
    <w:rsid w:val="00C0094C"/>
    <w:rsid w:val="00C02D07"/>
    <w:rsid w:val="00C0607E"/>
    <w:rsid w:val="00C17FA3"/>
    <w:rsid w:val="00C254EE"/>
    <w:rsid w:val="00C262D8"/>
    <w:rsid w:val="00C30893"/>
    <w:rsid w:val="00C5008F"/>
    <w:rsid w:val="00C5038B"/>
    <w:rsid w:val="00C511E9"/>
    <w:rsid w:val="00C605BD"/>
    <w:rsid w:val="00C6101A"/>
    <w:rsid w:val="00C61287"/>
    <w:rsid w:val="00C62129"/>
    <w:rsid w:val="00C6336A"/>
    <w:rsid w:val="00C63459"/>
    <w:rsid w:val="00C648F7"/>
    <w:rsid w:val="00C71143"/>
    <w:rsid w:val="00C85EBB"/>
    <w:rsid w:val="00C93AFB"/>
    <w:rsid w:val="00CA4FFC"/>
    <w:rsid w:val="00CB122C"/>
    <w:rsid w:val="00CB228B"/>
    <w:rsid w:val="00CB576B"/>
    <w:rsid w:val="00CC032E"/>
    <w:rsid w:val="00CC3A23"/>
    <w:rsid w:val="00CC65F8"/>
    <w:rsid w:val="00CC65FC"/>
    <w:rsid w:val="00CD0389"/>
    <w:rsid w:val="00CD14BF"/>
    <w:rsid w:val="00CD16B1"/>
    <w:rsid w:val="00CD523B"/>
    <w:rsid w:val="00CD53B8"/>
    <w:rsid w:val="00CD7983"/>
    <w:rsid w:val="00CE255A"/>
    <w:rsid w:val="00CE356B"/>
    <w:rsid w:val="00CE5EA0"/>
    <w:rsid w:val="00CF2404"/>
    <w:rsid w:val="00CF36CA"/>
    <w:rsid w:val="00CF6212"/>
    <w:rsid w:val="00CF772B"/>
    <w:rsid w:val="00D006D1"/>
    <w:rsid w:val="00D01B38"/>
    <w:rsid w:val="00D02CCD"/>
    <w:rsid w:val="00D03082"/>
    <w:rsid w:val="00D03EC7"/>
    <w:rsid w:val="00D06A10"/>
    <w:rsid w:val="00D12D3F"/>
    <w:rsid w:val="00D13531"/>
    <w:rsid w:val="00D21991"/>
    <w:rsid w:val="00D241D9"/>
    <w:rsid w:val="00D26BA4"/>
    <w:rsid w:val="00D271DA"/>
    <w:rsid w:val="00D30804"/>
    <w:rsid w:val="00D3187C"/>
    <w:rsid w:val="00D31D8B"/>
    <w:rsid w:val="00D32A4B"/>
    <w:rsid w:val="00D343CA"/>
    <w:rsid w:val="00D346DC"/>
    <w:rsid w:val="00D347CE"/>
    <w:rsid w:val="00D3659D"/>
    <w:rsid w:val="00D42BEE"/>
    <w:rsid w:val="00D525D1"/>
    <w:rsid w:val="00D53CB5"/>
    <w:rsid w:val="00D55048"/>
    <w:rsid w:val="00D5611C"/>
    <w:rsid w:val="00D5678E"/>
    <w:rsid w:val="00D6148D"/>
    <w:rsid w:val="00D61980"/>
    <w:rsid w:val="00D75FEC"/>
    <w:rsid w:val="00D76251"/>
    <w:rsid w:val="00D779D4"/>
    <w:rsid w:val="00D83798"/>
    <w:rsid w:val="00D871DA"/>
    <w:rsid w:val="00D9000B"/>
    <w:rsid w:val="00D93825"/>
    <w:rsid w:val="00D9434A"/>
    <w:rsid w:val="00DA2283"/>
    <w:rsid w:val="00DA29DF"/>
    <w:rsid w:val="00DA2B09"/>
    <w:rsid w:val="00DA2E71"/>
    <w:rsid w:val="00DA44E7"/>
    <w:rsid w:val="00DA524F"/>
    <w:rsid w:val="00DB4950"/>
    <w:rsid w:val="00DB7EE0"/>
    <w:rsid w:val="00DC1DCC"/>
    <w:rsid w:val="00DC651C"/>
    <w:rsid w:val="00DD2DF6"/>
    <w:rsid w:val="00DF708C"/>
    <w:rsid w:val="00E01223"/>
    <w:rsid w:val="00E040B5"/>
    <w:rsid w:val="00E0510F"/>
    <w:rsid w:val="00E1049C"/>
    <w:rsid w:val="00E13097"/>
    <w:rsid w:val="00E15A27"/>
    <w:rsid w:val="00E2482F"/>
    <w:rsid w:val="00E24850"/>
    <w:rsid w:val="00E318AA"/>
    <w:rsid w:val="00E32950"/>
    <w:rsid w:val="00E344AE"/>
    <w:rsid w:val="00E35528"/>
    <w:rsid w:val="00E40564"/>
    <w:rsid w:val="00E4073F"/>
    <w:rsid w:val="00E42247"/>
    <w:rsid w:val="00E44253"/>
    <w:rsid w:val="00E4484C"/>
    <w:rsid w:val="00E544F0"/>
    <w:rsid w:val="00E75A4C"/>
    <w:rsid w:val="00E77933"/>
    <w:rsid w:val="00E85894"/>
    <w:rsid w:val="00E86CE6"/>
    <w:rsid w:val="00E94C56"/>
    <w:rsid w:val="00E97268"/>
    <w:rsid w:val="00E979DF"/>
    <w:rsid w:val="00EB6D81"/>
    <w:rsid w:val="00EC13DD"/>
    <w:rsid w:val="00EC44BE"/>
    <w:rsid w:val="00ED0E20"/>
    <w:rsid w:val="00ED305B"/>
    <w:rsid w:val="00ED415B"/>
    <w:rsid w:val="00EE4593"/>
    <w:rsid w:val="00EE5E85"/>
    <w:rsid w:val="00EE64EA"/>
    <w:rsid w:val="00EE79EA"/>
    <w:rsid w:val="00EF04C8"/>
    <w:rsid w:val="00EF0E14"/>
    <w:rsid w:val="00EF4E70"/>
    <w:rsid w:val="00EF517B"/>
    <w:rsid w:val="00F115E7"/>
    <w:rsid w:val="00F13817"/>
    <w:rsid w:val="00F14A68"/>
    <w:rsid w:val="00F14D08"/>
    <w:rsid w:val="00F2297E"/>
    <w:rsid w:val="00F256D8"/>
    <w:rsid w:val="00F307FA"/>
    <w:rsid w:val="00F462E9"/>
    <w:rsid w:val="00F46F78"/>
    <w:rsid w:val="00F479A6"/>
    <w:rsid w:val="00F47FAE"/>
    <w:rsid w:val="00F51022"/>
    <w:rsid w:val="00F51AC6"/>
    <w:rsid w:val="00F53980"/>
    <w:rsid w:val="00F55A5C"/>
    <w:rsid w:val="00F63BF8"/>
    <w:rsid w:val="00F7045B"/>
    <w:rsid w:val="00F706A7"/>
    <w:rsid w:val="00F80CA2"/>
    <w:rsid w:val="00F81847"/>
    <w:rsid w:val="00F83BF0"/>
    <w:rsid w:val="00F86153"/>
    <w:rsid w:val="00F92D85"/>
    <w:rsid w:val="00F95D09"/>
    <w:rsid w:val="00FA2983"/>
    <w:rsid w:val="00FA2DBE"/>
    <w:rsid w:val="00FB00A7"/>
    <w:rsid w:val="00FB301B"/>
    <w:rsid w:val="00FB5615"/>
    <w:rsid w:val="00FB7D8E"/>
    <w:rsid w:val="00FC66E5"/>
    <w:rsid w:val="00FC6F69"/>
    <w:rsid w:val="00FD0C43"/>
    <w:rsid w:val="00FD327E"/>
    <w:rsid w:val="00FE4A58"/>
    <w:rsid w:val="00FF047A"/>
    <w:rsid w:val="00FF1B87"/>
    <w:rsid w:val="00FF3901"/>
    <w:rsid w:val="00FF6F0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FA3"/>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independiente2">
    <w:name w:val="Body Text 2"/>
    <w:basedOn w:val="Normal"/>
    <w:link w:val="Textoindependiente2Car"/>
    <w:uiPriority w:val="99"/>
    <w:unhideWhenUsed/>
    <w:rsid w:val="00376F59"/>
    <w:pPr>
      <w:spacing w:after="120" w:line="480" w:lineRule="auto"/>
    </w:pPr>
  </w:style>
  <w:style w:type="character" w:customStyle="1" w:styleId="Textoindependiente2Car">
    <w:name w:val="Texto independiente 2 Car"/>
    <w:basedOn w:val="Fuentedeprrafopredeter"/>
    <w:link w:val="Textoindependiente2"/>
    <w:uiPriority w:val="99"/>
    <w:rsid w:val="00376F59"/>
  </w:style>
  <w:style w:type="paragraph" w:styleId="Ttulo">
    <w:name w:val="Title"/>
    <w:basedOn w:val="Normal"/>
    <w:link w:val="TtuloCar"/>
    <w:qFormat/>
    <w:rsid w:val="00376F59"/>
    <w:pPr>
      <w:spacing w:after="0" w:line="240" w:lineRule="auto"/>
      <w:jc w:val="center"/>
    </w:pPr>
    <w:rPr>
      <w:rFonts w:ascii="Arial Narrow" w:eastAsia="Times New Roman" w:hAnsi="Arial Narrow" w:cs="Times New Roman"/>
      <w:b/>
      <w:bCs/>
      <w:sz w:val="24"/>
      <w:szCs w:val="24"/>
      <w:lang w:val="es-ES" w:eastAsia="es-ES"/>
    </w:rPr>
  </w:style>
  <w:style w:type="character" w:customStyle="1" w:styleId="TtuloCar">
    <w:name w:val="Título Car"/>
    <w:basedOn w:val="Fuentedeprrafopredeter"/>
    <w:link w:val="Ttulo"/>
    <w:rsid w:val="00376F59"/>
    <w:rPr>
      <w:rFonts w:ascii="Arial Narrow" w:eastAsia="Times New Roman" w:hAnsi="Arial Narrow" w:cs="Times New Roman"/>
      <w:b/>
      <w:bCs/>
      <w:sz w:val="24"/>
      <w:szCs w:val="24"/>
      <w:lang w:val="es-ES" w:eastAsia="es-ES"/>
    </w:rPr>
  </w:style>
  <w:style w:type="paragraph" w:customStyle="1" w:styleId="Texto">
    <w:name w:val="Texto"/>
    <w:basedOn w:val="Normal"/>
    <w:link w:val="TextoCar"/>
    <w:qFormat/>
    <w:rsid w:val="00376F59"/>
    <w:pPr>
      <w:spacing w:after="101" w:line="216" w:lineRule="exact"/>
      <w:ind w:firstLine="288"/>
      <w:jc w:val="both"/>
    </w:pPr>
    <w:rPr>
      <w:rFonts w:ascii="Arial" w:eastAsia="Times New Roman" w:hAnsi="Arial" w:cs="Times New Roman"/>
      <w:sz w:val="18"/>
      <w:szCs w:val="20"/>
      <w:lang w:val="es-ES" w:eastAsia="es-ES"/>
    </w:rPr>
  </w:style>
  <w:style w:type="character" w:customStyle="1" w:styleId="TextoCar">
    <w:name w:val="Texto Car"/>
    <w:link w:val="Texto"/>
    <w:locked/>
    <w:rsid w:val="00376F59"/>
    <w:rPr>
      <w:rFonts w:ascii="Arial" w:eastAsia="Times New Roman" w:hAnsi="Arial" w:cs="Times New Roman"/>
      <w:sz w:val="18"/>
      <w:szCs w:val="20"/>
      <w:lang w:val="es-ES" w:eastAsia="es-ES"/>
    </w:rPr>
  </w:style>
  <w:style w:type="paragraph" w:customStyle="1" w:styleId="ROMANOS">
    <w:name w:val="ROMANOS"/>
    <w:basedOn w:val="Normal"/>
    <w:link w:val="ROMANOSCar"/>
    <w:rsid w:val="00376F59"/>
    <w:pPr>
      <w:tabs>
        <w:tab w:val="left" w:pos="720"/>
      </w:tabs>
      <w:spacing w:after="101" w:line="216" w:lineRule="exact"/>
      <w:ind w:left="720" w:hanging="432"/>
      <w:jc w:val="both"/>
    </w:pPr>
    <w:rPr>
      <w:rFonts w:ascii="Arial" w:eastAsia="Times New Roman" w:hAnsi="Arial" w:cs="Times New Roman"/>
      <w:sz w:val="18"/>
      <w:szCs w:val="18"/>
      <w:lang w:val="es-ES" w:eastAsia="es-ES"/>
    </w:rPr>
  </w:style>
  <w:style w:type="character" w:customStyle="1" w:styleId="ROMANOSCar">
    <w:name w:val="ROMANOS Car"/>
    <w:link w:val="ROMANOS"/>
    <w:locked/>
    <w:rsid w:val="00376F59"/>
    <w:rPr>
      <w:rFonts w:ascii="Arial" w:eastAsia="Times New Roman" w:hAnsi="Arial" w:cs="Times New Roman"/>
      <w:sz w:val="18"/>
      <w:szCs w:val="18"/>
      <w:lang w:val="es-ES" w:eastAsia="es-ES"/>
    </w:rPr>
  </w:style>
  <w:style w:type="paragraph" w:styleId="Encabezado">
    <w:name w:val="header"/>
    <w:basedOn w:val="Normal"/>
    <w:link w:val="EncabezadoCar"/>
    <w:uiPriority w:val="99"/>
    <w:unhideWhenUsed/>
    <w:rsid w:val="008A68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6873"/>
  </w:style>
  <w:style w:type="paragraph" w:styleId="Piedepgina">
    <w:name w:val="footer"/>
    <w:basedOn w:val="Normal"/>
    <w:link w:val="PiedepginaCar"/>
    <w:uiPriority w:val="99"/>
    <w:unhideWhenUsed/>
    <w:rsid w:val="008A68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6873"/>
  </w:style>
  <w:style w:type="paragraph" w:styleId="Textodeglobo">
    <w:name w:val="Balloon Text"/>
    <w:basedOn w:val="Normal"/>
    <w:link w:val="TextodegloboCar"/>
    <w:uiPriority w:val="99"/>
    <w:semiHidden/>
    <w:unhideWhenUsed/>
    <w:rsid w:val="008A68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6873"/>
    <w:rPr>
      <w:rFonts w:ascii="Tahoma" w:hAnsi="Tahoma" w:cs="Tahoma"/>
      <w:sz w:val="16"/>
      <w:szCs w:val="16"/>
    </w:rPr>
  </w:style>
  <w:style w:type="character" w:styleId="Refdecomentario">
    <w:name w:val="annotation reference"/>
    <w:basedOn w:val="Fuentedeprrafopredeter"/>
    <w:uiPriority w:val="99"/>
    <w:semiHidden/>
    <w:unhideWhenUsed/>
    <w:rsid w:val="00BD256D"/>
    <w:rPr>
      <w:sz w:val="16"/>
      <w:szCs w:val="16"/>
    </w:rPr>
  </w:style>
  <w:style w:type="paragraph" w:styleId="Textocomentario">
    <w:name w:val="annotation text"/>
    <w:basedOn w:val="Normal"/>
    <w:link w:val="TextocomentarioCar"/>
    <w:uiPriority w:val="99"/>
    <w:semiHidden/>
    <w:unhideWhenUsed/>
    <w:rsid w:val="00BD256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D256D"/>
    <w:rPr>
      <w:sz w:val="20"/>
      <w:szCs w:val="20"/>
    </w:rPr>
  </w:style>
  <w:style w:type="paragraph" w:styleId="Asuntodelcomentario">
    <w:name w:val="annotation subject"/>
    <w:basedOn w:val="Textocomentario"/>
    <w:next w:val="Textocomentario"/>
    <w:link w:val="AsuntodelcomentarioCar"/>
    <w:uiPriority w:val="99"/>
    <w:semiHidden/>
    <w:unhideWhenUsed/>
    <w:rsid w:val="00BD256D"/>
    <w:rPr>
      <w:b/>
      <w:bCs/>
    </w:rPr>
  </w:style>
  <w:style w:type="character" w:customStyle="1" w:styleId="AsuntodelcomentarioCar">
    <w:name w:val="Asunto del comentario Car"/>
    <w:basedOn w:val="TextocomentarioCar"/>
    <w:link w:val="Asuntodelcomentario"/>
    <w:uiPriority w:val="99"/>
    <w:semiHidden/>
    <w:rsid w:val="00BD256D"/>
    <w:rPr>
      <w:b/>
      <w:bCs/>
      <w:sz w:val="20"/>
      <w:szCs w:val="20"/>
    </w:rPr>
  </w:style>
  <w:style w:type="paragraph" w:styleId="Prrafodelista">
    <w:name w:val="List Paragraph"/>
    <w:basedOn w:val="Normal"/>
    <w:uiPriority w:val="34"/>
    <w:qFormat/>
    <w:rsid w:val="00B86AB2"/>
    <w:pPr>
      <w:ind w:left="720"/>
      <w:contextualSpacing/>
    </w:pPr>
  </w:style>
  <w:style w:type="table" w:customStyle="1" w:styleId="Tablaconcuadrcula1">
    <w:name w:val="Tabla con cuadrícula1"/>
    <w:basedOn w:val="Tablanormal"/>
    <w:next w:val="Tablaconcuadrcula"/>
    <w:rsid w:val="00376834"/>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
    <w:name w:val="Tabla con cuadrícula2"/>
    <w:basedOn w:val="Tablanormal"/>
    <w:next w:val="Tablaconcuadrcula"/>
    <w:rsid w:val="009B6A5A"/>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FA3"/>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independiente2">
    <w:name w:val="Body Text 2"/>
    <w:basedOn w:val="Normal"/>
    <w:link w:val="Textoindependiente2Car"/>
    <w:uiPriority w:val="99"/>
    <w:unhideWhenUsed/>
    <w:rsid w:val="00376F59"/>
    <w:pPr>
      <w:spacing w:after="120" w:line="480" w:lineRule="auto"/>
    </w:pPr>
  </w:style>
  <w:style w:type="character" w:customStyle="1" w:styleId="Textoindependiente2Car">
    <w:name w:val="Texto independiente 2 Car"/>
    <w:basedOn w:val="Fuentedeprrafopredeter"/>
    <w:link w:val="Textoindependiente2"/>
    <w:uiPriority w:val="99"/>
    <w:rsid w:val="00376F59"/>
  </w:style>
  <w:style w:type="paragraph" w:styleId="Ttulo">
    <w:name w:val="Title"/>
    <w:basedOn w:val="Normal"/>
    <w:link w:val="TtuloCar"/>
    <w:qFormat/>
    <w:rsid w:val="00376F59"/>
    <w:pPr>
      <w:spacing w:after="0" w:line="240" w:lineRule="auto"/>
      <w:jc w:val="center"/>
    </w:pPr>
    <w:rPr>
      <w:rFonts w:ascii="Arial Narrow" w:eastAsia="Times New Roman" w:hAnsi="Arial Narrow" w:cs="Times New Roman"/>
      <w:b/>
      <w:bCs/>
      <w:sz w:val="24"/>
      <w:szCs w:val="24"/>
      <w:lang w:val="es-ES" w:eastAsia="es-ES"/>
    </w:rPr>
  </w:style>
  <w:style w:type="character" w:customStyle="1" w:styleId="TtuloCar">
    <w:name w:val="Título Car"/>
    <w:basedOn w:val="Fuentedeprrafopredeter"/>
    <w:link w:val="Ttulo"/>
    <w:rsid w:val="00376F59"/>
    <w:rPr>
      <w:rFonts w:ascii="Arial Narrow" w:eastAsia="Times New Roman" w:hAnsi="Arial Narrow" w:cs="Times New Roman"/>
      <w:b/>
      <w:bCs/>
      <w:sz w:val="24"/>
      <w:szCs w:val="24"/>
      <w:lang w:val="es-ES" w:eastAsia="es-ES"/>
    </w:rPr>
  </w:style>
  <w:style w:type="paragraph" w:customStyle="1" w:styleId="Texto">
    <w:name w:val="Texto"/>
    <w:basedOn w:val="Normal"/>
    <w:link w:val="TextoCar"/>
    <w:qFormat/>
    <w:rsid w:val="00376F59"/>
    <w:pPr>
      <w:spacing w:after="101" w:line="216" w:lineRule="exact"/>
      <w:ind w:firstLine="288"/>
      <w:jc w:val="both"/>
    </w:pPr>
    <w:rPr>
      <w:rFonts w:ascii="Arial" w:eastAsia="Times New Roman" w:hAnsi="Arial" w:cs="Times New Roman"/>
      <w:sz w:val="18"/>
      <w:szCs w:val="20"/>
      <w:lang w:val="es-ES" w:eastAsia="es-ES"/>
    </w:rPr>
  </w:style>
  <w:style w:type="character" w:customStyle="1" w:styleId="TextoCar">
    <w:name w:val="Texto Car"/>
    <w:link w:val="Texto"/>
    <w:locked/>
    <w:rsid w:val="00376F59"/>
    <w:rPr>
      <w:rFonts w:ascii="Arial" w:eastAsia="Times New Roman" w:hAnsi="Arial" w:cs="Times New Roman"/>
      <w:sz w:val="18"/>
      <w:szCs w:val="20"/>
      <w:lang w:val="es-ES" w:eastAsia="es-ES"/>
    </w:rPr>
  </w:style>
  <w:style w:type="paragraph" w:customStyle="1" w:styleId="ROMANOS">
    <w:name w:val="ROMANOS"/>
    <w:basedOn w:val="Normal"/>
    <w:link w:val="ROMANOSCar"/>
    <w:rsid w:val="00376F59"/>
    <w:pPr>
      <w:tabs>
        <w:tab w:val="left" w:pos="720"/>
      </w:tabs>
      <w:spacing w:after="101" w:line="216" w:lineRule="exact"/>
      <w:ind w:left="720" w:hanging="432"/>
      <w:jc w:val="both"/>
    </w:pPr>
    <w:rPr>
      <w:rFonts w:ascii="Arial" w:eastAsia="Times New Roman" w:hAnsi="Arial" w:cs="Times New Roman"/>
      <w:sz w:val="18"/>
      <w:szCs w:val="18"/>
      <w:lang w:val="es-ES" w:eastAsia="es-ES"/>
    </w:rPr>
  </w:style>
  <w:style w:type="character" w:customStyle="1" w:styleId="ROMANOSCar">
    <w:name w:val="ROMANOS Car"/>
    <w:link w:val="ROMANOS"/>
    <w:locked/>
    <w:rsid w:val="00376F59"/>
    <w:rPr>
      <w:rFonts w:ascii="Arial" w:eastAsia="Times New Roman" w:hAnsi="Arial" w:cs="Times New Roman"/>
      <w:sz w:val="18"/>
      <w:szCs w:val="18"/>
      <w:lang w:val="es-ES" w:eastAsia="es-ES"/>
    </w:rPr>
  </w:style>
  <w:style w:type="paragraph" w:styleId="Encabezado">
    <w:name w:val="header"/>
    <w:basedOn w:val="Normal"/>
    <w:link w:val="EncabezadoCar"/>
    <w:uiPriority w:val="99"/>
    <w:unhideWhenUsed/>
    <w:rsid w:val="008A68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6873"/>
  </w:style>
  <w:style w:type="paragraph" w:styleId="Piedepgina">
    <w:name w:val="footer"/>
    <w:basedOn w:val="Normal"/>
    <w:link w:val="PiedepginaCar"/>
    <w:uiPriority w:val="99"/>
    <w:unhideWhenUsed/>
    <w:rsid w:val="008A68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6873"/>
  </w:style>
  <w:style w:type="paragraph" w:styleId="Textodeglobo">
    <w:name w:val="Balloon Text"/>
    <w:basedOn w:val="Normal"/>
    <w:link w:val="TextodegloboCar"/>
    <w:uiPriority w:val="99"/>
    <w:semiHidden/>
    <w:unhideWhenUsed/>
    <w:rsid w:val="008A68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6873"/>
    <w:rPr>
      <w:rFonts w:ascii="Tahoma" w:hAnsi="Tahoma" w:cs="Tahoma"/>
      <w:sz w:val="16"/>
      <w:szCs w:val="16"/>
    </w:rPr>
  </w:style>
  <w:style w:type="character" w:styleId="Refdecomentario">
    <w:name w:val="annotation reference"/>
    <w:basedOn w:val="Fuentedeprrafopredeter"/>
    <w:uiPriority w:val="99"/>
    <w:semiHidden/>
    <w:unhideWhenUsed/>
    <w:rsid w:val="00BD256D"/>
    <w:rPr>
      <w:sz w:val="16"/>
      <w:szCs w:val="16"/>
    </w:rPr>
  </w:style>
  <w:style w:type="paragraph" w:styleId="Textocomentario">
    <w:name w:val="annotation text"/>
    <w:basedOn w:val="Normal"/>
    <w:link w:val="TextocomentarioCar"/>
    <w:uiPriority w:val="99"/>
    <w:semiHidden/>
    <w:unhideWhenUsed/>
    <w:rsid w:val="00BD256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D256D"/>
    <w:rPr>
      <w:sz w:val="20"/>
      <w:szCs w:val="20"/>
    </w:rPr>
  </w:style>
  <w:style w:type="paragraph" w:styleId="Asuntodelcomentario">
    <w:name w:val="annotation subject"/>
    <w:basedOn w:val="Textocomentario"/>
    <w:next w:val="Textocomentario"/>
    <w:link w:val="AsuntodelcomentarioCar"/>
    <w:uiPriority w:val="99"/>
    <w:semiHidden/>
    <w:unhideWhenUsed/>
    <w:rsid w:val="00BD256D"/>
    <w:rPr>
      <w:b/>
      <w:bCs/>
    </w:rPr>
  </w:style>
  <w:style w:type="character" w:customStyle="1" w:styleId="AsuntodelcomentarioCar">
    <w:name w:val="Asunto del comentario Car"/>
    <w:basedOn w:val="TextocomentarioCar"/>
    <w:link w:val="Asuntodelcomentario"/>
    <w:uiPriority w:val="99"/>
    <w:semiHidden/>
    <w:rsid w:val="00BD256D"/>
    <w:rPr>
      <w:b/>
      <w:bCs/>
      <w:sz w:val="20"/>
      <w:szCs w:val="20"/>
    </w:rPr>
  </w:style>
  <w:style w:type="paragraph" w:styleId="Prrafodelista">
    <w:name w:val="List Paragraph"/>
    <w:basedOn w:val="Normal"/>
    <w:uiPriority w:val="34"/>
    <w:qFormat/>
    <w:rsid w:val="00B86AB2"/>
    <w:pPr>
      <w:ind w:left="720"/>
      <w:contextualSpacing/>
    </w:pPr>
  </w:style>
  <w:style w:type="table" w:customStyle="1" w:styleId="Tablaconcuadrcula1">
    <w:name w:val="Tabla con cuadrícula1"/>
    <w:basedOn w:val="Tablanormal"/>
    <w:next w:val="Tablaconcuadrcula"/>
    <w:rsid w:val="00376834"/>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
    <w:name w:val="Tabla con cuadrícula2"/>
    <w:basedOn w:val="Tablanormal"/>
    <w:next w:val="Tablaconcuadrcula"/>
    <w:rsid w:val="009B6A5A"/>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9786">
      <w:bodyDiv w:val="1"/>
      <w:marLeft w:val="0"/>
      <w:marRight w:val="0"/>
      <w:marTop w:val="0"/>
      <w:marBottom w:val="0"/>
      <w:divBdr>
        <w:top w:val="none" w:sz="0" w:space="0" w:color="auto"/>
        <w:left w:val="none" w:sz="0" w:space="0" w:color="auto"/>
        <w:bottom w:val="none" w:sz="0" w:space="0" w:color="auto"/>
        <w:right w:val="none" w:sz="0" w:space="0" w:color="auto"/>
      </w:divBdr>
    </w:div>
    <w:div w:id="44768331">
      <w:bodyDiv w:val="1"/>
      <w:marLeft w:val="0"/>
      <w:marRight w:val="0"/>
      <w:marTop w:val="0"/>
      <w:marBottom w:val="0"/>
      <w:divBdr>
        <w:top w:val="none" w:sz="0" w:space="0" w:color="auto"/>
        <w:left w:val="none" w:sz="0" w:space="0" w:color="auto"/>
        <w:bottom w:val="none" w:sz="0" w:space="0" w:color="auto"/>
        <w:right w:val="none" w:sz="0" w:space="0" w:color="auto"/>
      </w:divBdr>
    </w:div>
    <w:div w:id="56823925">
      <w:bodyDiv w:val="1"/>
      <w:marLeft w:val="0"/>
      <w:marRight w:val="0"/>
      <w:marTop w:val="0"/>
      <w:marBottom w:val="0"/>
      <w:divBdr>
        <w:top w:val="none" w:sz="0" w:space="0" w:color="auto"/>
        <w:left w:val="none" w:sz="0" w:space="0" w:color="auto"/>
        <w:bottom w:val="none" w:sz="0" w:space="0" w:color="auto"/>
        <w:right w:val="none" w:sz="0" w:space="0" w:color="auto"/>
      </w:divBdr>
    </w:div>
    <w:div w:id="77412650">
      <w:bodyDiv w:val="1"/>
      <w:marLeft w:val="0"/>
      <w:marRight w:val="0"/>
      <w:marTop w:val="0"/>
      <w:marBottom w:val="0"/>
      <w:divBdr>
        <w:top w:val="none" w:sz="0" w:space="0" w:color="auto"/>
        <w:left w:val="none" w:sz="0" w:space="0" w:color="auto"/>
        <w:bottom w:val="none" w:sz="0" w:space="0" w:color="auto"/>
        <w:right w:val="none" w:sz="0" w:space="0" w:color="auto"/>
      </w:divBdr>
    </w:div>
    <w:div w:id="111246267">
      <w:bodyDiv w:val="1"/>
      <w:marLeft w:val="0"/>
      <w:marRight w:val="0"/>
      <w:marTop w:val="0"/>
      <w:marBottom w:val="0"/>
      <w:divBdr>
        <w:top w:val="none" w:sz="0" w:space="0" w:color="auto"/>
        <w:left w:val="none" w:sz="0" w:space="0" w:color="auto"/>
        <w:bottom w:val="none" w:sz="0" w:space="0" w:color="auto"/>
        <w:right w:val="none" w:sz="0" w:space="0" w:color="auto"/>
      </w:divBdr>
    </w:div>
    <w:div w:id="174610378">
      <w:bodyDiv w:val="1"/>
      <w:marLeft w:val="0"/>
      <w:marRight w:val="0"/>
      <w:marTop w:val="0"/>
      <w:marBottom w:val="0"/>
      <w:divBdr>
        <w:top w:val="none" w:sz="0" w:space="0" w:color="auto"/>
        <w:left w:val="none" w:sz="0" w:space="0" w:color="auto"/>
        <w:bottom w:val="none" w:sz="0" w:space="0" w:color="auto"/>
        <w:right w:val="none" w:sz="0" w:space="0" w:color="auto"/>
      </w:divBdr>
    </w:div>
    <w:div w:id="407732176">
      <w:bodyDiv w:val="1"/>
      <w:marLeft w:val="0"/>
      <w:marRight w:val="0"/>
      <w:marTop w:val="0"/>
      <w:marBottom w:val="0"/>
      <w:divBdr>
        <w:top w:val="none" w:sz="0" w:space="0" w:color="auto"/>
        <w:left w:val="none" w:sz="0" w:space="0" w:color="auto"/>
        <w:bottom w:val="none" w:sz="0" w:space="0" w:color="auto"/>
        <w:right w:val="none" w:sz="0" w:space="0" w:color="auto"/>
      </w:divBdr>
    </w:div>
    <w:div w:id="473065706">
      <w:bodyDiv w:val="1"/>
      <w:marLeft w:val="0"/>
      <w:marRight w:val="0"/>
      <w:marTop w:val="0"/>
      <w:marBottom w:val="0"/>
      <w:divBdr>
        <w:top w:val="none" w:sz="0" w:space="0" w:color="auto"/>
        <w:left w:val="none" w:sz="0" w:space="0" w:color="auto"/>
        <w:bottom w:val="none" w:sz="0" w:space="0" w:color="auto"/>
        <w:right w:val="none" w:sz="0" w:space="0" w:color="auto"/>
      </w:divBdr>
    </w:div>
    <w:div w:id="542332577">
      <w:bodyDiv w:val="1"/>
      <w:marLeft w:val="0"/>
      <w:marRight w:val="0"/>
      <w:marTop w:val="0"/>
      <w:marBottom w:val="0"/>
      <w:divBdr>
        <w:top w:val="none" w:sz="0" w:space="0" w:color="auto"/>
        <w:left w:val="none" w:sz="0" w:space="0" w:color="auto"/>
        <w:bottom w:val="none" w:sz="0" w:space="0" w:color="auto"/>
        <w:right w:val="none" w:sz="0" w:space="0" w:color="auto"/>
      </w:divBdr>
    </w:div>
    <w:div w:id="711921553">
      <w:bodyDiv w:val="1"/>
      <w:marLeft w:val="0"/>
      <w:marRight w:val="0"/>
      <w:marTop w:val="0"/>
      <w:marBottom w:val="0"/>
      <w:divBdr>
        <w:top w:val="none" w:sz="0" w:space="0" w:color="auto"/>
        <w:left w:val="none" w:sz="0" w:space="0" w:color="auto"/>
        <w:bottom w:val="none" w:sz="0" w:space="0" w:color="auto"/>
        <w:right w:val="none" w:sz="0" w:space="0" w:color="auto"/>
      </w:divBdr>
    </w:div>
    <w:div w:id="775296242">
      <w:bodyDiv w:val="1"/>
      <w:marLeft w:val="0"/>
      <w:marRight w:val="0"/>
      <w:marTop w:val="0"/>
      <w:marBottom w:val="0"/>
      <w:divBdr>
        <w:top w:val="none" w:sz="0" w:space="0" w:color="auto"/>
        <w:left w:val="none" w:sz="0" w:space="0" w:color="auto"/>
        <w:bottom w:val="none" w:sz="0" w:space="0" w:color="auto"/>
        <w:right w:val="none" w:sz="0" w:space="0" w:color="auto"/>
      </w:divBdr>
    </w:div>
    <w:div w:id="798575402">
      <w:bodyDiv w:val="1"/>
      <w:marLeft w:val="0"/>
      <w:marRight w:val="0"/>
      <w:marTop w:val="0"/>
      <w:marBottom w:val="0"/>
      <w:divBdr>
        <w:top w:val="none" w:sz="0" w:space="0" w:color="auto"/>
        <w:left w:val="none" w:sz="0" w:space="0" w:color="auto"/>
        <w:bottom w:val="none" w:sz="0" w:space="0" w:color="auto"/>
        <w:right w:val="none" w:sz="0" w:space="0" w:color="auto"/>
      </w:divBdr>
    </w:div>
    <w:div w:id="855198172">
      <w:bodyDiv w:val="1"/>
      <w:marLeft w:val="0"/>
      <w:marRight w:val="0"/>
      <w:marTop w:val="0"/>
      <w:marBottom w:val="0"/>
      <w:divBdr>
        <w:top w:val="none" w:sz="0" w:space="0" w:color="auto"/>
        <w:left w:val="none" w:sz="0" w:space="0" w:color="auto"/>
        <w:bottom w:val="none" w:sz="0" w:space="0" w:color="auto"/>
        <w:right w:val="none" w:sz="0" w:space="0" w:color="auto"/>
      </w:divBdr>
    </w:div>
    <w:div w:id="960068948">
      <w:bodyDiv w:val="1"/>
      <w:marLeft w:val="0"/>
      <w:marRight w:val="0"/>
      <w:marTop w:val="0"/>
      <w:marBottom w:val="0"/>
      <w:divBdr>
        <w:top w:val="none" w:sz="0" w:space="0" w:color="auto"/>
        <w:left w:val="none" w:sz="0" w:space="0" w:color="auto"/>
        <w:bottom w:val="none" w:sz="0" w:space="0" w:color="auto"/>
        <w:right w:val="none" w:sz="0" w:space="0" w:color="auto"/>
      </w:divBdr>
    </w:div>
    <w:div w:id="995062659">
      <w:bodyDiv w:val="1"/>
      <w:marLeft w:val="0"/>
      <w:marRight w:val="0"/>
      <w:marTop w:val="0"/>
      <w:marBottom w:val="0"/>
      <w:divBdr>
        <w:top w:val="none" w:sz="0" w:space="0" w:color="auto"/>
        <w:left w:val="none" w:sz="0" w:space="0" w:color="auto"/>
        <w:bottom w:val="none" w:sz="0" w:space="0" w:color="auto"/>
        <w:right w:val="none" w:sz="0" w:space="0" w:color="auto"/>
      </w:divBdr>
    </w:div>
    <w:div w:id="1438064988">
      <w:bodyDiv w:val="1"/>
      <w:marLeft w:val="0"/>
      <w:marRight w:val="0"/>
      <w:marTop w:val="0"/>
      <w:marBottom w:val="0"/>
      <w:divBdr>
        <w:top w:val="none" w:sz="0" w:space="0" w:color="auto"/>
        <w:left w:val="none" w:sz="0" w:space="0" w:color="auto"/>
        <w:bottom w:val="none" w:sz="0" w:space="0" w:color="auto"/>
        <w:right w:val="none" w:sz="0" w:space="0" w:color="auto"/>
      </w:divBdr>
    </w:div>
    <w:div w:id="1451321063">
      <w:bodyDiv w:val="1"/>
      <w:marLeft w:val="0"/>
      <w:marRight w:val="0"/>
      <w:marTop w:val="0"/>
      <w:marBottom w:val="0"/>
      <w:divBdr>
        <w:top w:val="none" w:sz="0" w:space="0" w:color="auto"/>
        <w:left w:val="none" w:sz="0" w:space="0" w:color="auto"/>
        <w:bottom w:val="none" w:sz="0" w:space="0" w:color="auto"/>
        <w:right w:val="none" w:sz="0" w:space="0" w:color="auto"/>
      </w:divBdr>
    </w:div>
    <w:div w:id="1508980255">
      <w:bodyDiv w:val="1"/>
      <w:marLeft w:val="0"/>
      <w:marRight w:val="0"/>
      <w:marTop w:val="0"/>
      <w:marBottom w:val="0"/>
      <w:divBdr>
        <w:top w:val="none" w:sz="0" w:space="0" w:color="auto"/>
        <w:left w:val="none" w:sz="0" w:space="0" w:color="auto"/>
        <w:bottom w:val="none" w:sz="0" w:space="0" w:color="auto"/>
        <w:right w:val="none" w:sz="0" w:space="0" w:color="auto"/>
      </w:divBdr>
    </w:div>
    <w:div w:id="1575433232">
      <w:bodyDiv w:val="1"/>
      <w:marLeft w:val="0"/>
      <w:marRight w:val="0"/>
      <w:marTop w:val="0"/>
      <w:marBottom w:val="0"/>
      <w:divBdr>
        <w:top w:val="none" w:sz="0" w:space="0" w:color="auto"/>
        <w:left w:val="none" w:sz="0" w:space="0" w:color="auto"/>
        <w:bottom w:val="none" w:sz="0" w:space="0" w:color="auto"/>
        <w:right w:val="none" w:sz="0" w:space="0" w:color="auto"/>
      </w:divBdr>
    </w:div>
    <w:div w:id="1659648233">
      <w:bodyDiv w:val="1"/>
      <w:marLeft w:val="0"/>
      <w:marRight w:val="0"/>
      <w:marTop w:val="0"/>
      <w:marBottom w:val="0"/>
      <w:divBdr>
        <w:top w:val="none" w:sz="0" w:space="0" w:color="auto"/>
        <w:left w:val="none" w:sz="0" w:space="0" w:color="auto"/>
        <w:bottom w:val="none" w:sz="0" w:space="0" w:color="auto"/>
        <w:right w:val="none" w:sz="0" w:space="0" w:color="auto"/>
      </w:divBdr>
    </w:div>
    <w:div w:id="1717504334">
      <w:bodyDiv w:val="1"/>
      <w:marLeft w:val="0"/>
      <w:marRight w:val="0"/>
      <w:marTop w:val="0"/>
      <w:marBottom w:val="0"/>
      <w:divBdr>
        <w:top w:val="none" w:sz="0" w:space="0" w:color="auto"/>
        <w:left w:val="none" w:sz="0" w:space="0" w:color="auto"/>
        <w:bottom w:val="none" w:sz="0" w:space="0" w:color="auto"/>
        <w:right w:val="none" w:sz="0" w:space="0" w:color="auto"/>
      </w:divBdr>
    </w:div>
    <w:div w:id="171935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6090F-B06B-42CA-8168-669AE7051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2790</Words>
  <Characters>15347</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Eduar Raul Chi Santana</cp:lastModifiedBy>
  <cp:revision>2</cp:revision>
  <cp:lastPrinted>2019-02-26T17:33:00Z</cp:lastPrinted>
  <dcterms:created xsi:type="dcterms:W3CDTF">2019-05-16T14:12:00Z</dcterms:created>
  <dcterms:modified xsi:type="dcterms:W3CDTF">2019-05-16T14:12:00Z</dcterms:modified>
</cp:coreProperties>
</file>