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F76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Cuenta Pública</w:t>
      </w:r>
      <w:r w:rsidR="001342E6">
        <w:rPr>
          <w:rFonts w:cs="Arial"/>
          <w:b/>
          <w:sz w:val="20"/>
          <w:szCs w:val="20"/>
        </w:rPr>
        <w:t xml:space="preserve"> 201</w:t>
      </w:r>
      <w:r w:rsidR="009F0245">
        <w:rPr>
          <w:rFonts w:cs="Arial"/>
          <w:b/>
          <w:sz w:val="20"/>
          <w:szCs w:val="20"/>
        </w:rPr>
        <w:t>9</w:t>
      </w: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Informe de Pasivos Contingentes</w:t>
      </w:r>
    </w:p>
    <w:p w:rsidR="006F3019" w:rsidRPr="00457893" w:rsidRDefault="002B0C2A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A</w:t>
      </w:r>
      <w:r w:rsidR="0007311C">
        <w:rPr>
          <w:rFonts w:cs="Arial"/>
          <w:b/>
          <w:sz w:val="20"/>
          <w:szCs w:val="20"/>
        </w:rPr>
        <w:t>l 31 de Marzo</w:t>
      </w:r>
      <w:r w:rsidR="000A2800">
        <w:rPr>
          <w:rFonts w:cs="Arial"/>
          <w:b/>
          <w:sz w:val="20"/>
          <w:szCs w:val="20"/>
        </w:rPr>
        <w:t xml:space="preserve"> de 201</w:t>
      </w:r>
      <w:r w:rsidR="009F0245">
        <w:rPr>
          <w:rFonts w:cs="Arial"/>
          <w:b/>
          <w:sz w:val="20"/>
          <w:szCs w:val="20"/>
        </w:rPr>
        <w:t>9</w:t>
      </w: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(Pesos)</w:t>
      </w: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</w:p>
    <w:p w:rsidR="006F3019" w:rsidRPr="00442E26" w:rsidRDefault="006641BD" w:rsidP="006F3019">
      <w:pPr>
        <w:spacing w:line="24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Ente Público:</w:t>
      </w:r>
      <w:r w:rsidR="00407CEA">
        <w:rPr>
          <w:rFonts w:cs="Arial"/>
          <w:b/>
          <w:sz w:val="20"/>
          <w:szCs w:val="20"/>
        </w:rPr>
        <w:t xml:space="preserve"> </w:t>
      </w:r>
      <w:r w:rsidR="00D132B6">
        <w:rPr>
          <w:rFonts w:cs="Arial"/>
          <w:b/>
          <w:sz w:val="20"/>
          <w:szCs w:val="20"/>
        </w:rPr>
        <w:t>INSTITUTO PARA LA CONSTRUCCIÓN Y CONSERVACIÓN DE OBRA PÚBLICA EN YUCATÁN</w:t>
      </w:r>
    </w:p>
    <w:tbl>
      <w:tblPr>
        <w:tblW w:w="12093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4"/>
        <w:gridCol w:w="3770"/>
        <w:gridCol w:w="170"/>
        <w:gridCol w:w="676"/>
        <w:gridCol w:w="1491"/>
        <w:gridCol w:w="438"/>
        <w:gridCol w:w="2014"/>
        <w:gridCol w:w="710"/>
      </w:tblGrid>
      <w:tr w:rsidR="00D132B6" w:rsidRPr="004163FA" w:rsidTr="00D132B6">
        <w:trPr>
          <w:trHeight w:val="269"/>
        </w:trPr>
        <w:tc>
          <w:tcPr>
            <w:tcW w:w="12093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32B6" w:rsidRPr="004163FA" w:rsidRDefault="00D132B6" w:rsidP="00D132B6">
            <w:pPr>
              <w:spacing w:after="0" w:line="240" w:lineRule="auto"/>
              <w:jc w:val="both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4163FA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MX"/>
              </w:rPr>
              <w:t xml:space="preserve">Esta cuenta representa el monto </w:t>
            </w:r>
            <w: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MX"/>
              </w:rPr>
              <w:t xml:space="preserve"> de los juicios laborales que se encuentran en proceso de resolución, mismos que se encuentran registrados en las cuentas de orden de esta Entida</w:t>
            </w:r>
            <w:r w:rsidR="00C63D13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MX"/>
              </w:rPr>
              <w:t>d. al 28 de Febrero</w:t>
            </w:r>
            <w:r w:rsidR="007C7722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MX"/>
              </w:rPr>
              <w:t xml:space="preserve"> del  2019</w:t>
            </w:r>
            <w: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MX"/>
              </w:rPr>
              <w:t xml:space="preserve"> se relaciona  los siguientes montos estimados:</w:t>
            </w:r>
          </w:p>
        </w:tc>
      </w:tr>
      <w:tr w:rsidR="00D132B6" w:rsidRPr="004163FA" w:rsidTr="00D132B6">
        <w:trPr>
          <w:trHeight w:val="885"/>
        </w:trPr>
        <w:tc>
          <w:tcPr>
            <w:tcW w:w="12093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132B6" w:rsidRPr="004163FA" w:rsidRDefault="00D132B6" w:rsidP="00D132B6">
            <w:pPr>
              <w:spacing w:after="0" w:line="240" w:lineRule="auto"/>
              <w:jc w:val="both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</w:tr>
      <w:tr w:rsidR="00D132B6" w:rsidRPr="004163FA" w:rsidTr="00D132B6">
        <w:trPr>
          <w:gridAfter w:val="2"/>
          <w:wAfter w:w="2246" w:type="dxa"/>
          <w:trHeight w:val="225"/>
        </w:trPr>
        <w:tc>
          <w:tcPr>
            <w:tcW w:w="6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32B6" w:rsidRPr="004163FA" w:rsidRDefault="00D132B6" w:rsidP="00D132B6">
            <w:pPr>
              <w:spacing w:after="0" w:line="240" w:lineRule="auto"/>
              <w:jc w:val="both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32B6" w:rsidRPr="004163FA" w:rsidRDefault="00D132B6" w:rsidP="00D132B6">
            <w:pPr>
              <w:spacing w:after="0" w:line="240" w:lineRule="auto"/>
              <w:jc w:val="both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32B6" w:rsidRPr="004163FA" w:rsidRDefault="00D132B6" w:rsidP="00D132B6">
            <w:pPr>
              <w:spacing w:after="0" w:line="240" w:lineRule="auto"/>
              <w:jc w:val="both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9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32B6" w:rsidRPr="004163FA" w:rsidRDefault="00D132B6" w:rsidP="00D132B6">
            <w:pPr>
              <w:spacing w:after="0" w:line="240" w:lineRule="auto"/>
              <w:jc w:val="both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</w:tr>
      <w:tr w:rsidR="00D132B6" w:rsidRPr="004163FA" w:rsidTr="00D132B6">
        <w:trPr>
          <w:gridAfter w:val="1"/>
          <w:wAfter w:w="710" w:type="dxa"/>
          <w:trHeight w:val="300"/>
        </w:trPr>
        <w:tc>
          <w:tcPr>
            <w:tcW w:w="2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132B6" w:rsidRPr="004163FA" w:rsidRDefault="00D132B6" w:rsidP="00D132B6">
            <w:pPr>
              <w:spacing w:after="0" w:line="240" w:lineRule="auto"/>
              <w:jc w:val="both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MX"/>
              </w:rPr>
              <w:t>NÚMERO DE EXPEDIENTE</w:t>
            </w:r>
          </w:p>
        </w:tc>
        <w:tc>
          <w:tcPr>
            <w:tcW w:w="610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D132B6" w:rsidRPr="004163FA" w:rsidRDefault="00D132B6" w:rsidP="00D132B6">
            <w:pPr>
              <w:spacing w:after="0" w:line="240" w:lineRule="auto"/>
              <w:jc w:val="both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MX"/>
              </w:rPr>
              <w:t>DEMANDANTE</w:t>
            </w:r>
          </w:p>
        </w:tc>
        <w:tc>
          <w:tcPr>
            <w:tcW w:w="24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D132B6" w:rsidRPr="004163FA" w:rsidRDefault="00D132B6" w:rsidP="00D132B6">
            <w:pPr>
              <w:spacing w:after="0" w:line="240" w:lineRule="auto"/>
              <w:jc w:val="both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MX"/>
              </w:rPr>
              <w:t>MONTO ESTIMADO</w:t>
            </w:r>
          </w:p>
        </w:tc>
      </w:tr>
      <w:tr w:rsidR="00D132B6" w:rsidRPr="001735DC" w:rsidTr="00D132B6">
        <w:trPr>
          <w:gridAfter w:val="1"/>
          <w:wAfter w:w="710" w:type="dxa"/>
          <w:trHeight w:val="300"/>
        </w:trPr>
        <w:tc>
          <w:tcPr>
            <w:tcW w:w="2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132B6" w:rsidRPr="001735DC" w:rsidRDefault="00D132B6" w:rsidP="00D132B6">
            <w:pPr>
              <w:spacing w:after="0" w:line="240" w:lineRule="auto"/>
              <w:jc w:val="both"/>
              <w:rPr>
                <w:rFonts w:eastAsia="Times New Roman" w:cs="Arial"/>
                <w:bCs/>
                <w:color w:val="000000"/>
                <w:sz w:val="20"/>
                <w:szCs w:val="20"/>
                <w:lang w:eastAsia="es-MX"/>
              </w:rPr>
            </w:pPr>
            <w:r w:rsidRPr="001735DC">
              <w:rPr>
                <w:rFonts w:eastAsia="Times New Roman" w:cs="Arial"/>
                <w:bCs/>
                <w:color w:val="000000"/>
                <w:sz w:val="20"/>
                <w:szCs w:val="20"/>
                <w:lang w:eastAsia="es-MX"/>
              </w:rPr>
              <w:t>118/2015</w:t>
            </w:r>
          </w:p>
        </w:tc>
        <w:tc>
          <w:tcPr>
            <w:tcW w:w="610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D132B6" w:rsidRPr="001735DC" w:rsidRDefault="00D132B6" w:rsidP="00D132B6">
            <w:pPr>
              <w:spacing w:after="0" w:line="240" w:lineRule="auto"/>
              <w:jc w:val="both"/>
              <w:rPr>
                <w:rFonts w:eastAsia="Times New Roman" w:cs="Arial"/>
                <w:bCs/>
                <w:color w:val="000000"/>
                <w:sz w:val="20"/>
                <w:szCs w:val="20"/>
                <w:lang w:eastAsia="es-MX"/>
              </w:rPr>
            </w:pPr>
            <w:r w:rsidRPr="001735DC">
              <w:rPr>
                <w:rFonts w:eastAsia="Times New Roman" w:cs="Arial"/>
                <w:bCs/>
                <w:color w:val="000000"/>
                <w:sz w:val="20"/>
                <w:szCs w:val="20"/>
                <w:lang w:eastAsia="es-MX"/>
              </w:rPr>
              <w:t>Joaqu</w:t>
            </w:r>
            <w:r>
              <w:rPr>
                <w:rFonts w:eastAsia="Times New Roman" w:cs="Arial"/>
                <w:bCs/>
                <w:color w:val="000000"/>
                <w:sz w:val="20"/>
                <w:szCs w:val="20"/>
                <w:lang w:eastAsia="es-MX"/>
              </w:rPr>
              <w:t>i</w:t>
            </w:r>
            <w:r w:rsidRPr="001735DC">
              <w:rPr>
                <w:rFonts w:eastAsia="Times New Roman" w:cs="Arial"/>
                <w:bCs/>
                <w:color w:val="000000"/>
                <w:sz w:val="20"/>
                <w:szCs w:val="20"/>
                <w:lang w:eastAsia="es-MX"/>
              </w:rPr>
              <w:t>n Méndez Tuz</w:t>
            </w:r>
          </w:p>
        </w:tc>
        <w:tc>
          <w:tcPr>
            <w:tcW w:w="24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D132B6" w:rsidRPr="001735DC" w:rsidRDefault="00CC3F40" w:rsidP="00D132B6">
            <w:pPr>
              <w:spacing w:after="0" w:line="240" w:lineRule="auto"/>
              <w:jc w:val="both"/>
              <w:rPr>
                <w:rFonts w:eastAsia="Times New Roman" w:cs="Arial"/>
                <w:bCs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="Arial"/>
                <w:bCs/>
                <w:color w:val="000000"/>
                <w:sz w:val="20"/>
                <w:szCs w:val="20"/>
                <w:lang w:eastAsia="es-MX"/>
              </w:rPr>
              <w:t>$250,000</w:t>
            </w:r>
          </w:p>
        </w:tc>
      </w:tr>
      <w:tr w:rsidR="00D132B6" w:rsidRPr="001735DC" w:rsidTr="00D132B6">
        <w:trPr>
          <w:gridAfter w:val="1"/>
          <w:wAfter w:w="710" w:type="dxa"/>
          <w:trHeight w:val="300"/>
        </w:trPr>
        <w:tc>
          <w:tcPr>
            <w:tcW w:w="2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132B6" w:rsidRPr="001735DC" w:rsidRDefault="00D132B6" w:rsidP="00D132B6">
            <w:pPr>
              <w:spacing w:after="0" w:line="240" w:lineRule="auto"/>
              <w:jc w:val="both"/>
              <w:rPr>
                <w:rFonts w:eastAsia="Times New Roman" w:cs="Arial"/>
                <w:bCs/>
                <w:color w:val="000000"/>
                <w:sz w:val="20"/>
                <w:szCs w:val="20"/>
                <w:lang w:eastAsia="es-MX"/>
              </w:rPr>
            </w:pPr>
            <w:r w:rsidRPr="001735DC">
              <w:rPr>
                <w:rFonts w:eastAsia="Times New Roman" w:cs="Arial"/>
                <w:bCs/>
                <w:color w:val="000000"/>
                <w:sz w:val="20"/>
                <w:szCs w:val="20"/>
                <w:lang w:eastAsia="es-MX"/>
              </w:rPr>
              <w:t>661/2015</w:t>
            </w:r>
          </w:p>
        </w:tc>
        <w:tc>
          <w:tcPr>
            <w:tcW w:w="610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D132B6" w:rsidRPr="001735DC" w:rsidRDefault="00D132B6" w:rsidP="00D132B6">
            <w:pPr>
              <w:spacing w:after="0" w:line="240" w:lineRule="auto"/>
              <w:jc w:val="both"/>
              <w:rPr>
                <w:rFonts w:eastAsia="Times New Roman" w:cs="Arial"/>
                <w:bCs/>
                <w:color w:val="000000"/>
                <w:sz w:val="20"/>
                <w:szCs w:val="20"/>
                <w:lang w:eastAsia="es-MX"/>
              </w:rPr>
            </w:pPr>
            <w:r w:rsidRPr="001735DC">
              <w:rPr>
                <w:rFonts w:eastAsia="Times New Roman" w:cs="Arial"/>
                <w:bCs/>
                <w:color w:val="000000"/>
                <w:sz w:val="20"/>
                <w:szCs w:val="20"/>
                <w:lang w:eastAsia="es-MX"/>
              </w:rPr>
              <w:t>Joaquín Méndez Tuz</w:t>
            </w:r>
          </w:p>
        </w:tc>
        <w:tc>
          <w:tcPr>
            <w:tcW w:w="24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D132B6" w:rsidRPr="001735DC" w:rsidRDefault="00CC3F40" w:rsidP="00D132B6">
            <w:pPr>
              <w:spacing w:after="0" w:line="240" w:lineRule="auto"/>
              <w:jc w:val="both"/>
              <w:rPr>
                <w:rFonts w:eastAsia="Times New Roman" w:cs="Arial"/>
                <w:bCs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="Arial"/>
                <w:bCs/>
                <w:color w:val="000000"/>
                <w:sz w:val="20"/>
                <w:szCs w:val="20"/>
                <w:lang w:eastAsia="es-MX"/>
              </w:rPr>
              <w:t>$250,000</w:t>
            </w:r>
          </w:p>
        </w:tc>
      </w:tr>
      <w:tr w:rsidR="00D132B6" w:rsidRPr="001735DC" w:rsidTr="00D132B6">
        <w:trPr>
          <w:gridAfter w:val="1"/>
          <w:wAfter w:w="710" w:type="dxa"/>
          <w:trHeight w:val="300"/>
        </w:trPr>
        <w:tc>
          <w:tcPr>
            <w:tcW w:w="2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132B6" w:rsidRPr="001735DC" w:rsidRDefault="00D132B6" w:rsidP="00D132B6">
            <w:pPr>
              <w:spacing w:after="0" w:line="240" w:lineRule="auto"/>
              <w:jc w:val="both"/>
              <w:rPr>
                <w:rFonts w:eastAsia="Times New Roman" w:cs="Arial"/>
                <w:bCs/>
                <w:color w:val="000000"/>
                <w:sz w:val="20"/>
                <w:szCs w:val="20"/>
                <w:lang w:eastAsia="es-MX"/>
              </w:rPr>
            </w:pPr>
            <w:r w:rsidRPr="001735DC">
              <w:rPr>
                <w:rFonts w:eastAsia="Times New Roman" w:cs="Arial"/>
                <w:bCs/>
                <w:color w:val="000000"/>
                <w:sz w:val="20"/>
                <w:szCs w:val="20"/>
                <w:lang w:eastAsia="es-MX"/>
              </w:rPr>
              <w:t>049/2016</w:t>
            </w:r>
          </w:p>
        </w:tc>
        <w:tc>
          <w:tcPr>
            <w:tcW w:w="610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D132B6" w:rsidRPr="001735DC" w:rsidRDefault="00D132B6" w:rsidP="00D132B6">
            <w:pPr>
              <w:spacing w:after="0" w:line="240" w:lineRule="auto"/>
              <w:jc w:val="both"/>
              <w:rPr>
                <w:rFonts w:eastAsia="Times New Roman" w:cs="Arial"/>
                <w:bCs/>
                <w:color w:val="000000"/>
                <w:sz w:val="20"/>
                <w:szCs w:val="20"/>
                <w:lang w:eastAsia="es-MX"/>
              </w:rPr>
            </w:pPr>
            <w:r w:rsidRPr="001735DC">
              <w:rPr>
                <w:rFonts w:eastAsia="Times New Roman" w:cs="Arial"/>
                <w:bCs/>
                <w:color w:val="000000"/>
                <w:sz w:val="20"/>
                <w:szCs w:val="20"/>
                <w:lang w:eastAsia="es-MX"/>
              </w:rPr>
              <w:t>Juana de la Cruz López Nah</w:t>
            </w:r>
          </w:p>
        </w:tc>
        <w:tc>
          <w:tcPr>
            <w:tcW w:w="24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D132B6" w:rsidRPr="001735DC" w:rsidRDefault="00CC3F40" w:rsidP="00D132B6">
            <w:pPr>
              <w:spacing w:after="0" w:line="240" w:lineRule="auto"/>
              <w:jc w:val="both"/>
              <w:rPr>
                <w:rFonts w:eastAsia="Times New Roman" w:cs="Arial"/>
                <w:bCs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="Arial"/>
                <w:bCs/>
                <w:color w:val="000000"/>
                <w:sz w:val="20"/>
                <w:szCs w:val="20"/>
                <w:lang w:eastAsia="es-MX"/>
              </w:rPr>
              <w:t>$100,000</w:t>
            </w:r>
          </w:p>
        </w:tc>
      </w:tr>
      <w:tr w:rsidR="00D132B6" w:rsidRPr="001735DC" w:rsidTr="00D132B6">
        <w:trPr>
          <w:gridAfter w:val="1"/>
          <w:wAfter w:w="710" w:type="dxa"/>
          <w:trHeight w:val="300"/>
        </w:trPr>
        <w:tc>
          <w:tcPr>
            <w:tcW w:w="2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132B6" w:rsidRPr="001735DC" w:rsidRDefault="00D132B6" w:rsidP="00D132B6">
            <w:pPr>
              <w:spacing w:after="0" w:line="240" w:lineRule="auto"/>
              <w:jc w:val="both"/>
              <w:rPr>
                <w:rFonts w:eastAsia="Times New Roman" w:cs="Arial"/>
                <w:bCs/>
                <w:color w:val="000000"/>
                <w:sz w:val="20"/>
                <w:szCs w:val="20"/>
                <w:lang w:eastAsia="es-MX"/>
              </w:rPr>
            </w:pPr>
            <w:r w:rsidRPr="001735DC">
              <w:rPr>
                <w:rFonts w:eastAsia="Times New Roman" w:cs="Arial"/>
                <w:bCs/>
                <w:color w:val="000000"/>
                <w:sz w:val="20"/>
                <w:szCs w:val="20"/>
                <w:lang w:eastAsia="es-MX"/>
              </w:rPr>
              <w:t>115/2016</w:t>
            </w:r>
          </w:p>
        </w:tc>
        <w:tc>
          <w:tcPr>
            <w:tcW w:w="610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D132B6" w:rsidRPr="001735DC" w:rsidRDefault="00D132B6" w:rsidP="00D132B6">
            <w:pPr>
              <w:spacing w:after="0" w:line="240" w:lineRule="auto"/>
              <w:jc w:val="both"/>
              <w:rPr>
                <w:rFonts w:eastAsia="Times New Roman" w:cs="Arial"/>
                <w:bCs/>
                <w:color w:val="000000"/>
                <w:sz w:val="20"/>
                <w:szCs w:val="20"/>
                <w:lang w:eastAsia="es-MX"/>
              </w:rPr>
            </w:pPr>
            <w:r w:rsidRPr="001735DC">
              <w:rPr>
                <w:rFonts w:eastAsia="Times New Roman" w:cs="Arial"/>
                <w:bCs/>
                <w:color w:val="000000"/>
                <w:sz w:val="20"/>
                <w:szCs w:val="20"/>
                <w:lang w:eastAsia="es-MX"/>
              </w:rPr>
              <w:t>María Cano Felix y Otro</w:t>
            </w:r>
          </w:p>
        </w:tc>
        <w:tc>
          <w:tcPr>
            <w:tcW w:w="24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D132B6" w:rsidRPr="001735DC" w:rsidRDefault="00CC3F40" w:rsidP="00D132B6">
            <w:pPr>
              <w:spacing w:after="0" w:line="240" w:lineRule="auto"/>
              <w:jc w:val="both"/>
              <w:rPr>
                <w:rFonts w:eastAsia="Times New Roman" w:cs="Arial"/>
                <w:bCs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="Arial"/>
                <w:bCs/>
                <w:color w:val="000000"/>
                <w:sz w:val="20"/>
                <w:szCs w:val="20"/>
                <w:lang w:eastAsia="es-MX"/>
              </w:rPr>
              <w:t>$       250</w:t>
            </w:r>
          </w:p>
        </w:tc>
      </w:tr>
      <w:tr w:rsidR="00D132B6" w:rsidRPr="001735DC" w:rsidTr="00D132B6">
        <w:trPr>
          <w:gridAfter w:val="1"/>
          <w:wAfter w:w="710" w:type="dxa"/>
          <w:trHeight w:val="300"/>
        </w:trPr>
        <w:tc>
          <w:tcPr>
            <w:tcW w:w="28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2B6" w:rsidRPr="001735DC" w:rsidRDefault="00D132B6" w:rsidP="00D132B6">
            <w:pPr>
              <w:spacing w:after="0" w:line="240" w:lineRule="auto"/>
              <w:jc w:val="both"/>
              <w:rPr>
                <w:rFonts w:eastAsia="Times New Roman" w:cs="Arial"/>
                <w:bCs/>
                <w:color w:val="000000"/>
                <w:sz w:val="20"/>
                <w:szCs w:val="20"/>
                <w:lang w:eastAsia="es-MX"/>
              </w:rPr>
            </w:pPr>
            <w:r w:rsidRPr="001735DC">
              <w:rPr>
                <w:rFonts w:eastAsia="Times New Roman" w:cs="Arial"/>
                <w:bCs/>
                <w:color w:val="000000"/>
                <w:sz w:val="20"/>
                <w:szCs w:val="20"/>
                <w:lang w:eastAsia="es-MX"/>
              </w:rPr>
              <w:t>628/2015</w:t>
            </w:r>
          </w:p>
        </w:tc>
        <w:tc>
          <w:tcPr>
            <w:tcW w:w="6107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132B6" w:rsidRPr="001735DC" w:rsidRDefault="00D132B6" w:rsidP="00D132B6">
            <w:pPr>
              <w:spacing w:after="0" w:line="240" w:lineRule="auto"/>
              <w:jc w:val="both"/>
              <w:rPr>
                <w:rFonts w:eastAsia="Times New Roman" w:cs="Arial"/>
                <w:bCs/>
                <w:color w:val="000000"/>
                <w:sz w:val="20"/>
                <w:szCs w:val="20"/>
                <w:lang w:eastAsia="es-MX"/>
              </w:rPr>
            </w:pPr>
            <w:r w:rsidRPr="001735DC">
              <w:rPr>
                <w:rFonts w:eastAsia="Times New Roman" w:cs="Arial"/>
                <w:bCs/>
                <w:color w:val="000000"/>
                <w:sz w:val="20"/>
                <w:szCs w:val="20"/>
                <w:lang w:eastAsia="es-MX"/>
              </w:rPr>
              <w:t>Gasparita Briceño Moo</w:t>
            </w:r>
          </w:p>
        </w:tc>
        <w:tc>
          <w:tcPr>
            <w:tcW w:w="245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132B6" w:rsidRPr="001735DC" w:rsidRDefault="00CC3F40" w:rsidP="00D132B6">
            <w:pPr>
              <w:spacing w:after="0" w:line="240" w:lineRule="auto"/>
              <w:jc w:val="both"/>
              <w:rPr>
                <w:rFonts w:eastAsia="Times New Roman" w:cs="Arial"/>
                <w:bCs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="Arial"/>
                <w:bCs/>
                <w:color w:val="000000"/>
                <w:sz w:val="20"/>
                <w:szCs w:val="20"/>
                <w:lang w:eastAsia="es-MX"/>
              </w:rPr>
              <w:t>$100,000</w:t>
            </w:r>
          </w:p>
        </w:tc>
      </w:tr>
      <w:tr w:rsidR="00D132B6" w:rsidRPr="001735DC" w:rsidTr="00D132B6">
        <w:trPr>
          <w:gridAfter w:val="1"/>
          <w:wAfter w:w="710" w:type="dxa"/>
          <w:trHeight w:val="300"/>
        </w:trPr>
        <w:tc>
          <w:tcPr>
            <w:tcW w:w="2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132B6" w:rsidRPr="001735DC" w:rsidRDefault="00D132B6" w:rsidP="00D132B6">
            <w:pPr>
              <w:spacing w:after="0" w:line="240" w:lineRule="auto"/>
              <w:jc w:val="both"/>
              <w:rPr>
                <w:rFonts w:eastAsia="Times New Roman" w:cs="Arial"/>
                <w:bCs/>
                <w:color w:val="000000"/>
                <w:sz w:val="20"/>
                <w:szCs w:val="20"/>
                <w:lang w:eastAsia="es-MX"/>
              </w:rPr>
            </w:pPr>
            <w:r w:rsidRPr="001735DC">
              <w:rPr>
                <w:rFonts w:eastAsia="Times New Roman" w:cs="Arial"/>
                <w:bCs/>
                <w:color w:val="000000"/>
                <w:sz w:val="20"/>
                <w:szCs w:val="20"/>
                <w:lang w:eastAsia="es-MX"/>
              </w:rPr>
              <w:t>521/2018</w:t>
            </w:r>
          </w:p>
        </w:tc>
        <w:tc>
          <w:tcPr>
            <w:tcW w:w="610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D132B6" w:rsidRPr="001735DC" w:rsidRDefault="00D132B6" w:rsidP="00D132B6">
            <w:pPr>
              <w:spacing w:after="0" w:line="240" w:lineRule="auto"/>
              <w:jc w:val="both"/>
              <w:rPr>
                <w:rFonts w:eastAsia="Times New Roman" w:cs="Arial"/>
                <w:bCs/>
                <w:color w:val="000000"/>
                <w:sz w:val="20"/>
                <w:szCs w:val="20"/>
                <w:lang w:eastAsia="es-MX"/>
              </w:rPr>
            </w:pPr>
            <w:r w:rsidRPr="001735DC">
              <w:rPr>
                <w:rFonts w:eastAsia="Times New Roman" w:cs="Arial"/>
                <w:bCs/>
                <w:color w:val="000000"/>
                <w:sz w:val="20"/>
                <w:szCs w:val="20"/>
                <w:lang w:eastAsia="es-MX"/>
              </w:rPr>
              <w:t>María Santos Cauich Pat</w:t>
            </w:r>
          </w:p>
        </w:tc>
        <w:tc>
          <w:tcPr>
            <w:tcW w:w="24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D132B6" w:rsidRPr="001735DC" w:rsidRDefault="00CC3F40" w:rsidP="00D132B6">
            <w:pPr>
              <w:spacing w:after="0" w:line="240" w:lineRule="auto"/>
              <w:jc w:val="both"/>
              <w:rPr>
                <w:rFonts w:eastAsia="Times New Roman" w:cs="Arial"/>
                <w:bCs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="Arial"/>
                <w:bCs/>
                <w:color w:val="000000"/>
                <w:sz w:val="20"/>
                <w:szCs w:val="20"/>
                <w:lang w:eastAsia="es-MX"/>
              </w:rPr>
              <w:t>$  30,000</w:t>
            </w:r>
          </w:p>
        </w:tc>
      </w:tr>
      <w:tr w:rsidR="00D132B6" w:rsidTr="00D132B6">
        <w:trPr>
          <w:gridAfter w:val="1"/>
          <w:wAfter w:w="710" w:type="dxa"/>
          <w:trHeight w:val="300"/>
        </w:trPr>
        <w:tc>
          <w:tcPr>
            <w:tcW w:w="8931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132B6" w:rsidRDefault="00D132B6" w:rsidP="00D132B6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MX"/>
              </w:rPr>
              <w:t>T O T A L :</w:t>
            </w:r>
          </w:p>
        </w:tc>
        <w:tc>
          <w:tcPr>
            <w:tcW w:w="245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132B6" w:rsidRDefault="00CC3F40" w:rsidP="00D132B6">
            <w:pPr>
              <w:spacing w:after="0" w:line="240" w:lineRule="auto"/>
              <w:jc w:val="both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MX"/>
              </w:rPr>
              <w:t>$730,250</w:t>
            </w:r>
          </w:p>
        </w:tc>
      </w:tr>
    </w:tbl>
    <w:p w:rsidR="006F3019" w:rsidRPr="00457893" w:rsidRDefault="006F3019" w:rsidP="006F3019">
      <w:pPr>
        <w:spacing w:line="240" w:lineRule="auto"/>
        <w:rPr>
          <w:rFonts w:cs="Arial"/>
          <w:b/>
          <w:sz w:val="20"/>
          <w:szCs w:val="20"/>
          <w:u w:val="single"/>
        </w:rPr>
      </w:pPr>
    </w:p>
    <w:p w:rsidR="00462E33" w:rsidRPr="00407CEA" w:rsidRDefault="00462E33" w:rsidP="00462E33">
      <w:pPr>
        <w:spacing w:line="240" w:lineRule="auto"/>
        <w:rPr>
          <w:rFonts w:cs="Arial"/>
          <w:sz w:val="20"/>
          <w:szCs w:val="20"/>
        </w:rPr>
      </w:pPr>
      <w:r w:rsidRPr="00407CEA">
        <w:rPr>
          <w:rFonts w:cs="Arial"/>
          <w:sz w:val="20"/>
          <w:szCs w:val="20"/>
        </w:rPr>
        <w:t>Bajo protesta de decir  verdad declaramos que</w:t>
      </w:r>
      <w:r w:rsidR="00000098">
        <w:rPr>
          <w:rFonts w:cs="Arial"/>
          <w:sz w:val="20"/>
          <w:szCs w:val="20"/>
        </w:rPr>
        <w:t xml:space="preserve"> los Estados Financieros y sus N</w:t>
      </w:r>
      <w:r w:rsidRPr="00407CEA">
        <w:rPr>
          <w:rFonts w:cs="Arial"/>
          <w:sz w:val="20"/>
          <w:szCs w:val="20"/>
        </w:rPr>
        <w:t>otas son raz</w:t>
      </w:r>
      <w:bookmarkStart w:id="0" w:name="_GoBack"/>
      <w:bookmarkEnd w:id="0"/>
      <w:r w:rsidRPr="00407CEA">
        <w:rPr>
          <w:rFonts w:cs="Arial"/>
          <w:sz w:val="20"/>
          <w:szCs w:val="20"/>
        </w:rPr>
        <w:t>onablemente correctos y responsabilidad del emisor.</w:t>
      </w:r>
    </w:p>
    <w:sectPr w:rsidR="00462E33" w:rsidRPr="00407CEA" w:rsidSect="00033C12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0098"/>
    <w:rsid w:val="00033C12"/>
    <w:rsid w:val="00065BB9"/>
    <w:rsid w:val="0007311C"/>
    <w:rsid w:val="00086CB0"/>
    <w:rsid w:val="000A2800"/>
    <w:rsid w:val="000D5BE4"/>
    <w:rsid w:val="000E1882"/>
    <w:rsid w:val="000F17F2"/>
    <w:rsid w:val="001342E6"/>
    <w:rsid w:val="001467E9"/>
    <w:rsid w:val="00173644"/>
    <w:rsid w:val="001E5C58"/>
    <w:rsid w:val="00235349"/>
    <w:rsid w:val="00250458"/>
    <w:rsid w:val="002B0C2A"/>
    <w:rsid w:val="003123FD"/>
    <w:rsid w:val="003129FF"/>
    <w:rsid w:val="00314212"/>
    <w:rsid w:val="004012A0"/>
    <w:rsid w:val="00407CEA"/>
    <w:rsid w:val="00442E26"/>
    <w:rsid w:val="00457893"/>
    <w:rsid w:val="00462E33"/>
    <w:rsid w:val="005525B0"/>
    <w:rsid w:val="00556D3E"/>
    <w:rsid w:val="0059011A"/>
    <w:rsid w:val="005F60AD"/>
    <w:rsid w:val="006641BD"/>
    <w:rsid w:val="006876BD"/>
    <w:rsid w:val="00692FC6"/>
    <w:rsid w:val="006E38DA"/>
    <w:rsid w:val="006F3019"/>
    <w:rsid w:val="007242BE"/>
    <w:rsid w:val="0078417C"/>
    <w:rsid w:val="007C09AB"/>
    <w:rsid w:val="007C7722"/>
    <w:rsid w:val="00896F76"/>
    <w:rsid w:val="00927587"/>
    <w:rsid w:val="009450C2"/>
    <w:rsid w:val="009472B6"/>
    <w:rsid w:val="009C380B"/>
    <w:rsid w:val="009D744B"/>
    <w:rsid w:val="009E1211"/>
    <w:rsid w:val="009F0245"/>
    <w:rsid w:val="009F0748"/>
    <w:rsid w:val="00A640E3"/>
    <w:rsid w:val="00A72342"/>
    <w:rsid w:val="00AC39DD"/>
    <w:rsid w:val="00AE0E4A"/>
    <w:rsid w:val="00AE55B9"/>
    <w:rsid w:val="00B13C4E"/>
    <w:rsid w:val="00B34856"/>
    <w:rsid w:val="00B36437"/>
    <w:rsid w:val="00B41FD4"/>
    <w:rsid w:val="00B44471"/>
    <w:rsid w:val="00BE6994"/>
    <w:rsid w:val="00BF31FF"/>
    <w:rsid w:val="00BF6CAF"/>
    <w:rsid w:val="00C0724B"/>
    <w:rsid w:val="00C63D13"/>
    <w:rsid w:val="00C97B2D"/>
    <w:rsid w:val="00CC0FFB"/>
    <w:rsid w:val="00CC3F40"/>
    <w:rsid w:val="00D132B6"/>
    <w:rsid w:val="00D414E7"/>
    <w:rsid w:val="00D83798"/>
    <w:rsid w:val="00E3289A"/>
    <w:rsid w:val="00E60F37"/>
    <w:rsid w:val="00E93490"/>
    <w:rsid w:val="00E97E05"/>
    <w:rsid w:val="00EA2AB4"/>
    <w:rsid w:val="00F012EA"/>
    <w:rsid w:val="00FD30CD"/>
    <w:rsid w:val="00FD77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25B0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25B0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2</cp:revision>
  <dcterms:created xsi:type="dcterms:W3CDTF">2019-05-15T18:36:00Z</dcterms:created>
  <dcterms:modified xsi:type="dcterms:W3CDTF">2019-05-15T18:36:00Z</dcterms:modified>
</cp:coreProperties>
</file>