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11" w:rsidRPr="00D811B5" w:rsidRDefault="00D811B5" w:rsidP="009336AC">
      <w:pPr>
        <w:spacing w:line="240" w:lineRule="auto"/>
        <w:jc w:val="center"/>
        <w:rPr>
          <w:rFonts w:ascii="Barlow" w:hAnsi="Barlow" w:cs="Arial"/>
          <w:b/>
          <w:sz w:val="20"/>
          <w:szCs w:val="20"/>
        </w:rPr>
      </w:pPr>
      <w:r w:rsidRPr="00D811B5">
        <w:rPr>
          <w:rFonts w:ascii="Barlow" w:hAnsi="Barlow" w:cs="Arial"/>
          <w:b/>
          <w:sz w:val="20"/>
          <w:szCs w:val="20"/>
        </w:rPr>
        <w:t>Cuenta Pública 2019</w:t>
      </w:r>
    </w:p>
    <w:p w:rsidR="006F0D11" w:rsidRPr="00D811B5" w:rsidRDefault="006F0D11" w:rsidP="006F0D11">
      <w:pPr>
        <w:spacing w:line="240" w:lineRule="auto"/>
        <w:jc w:val="center"/>
        <w:rPr>
          <w:rFonts w:ascii="Barlow" w:hAnsi="Barlow" w:cs="Arial"/>
          <w:b/>
          <w:sz w:val="20"/>
          <w:szCs w:val="20"/>
        </w:rPr>
      </w:pPr>
      <w:r w:rsidRPr="00D811B5">
        <w:rPr>
          <w:rFonts w:ascii="Barlow" w:hAnsi="Barlow" w:cs="Arial"/>
          <w:b/>
          <w:sz w:val="20"/>
          <w:szCs w:val="20"/>
        </w:rPr>
        <w:t>Notas a los Estados Financieros</w:t>
      </w:r>
    </w:p>
    <w:p w:rsidR="006F0D11" w:rsidRPr="00D811B5" w:rsidRDefault="00453CCE" w:rsidP="006F0D11">
      <w:pPr>
        <w:spacing w:line="240" w:lineRule="auto"/>
        <w:jc w:val="center"/>
        <w:rPr>
          <w:rFonts w:ascii="Barlow" w:hAnsi="Barlow" w:cs="Arial"/>
          <w:b/>
          <w:sz w:val="20"/>
          <w:szCs w:val="20"/>
        </w:rPr>
      </w:pPr>
      <w:r w:rsidRPr="00D811B5">
        <w:rPr>
          <w:rFonts w:ascii="Barlow" w:hAnsi="Barlow" w:cs="Arial"/>
          <w:b/>
          <w:sz w:val="20"/>
          <w:szCs w:val="20"/>
        </w:rPr>
        <w:t xml:space="preserve">Al </w:t>
      </w:r>
      <w:r w:rsidR="00A45020" w:rsidRPr="00D811B5">
        <w:rPr>
          <w:rFonts w:ascii="Barlow" w:hAnsi="Barlow" w:cs="Arial"/>
          <w:b/>
          <w:sz w:val="20"/>
          <w:szCs w:val="20"/>
        </w:rPr>
        <w:t>3</w:t>
      </w:r>
      <w:r w:rsidR="00C40AE3" w:rsidRPr="00D811B5">
        <w:rPr>
          <w:rFonts w:ascii="Barlow" w:hAnsi="Barlow" w:cs="Arial"/>
          <w:b/>
          <w:sz w:val="20"/>
          <w:szCs w:val="20"/>
        </w:rPr>
        <w:t>1</w:t>
      </w:r>
      <w:r w:rsidR="005A56C4" w:rsidRPr="00D811B5">
        <w:rPr>
          <w:rFonts w:ascii="Barlow" w:hAnsi="Barlow" w:cs="Arial"/>
          <w:b/>
          <w:sz w:val="20"/>
          <w:szCs w:val="20"/>
        </w:rPr>
        <w:t xml:space="preserve"> de </w:t>
      </w:r>
      <w:r w:rsidR="00D811B5" w:rsidRPr="00D811B5">
        <w:rPr>
          <w:rFonts w:ascii="Barlow" w:hAnsi="Barlow" w:cs="Arial"/>
          <w:b/>
          <w:sz w:val="20"/>
          <w:szCs w:val="20"/>
        </w:rPr>
        <w:t>Marzo de 2019</w:t>
      </w:r>
    </w:p>
    <w:p w:rsidR="00B65EF7" w:rsidRPr="00D811B5" w:rsidRDefault="00B65EF7" w:rsidP="006F0D11">
      <w:pPr>
        <w:spacing w:line="240" w:lineRule="auto"/>
        <w:jc w:val="center"/>
        <w:rPr>
          <w:rFonts w:ascii="Barlow" w:hAnsi="Barlow" w:cs="Arial"/>
          <w:b/>
          <w:sz w:val="20"/>
          <w:szCs w:val="20"/>
        </w:rPr>
      </w:pPr>
      <w:r w:rsidRPr="00D811B5">
        <w:rPr>
          <w:rFonts w:ascii="Barlow" w:hAnsi="Barlow" w:cs="Arial"/>
          <w:b/>
          <w:sz w:val="20"/>
          <w:szCs w:val="20"/>
        </w:rPr>
        <w:t>(Pesos)</w:t>
      </w:r>
    </w:p>
    <w:p w:rsidR="006F0D11" w:rsidRPr="00D811B5" w:rsidRDefault="006F0D11" w:rsidP="006F0D11">
      <w:pPr>
        <w:spacing w:line="240" w:lineRule="auto"/>
        <w:rPr>
          <w:rFonts w:ascii="Barlow" w:hAnsi="Barlow" w:cs="Arial"/>
          <w:b/>
          <w:sz w:val="20"/>
          <w:szCs w:val="20"/>
        </w:rPr>
      </w:pPr>
    </w:p>
    <w:p w:rsidR="00E25D55" w:rsidRPr="00D811B5" w:rsidRDefault="00E25D55" w:rsidP="00E71A3D">
      <w:pPr>
        <w:widowControl w:val="0"/>
        <w:autoSpaceDE w:val="0"/>
        <w:autoSpaceDN w:val="0"/>
        <w:adjustRightInd w:val="0"/>
        <w:spacing w:before="26" w:after="0" w:line="192" w:lineRule="exact"/>
        <w:ind w:left="153" w:right="-20"/>
        <w:rPr>
          <w:rFonts w:ascii="Barlow" w:hAnsi="Barlow" w:cs="Calibri"/>
          <w:b/>
          <w:bCs/>
          <w:sz w:val="20"/>
          <w:szCs w:val="20"/>
        </w:rPr>
      </w:pPr>
      <w:r w:rsidRPr="00D811B5">
        <w:rPr>
          <w:rFonts w:ascii="Barlow" w:hAnsi="Barlow" w:cs="Calibri"/>
          <w:b/>
          <w:bCs/>
          <w:sz w:val="20"/>
          <w:szCs w:val="20"/>
        </w:rPr>
        <w:t>E</w:t>
      </w:r>
      <w:r w:rsidRPr="00D811B5">
        <w:rPr>
          <w:rFonts w:ascii="Barlow" w:hAnsi="Barlow" w:cs="Calibri"/>
          <w:b/>
          <w:bCs/>
          <w:spacing w:val="-1"/>
          <w:sz w:val="20"/>
          <w:szCs w:val="20"/>
        </w:rPr>
        <w:t>n</w:t>
      </w:r>
      <w:r w:rsidRPr="00D811B5">
        <w:rPr>
          <w:rFonts w:ascii="Barlow" w:hAnsi="Barlow" w:cs="Calibri"/>
          <w:b/>
          <w:bCs/>
          <w:sz w:val="20"/>
          <w:szCs w:val="20"/>
        </w:rPr>
        <w:t>te</w:t>
      </w:r>
      <w:r w:rsidR="00181D03" w:rsidRPr="00D811B5">
        <w:rPr>
          <w:rFonts w:ascii="Barlow" w:hAnsi="Barlow" w:cs="Calibri"/>
          <w:b/>
          <w:bCs/>
          <w:sz w:val="20"/>
          <w:szCs w:val="20"/>
        </w:rPr>
        <w:t xml:space="preserve"> </w:t>
      </w:r>
      <w:r w:rsidRPr="00D811B5">
        <w:rPr>
          <w:rFonts w:ascii="Barlow" w:hAnsi="Barlow" w:cs="Calibri"/>
          <w:b/>
          <w:bCs/>
          <w:sz w:val="20"/>
          <w:szCs w:val="20"/>
        </w:rPr>
        <w:t>P</w:t>
      </w:r>
      <w:r w:rsidRPr="00D811B5">
        <w:rPr>
          <w:rFonts w:ascii="Barlow" w:hAnsi="Barlow" w:cs="Calibri"/>
          <w:b/>
          <w:bCs/>
          <w:spacing w:val="-1"/>
          <w:sz w:val="20"/>
          <w:szCs w:val="20"/>
        </w:rPr>
        <w:t>úbli</w:t>
      </w:r>
      <w:r w:rsidRPr="00D811B5">
        <w:rPr>
          <w:rFonts w:ascii="Barlow" w:hAnsi="Barlow" w:cs="Calibri"/>
          <w:b/>
          <w:bCs/>
          <w:spacing w:val="1"/>
          <w:sz w:val="20"/>
          <w:szCs w:val="20"/>
        </w:rPr>
        <w:t>c</w:t>
      </w:r>
      <w:r w:rsidRPr="00D811B5">
        <w:rPr>
          <w:rFonts w:ascii="Barlow" w:hAnsi="Barlow" w:cs="Calibri"/>
          <w:b/>
          <w:bCs/>
          <w:spacing w:val="-1"/>
          <w:sz w:val="20"/>
          <w:szCs w:val="20"/>
        </w:rPr>
        <w:t>o</w:t>
      </w:r>
      <w:r w:rsidR="009D75A2" w:rsidRPr="00D811B5">
        <w:rPr>
          <w:rFonts w:ascii="Barlow" w:hAnsi="Barlow" w:cs="Calibri"/>
          <w:b/>
          <w:bCs/>
          <w:sz w:val="20"/>
          <w:szCs w:val="20"/>
        </w:rPr>
        <w:t xml:space="preserve">:  </w:t>
      </w:r>
      <w:r w:rsidR="009E7C1E" w:rsidRPr="00D811B5">
        <w:rPr>
          <w:rFonts w:ascii="Barlow" w:hAnsi="Barlow" w:cs="Calibri"/>
          <w:b/>
          <w:bCs/>
          <w:sz w:val="20"/>
          <w:szCs w:val="20"/>
        </w:rPr>
        <w:t xml:space="preserve"> </w:t>
      </w:r>
      <w:r w:rsidR="009D75A2" w:rsidRPr="00D811B5">
        <w:rPr>
          <w:rFonts w:ascii="Barlow" w:hAnsi="Barlow" w:cs="Calibri"/>
          <w:b/>
          <w:bCs/>
          <w:sz w:val="20"/>
          <w:szCs w:val="20"/>
        </w:rPr>
        <w:t>ESCUELA</w:t>
      </w:r>
      <w:r w:rsidR="00181D03" w:rsidRPr="00D811B5">
        <w:rPr>
          <w:rFonts w:ascii="Barlow" w:hAnsi="Barlow" w:cs="Calibri"/>
          <w:b/>
          <w:bCs/>
          <w:spacing w:val="-10"/>
          <w:sz w:val="20"/>
          <w:szCs w:val="20"/>
        </w:rPr>
        <w:t xml:space="preserve"> </w:t>
      </w:r>
      <w:r w:rsidR="00E71A3D" w:rsidRPr="00D811B5">
        <w:rPr>
          <w:rFonts w:ascii="Barlow" w:hAnsi="Barlow" w:cs="Calibri"/>
          <w:b/>
          <w:bCs/>
          <w:sz w:val="20"/>
          <w:szCs w:val="20"/>
        </w:rPr>
        <w:t>SUPER</w:t>
      </w:r>
      <w:r w:rsidR="00E71A3D" w:rsidRPr="00D811B5">
        <w:rPr>
          <w:rFonts w:ascii="Barlow" w:hAnsi="Barlow" w:cs="Calibri"/>
          <w:b/>
          <w:bCs/>
          <w:spacing w:val="1"/>
          <w:sz w:val="20"/>
          <w:szCs w:val="20"/>
        </w:rPr>
        <w:t>IO</w:t>
      </w:r>
      <w:r w:rsidR="00E71A3D" w:rsidRPr="00D811B5">
        <w:rPr>
          <w:rFonts w:ascii="Barlow" w:hAnsi="Barlow" w:cs="Calibri"/>
          <w:b/>
          <w:bCs/>
          <w:sz w:val="20"/>
          <w:szCs w:val="20"/>
        </w:rPr>
        <w:t>R</w:t>
      </w:r>
      <w:r w:rsidR="00181D03" w:rsidRPr="00D811B5">
        <w:rPr>
          <w:rFonts w:ascii="Barlow" w:hAnsi="Barlow" w:cs="Calibri"/>
          <w:b/>
          <w:bCs/>
          <w:sz w:val="20"/>
          <w:szCs w:val="20"/>
        </w:rPr>
        <w:t xml:space="preserve"> </w:t>
      </w:r>
      <w:r w:rsidR="00E71A3D" w:rsidRPr="00D811B5">
        <w:rPr>
          <w:rFonts w:ascii="Barlow" w:hAnsi="Barlow" w:cs="Calibri"/>
          <w:b/>
          <w:bCs/>
          <w:spacing w:val="1"/>
          <w:sz w:val="20"/>
          <w:szCs w:val="20"/>
        </w:rPr>
        <w:t>D</w:t>
      </w:r>
      <w:r w:rsidR="00E71A3D" w:rsidRPr="00D811B5">
        <w:rPr>
          <w:rFonts w:ascii="Barlow" w:hAnsi="Barlow" w:cs="Calibri"/>
          <w:b/>
          <w:bCs/>
          <w:sz w:val="20"/>
          <w:szCs w:val="20"/>
        </w:rPr>
        <w:t>E</w:t>
      </w:r>
      <w:r w:rsidR="00181D03" w:rsidRPr="00D811B5">
        <w:rPr>
          <w:rFonts w:ascii="Barlow" w:hAnsi="Barlow" w:cs="Calibri"/>
          <w:b/>
          <w:bCs/>
          <w:sz w:val="20"/>
          <w:szCs w:val="20"/>
        </w:rPr>
        <w:t xml:space="preserve"> </w:t>
      </w:r>
      <w:r w:rsidR="00E71A3D" w:rsidRPr="00D811B5">
        <w:rPr>
          <w:rFonts w:ascii="Barlow" w:hAnsi="Barlow" w:cs="Calibri"/>
          <w:b/>
          <w:bCs/>
          <w:sz w:val="20"/>
          <w:szCs w:val="20"/>
        </w:rPr>
        <w:t>AR</w:t>
      </w:r>
      <w:r w:rsidR="00E71A3D" w:rsidRPr="00D811B5">
        <w:rPr>
          <w:rFonts w:ascii="Barlow" w:hAnsi="Barlow" w:cs="Calibri"/>
          <w:b/>
          <w:bCs/>
          <w:spacing w:val="1"/>
          <w:sz w:val="20"/>
          <w:szCs w:val="20"/>
        </w:rPr>
        <w:t>T</w:t>
      </w:r>
      <w:r w:rsidR="00E71A3D" w:rsidRPr="00D811B5">
        <w:rPr>
          <w:rFonts w:ascii="Barlow" w:hAnsi="Barlow" w:cs="Calibri"/>
          <w:b/>
          <w:bCs/>
          <w:sz w:val="20"/>
          <w:szCs w:val="20"/>
        </w:rPr>
        <w:t>ES</w:t>
      </w:r>
      <w:r w:rsidR="00181D03" w:rsidRPr="00D811B5">
        <w:rPr>
          <w:rFonts w:ascii="Barlow" w:hAnsi="Barlow" w:cs="Calibri"/>
          <w:b/>
          <w:bCs/>
          <w:sz w:val="20"/>
          <w:szCs w:val="20"/>
        </w:rPr>
        <w:t xml:space="preserve"> </w:t>
      </w:r>
      <w:r w:rsidR="00E71A3D" w:rsidRPr="00D811B5">
        <w:rPr>
          <w:rFonts w:ascii="Barlow" w:hAnsi="Barlow" w:cs="Calibri"/>
          <w:b/>
          <w:bCs/>
          <w:spacing w:val="1"/>
          <w:sz w:val="20"/>
          <w:szCs w:val="20"/>
        </w:rPr>
        <w:t>D</w:t>
      </w:r>
      <w:r w:rsidR="00E71A3D" w:rsidRPr="00D811B5">
        <w:rPr>
          <w:rFonts w:ascii="Barlow" w:hAnsi="Barlow" w:cs="Calibri"/>
          <w:b/>
          <w:bCs/>
          <w:sz w:val="20"/>
          <w:szCs w:val="20"/>
        </w:rPr>
        <w:t>E</w:t>
      </w:r>
      <w:r w:rsidR="00181D03" w:rsidRPr="00D811B5">
        <w:rPr>
          <w:rFonts w:ascii="Barlow" w:hAnsi="Barlow" w:cs="Calibri"/>
          <w:b/>
          <w:bCs/>
          <w:sz w:val="20"/>
          <w:szCs w:val="20"/>
        </w:rPr>
        <w:t xml:space="preserve"> </w:t>
      </w:r>
      <w:r w:rsidR="00E71A3D" w:rsidRPr="00D811B5">
        <w:rPr>
          <w:rFonts w:ascii="Barlow" w:hAnsi="Barlow" w:cs="Calibri"/>
          <w:b/>
          <w:bCs/>
          <w:spacing w:val="-1"/>
          <w:sz w:val="20"/>
          <w:szCs w:val="20"/>
        </w:rPr>
        <w:t>Y</w:t>
      </w:r>
      <w:r w:rsidR="00E71A3D" w:rsidRPr="00D811B5">
        <w:rPr>
          <w:rFonts w:ascii="Barlow" w:hAnsi="Barlow" w:cs="Calibri"/>
          <w:b/>
          <w:bCs/>
          <w:sz w:val="20"/>
          <w:szCs w:val="20"/>
        </w:rPr>
        <w:t>UCA</w:t>
      </w:r>
      <w:r w:rsidR="00E71A3D" w:rsidRPr="00D811B5">
        <w:rPr>
          <w:rFonts w:ascii="Barlow" w:hAnsi="Barlow" w:cs="Calibri"/>
          <w:b/>
          <w:bCs/>
          <w:spacing w:val="1"/>
          <w:sz w:val="20"/>
          <w:szCs w:val="20"/>
        </w:rPr>
        <w:t>T</w:t>
      </w:r>
      <w:r w:rsidR="00E71A3D" w:rsidRPr="00D811B5">
        <w:rPr>
          <w:rFonts w:ascii="Barlow" w:hAnsi="Barlow" w:cs="Calibri"/>
          <w:b/>
          <w:bCs/>
          <w:sz w:val="20"/>
          <w:szCs w:val="20"/>
        </w:rPr>
        <w:t>ÁN</w:t>
      </w:r>
      <w:bookmarkStart w:id="0" w:name="_GoBack"/>
      <w:bookmarkEnd w:id="0"/>
    </w:p>
    <w:p w:rsidR="00E71A3D" w:rsidRPr="00D811B5" w:rsidRDefault="00E71A3D" w:rsidP="00E71A3D">
      <w:pPr>
        <w:widowControl w:val="0"/>
        <w:autoSpaceDE w:val="0"/>
        <w:autoSpaceDN w:val="0"/>
        <w:adjustRightInd w:val="0"/>
        <w:spacing w:before="26" w:after="0" w:line="192" w:lineRule="exact"/>
        <w:ind w:left="153" w:right="-20"/>
        <w:rPr>
          <w:rFonts w:ascii="Barlow" w:hAnsi="Barlow" w:cs="Calibri"/>
          <w:sz w:val="20"/>
          <w:szCs w:val="20"/>
        </w:rPr>
      </w:pPr>
    </w:p>
    <w:p w:rsidR="00D811B5" w:rsidRPr="00D811B5" w:rsidRDefault="00D811B5" w:rsidP="00D811B5">
      <w:pPr>
        <w:jc w:val="both"/>
        <w:rPr>
          <w:rFonts w:ascii="Barlow" w:hAnsi="Barlow" w:cs="Calibri"/>
          <w:sz w:val="20"/>
          <w:szCs w:val="20"/>
        </w:rPr>
      </w:pPr>
      <w:r w:rsidRPr="00D811B5">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D811B5" w:rsidRPr="00D811B5" w:rsidRDefault="00D811B5" w:rsidP="00D811B5">
      <w:pPr>
        <w:rPr>
          <w:rFonts w:ascii="Barlow" w:hAnsi="Barlow" w:cs="Calibri"/>
          <w:sz w:val="20"/>
          <w:szCs w:val="20"/>
        </w:rPr>
      </w:pPr>
      <w:r w:rsidRPr="00D811B5">
        <w:rPr>
          <w:rFonts w:ascii="Barlow" w:hAnsi="Barlow" w:cs="Calibri"/>
          <w:sz w:val="20"/>
          <w:szCs w:val="20"/>
        </w:rPr>
        <w:t>A continuación, se presenta los tres tipos de notas que acompañan a los estados, a saber:</w:t>
      </w:r>
    </w:p>
    <w:p w:rsidR="00D811B5" w:rsidRPr="00D811B5" w:rsidRDefault="00D811B5" w:rsidP="00D811B5">
      <w:pPr>
        <w:pStyle w:val="Prrafodelista"/>
        <w:numPr>
          <w:ilvl w:val="0"/>
          <w:numId w:val="5"/>
        </w:numPr>
        <w:tabs>
          <w:tab w:val="left" w:pos="284"/>
        </w:tabs>
        <w:spacing w:after="0" w:line="240" w:lineRule="auto"/>
        <w:ind w:left="0" w:firstLine="0"/>
        <w:rPr>
          <w:rFonts w:ascii="Barlow" w:hAnsi="Barlow" w:cs="Calibri"/>
          <w:sz w:val="20"/>
          <w:szCs w:val="20"/>
        </w:rPr>
      </w:pPr>
      <w:r w:rsidRPr="00D811B5">
        <w:rPr>
          <w:rFonts w:ascii="Barlow" w:hAnsi="Barlow" w:cs="Calibri"/>
          <w:sz w:val="20"/>
          <w:szCs w:val="20"/>
        </w:rPr>
        <w:t xml:space="preserve">Notas de desglose; </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rPr>
          <w:rFonts w:ascii="Barlow" w:hAnsi="Barlow"/>
          <w:sz w:val="20"/>
        </w:rPr>
      </w:pPr>
      <w:r w:rsidRPr="00D811B5">
        <w:rPr>
          <w:rFonts w:ascii="Barlow" w:hAnsi="Barlow"/>
          <w:sz w:val="20"/>
        </w:rPr>
        <w:t>I)  NOTAS AL ESTADO DE SITUACIÓN FINANCIERA</w:t>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r w:rsidRPr="00D811B5">
        <w:rPr>
          <w:rFonts w:ascii="Barlow" w:hAnsi="Barlow"/>
          <w:sz w:val="20"/>
        </w:rPr>
        <w:tab/>
      </w:r>
    </w:p>
    <w:p w:rsidR="00D811B5" w:rsidRPr="00D811B5" w:rsidRDefault="00D811B5" w:rsidP="00D811B5">
      <w:pPr>
        <w:rPr>
          <w:rFonts w:ascii="Barlow" w:hAnsi="Barlow"/>
          <w:b/>
          <w:sz w:val="20"/>
        </w:rPr>
      </w:pPr>
      <w:r w:rsidRPr="00D811B5">
        <w:rPr>
          <w:rFonts w:ascii="Barlow" w:hAnsi="Barlow"/>
          <w:b/>
          <w:sz w:val="20"/>
        </w:rPr>
        <w:t>Nota 1A-1</w:t>
      </w:r>
    </w:p>
    <w:p w:rsidR="00D811B5" w:rsidRPr="00D811B5" w:rsidRDefault="00D811B5" w:rsidP="00D811B5">
      <w:pPr>
        <w:spacing w:after="0"/>
        <w:rPr>
          <w:rFonts w:ascii="Barlow" w:hAnsi="Barlow"/>
          <w:b/>
          <w:sz w:val="20"/>
        </w:rPr>
      </w:pPr>
      <w:r w:rsidRPr="00D811B5">
        <w:rPr>
          <w:rFonts w:ascii="Barlow" w:hAnsi="Barlow"/>
          <w:b/>
          <w:sz w:val="20"/>
        </w:rPr>
        <w:t>Efectivo y Equivalentes</w:t>
      </w:r>
      <w:r w:rsidRPr="00D811B5">
        <w:rPr>
          <w:rFonts w:ascii="Barlow" w:hAnsi="Barlow"/>
          <w:b/>
          <w:sz w:val="20"/>
        </w:rPr>
        <w:tab/>
      </w:r>
      <w:r w:rsidRPr="00D811B5">
        <w:rPr>
          <w:rFonts w:ascii="Barlow" w:hAnsi="Barlow"/>
          <w:b/>
          <w:sz w:val="20"/>
        </w:rPr>
        <w:tab/>
      </w:r>
      <w:r w:rsidRPr="00D811B5">
        <w:rPr>
          <w:rFonts w:ascii="Barlow" w:hAnsi="Barlow"/>
          <w:b/>
          <w:sz w:val="20"/>
        </w:rPr>
        <w:tab/>
      </w:r>
      <w:r w:rsidRPr="00D811B5">
        <w:rPr>
          <w:rFonts w:ascii="Barlow" w:hAnsi="Barlow"/>
          <w:b/>
          <w:sz w:val="20"/>
        </w:rPr>
        <w:tab/>
      </w:r>
      <w:r w:rsidRPr="00D811B5">
        <w:rPr>
          <w:rFonts w:ascii="Barlow" w:hAnsi="Barlow"/>
          <w:b/>
          <w:sz w:val="20"/>
        </w:rPr>
        <w:tab/>
      </w:r>
      <w:r w:rsidRPr="00D811B5">
        <w:rPr>
          <w:rFonts w:ascii="Barlow" w:hAnsi="Barlow"/>
          <w:b/>
          <w:sz w:val="20"/>
        </w:rPr>
        <w:tab/>
      </w:r>
      <w:r w:rsidRPr="00D811B5">
        <w:rPr>
          <w:rFonts w:ascii="Barlow" w:hAnsi="Barlow"/>
          <w:b/>
          <w:sz w:val="20"/>
        </w:rPr>
        <w:tab/>
      </w:r>
      <w:r w:rsidRPr="00D811B5">
        <w:rPr>
          <w:rFonts w:ascii="Barlow" w:hAnsi="Barlow"/>
          <w:b/>
          <w:sz w:val="20"/>
        </w:rPr>
        <w:tab/>
      </w:r>
    </w:p>
    <w:p w:rsidR="00D811B5" w:rsidRPr="00D811B5" w:rsidRDefault="00D811B5" w:rsidP="00D811B5">
      <w:pPr>
        <w:pStyle w:val="Prrafodelista"/>
        <w:tabs>
          <w:tab w:val="left" w:pos="284"/>
        </w:tabs>
        <w:spacing w:after="0" w:line="240" w:lineRule="auto"/>
        <w:ind w:left="0"/>
        <w:rPr>
          <w:rFonts w:ascii="Barlow" w:hAnsi="Barlow"/>
          <w:sz w:val="20"/>
        </w:rPr>
      </w:pPr>
      <w:r w:rsidRPr="00D811B5">
        <w:rPr>
          <w:rFonts w:ascii="Barlow" w:hAnsi="Barlow"/>
          <w:sz w:val="20"/>
        </w:rPr>
        <w:t>El rubro Efectivo y Equivalentes está integrado por las siguientes cuentas y subcuentas:</w:t>
      </w:r>
    </w:p>
    <w:p w:rsidR="00D811B5" w:rsidRPr="00D811B5" w:rsidRDefault="00D811B5" w:rsidP="00D811B5">
      <w:pPr>
        <w:pStyle w:val="Prrafodelista"/>
        <w:tabs>
          <w:tab w:val="left" w:pos="284"/>
        </w:tabs>
        <w:spacing w:after="0" w:line="240" w:lineRule="auto"/>
        <w:ind w:left="0"/>
        <w:rPr>
          <w:rFonts w:ascii="Barlow" w:hAnsi="Barlow"/>
          <w:sz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rPr>
      </w:pPr>
    </w:p>
    <w:p w:rsidR="00D811B5" w:rsidRPr="00D811B5" w:rsidRDefault="00D811B5" w:rsidP="00D811B5">
      <w:pPr>
        <w:pStyle w:val="Prrafodelista"/>
        <w:tabs>
          <w:tab w:val="left" w:pos="284"/>
        </w:tabs>
        <w:spacing w:after="0" w:line="240" w:lineRule="auto"/>
        <w:ind w:left="0"/>
        <w:jc w:val="center"/>
        <w:rPr>
          <w:rFonts w:ascii="Barlow" w:hAnsi="Barlow"/>
        </w:rPr>
      </w:pPr>
      <w:hyperlink r:id="rId9" w:history="1">
        <w:r w:rsidRPr="00D811B5">
          <w:rPr>
            <w:rFonts w:ascii="Barlow" w:hAnsi="Barlow"/>
          </w:rPr>
          <w:object w:dxaOrig="9495" w:dyaOrig="3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174.75pt" o:ole="">
              <v:imagedata r:id="rId10" o:title=""/>
            </v:shape>
            <o:OLEObject Type="Embed" ProgID="Excel.Sheet.12" ShapeID="_x0000_i1025" DrawAspect="Content" ObjectID="_1619422266" r:id="rId11"/>
          </w:object>
        </w:r>
      </w:hyperlink>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r w:rsidRPr="00D811B5">
        <w:rPr>
          <w:rFonts w:ascii="Barlow" w:hAnsi="Barlow" w:cs="Calibri"/>
          <w:sz w:val="20"/>
          <w:szCs w:val="20"/>
        </w:rPr>
        <w:t>El saldo en Bancos/Tesorería por $3,500,254.07  corresponde a las cuentas de cheques con el banco HSBC México S.A. y el saldo por $84,698.92 a una cuenta de inversión diaria con el mismo banco. Actualmente la institución no cuenta con fondos con afectación específica.</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spacing w:after="0"/>
        <w:rPr>
          <w:rFonts w:ascii="Barlow" w:hAnsi="Barlow"/>
          <w:b/>
          <w:sz w:val="20"/>
          <w:szCs w:val="20"/>
        </w:rPr>
      </w:pPr>
      <w:r w:rsidRPr="00D811B5">
        <w:rPr>
          <w:rFonts w:ascii="Barlow" w:hAnsi="Barlow"/>
          <w:b/>
          <w:sz w:val="20"/>
          <w:szCs w:val="20"/>
        </w:rPr>
        <w:t>Nota 1A-2</w:t>
      </w:r>
    </w:p>
    <w:p w:rsidR="00D811B5" w:rsidRPr="00D811B5" w:rsidRDefault="00D811B5" w:rsidP="00D811B5">
      <w:pPr>
        <w:spacing w:after="0"/>
        <w:rPr>
          <w:rFonts w:ascii="Barlow" w:hAnsi="Barlow"/>
          <w:b/>
          <w:sz w:val="20"/>
          <w:szCs w:val="20"/>
        </w:rPr>
      </w:pPr>
      <w:r w:rsidRPr="00D811B5">
        <w:rPr>
          <w:rFonts w:ascii="Barlow" w:hAnsi="Barlow"/>
          <w:b/>
          <w:sz w:val="20"/>
          <w:szCs w:val="20"/>
        </w:rPr>
        <w:t>Derechos a Recibir Efectivo o Equivalentes</w:t>
      </w:r>
    </w:p>
    <w:p w:rsidR="00D811B5" w:rsidRPr="00D811B5" w:rsidRDefault="00D811B5" w:rsidP="00D811B5">
      <w:pPr>
        <w:spacing w:after="0"/>
        <w:rPr>
          <w:rFonts w:ascii="Barlow" w:hAnsi="Barlow"/>
          <w:sz w:val="20"/>
          <w:szCs w:val="20"/>
        </w:rPr>
      </w:pPr>
    </w:p>
    <w:p w:rsidR="00D811B5" w:rsidRPr="00D811B5" w:rsidRDefault="00D811B5" w:rsidP="00D811B5">
      <w:pPr>
        <w:pStyle w:val="Prrafodelista"/>
        <w:tabs>
          <w:tab w:val="left" w:pos="284"/>
        </w:tabs>
        <w:spacing w:after="0" w:line="240" w:lineRule="auto"/>
        <w:ind w:left="0"/>
        <w:rPr>
          <w:rFonts w:ascii="Barlow" w:hAnsi="Barlow"/>
          <w:sz w:val="20"/>
          <w:szCs w:val="20"/>
        </w:rPr>
      </w:pPr>
      <w:r w:rsidRPr="00D811B5">
        <w:rPr>
          <w:rFonts w:ascii="Barlow" w:hAnsi="Barlow"/>
          <w:sz w:val="20"/>
          <w:szCs w:val="20"/>
        </w:rPr>
        <w:t>Las cuentas que conforman el rubro "Derechos a recibir efectivo o equivalentes" corresponden al presente ejercicio, no se tienen cuentas por recuperar de ejercicios anteriores ni montos sujetos a algún tipo de juicio. El vencimiento de las cuentas de este rubro es menor a 90 días. La factibilidad de cobro de estas cuentas es asequible. Actualmente la institución no cuenta con fideicomisos.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hyperlink r:id="rId12" w:history="1">
        <w:r w:rsidRPr="00D811B5">
          <w:rPr>
            <w:rFonts w:ascii="Barlow" w:hAnsi="Barlow" w:cs="Calibri"/>
            <w:sz w:val="20"/>
            <w:szCs w:val="20"/>
          </w:rPr>
          <w:object w:dxaOrig="9510" w:dyaOrig="1185">
            <v:shape id="_x0000_i1026" type="#_x0000_t75" style="width:475.5pt;height:59.25pt" o:ole="">
              <v:imagedata r:id="rId13" o:title=""/>
            </v:shape>
            <o:OLEObject Type="Embed" ProgID="Excel.Sheet.12" ShapeID="_x0000_i1026" DrawAspect="Content" ObjectID="_1619422267" r:id="rId14"/>
          </w:object>
        </w:r>
      </w:hyperlink>
    </w:p>
    <w:p w:rsidR="00D811B5" w:rsidRPr="00D811B5" w:rsidRDefault="00D811B5" w:rsidP="00D811B5">
      <w:pPr>
        <w:spacing w:after="0"/>
        <w:rPr>
          <w:rFonts w:ascii="Barlow" w:hAnsi="Barlow"/>
          <w:b/>
          <w:sz w:val="20"/>
          <w:szCs w:val="20"/>
        </w:rPr>
      </w:pPr>
    </w:p>
    <w:p w:rsidR="00D811B5" w:rsidRPr="00D811B5" w:rsidRDefault="00D811B5" w:rsidP="00D811B5">
      <w:pPr>
        <w:spacing w:after="0"/>
        <w:rPr>
          <w:rFonts w:ascii="Barlow" w:hAnsi="Barlow"/>
          <w:b/>
          <w:sz w:val="20"/>
          <w:szCs w:val="20"/>
        </w:rPr>
      </w:pPr>
      <w:r w:rsidRPr="00D811B5">
        <w:rPr>
          <w:rFonts w:ascii="Barlow" w:hAnsi="Barlow"/>
          <w:b/>
          <w:sz w:val="20"/>
          <w:szCs w:val="20"/>
        </w:rPr>
        <w:lastRenderedPageBreak/>
        <w:t>Nota 1A-3</w:t>
      </w:r>
    </w:p>
    <w:p w:rsidR="00D811B5" w:rsidRPr="00D811B5" w:rsidRDefault="00D811B5" w:rsidP="00D811B5">
      <w:pPr>
        <w:spacing w:after="0"/>
        <w:rPr>
          <w:rFonts w:ascii="Barlow" w:hAnsi="Barlow"/>
          <w:b/>
          <w:sz w:val="20"/>
          <w:szCs w:val="20"/>
        </w:rPr>
      </w:pPr>
      <w:r w:rsidRPr="00D811B5">
        <w:rPr>
          <w:rFonts w:ascii="Barlow" w:hAnsi="Barlow"/>
          <w:b/>
          <w:sz w:val="20"/>
          <w:szCs w:val="20"/>
        </w:rPr>
        <w:t>Derechos a Recibir Efectivo o Equivalentes a Largo Plazo</w:t>
      </w:r>
      <w:r w:rsidRPr="00D811B5">
        <w:rPr>
          <w:rFonts w:ascii="Barlow" w:hAnsi="Barlow"/>
          <w:b/>
          <w:sz w:val="20"/>
          <w:szCs w:val="20"/>
        </w:rPr>
        <w:tab/>
      </w:r>
    </w:p>
    <w:p w:rsidR="00D811B5" w:rsidRPr="00D811B5" w:rsidRDefault="00D811B5" w:rsidP="00D811B5">
      <w:pPr>
        <w:spacing w:after="0"/>
        <w:rPr>
          <w:rFonts w:ascii="Barlow" w:hAnsi="Barlow"/>
          <w:sz w:val="20"/>
          <w:szCs w:val="20"/>
        </w:rPr>
      </w:pPr>
      <w:r w:rsidRPr="00D811B5">
        <w:rPr>
          <w:rFonts w:ascii="Barlow" w:hAnsi="Barlow"/>
          <w:sz w:val="20"/>
          <w:szCs w:val="20"/>
        </w:rPr>
        <w:t>Este rubro está integrado por documentos por cobrar con un vencimiento mayor a 365 días. Lo conforman los depósitos en garantía y un saldo en deudores diversos provenientes de una denuncia que está en curso.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szCs w:val="20"/>
        </w:rPr>
      </w:pPr>
      <w:hyperlink r:id="rId15" w:history="1">
        <w:r w:rsidRPr="00D811B5">
          <w:rPr>
            <w:rFonts w:ascii="Barlow" w:hAnsi="Barlow"/>
            <w:szCs w:val="20"/>
          </w:rPr>
          <w:object w:dxaOrig="9510" w:dyaOrig="1080">
            <v:shape id="_x0000_i1027" type="#_x0000_t75" style="width:475.5pt;height:54pt" o:ole="">
              <v:imagedata r:id="rId16" o:title=""/>
            </v:shape>
            <o:OLEObject Type="Embed" ProgID="Excel.Sheet.12" ShapeID="_x0000_i1027" DrawAspect="Content" ObjectID="_1619422268" r:id="rId17"/>
          </w:object>
        </w:r>
      </w:hyperlink>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szCs w:val="20"/>
        </w:rPr>
      </w:pPr>
      <w:hyperlink r:id="rId18" w:history="1">
        <w:r w:rsidRPr="00D811B5">
          <w:rPr>
            <w:rFonts w:ascii="Barlow" w:hAnsi="Barlow"/>
            <w:szCs w:val="20"/>
          </w:rPr>
          <w:object w:dxaOrig="14685" w:dyaOrig="1200">
            <v:shape id="_x0000_i1028" type="#_x0000_t75" style="width:684pt;height:60pt" o:ole="">
              <v:imagedata r:id="rId19" o:title=""/>
            </v:shape>
            <o:OLEObject Type="Embed" ProgID="Excel.Sheet.12" ShapeID="_x0000_i1028" DrawAspect="Content" ObjectID="_1619422269" r:id="rId20"/>
          </w:object>
        </w:r>
      </w:hyperlink>
    </w:p>
    <w:p w:rsidR="00D811B5" w:rsidRPr="00D811B5" w:rsidRDefault="00D811B5" w:rsidP="00D811B5">
      <w:pPr>
        <w:pStyle w:val="Prrafodelista"/>
        <w:tabs>
          <w:tab w:val="left" w:pos="284"/>
        </w:tabs>
        <w:spacing w:after="0" w:line="240" w:lineRule="auto"/>
        <w:ind w:left="0"/>
        <w:rPr>
          <w:rFonts w:ascii="Barlow" w:hAnsi="Barlow" w:cs="Calibri"/>
          <w:sz w:val="20"/>
          <w:szCs w:val="20"/>
        </w:rPr>
      </w:pPr>
      <w:r w:rsidRPr="00D811B5">
        <w:rPr>
          <w:rFonts w:ascii="Barlow" w:hAnsi="Barlow" w:cs="Calibri"/>
          <w:sz w:val="20"/>
          <w:szCs w:val="20"/>
        </w:rPr>
        <w:t>En el mes de febrero del ejercicio 2019, la empresa Radiomovil Dipsa, S.A. de C.V. devolvió el depósito en garantía que se había realizado a su favor, debido a que se canceló  el servicio de telefonía celular contratado. La cancelación del registro contable fue por el importe de $2,700.00 (Dos mil setecientos pesos 00/100 Moneda Nacional).</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1A-4</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Bienes Muebles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Representa el monto de los bienes muebles requeridos en el desempeño de las actividades de la institución. Los Bienes Muebles adquiridos durante el periodo se reflejan en cuentas de balance y se registran a su costo de adquisición. A continuación se informa de manera agrupada por cuenta, los rubros que integran los bienes muebles: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cs="Calibri"/>
          <w:sz w:val="20"/>
          <w:szCs w:val="20"/>
        </w:rPr>
      </w:pPr>
      <w:hyperlink r:id="rId21" w:history="1">
        <w:r w:rsidRPr="00D811B5">
          <w:rPr>
            <w:rFonts w:ascii="Barlow" w:hAnsi="Barlow" w:cs="Calibri"/>
            <w:sz w:val="20"/>
            <w:szCs w:val="20"/>
          </w:rPr>
          <w:object w:dxaOrig="14595" w:dyaOrig="6120">
            <v:shape id="_x0000_i1029" type="#_x0000_t75" style="width:654pt;height:274.5pt" o:ole="">
              <v:imagedata r:id="rId22" o:title=""/>
            </v:shape>
            <o:OLEObject Type="Embed" ProgID="Excel.Sheet.12" ShapeID="_x0000_i1029" DrawAspect="Content" ObjectID="_1619422270" r:id="rId23"/>
          </w:object>
        </w:r>
      </w:hyperlink>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1A-5</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Bienes Inmuebles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Escuela Superior de Artes de Yucatán no cuenta con bienes inmuebles propios; los asignados para su operación se encuentran bajo las condiciones siguientes: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El edificio de las oficinas generales y sede de la Licenciatura en Artes Visuales es propiedad del Gobierno del Estado y se otorga bajo contrato de comodato.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El edificio de la Licenciatura en Teatro es propiedad de la Secretaría de Educación y fue otorgado mediante convenio de apoyo y colaboración.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El edificio de la Licenciatura en Música se encuentra bajo contrato de arrendamiento."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lastRenderedPageBreak/>
        <w:t>Nota 1A-6</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Bienes Intangibles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Representa el monto de derechos por el uso de activos de propiedad industrial, comercial, intelectual y otros. Los Bienes Intangibles adquiridos durante el periodo se reflejan en cuentas de balance y se registran a su costo de adquisición. A continuación se informa de manera agrupada por cuenta, los rubros que integran los bienes intangibles:</w:t>
      </w:r>
    </w:p>
    <w:p w:rsidR="00D811B5" w:rsidRPr="00D811B5" w:rsidRDefault="00D811B5" w:rsidP="00D811B5">
      <w:pPr>
        <w:pStyle w:val="Prrafodelista"/>
        <w:tabs>
          <w:tab w:val="left" w:pos="284"/>
        </w:tabs>
        <w:spacing w:after="0" w:line="240" w:lineRule="auto"/>
        <w:ind w:left="0"/>
        <w:jc w:val="center"/>
        <w:rPr>
          <w:rFonts w:ascii="Barlow" w:hAnsi="Barlow" w:cs="Calibri"/>
          <w:sz w:val="20"/>
          <w:szCs w:val="20"/>
        </w:rPr>
      </w:pPr>
      <w:r w:rsidRPr="00D811B5">
        <w:rPr>
          <w:rFonts w:ascii="Barlow" w:hAnsi="Barlow" w:cs="Calibri"/>
          <w:sz w:val="20"/>
          <w:szCs w:val="20"/>
        </w:rPr>
        <w:object w:dxaOrig="13410" w:dyaOrig="2340">
          <v:shape id="_x0000_i1030" type="#_x0000_t75" style="width:670.5pt;height:117pt" o:ole="">
            <v:imagedata r:id="rId24" o:title=""/>
          </v:shape>
          <o:OLEObject Type="Embed" ProgID="Excel.Sheet.12" ShapeID="_x0000_i1030" DrawAspect="Content" ObjectID="_1619422271" r:id="rId25"/>
        </w:objec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1A-7</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Depreciación y Amortización Acumulada de Bienes</w:t>
      </w:r>
      <w:r w:rsidRPr="00D811B5">
        <w:rPr>
          <w:rFonts w:ascii="Barlow" w:hAnsi="Barlow" w:cs="Calibri"/>
          <w:bCs/>
          <w:color w:val="000000"/>
          <w:sz w:val="20"/>
          <w:szCs w:val="20"/>
        </w:rPr>
        <w:tab/>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El cálculo de la depreciación se realiza conforme a las Reglas Específicas del Registro y Valoración del Patrimonio publicadas por el Consejo Nacional de Armonización Contable. El registro se efectúa durante el mes de diciembre de cada ejercicio y los porcentajes de depreciación utilizados para cada rubro de activo fijo son los aprobados por la autoridad competente, Junta de Gobierno de la Escuela Superior de Artes de Yucatán.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Las depreciaciones y amortizaciones se integran de la siguiente manera:</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cs="Calibri"/>
          <w:sz w:val="20"/>
          <w:szCs w:val="20"/>
        </w:rPr>
      </w:pPr>
      <w:r w:rsidRPr="00D811B5">
        <w:rPr>
          <w:rFonts w:ascii="Barlow" w:hAnsi="Barlow" w:cs="Calibri"/>
          <w:sz w:val="20"/>
          <w:szCs w:val="20"/>
        </w:rPr>
        <w:object w:dxaOrig="9510" w:dyaOrig="6120">
          <v:shape id="_x0000_i1031" type="#_x0000_t75" style="width:475.5pt;height:306pt" o:ole="">
            <v:imagedata r:id="rId26" o:title=""/>
          </v:shape>
          <o:OLEObject Type="Embed" ProgID="Excel.Sheet.12" ShapeID="_x0000_i1031" DrawAspect="Content" ObjectID="_1619422272" r:id="rId27"/>
        </w:object>
      </w:r>
    </w:p>
    <w:p w:rsidR="00D811B5" w:rsidRDefault="00D811B5" w:rsidP="00D811B5">
      <w:pPr>
        <w:pStyle w:val="Prrafodelista"/>
        <w:tabs>
          <w:tab w:val="left" w:pos="284"/>
        </w:tabs>
        <w:spacing w:after="0" w:line="240" w:lineRule="auto"/>
        <w:ind w:left="0"/>
        <w:rPr>
          <w:rFonts w:ascii="Barlow" w:hAnsi="Barlow" w:cs="Calibri"/>
          <w:bCs/>
          <w:color w:val="000000"/>
          <w:sz w:val="20"/>
          <w:szCs w:val="20"/>
        </w:rPr>
      </w:pPr>
    </w:p>
    <w:p w:rsidR="00D811B5" w:rsidRPr="00D811B5" w:rsidRDefault="00D811B5" w:rsidP="00D811B5">
      <w:pPr>
        <w:pStyle w:val="Prrafodelista"/>
        <w:tabs>
          <w:tab w:val="left" w:pos="284"/>
        </w:tabs>
        <w:spacing w:after="0" w:line="240" w:lineRule="auto"/>
        <w:ind w:left="0"/>
        <w:rPr>
          <w:rFonts w:ascii="Barlow" w:hAnsi="Barlow" w:cs="Calibri"/>
          <w:bCs/>
          <w:color w:val="000000"/>
          <w:sz w:val="20"/>
          <w:szCs w:val="20"/>
        </w:rPr>
      </w:pPr>
      <w:r w:rsidRPr="00D811B5">
        <w:rPr>
          <w:rFonts w:ascii="Barlow" w:hAnsi="Barlow" w:cs="Calibri"/>
          <w:bCs/>
          <w:color w:val="000000"/>
          <w:sz w:val="20"/>
          <w:szCs w:val="20"/>
        </w:rPr>
        <w:t>A continuación se presentan los porcentajes de depreciación anual para cada rubro de activo: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szCs w:val="20"/>
        </w:rPr>
      </w:pPr>
      <w:r w:rsidRPr="00D811B5">
        <w:rPr>
          <w:rFonts w:ascii="Barlow" w:hAnsi="Barlow"/>
          <w:noProof/>
          <w:szCs w:val="20"/>
          <w:lang w:eastAsia="es-MX"/>
        </w:rPr>
        <w:lastRenderedPageBreak/>
        <w:drawing>
          <wp:inline distT="0" distB="0" distL="0" distR="0" wp14:anchorId="1005B344" wp14:editId="45BAE569">
            <wp:extent cx="5934075" cy="3343275"/>
            <wp:effectExtent l="0" t="0" r="9525" b="9525"/>
            <wp:docPr id="22"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1A-8</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Estimaciones y Deterioros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Actualmente no se contabiliza ninguna estimación, sin embargo la institución se encuentra trabajando en la elaboración de políticas que definan los criterios y procedimientos a utilizar en este tema. </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1A-9</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Cuentas por Pagar a Corto Plazo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r w:rsidRPr="00D811B5">
        <w:rPr>
          <w:rFonts w:ascii="Barlow" w:hAnsi="Barlow" w:cs="Calibri"/>
          <w:bCs/>
          <w:color w:val="000000"/>
          <w:sz w:val="20"/>
          <w:szCs w:val="20"/>
        </w:rPr>
        <w:t xml:space="preserve">Todas las cuentas por pagar a corto plazo tienen un vencimiento menor a 90 días y se cuenta con los recursos necesarios para solventar el pago. </w:t>
      </w:r>
    </w:p>
    <w:tbl>
      <w:tblPr>
        <w:tblW w:w="13720" w:type="dxa"/>
        <w:tblInd w:w="70" w:type="dxa"/>
        <w:tblCellMar>
          <w:left w:w="70" w:type="dxa"/>
          <w:right w:w="70" w:type="dxa"/>
        </w:tblCellMar>
        <w:tblLook w:val="04A0" w:firstRow="1" w:lastRow="0" w:firstColumn="1" w:lastColumn="0" w:noHBand="0" w:noVBand="1"/>
      </w:tblPr>
      <w:tblGrid>
        <w:gridCol w:w="6176"/>
        <w:gridCol w:w="2696"/>
        <w:gridCol w:w="1636"/>
        <w:gridCol w:w="1576"/>
        <w:gridCol w:w="1636"/>
      </w:tblGrid>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4"/>
                <w:szCs w:val="24"/>
                <w:lang w:val="es-ES" w:eastAsia="es-ES"/>
              </w:rPr>
            </w:pPr>
            <w:r w:rsidRPr="00D811B5">
              <w:rPr>
                <w:rFonts w:ascii="Barlow" w:hAnsi="Barlow" w:cs="Calibri"/>
                <w:b/>
                <w:bCs/>
                <w:color w:val="000000"/>
                <w:sz w:val="24"/>
                <w:szCs w:val="24"/>
                <w:lang w:val="es-ES" w:eastAsia="es-ES"/>
              </w:rPr>
              <w:lastRenderedPageBreak/>
              <w:t>CUENTAS POR PAGAR A CORTO PLAZO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b/>
                <w:bCs/>
                <w:color w:val="000000"/>
                <w:sz w:val="24"/>
                <w:szCs w:val="24"/>
                <w:lang w:val="es-ES" w:eastAsia="es-ES"/>
              </w:rPr>
            </w:pPr>
            <w:r w:rsidRPr="00D811B5">
              <w:rPr>
                <w:rFonts w:ascii="Barlow" w:hAnsi="Barlow" w:cs="Calibri"/>
                <w:b/>
                <w:bCs/>
                <w:color w:val="000000"/>
                <w:sz w:val="24"/>
                <w:szCs w:val="24"/>
                <w:lang w:val="es-ES" w:eastAsia="es-ES"/>
              </w:rPr>
              <w:t xml:space="preserve">      512,680.68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u w:val="single"/>
                <w:lang w:val="es-ES" w:eastAsia="es-ES"/>
              </w:rPr>
            </w:pPr>
            <w:r w:rsidRPr="00D811B5">
              <w:rPr>
                <w:rFonts w:ascii="Barlow" w:hAnsi="Barlow" w:cs="Calibri"/>
                <w:color w:val="000000"/>
                <w:sz w:val="24"/>
                <w:szCs w:val="24"/>
                <w:u w:val="single"/>
                <w:lang w:val="es-ES" w:eastAsia="es-ES"/>
              </w:rPr>
              <w:t>PROVEEDORES POR PAGAR A CORTO PLAZO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44,575.43 </w:t>
            </w:r>
          </w:p>
        </w:tc>
      </w:tr>
      <w:tr w:rsidR="00D811B5" w:rsidRPr="00D811B5" w:rsidTr="00D811B5">
        <w:trPr>
          <w:trHeight w:val="315"/>
        </w:trPr>
        <w:tc>
          <w:tcPr>
            <w:tcW w:w="8872" w:type="dxa"/>
            <w:gridSpan w:val="2"/>
            <w:shd w:val="clear" w:color="auto" w:fill="FFFFFF"/>
            <w:noWrap/>
            <w:vAlign w:val="bottom"/>
            <w:hideMark/>
          </w:tcPr>
          <w:p w:rsidR="00D811B5" w:rsidRPr="00D811B5" w:rsidRDefault="00D811B5">
            <w:pPr>
              <w:spacing w:after="0" w:line="240" w:lineRule="auto"/>
              <w:ind w:firstLineChars="100" w:firstLine="240"/>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Deudas por Adquisición de Bienes y Contratación de Servicios por Pagar a CP</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44,575.43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 xml:space="preserve">Copisistemas de Yucatan S.A. de C.V. </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5,262.48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Saneamiento Sana S.C. de R.L.</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1,117.39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Visual Graphics, S.A. de C.V.</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1,531.20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Impresos la Ermita S.A. de C.V.</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4,674.80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Georgina Beatriz Vargas Castillo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5,669.00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Productos y Servicios Gamex S.A. de C. V.</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5,615.56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J&amp;R Graphics S.A. de C.V.</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1,305.00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ARME PUBLICIDAD SA DE CV</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7,600.00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Jessika Maritza Franco Castillo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3,000.00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Ena María Consuelo Evia Ricalde</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8,800.00 </w:t>
            </w:r>
          </w:p>
        </w:tc>
      </w:tr>
      <w:tr w:rsidR="00D811B5" w:rsidRPr="00D811B5" w:rsidTr="00D811B5">
        <w:trPr>
          <w:trHeight w:val="315"/>
        </w:trPr>
        <w:tc>
          <w:tcPr>
            <w:tcW w:w="8872" w:type="dxa"/>
            <w:gridSpan w:val="2"/>
            <w:shd w:val="clear" w:color="auto" w:fill="FFFFFF"/>
            <w:noWrap/>
            <w:vAlign w:val="bottom"/>
            <w:hideMark/>
          </w:tcPr>
          <w:p w:rsidR="00D811B5" w:rsidRPr="00D811B5" w:rsidRDefault="00D811B5">
            <w:pPr>
              <w:spacing w:after="0" w:line="240" w:lineRule="auto"/>
              <w:rPr>
                <w:rFonts w:ascii="Barlow" w:hAnsi="Barlow" w:cs="Calibri"/>
                <w:color w:val="000000"/>
                <w:sz w:val="24"/>
                <w:szCs w:val="24"/>
                <w:u w:val="single"/>
                <w:lang w:val="es-ES" w:eastAsia="es-ES"/>
              </w:rPr>
            </w:pPr>
            <w:r w:rsidRPr="00D811B5">
              <w:rPr>
                <w:rFonts w:ascii="Barlow" w:hAnsi="Barlow" w:cs="Calibri"/>
                <w:color w:val="000000"/>
                <w:sz w:val="24"/>
                <w:szCs w:val="24"/>
                <w:u w:val="single"/>
                <w:lang w:val="es-ES" w:eastAsia="es-ES"/>
              </w:rPr>
              <w:t>RETENCIONES Y CONTRIBUCIONES POR PAGAR A CORTO PLAZO</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468,105.25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100" w:firstLine="240"/>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Retenciones y Contribuciones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138,195.39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Descuento ISSTEY 8%</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38,916.18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Préstamo</w:t>
            </w:r>
            <w:r w:rsidRPr="00D811B5">
              <w:rPr>
                <w:rFonts w:ascii="Barlow" w:hAnsi="Barlow" w:cs="Calibri"/>
                <w:i/>
                <w:iCs/>
                <w:color w:val="000000"/>
                <w:sz w:val="24"/>
                <w:szCs w:val="24"/>
                <w:lang w:val="es-ES" w:eastAsia="es-ES"/>
              </w:rPr>
              <w:t xml:space="preserve"> ISSTEY especial</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695.50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Préstamo</w:t>
            </w:r>
            <w:r w:rsidRPr="00D811B5">
              <w:rPr>
                <w:rFonts w:ascii="Barlow" w:hAnsi="Barlow" w:cs="Calibri"/>
                <w:i/>
                <w:iCs/>
                <w:color w:val="000000"/>
                <w:sz w:val="24"/>
                <w:szCs w:val="24"/>
                <w:lang w:val="es-ES" w:eastAsia="es-ES"/>
              </w:rPr>
              <w:t xml:space="preserve"> Hipotecario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3,267.54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Préstamo</w:t>
            </w:r>
            <w:r w:rsidRPr="00D811B5">
              <w:rPr>
                <w:rFonts w:ascii="Barlow" w:hAnsi="Barlow" w:cs="Calibri"/>
                <w:i/>
                <w:iCs/>
                <w:color w:val="000000"/>
                <w:sz w:val="24"/>
                <w:szCs w:val="24"/>
                <w:lang w:val="es-ES" w:eastAsia="es-ES"/>
              </w:rPr>
              <w:t xml:space="preserve"> ISSTEY </w:t>
            </w:r>
            <w:r w:rsidRPr="00D811B5">
              <w:rPr>
                <w:rFonts w:ascii="Barlow" w:hAnsi="Barlow" w:cs="Calibri"/>
                <w:i/>
                <w:iCs/>
                <w:color w:val="000000"/>
                <w:sz w:val="24"/>
                <w:szCs w:val="24"/>
                <w:lang w:val="es-ES" w:eastAsia="es-ES"/>
              </w:rPr>
              <w:t>Línea</w:t>
            </w:r>
            <w:r w:rsidRPr="00D811B5">
              <w:rPr>
                <w:rFonts w:ascii="Barlow" w:hAnsi="Barlow" w:cs="Calibri"/>
                <w:i/>
                <w:iCs/>
                <w:color w:val="000000"/>
                <w:sz w:val="24"/>
                <w:szCs w:val="24"/>
                <w:lang w:val="es-ES" w:eastAsia="es-ES"/>
              </w:rPr>
              <w:t xml:space="preserve"> Blanca</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724.15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Préstamo</w:t>
            </w:r>
            <w:r w:rsidRPr="00D811B5">
              <w:rPr>
                <w:rFonts w:ascii="Barlow" w:hAnsi="Barlow" w:cs="Calibri"/>
                <w:i/>
                <w:iCs/>
                <w:color w:val="000000"/>
                <w:sz w:val="24"/>
                <w:szCs w:val="24"/>
                <w:lang w:val="es-ES" w:eastAsia="es-ES"/>
              </w:rPr>
              <w:t xml:space="preserve"> ISSTEY </w:t>
            </w:r>
            <w:r w:rsidRPr="00D811B5">
              <w:rPr>
                <w:rFonts w:ascii="Barlow" w:hAnsi="Barlow" w:cs="Calibri"/>
                <w:i/>
                <w:iCs/>
                <w:color w:val="000000"/>
                <w:sz w:val="24"/>
                <w:szCs w:val="24"/>
                <w:lang w:val="es-ES" w:eastAsia="es-ES"/>
              </w:rPr>
              <w:t>Telefonía</w:t>
            </w:r>
            <w:r w:rsidRPr="00D811B5">
              <w:rPr>
                <w:rFonts w:ascii="Barlow" w:hAnsi="Barlow" w:cs="Calibri"/>
                <w:i/>
                <w:iCs/>
                <w:color w:val="000000"/>
                <w:sz w:val="24"/>
                <w:szCs w:val="24"/>
                <w:lang w:val="es-ES" w:eastAsia="es-ES"/>
              </w:rPr>
              <w:t xml:space="preserve"> Celular</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390.61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ISSTEY 13.75%</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66,887.00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Préstamo</w:t>
            </w:r>
            <w:r w:rsidRPr="00D811B5">
              <w:rPr>
                <w:rFonts w:ascii="Barlow" w:hAnsi="Barlow" w:cs="Calibri"/>
                <w:i/>
                <w:iCs/>
                <w:color w:val="000000"/>
                <w:sz w:val="24"/>
                <w:szCs w:val="24"/>
                <w:lang w:val="es-ES" w:eastAsia="es-ES"/>
              </w:rPr>
              <w:t xml:space="preserve"> ISSTEY Plus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27,314.41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100" w:firstLine="240"/>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Impuesto Sobre la Renta</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249,033.86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ISR retenido por Arrendamiento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3,490.80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lastRenderedPageBreak/>
              <w:t>ISR retenido por Honorarios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5,189.66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ISR Retenido por Salarios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206,232.60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200" w:firstLine="480"/>
              <w:rPr>
                <w:rFonts w:ascii="Barlow" w:hAnsi="Barlow" w:cs="Calibri"/>
                <w:i/>
                <w:iCs/>
                <w:color w:val="000000"/>
                <w:sz w:val="24"/>
                <w:szCs w:val="24"/>
                <w:lang w:val="es-ES" w:eastAsia="es-ES"/>
              </w:rPr>
            </w:pPr>
            <w:r w:rsidRPr="00D811B5">
              <w:rPr>
                <w:rFonts w:ascii="Barlow" w:hAnsi="Barlow" w:cs="Calibri"/>
                <w:i/>
                <w:iCs/>
                <w:color w:val="000000"/>
                <w:sz w:val="24"/>
                <w:szCs w:val="24"/>
                <w:lang w:val="es-ES" w:eastAsia="es-ES"/>
              </w:rPr>
              <w:t>ISR Retenido por Asimilados a Salarios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        34,120.80 </w:t>
            </w:r>
          </w:p>
        </w:tc>
      </w:tr>
      <w:tr w:rsidR="00D811B5" w:rsidRPr="00D811B5" w:rsidTr="00D811B5">
        <w:trPr>
          <w:trHeight w:val="315"/>
        </w:trPr>
        <w:tc>
          <w:tcPr>
            <w:tcW w:w="6176" w:type="dxa"/>
            <w:shd w:val="clear" w:color="auto" w:fill="FFFFFF"/>
            <w:noWrap/>
            <w:vAlign w:val="bottom"/>
            <w:hideMark/>
          </w:tcPr>
          <w:p w:rsidR="00D811B5" w:rsidRPr="00D811B5" w:rsidRDefault="00D811B5">
            <w:pPr>
              <w:spacing w:after="0" w:line="240" w:lineRule="auto"/>
              <w:ind w:firstLineChars="100" w:firstLine="240"/>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Impuesto sobre nóminas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4"/>
                <w:szCs w:val="24"/>
                <w:lang w:val="es-ES" w:eastAsia="es-ES"/>
              </w:rPr>
            </w:pPr>
            <w:r w:rsidRPr="00D811B5">
              <w:rPr>
                <w:rFonts w:ascii="Barlow" w:hAnsi="Barlow" w:cs="Calibri"/>
                <w:color w:val="000000"/>
                <w:sz w:val="24"/>
                <w:szCs w:val="24"/>
                <w:lang w:val="es-ES" w:eastAsia="es-ES"/>
              </w:rPr>
              <w:t xml:space="preserve">80,876.00 </w:t>
            </w:r>
          </w:p>
        </w:tc>
      </w:tr>
    </w:tbl>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1A-10</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Fondos y Bienes de Terceros en Garantía y/o Administración a Corto Plazo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Representa los fondos en garantía del cumplimiento de obligaciones contractuales o legales que, eventualmente, se tendrán que devolver a su titular en un plazo menor o igual a doce meses. Actualmente se conforman con los depósitos recibidos en garantía por la renta de espacios destinados a las cafeterías de la escuela. Los plazos de estos contratos son de 6 y 12 meses.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szCs w:val="20"/>
        </w:rPr>
      </w:pPr>
      <w:r w:rsidRPr="00D811B5">
        <w:rPr>
          <w:rFonts w:ascii="Barlow" w:hAnsi="Barlow"/>
          <w:szCs w:val="20"/>
        </w:rPr>
        <w:object w:dxaOrig="12825" w:dyaOrig="885">
          <v:shape id="_x0000_i1032" type="#_x0000_t75" style="width:641.25pt;height:44.25pt" o:ole="">
            <v:imagedata r:id="rId29" o:title=""/>
          </v:shape>
          <o:OLEObject Type="Embed" ProgID="Excel.Sheet.12" ShapeID="_x0000_i1032" DrawAspect="Content" ObjectID="_1619422273" r:id="rId30"/>
        </w:objec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cs="Calibri"/>
          <w:b/>
          <w:sz w:val="20"/>
          <w:szCs w:val="20"/>
        </w:rPr>
      </w:pPr>
      <w:r w:rsidRPr="00D811B5">
        <w:rPr>
          <w:rFonts w:ascii="Barlow" w:hAnsi="Barlow" w:cs="Calibri"/>
          <w:b/>
          <w:sz w:val="20"/>
          <w:szCs w:val="20"/>
        </w:rPr>
        <w:t>Nota 1A- 11</w:t>
      </w:r>
    </w:p>
    <w:p w:rsidR="00D811B5" w:rsidRPr="00D811B5" w:rsidRDefault="00D811B5" w:rsidP="00D811B5">
      <w:pPr>
        <w:pStyle w:val="Prrafodelista"/>
        <w:tabs>
          <w:tab w:val="left" w:pos="284"/>
        </w:tabs>
        <w:spacing w:after="0" w:line="240" w:lineRule="auto"/>
        <w:ind w:left="0"/>
        <w:rPr>
          <w:rFonts w:ascii="Barlow" w:hAnsi="Barlow" w:cs="Calibri"/>
          <w:b/>
          <w:sz w:val="20"/>
          <w:szCs w:val="20"/>
        </w:rPr>
      </w:pPr>
      <w:r w:rsidRPr="00D811B5">
        <w:rPr>
          <w:rFonts w:ascii="Barlow" w:hAnsi="Barlow" w:cs="Calibri"/>
          <w:b/>
          <w:sz w:val="20"/>
          <w:szCs w:val="20"/>
        </w:rPr>
        <w:t>Pasivos Contingentes</w:t>
      </w:r>
    </w:p>
    <w:p w:rsidR="00D811B5" w:rsidRPr="00D811B5" w:rsidRDefault="00D811B5" w:rsidP="00D811B5">
      <w:pPr>
        <w:pStyle w:val="Prrafodelista"/>
        <w:tabs>
          <w:tab w:val="left" w:pos="284"/>
        </w:tabs>
        <w:spacing w:after="0" w:line="240" w:lineRule="auto"/>
        <w:ind w:left="0"/>
        <w:rPr>
          <w:rFonts w:ascii="Barlow" w:hAnsi="Barlow" w:cs="Calibri"/>
          <w:b/>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r w:rsidRPr="00D811B5">
        <w:rPr>
          <w:rFonts w:ascii="Barlow" w:hAnsi="Barlow" w:cs="Calibri"/>
          <w:sz w:val="20"/>
          <w:szCs w:val="20"/>
        </w:rPr>
        <w:t>La Escuela Superior de Artes de Yucatán no cuenta con pasivos contingentes en el período que se reporta.</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II) NOTAS AL ESTADO DE ACTIVIDADES / ESTADO DE INGRESOS Y EGRESOS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1B-1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Ingresos de Gestión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continuación se muestran los montos totales de cada clase de ingreso (tercer nivel del Clasificador por Rubro de Ingreso):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szCs w:val="20"/>
        </w:rPr>
      </w:pPr>
      <w:hyperlink r:id="rId31" w:history="1">
        <w:r w:rsidRPr="00D811B5">
          <w:rPr>
            <w:rFonts w:ascii="Barlow" w:hAnsi="Barlow"/>
            <w:szCs w:val="20"/>
          </w:rPr>
          <w:object w:dxaOrig="12345" w:dyaOrig="1515">
            <v:shape id="_x0000_i1033" type="#_x0000_t75" style="width:617.25pt;height:75.75pt" o:ole="">
              <v:imagedata r:id="rId32" o:title=""/>
            </v:shape>
            <o:OLEObject Type="Embed" ProgID="Excel.Sheet.12" ShapeID="_x0000_i1033" DrawAspect="Content" ObjectID="_1619422274" r:id="rId33"/>
          </w:object>
        </w:r>
      </w:hyperlink>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1B-2</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Ingresos por Participaciones, Aportaciones, Convenios, Incentivos Derivados de la Colaboración Fiscal, Fondos Distintos de Aportaciones, Transferencias, Asignaciones, Subsidios y Subvenciones y Pensiones y Jubilaciones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ingresos por participaciones, aportaciones, convenios, incentivos derivados de la colaboración fiscal, fondos distintos de aportaciones transferencias, asignaciones, subsidios y subvenciones y pensiones y jubilaciones se integran: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12020" w:type="dxa"/>
        <w:tblInd w:w="70" w:type="dxa"/>
        <w:tblCellMar>
          <w:left w:w="70" w:type="dxa"/>
          <w:right w:w="70" w:type="dxa"/>
        </w:tblCellMar>
        <w:tblLook w:val="04A0" w:firstRow="1" w:lastRow="0" w:firstColumn="1" w:lastColumn="0" w:noHBand="0" w:noVBand="1"/>
      </w:tblPr>
      <w:tblGrid>
        <w:gridCol w:w="8657"/>
        <w:gridCol w:w="184"/>
        <w:gridCol w:w="1636"/>
        <w:gridCol w:w="1576"/>
      </w:tblGrid>
      <w:tr w:rsidR="00D811B5" w:rsidRPr="00D811B5" w:rsidTr="00D811B5">
        <w:trPr>
          <w:trHeight w:val="825"/>
        </w:trPr>
        <w:tc>
          <w:tcPr>
            <w:tcW w:w="8808" w:type="dxa"/>
            <w:gridSpan w:val="2"/>
            <w:shd w:val="clear" w:color="auto" w:fill="FFFFFF"/>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PARTICIPACIONES, APORTACIONES, CONVENIOS, INCENTIVOS DERIVADOS DE LA COLABORACIÓN FISCAL, FONDOS DISTINTOS DE APORTACIONES, TRANSFERENCIAS, ASIGNACIONES, SUBSIDIOS Y SUBVENCIONES, Y PENSIONES Y JUBILACIONES</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        7,749,700.00 </w:t>
            </w:r>
          </w:p>
        </w:tc>
      </w:tr>
      <w:tr w:rsidR="00D811B5" w:rsidRPr="00D811B5" w:rsidTr="00D811B5">
        <w:trPr>
          <w:trHeight w:val="300"/>
        </w:trPr>
        <w:tc>
          <w:tcPr>
            <w:tcW w:w="8808" w:type="dxa"/>
            <w:gridSpan w:val="2"/>
            <w:shd w:val="clear" w:color="auto" w:fill="FFFFFF"/>
            <w:vAlign w:val="center"/>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TRANSFERENCIAS, ASIGNACIONES, SUBSIDIOS Y SUBVENCIONES, Y PENSIONES Y JUBILACIONES</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        7,749,700.00 </w:t>
            </w:r>
          </w:p>
        </w:tc>
      </w:tr>
      <w:tr w:rsidR="00D811B5" w:rsidRPr="00D811B5" w:rsidTr="00D811B5">
        <w:trPr>
          <w:trHeight w:val="300"/>
        </w:trPr>
        <w:tc>
          <w:tcPr>
            <w:tcW w:w="8657"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u w:val="single"/>
                <w:lang w:val="es-ES" w:eastAsia="es-ES"/>
              </w:rPr>
            </w:pPr>
            <w:r w:rsidRPr="00D811B5">
              <w:rPr>
                <w:rFonts w:ascii="Barlow" w:hAnsi="Barlow" w:cs="Calibri"/>
                <w:color w:val="000000"/>
                <w:sz w:val="20"/>
                <w:szCs w:val="20"/>
                <w:u w:val="single"/>
                <w:lang w:val="es-ES" w:eastAsia="es-ES"/>
              </w:rPr>
              <w:t>TRANSFERENCIAS Y ASIGNACIONES</w:t>
            </w:r>
          </w:p>
        </w:tc>
        <w:tc>
          <w:tcPr>
            <w:tcW w:w="151"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7,749,700.00 </w:t>
            </w:r>
          </w:p>
        </w:tc>
      </w:tr>
      <w:tr w:rsidR="00D811B5" w:rsidRPr="00D811B5" w:rsidTr="00D811B5">
        <w:trPr>
          <w:trHeight w:val="300"/>
        </w:trPr>
        <w:tc>
          <w:tcPr>
            <w:tcW w:w="8657"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Transferencias Autorizadas</w:t>
            </w:r>
          </w:p>
        </w:tc>
        <w:tc>
          <w:tcPr>
            <w:tcW w:w="151"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7,749,700.00 </w:t>
            </w:r>
          </w:p>
        </w:tc>
      </w:tr>
    </w:tbl>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1B-3</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Otros Ingresos y Beneficios Varios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otros ingresos y beneficios varios se integran:</w:t>
      </w:r>
    </w:p>
    <w:p w:rsidR="00D811B5" w:rsidRPr="00D811B5" w:rsidRDefault="00D811B5" w:rsidP="00D811B5">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D811B5">
        <w:rPr>
          <w:rFonts w:ascii="Barlow" w:hAnsi="Barlow"/>
          <w:noProof/>
          <w:szCs w:val="20"/>
        </w:rPr>
        <w:lastRenderedPageBreak/>
        <w:drawing>
          <wp:inline distT="0" distB="0" distL="0" distR="0" wp14:anchorId="2DFFBF58" wp14:editId="475C5069">
            <wp:extent cx="8191500" cy="7524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91500" cy="752475"/>
                    </a:xfrm>
                    <a:prstGeom prst="rect">
                      <a:avLst/>
                    </a:prstGeom>
                    <a:noFill/>
                    <a:ln>
                      <a:noFill/>
                    </a:ln>
                  </pic:spPr>
                </pic:pic>
              </a:graphicData>
            </a:graphic>
          </wp:inline>
        </w:drawing>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right="-20" w:firstLine="113"/>
        <w:rPr>
          <w:rFonts w:ascii="Barlow" w:hAnsi="Barlow" w:cs="Calibri"/>
          <w:bCs/>
          <w:color w:val="000000"/>
          <w:sz w:val="20"/>
          <w:szCs w:val="20"/>
        </w:rPr>
      </w:pPr>
      <w:r w:rsidRPr="00D811B5">
        <w:rPr>
          <w:rFonts w:ascii="Barlow" w:hAnsi="Barlow" w:cs="Calibri"/>
          <w:b/>
          <w:bCs/>
          <w:color w:val="000000"/>
          <w:sz w:val="20"/>
          <w:szCs w:val="20"/>
        </w:rPr>
        <w:t>Gastos y Otras Pérdidas</w:t>
      </w:r>
      <w:r w:rsidRPr="00D811B5">
        <w:rPr>
          <w:rFonts w:ascii="Barlow" w:hAnsi="Barlow" w:cs="Calibri"/>
          <w:b/>
          <w:bCs/>
          <w:color w:val="000000"/>
          <w:sz w:val="20"/>
          <w:szCs w:val="20"/>
        </w:rPr>
        <w:tab/>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Nota 1B-4 Gastos de Funcionamiento</w:t>
      </w:r>
    </w:p>
    <w:p w:rsidR="00D811B5" w:rsidRPr="00D811B5" w:rsidRDefault="00D811B5" w:rsidP="00D811B5">
      <w:pPr>
        <w:widowControl w:val="0"/>
        <w:autoSpaceDE w:val="0"/>
        <w:autoSpaceDN w:val="0"/>
        <w:adjustRightInd w:val="0"/>
        <w:spacing w:before="26" w:after="0" w:line="240" w:lineRule="auto"/>
        <w:ind w:right="-20"/>
        <w:rPr>
          <w:rFonts w:ascii="Barlow" w:hAnsi="Barlow" w:cs="Calibri"/>
          <w:bCs/>
          <w:color w:val="000000"/>
          <w:sz w:val="20"/>
          <w:szCs w:val="20"/>
        </w:rPr>
      </w:pPr>
      <w:r w:rsidRPr="00D811B5">
        <w:rPr>
          <w:rFonts w:ascii="Barlow" w:hAnsi="Barlow" w:cs="Calibri"/>
          <w:bCs/>
          <w:color w:val="000000"/>
          <w:sz w:val="20"/>
          <w:szCs w:val="20"/>
        </w:rPr>
        <w:t>Comprende el importe del gasto por servicios personales, materiales, suministros y servicios generales, necesarios para el funcionamiento del ente público. Los gastos de funcionamiento se integran con los siguientes conceptos y partidas: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tbl>
      <w:tblPr>
        <w:tblW w:w="12084" w:type="dxa"/>
        <w:jc w:val="center"/>
        <w:tblInd w:w="70" w:type="dxa"/>
        <w:tblCellMar>
          <w:left w:w="70" w:type="dxa"/>
          <w:right w:w="70" w:type="dxa"/>
        </w:tblCellMar>
        <w:tblLook w:val="04A0" w:firstRow="1" w:lastRow="0" w:firstColumn="1" w:lastColumn="0" w:noHBand="0" w:noVBand="1"/>
      </w:tblPr>
      <w:tblGrid>
        <w:gridCol w:w="6176"/>
        <w:gridCol w:w="2696"/>
        <w:gridCol w:w="1636"/>
        <w:gridCol w:w="1576"/>
      </w:tblGrid>
      <w:tr w:rsidR="00D811B5" w:rsidRPr="00D811B5" w:rsidTr="00D811B5">
        <w:trPr>
          <w:trHeight w:val="345"/>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GASTOS DE FUNCIONAMIENTO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        6,663,322.78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SERVICIOS PERSONALES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        5,760,484.67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REMUNERACIONES AL PERSONAL DE CARÁCTER PERMANENTE</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3,740,998.01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REMUNERACIONES AL PERSONAL DE CARÁCTER TRANSITORIO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537,224.66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REMUNERACIONES ADICIONALES Y ESPECIALES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228,581.38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SEGURIDAD SOCIAL</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749,890.33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OTRAS PRESTACIONES SOCIALES Y ECONÓMICAS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503,790.29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MATERIALES Y SUMINISTROS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           130,892.35 </w:t>
            </w:r>
          </w:p>
        </w:tc>
      </w:tr>
      <w:tr w:rsidR="00D811B5" w:rsidRPr="00D811B5" w:rsidTr="00D811B5">
        <w:trPr>
          <w:trHeight w:val="300"/>
          <w:jc w:val="center"/>
        </w:trPr>
        <w:tc>
          <w:tcPr>
            <w:tcW w:w="8872" w:type="dxa"/>
            <w:gridSpan w:val="2"/>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MATERIALES DE ADMINISTRACIÓN, EMISIÓN DE DOCUMENTOS Y ARTÍCULOS OFICIALES</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80,014.44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ALIMENTOS Y UTENSILIOS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9,122.03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MATERIALES Y ARTÍCULOS DE CONSTRUCCIÓN Y DE REPARACIÓN</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24,963.93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PRODUCTOS QUÍMICOS, FARMACÉUTICOS Y DE LABORATORIO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4,923.22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COMBUSTIBLES, LUBRICANTES Y ADITIVOS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341.48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HERRAMIENTAS, REFACCIONES Y ACCESORIOS MENORES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11,527.25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lastRenderedPageBreak/>
              <w:t>SERVICIOS GENERALES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           771,945.76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BÁSICOS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165,639.77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DE ARRENDAMIENTO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121,959.11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PROFESIONALES, CIENTÍFICOS Y TÉCNICOS Y OTROS SERVICIOS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117,178.34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FINANCIEROS, BANCARIOS Y COMERCIALES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84,898.68 </w:t>
            </w:r>
          </w:p>
        </w:tc>
      </w:tr>
      <w:tr w:rsidR="00D811B5" w:rsidRPr="00D811B5" w:rsidTr="00D811B5">
        <w:trPr>
          <w:trHeight w:val="300"/>
          <w:jc w:val="center"/>
        </w:trPr>
        <w:tc>
          <w:tcPr>
            <w:tcW w:w="8872" w:type="dxa"/>
            <w:gridSpan w:val="2"/>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DE INSTALACIÓN, REPARACIÓN, MANTENIMIENTO Y CONSERVACIÓN</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4,352.31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DE COMUNICACIÓN SOCIAL Y PUBLICIDAD</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14,670.20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SERVICIOS DE TRASLADO Y VIÁTICOS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46,721.35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OTROS SERVICIOS GENERALES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           216,526.00 </w:t>
            </w:r>
          </w:p>
        </w:tc>
      </w:tr>
    </w:tbl>
    <w:p w:rsidR="00D811B5" w:rsidRPr="00D811B5" w:rsidRDefault="00D811B5" w:rsidP="00D811B5">
      <w:pPr>
        <w:widowControl w:val="0"/>
        <w:autoSpaceDE w:val="0"/>
        <w:autoSpaceDN w:val="0"/>
        <w:adjustRightInd w:val="0"/>
        <w:spacing w:before="26" w:after="0" w:line="240" w:lineRule="auto"/>
        <w:ind w:right="-20"/>
        <w:rPr>
          <w:rFonts w:ascii="Barlow" w:hAnsi="Barlow" w:cs="Calibri"/>
          <w:b/>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1B-5</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Gastos por Transferencias, Asignaciones, Subsidios y Otras Ayudas</w:t>
      </w:r>
    </w:p>
    <w:p w:rsidR="00D811B5" w:rsidRPr="00D811B5" w:rsidRDefault="00D811B5" w:rsidP="00D811B5">
      <w:pPr>
        <w:widowControl w:val="0"/>
        <w:autoSpaceDE w:val="0"/>
        <w:autoSpaceDN w:val="0"/>
        <w:adjustRightInd w:val="0"/>
        <w:spacing w:before="26" w:after="0" w:line="240" w:lineRule="auto"/>
        <w:ind w:right="-20"/>
        <w:rPr>
          <w:rFonts w:ascii="Barlow" w:hAnsi="Barlow" w:cs="Calibri"/>
          <w:b/>
          <w:bCs/>
          <w:color w:val="000000"/>
          <w:sz w:val="20"/>
          <w:szCs w:val="20"/>
        </w:rPr>
      </w:pPr>
      <w:r w:rsidRPr="00D811B5">
        <w:rPr>
          <w:rFonts w:ascii="Barlow" w:hAnsi="Barlow" w:cs="Calibri"/>
          <w:bCs/>
          <w:color w:val="000000"/>
          <w:sz w:val="20"/>
          <w:szCs w:val="20"/>
        </w:rPr>
        <w:t>Los gastos por transferencias, asignaciones, subsidios y otras ayudas, se integran con los siguientes rubros y cuentas: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tbl>
      <w:tblPr>
        <w:tblW w:w="12084" w:type="dxa"/>
        <w:tblInd w:w="70" w:type="dxa"/>
        <w:tblCellMar>
          <w:left w:w="70" w:type="dxa"/>
          <w:right w:w="70" w:type="dxa"/>
        </w:tblCellMar>
        <w:tblLook w:val="04A0" w:firstRow="1" w:lastRow="0" w:firstColumn="1" w:lastColumn="0" w:noHBand="0" w:noVBand="1"/>
      </w:tblPr>
      <w:tblGrid>
        <w:gridCol w:w="6176"/>
        <w:gridCol w:w="2696"/>
        <w:gridCol w:w="1636"/>
        <w:gridCol w:w="1576"/>
      </w:tblGrid>
      <w:tr w:rsidR="00D811B5" w:rsidRPr="00D811B5" w:rsidTr="00D811B5">
        <w:trPr>
          <w:trHeight w:val="300"/>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TRANSFERENCIAS, ASIGNACIONES, SUBSIDIOS Y OTRAS AYUDAS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16,000.00</w:t>
            </w:r>
          </w:p>
        </w:tc>
      </w:tr>
      <w:tr w:rsidR="00D811B5" w:rsidRPr="00D811B5" w:rsidTr="00D811B5">
        <w:trPr>
          <w:trHeight w:val="300"/>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SUBSIDIOS Y SUBVENCIONES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16,000.00</w:t>
            </w:r>
          </w:p>
        </w:tc>
      </w:tr>
      <w:tr w:rsidR="00D811B5" w:rsidRPr="00D811B5" w:rsidTr="00D811B5">
        <w:trPr>
          <w:trHeight w:val="300"/>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SUBSIDIOS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63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157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16,000.00</w:t>
            </w:r>
          </w:p>
        </w:tc>
      </w:tr>
    </w:tbl>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1B-6</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Remanente del Ejercicio Anterior</w:t>
      </w:r>
      <w:r w:rsidRPr="00D811B5">
        <w:rPr>
          <w:rFonts w:ascii="Barlow" w:hAnsi="Barlow" w:cs="Calibri"/>
          <w:bCs/>
          <w:color w:val="000000"/>
          <w:sz w:val="20"/>
          <w:szCs w:val="20"/>
        </w:rPr>
        <w:tab/>
      </w:r>
    </w:p>
    <w:p w:rsidR="00D811B5" w:rsidRPr="00D811B5" w:rsidRDefault="00D811B5" w:rsidP="00D811B5">
      <w:pPr>
        <w:widowControl w:val="0"/>
        <w:autoSpaceDE w:val="0"/>
        <w:autoSpaceDN w:val="0"/>
        <w:adjustRightInd w:val="0"/>
        <w:spacing w:before="26" w:after="0" w:line="240" w:lineRule="auto"/>
        <w:ind w:left="113" w:right="-20"/>
        <w:rPr>
          <w:rFonts w:ascii="Barlow" w:hAnsi="Barlow"/>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sz w:val="20"/>
          <w:szCs w:val="20"/>
        </w:rPr>
      </w:pPr>
      <w:r w:rsidRPr="00D811B5">
        <w:rPr>
          <w:rFonts w:ascii="Barlow" w:hAnsi="Barlow"/>
          <w:sz w:val="20"/>
          <w:szCs w:val="20"/>
        </w:rPr>
        <w:t>El remanente presupuestal del ejercicio 2018 se transfirió al ejercicio fiscal 2019 y se considera ampliación automática al presupuesto de egresos en apego al artículo segundo transitorio del “</w:t>
      </w:r>
      <w:r w:rsidRPr="00D811B5">
        <w:rPr>
          <w:rFonts w:ascii="Barlow" w:hAnsi="Barlow"/>
          <w:i/>
          <w:sz w:val="20"/>
          <w:szCs w:val="20"/>
        </w:rPr>
        <w:t xml:space="preserve">Presupuesto de Egresos del gobierno del Estado de Yucatán para el Ejercicio 2019” </w:t>
      </w:r>
      <w:r w:rsidRPr="00D811B5">
        <w:rPr>
          <w:rFonts w:ascii="Barlow" w:hAnsi="Barlow"/>
          <w:sz w:val="20"/>
          <w:szCs w:val="20"/>
        </w:rPr>
        <w:t xml:space="preserve">publicado en  Diario Oficial el 31 de diciembre 2018.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sz w:val="20"/>
          <w:szCs w:val="20"/>
        </w:rPr>
      </w:pPr>
      <w:r w:rsidRPr="00D811B5">
        <w:rPr>
          <w:rFonts w:ascii="Barlow" w:hAnsi="Barlow"/>
          <w:sz w:val="20"/>
          <w:szCs w:val="20"/>
        </w:rPr>
        <w:t>El importe no distribuible de este remanente al inicio del ejercicio, es por $102,390.00 correspondiente al saldo de la cuenta “Derecho a recibir equivalentes a Largo Plazo”.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III) NOTAS AL ESTADO DE VARIACION EN LA HACIENDA PÚBLICA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1C-1</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Hacienda Pública/Patrimonio Contribuido</w:t>
      </w:r>
    </w:p>
    <w:p w:rsidR="00D811B5" w:rsidRPr="00D811B5" w:rsidRDefault="00D811B5" w:rsidP="00D811B5">
      <w:pPr>
        <w:pStyle w:val="Prrafodelista"/>
        <w:tabs>
          <w:tab w:val="left" w:pos="284"/>
        </w:tabs>
        <w:spacing w:after="0" w:line="240" w:lineRule="auto"/>
        <w:ind w:left="0"/>
        <w:rPr>
          <w:rFonts w:ascii="Barlow" w:hAnsi="Barlow" w:cs="Calibri"/>
          <w:bCs/>
          <w:color w:val="000000"/>
          <w:sz w:val="20"/>
          <w:szCs w:val="20"/>
        </w:rPr>
      </w:pPr>
      <w:r w:rsidRPr="00D811B5">
        <w:rPr>
          <w:rFonts w:ascii="Barlow" w:hAnsi="Barlow" w:cs="Calibri"/>
          <w:bCs/>
          <w:color w:val="000000"/>
          <w:sz w:val="20"/>
          <w:szCs w:val="20"/>
        </w:rPr>
        <w:t>El patrimonio contribuido se integra como se presenta a continuación:</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cs="Calibri"/>
          <w:sz w:val="20"/>
          <w:szCs w:val="20"/>
        </w:rPr>
      </w:pPr>
      <w:r w:rsidRPr="00D811B5">
        <w:rPr>
          <w:rFonts w:ascii="Barlow" w:hAnsi="Barlow" w:cs="Calibri"/>
          <w:sz w:val="20"/>
          <w:szCs w:val="20"/>
        </w:rPr>
        <w:object w:dxaOrig="9600" w:dyaOrig="2640">
          <v:shape id="_x0000_i1034" type="#_x0000_t75" style="width:480pt;height:132pt" o:ole="">
            <v:imagedata r:id="rId35" o:title=""/>
          </v:shape>
          <o:OLEObject Type="Embed" ProgID="Excel.Sheet.12" ShapeID="_x0000_i1034" DrawAspect="Content" ObjectID="_1619422275" r:id="rId36"/>
        </w:objec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partir del ejercicio 2012 y en apego a los modelos de asientos, al plan de cuentas, y a la matriz de egresos emitidos por el CONAC, la ESAY dejó de registrar las compras de activo fijo como un gasto contable. Se dejó de utilizar el doble asiento contable para las compras de activo fijo (activo fijo vs bancos; gastos por equipamiento vs patrimonio contribuido) quedando un saldo en la cuenta de patrimonio contribuido que representa el total de compras de activo fijo efectuadas desde el inicio de operaciones de la escuela en 2005 y hasta el 31 de diciembre de 2011. Como política contable se ha determinado mantener el saldo en la cuenta de patrimonio contribuido en tanto los bienes incluidos en ese rubro no sean dados de baja y el CONAC emita alguna disposición al respecto.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1C-2</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Hacienda Pública /Patrimonio Generado</w:t>
      </w:r>
    </w:p>
    <w:p w:rsidR="00D811B5" w:rsidRPr="00D811B5" w:rsidRDefault="00D811B5" w:rsidP="00D811B5">
      <w:pPr>
        <w:pStyle w:val="Prrafodelista"/>
        <w:tabs>
          <w:tab w:val="left" w:pos="284"/>
        </w:tabs>
        <w:spacing w:after="0" w:line="240" w:lineRule="auto"/>
        <w:ind w:left="0"/>
        <w:rPr>
          <w:rFonts w:ascii="Barlow" w:hAnsi="Barlow" w:cs="Calibri"/>
          <w:bCs/>
          <w:color w:val="000000"/>
          <w:sz w:val="20"/>
          <w:szCs w:val="20"/>
        </w:rPr>
      </w:pPr>
      <w:r w:rsidRPr="00D811B5">
        <w:rPr>
          <w:rFonts w:ascii="Barlow" w:hAnsi="Barlow" w:cs="Calibri"/>
          <w:bCs/>
          <w:color w:val="000000"/>
          <w:sz w:val="20"/>
          <w:szCs w:val="20"/>
        </w:rPr>
        <w:t>El patrimonio generado se integra como se presenta a continuación:</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tbl>
      <w:tblPr>
        <w:tblW w:w="10508" w:type="dxa"/>
        <w:jc w:val="center"/>
        <w:tblInd w:w="70" w:type="dxa"/>
        <w:tblCellMar>
          <w:left w:w="70" w:type="dxa"/>
          <w:right w:w="70" w:type="dxa"/>
        </w:tblCellMar>
        <w:tblLook w:val="04A0" w:firstRow="1" w:lastRow="0" w:firstColumn="1" w:lastColumn="0" w:noHBand="0" w:noVBand="1"/>
      </w:tblPr>
      <w:tblGrid>
        <w:gridCol w:w="6176"/>
        <w:gridCol w:w="2696"/>
        <w:gridCol w:w="1636"/>
      </w:tblGrid>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lastRenderedPageBreak/>
              <w:t>HACIENDA PÚBLICA /PATRIMONIO GENERADO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FF0000"/>
                <w:sz w:val="20"/>
                <w:szCs w:val="20"/>
                <w:lang w:val="es-ES" w:eastAsia="es-ES"/>
              </w:rPr>
              <w:t xml:space="preserve">-710,637.05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u w:val="single"/>
                <w:lang w:val="es-ES" w:eastAsia="es-ES"/>
              </w:rPr>
            </w:pPr>
            <w:r w:rsidRPr="00D811B5">
              <w:rPr>
                <w:rFonts w:ascii="Barlow" w:hAnsi="Barlow" w:cs="Calibri"/>
                <w:color w:val="000000"/>
                <w:sz w:val="20"/>
                <w:szCs w:val="20"/>
                <w:u w:val="single"/>
                <w:lang w:val="es-ES" w:eastAsia="es-ES"/>
              </w:rPr>
              <w:t>RESULTADOS DEL EJERCICIO (AHORRO/ DESAHORRO)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2,527,285.61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u w:val="single"/>
                <w:lang w:val="es-ES" w:eastAsia="es-ES"/>
              </w:rPr>
            </w:pPr>
            <w:r w:rsidRPr="00D811B5">
              <w:rPr>
                <w:rFonts w:ascii="Barlow" w:hAnsi="Barlow" w:cs="Calibri"/>
                <w:color w:val="000000"/>
                <w:sz w:val="20"/>
                <w:szCs w:val="20"/>
                <w:u w:val="single"/>
                <w:lang w:val="es-ES" w:eastAsia="es-ES"/>
              </w:rPr>
              <w:t>RESULTADOS DE EJERCICIOS ANTERIORES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FF0000"/>
                <w:sz w:val="20"/>
                <w:szCs w:val="20"/>
                <w:lang w:val="es-ES" w:eastAsia="es-ES"/>
              </w:rPr>
              <w:t xml:space="preserve">-3,425,583.06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Ajustes por Bajas de Activo Fijo</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783,159.60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2004</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1,000,111.42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2005</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-891,583.55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2005 (ajuste)</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35,892.22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2006</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1,643,166.08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2007</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-178,052.39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2008</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-834,665.63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2009</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-185,068.33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Ajuste por Depreciaciones 2005-2009</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-1,822,880.47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2010</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-825,507.75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2011</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-665,023.79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2012</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557,460.02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2013</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-297,814.61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2014</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781,765.08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Ajuste por Cancelación de Cuentas por Cobrar</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-7,992.50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2015</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-1,035,684.22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2016</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-53,412.32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2017</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-799,646.72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Resultado del Ejercicio 2018</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FF0000"/>
                <w:sz w:val="20"/>
                <w:szCs w:val="20"/>
                <w:lang w:val="es-ES" w:eastAsia="es-ES"/>
              </w:rPr>
              <w:t xml:space="preserve">-629,805.20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u w:val="single"/>
                <w:lang w:val="es-ES" w:eastAsia="es-ES"/>
              </w:rPr>
            </w:pPr>
            <w:r w:rsidRPr="00D811B5">
              <w:rPr>
                <w:rFonts w:ascii="Barlow" w:hAnsi="Barlow" w:cs="Calibri"/>
                <w:color w:val="000000"/>
                <w:sz w:val="20"/>
                <w:szCs w:val="20"/>
                <w:u w:val="single"/>
                <w:lang w:val="es-ES" w:eastAsia="es-ES"/>
              </w:rPr>
              <w:t>RECTIFICACIONES DE RESULTADOS DE EJERCICIOS ANTERIORES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187,660.40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CAMBIOS EN POLÍTICAS CONTABLES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11,714.77 </w:t>
            </w:r>
          </w:p>
        </w:tc>
      </w:tr>
      <w:tr w:rsidR="00D811B5" w:rsidRPr="00D811B5" w:rsidTr="00D811B5">
        <w:trPr>
          <w:trHeight w:val="300"/>
          <w:jc w:val="center"/>
        </w:trPr>
        <w:tc>
          <w:tcPr>
            <w:tcW w:w="6176"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CAMBIOS POR ERRORES CONTABLES</w:t>
            </w:r>
          </w:p>
        </w:tc>
        <w:tc>
          <w:tcPr>
            <w:tcW w:w="2696" w:type="dxa"/>
            <w:shd w:val="clear" w:color="auto" w:fill="FFFFFF"/>
            <w:noWrap/>
            <w:vAlign w:val="bottom"/>
            <w:hideMark/>
          </w:tcPr>
          <w:p w:rsidR="00D811B5" w:rsidRPr="00D811B5" w:rsidRDefault="00D811B5">
            <w:pPr>
              <w:spacing w:after="0" w:line="240" w:lineRule="auto"/>
              <w:rPr>
                <w:rFonts w:ascii="Barlow" w:hAnsi="Barlow" w:cs="Calibri"/>
                <w:color w:val="000000"/>
                <w:lang w:val="es-ES" w:eastAsia="es-ES"/>
              </w:rPr>
            </w:pPr>
            <w:r w:rsidRPr="00D811B5">
              <w:rPr>
                <w:rFonts w:ascii="Barlow" w:hAnsi="Barlow" w:cs="Calibri"/>
                <w:color w:val="000000"/>
                <w:lang w:val="es-ES" w:eastAsia="es-ES"/>
              </w:rPr>
              <w:t> </w:t>
            </w:r>
          </w:p>
        </w:tc>
        <w:tc>
          <w:tcPr>
            <w:tcW w:w="1636" w:type="dxa"/>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175,945.63 </w:t>
            </w:r>
          </w:p>
        </w:tc>
      </w:tr>
    </w:tbl>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IV) NOTAS AL ESTADO DE FLUJOS DE EFECTIVO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1D-1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Efectivo y Equivalentes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El análisis de los saldos inicial y final que figuran en la última parte del Estado de Flujo de Efectivo en la cuenta de efectivo y equivalentes es el siguiente:</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tbl>
      <w:tblPr>
        <w:tblW w:w="10484" w:type="dxa"/>
        <w:jc w:val="center"/>
        <w:tblInd w:w="70" w:type="dxa"/>
        <w:tblCellMar>
          <w:left w:w="70" w:type="dxa"/>
          <w:right w:w="70" w:type="dxa"/>
        </w:tblCellMar>
        <w:tblLook w:val="04A0" w:firstRow="1" w:lastRow="0" w:firstColumn="1" w:lastColumn="0" w:noHBand="0" w:noVBand="1"/>
      </w:tblPr>
      <w:tblGrid>
        <w:gridCol w:w="6168"/>
        <w:gridCol w:w="2688"/>
        <w:gridCol w:w="1628"/>
      </w:tblGrid>
      <w:tr w:rsidR="00D811B5" w:rsidRPr="00D811B5" w:rsidTr="00D811B5">
        <w:trPr>
          <w:trHeight w:val="300"/>
          <w:jc w:val="center"/>
        </w:trPr>
        <w:tc>
          <w:tcPr>
            <w:tcW w:w="6168" w:type="dxa"/>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w:t>
            </w:r>
          </w:p>
        </w:tc>
        <w:tc>
          <w:tcPr>
            <w:tcW w:w="2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jc w:val="center"/>
              <w:rPr>
                <w:rFonts w:ascii="Barlow" w:hAnsi="Barlow" w:cs="Calibri"/>
                <w:b/>
                <w:bCs/>
                <w:color w:val="000000"/>
                <w:lang w:val="es-ES" w:eastAsia="es-ES"/>
              </w:rPr>
            </w:pPr>
            <w:r w:rsidRPr="00D811B5">
              <w:rPr>
                <w:rFonts w:ascii="Barlow" w:hAnsi="Barlow" w:cs="Calibri"/>
                <w:b/>
                <w:bCs/>
                <w:color w:val="000000"/>
                <w:lang w:val="es-ES" w:eastAsia="es-ES"/>
              </w:rPr>
              <w:t>Marzo 2019</w:t>
            </w:r>
          </w:p>
        </w:tc>
        <w:tc>
          <w:tcPr>
            <w:tcW w:w="1628" w:type="dxa"/>
            <w:tcBorders>
              <w:top w:val="single" w:sz="4" w:space="0" w:color="auto"/>
              <w:left w:val="nil"/>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jc w:val="center"/>
              <w:rPr>
                <w:rFonts w:ascii="Barlow" w:hAnsi="Barlow" w:cs="Calibri"/>
                <w:b/>
                <w:bCs/>
                <w:color w:val="000000"/>
                <w:lang w:val="es-ES" w:eastAsia="es-ES"/>
              </w:rPr>
            </w:pPr>
            <w:r w:rsidRPr="00D811B5">
              <w:rPr>
                <w:rFonts w:ascii="Barlow" w:hAnsi="Barlow" w:cs="Calibri"/>
                <w:b/>
                <w:bCs/>
                <w:color w:val="000000"/>
                <w:lang w:val="es-ES" w:eastAsia="es-ES"/>
              </w:rPr>
              <w:t>Marzo 2018</w:t>
            </w:r>
          </w:p>
        </w:tc>
      </w:tr>
      <w:tr w:rsidR="00D811B5" w:rsidRPr="00D811B5" w:rsidTr="00D811B5">
        <w:trPr>
          <w:trHeight w:val="300"/>
          <w:jc w:val="center"/>
        </w:trPr>
        <w:tc>
          <w:tcPr>
            <w:tcW w:w="616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Efectivo </w:t>
            </w:r>
          </w:p>
        </w:tc>
        <w:tc>
          <w:tcPr>
            <w:tcW w:w="2688" w:type="dxa"/>
            <w:tcBorders>
              <w:top w:val="nil"/>
              <w:left w:val="nil"/>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9,000.00 </w:t>
            </w:r>
          </w:p>
        </w:tc>
        <w:tc>
          <w:tcPr>
            <w:tcW w:w="1628" w:type="dxa"/>
            <w:tcBorders>
              <w:top w:val="nil"/>
              <w:left w:val="nil"/>
              <w:bottom w:val="single" w:sz="4" w:space="0" w:color="auto"/>
              <w:right w:val="single" w:sz="4" w:space="0" w:color="auto"/>
            </w:tcBorders>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9,000.00 </w:t>
            </w:r>
          </w:p>
        </w:tc>
      </w:tr>
      <w:tr w:rsidR="00D811B5" w:rsidRPr="00D811B5" w:rsidTr="00D811B5">
        <w:trPr>
          <w:trHeight w:val="300"/>
          <w:jc w:val="center"/>
        </w:trPr>
        <w:tc>
          <w:tcPr>
            <w:tcW w:w="6168" w:type="dxa"/>
            <w:tcBorders>
              <w:top w:val="nil"/>
              <w:left w:val="single" w:sz="4" w:space="0" w:color="auto"/>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Efectivo en Bancos/</w:t>
            </w:r>
            <w:r w:rsidRPr="00D811B5">
              <w:rPr>
                <w:rFonts w:ascii="Barlow" w:hAnsi="Barlow" w:cs="Calibri"/>
                <w:color w:val="000000"/>
                <w:sz w:val="20"/>
                <w:szCs w:val="20"/>
                <w:lang w:val="es-ES" w:eastAsia="es-ES"/>
              </w:rPr>
              <w:t>Tesorería</w:t>
            </w:r>
          </w:p>
        </w:tc>
        <w:tc>
          <w:tcPr>
            <w:tcW w:w="2688" w:type="dxa"/>
            <w:tcBorders>
              <w:top w:val="nil"/>
              <w:left w:val="nil"/>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3,500,254.07 </w:t>
            </w:r>
          </w:p>
        </w:tc>
        <w:tc>
          <w:tcPr>
            <w:tcW w:w="1628" w:type="dxa"/>
            <w:tcBorders>
              <w:top w:val="nil"/>
              <w:left w:val="nil"/>
              <w:bottom w:val="single" w:sz="4" w:space="0" w:color="auto"/>
              <w:right w:val="single" w:sz="4" w:space="0" w:color="auto"/>
            </w:tcBorders>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1,898,957.98 </w:t>
            </w:r>
          </w:p>
        </w:tc>
      </w:tr>
      <w:tr w:rsidR="00D811B5" w:rsidRPr="00D811B5" w:rsidTr="00D811B5">
        <w:trPr>
          <w:trHeight w:val="300"/>
          <w:jc w:val="center"/>
        </w:trPr>
        <w:tc>
          <w:tcPr>
            <w:tcW w:w="6168" w:type="dxa"/>
            <w:tcBorders>
              <w:top w:val="nil"/>
              <w:left w:val="single" w:sz="4" w:space="0" w:color="auto"/>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Efectivo en Inversiones Temporales</w:t>
            </w:r>
          </w:p>
        </w:tc>
        <w:tc>
          <w:tcPr>
            <w:tcW w:w="2688" w:type="dxa"/>
            <w:tcBorders>
              <w:top w:val="nil"/>
              <w:left w:val="nil"/>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84,698.92 </w:t>
            </w:r>
          </w:p>
        </w:tc>
        <w:tc>
          <w:tcPr>
            <w:tcW w:w="1628" w:type="dxa"/>
            <w:tcBorders>
              <w:top w:val="nil"/>
              <w:left w:val="nil"/>
              <w:bottom w:val="single" w:sz="4" w:space="0" w:color="auto"/>
              <w:right w:val="single" w:sz="4" w:space="0" w:color="auto"/>
            </w:tcBorders>
            <w:noWrap/>
            <w:vAlign w:val="bottom"/>
            <w:hideMark/>
          </w:tcPr>
          <w:p w:rsidR="00D811B5" w:rsidRPr="00D811B5" w:rsidRDefault="00D811B5">
            <w:pPr>
              <w:spacing w:after="0" w:line="240" w:lineRule="auto"/>
              <w:jc w:val="right"/>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 xml:space="preserve">579,194.83 </w:t>
            </w:r>
          </w:p>
        </w:tc>
      </w:tr>
      <w:tr w:rsidR="00D811B5" w:rsidRPr="00D811B5" w:rsidTr="00D811B5">
        <w:trPr>
          <w:trHeight w:val="300"/>
          <w:jc w:val="center"/>
        </w:trPr>
        <w:tc>
          <w:tcPr>
            <w:tcW w:w="6168" w:type="dxa"/>
            <w:tcBorders>
              <w:top w:val="nil"/>
              <w:left w:val="single" w:sz="4" w:space="0" w:color="auto"/>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rPr>
                <w:rFonts w:ascii="Barlow" w:hAnsi="Barlow" w:cs="Calibri"/>
                <w:color w:val="000000"/>
                <w:sz w:val="20"/>
                <w:szCs w:val="20"/>
                <w:lang w:val="es-ES" w:eastAsia="es-ES"/>
              </w:rPr>
            </w:pPr>
            <w:r w:rsidRPr="00D811B5">
              <w:rPr>
                <w:rFonts w:ascii="Barlow" w:hAnsi="Barlow" w:cs="Calibri"/>
                <w:color w:val="000000"/>
                <w:sz w:val="20"/>
                <w:szCs w:val="20"/>
                <w:lang w:val="es-ES" w:eastAsia="es-ES"/>
              </w:rPr>
              <w:t>Total de Efectivo y Equivalentes</w:t>
            </w:r>
          </w:p>
        </w:tc>
        <w:tc>
          <w:tcPr>
            <w:tcW w:w="2688" w:type="dxa"/>
            <w:tcBorders>
              <w:top w:val="nil"/>
              <w:left w:val="nil"/>
              <w:bottom w:val="single" w:sz="4" w:space="0" w:color="auto"/>
              <w:right w:val="single" w:sz="4" w:space="0" w:color="auto"/>
            </w:tcBorders>
            <w:shd w:val="clear" w:color="auto" w:fill="FFFFFF"/>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3,593,952.99 </w:t>
            </w:r>
          </w:p>
        </w:tc>
        <w:tc>
          <w:tcPr>
            <w:tcW w:w="1628" w:type="dxa"/>
            <w:tcBorders>
              <w:top w:val="nil"/>
              <w:left w:val="nil"/>
              <w:bottom w:val="single" w:sz="4" w:space="0" w:color="auto"/>
              <w:right w:val="single" w:sz="4" w:space="0" w:color="auto"/>
            </w:tcBorders>
            <w:noWrap/>
            <w:vAlign w:val="bottom"/>
            <w:hideMark/>
          </w:tcPr>
          <w:p w:rsidR="00D811B5" w:rsidRPr="00D811B5" w:rsidRDefault="00D811B5">
            <w:pPr>
              <w:spacing w:after="0" w:line="240" w:lineRule="auto"/>
              <w:jc w:val="right"/>
              <w:rPr>
                <w:rFonts w:ascii="Barlow" w:hAnsi="Barlow" w:cs="Calibri"/>
                <w:b/>
                <w:bCs/>
                <w:color w:val="000000"/>
                <w:sz w:val="20"/>
                <w:szCs w:val="20"/>
                <w:lang w:val="es-ES" w:eastAsia="es-ES"/>
              </w:rPr>
            </w:pPr>
            <w:r w:rsidRPr="00D811B5">
              <w:rPr>
                <w:rFonts w:ascii="Barlow" w:hAnsi="Barlow" w:cs="Calibri"/>
                <w:b/>
                <w:bCs/>
                <w:color w:val="000000"/>
                <w:sz w:val="20"/>
                <w:szCs w:val="20"/>
                <w:lang w:val="es-ES" w:eastAsia="es-ES"/>
              </w:rPr>
              <w:t xml:space="preserve">2,487,152.81 </w:t>
            </w:r>
          </w:p>
        </w:tc>
      </w:tr>
    </w:tbl>
    <w:p w:rsidR="00D811B5" w:rsidRPr="00D811B5" w:rsidRDefault="00D811B5" w:rsidP="00D811B5">
      <w:pPr>
        <w:pStyle w:val="Prrafodelista"/>
        <w:tabs>
          <w:tab w:val="left" w:pos="284"/>
        </w:tabs>
        <w:spacing w:after="0" w:line="240" w:lineRule="auto"/>
        <w:ind w:left="0"/>
        <w:rPr>
          <w:rFonts w:ascii="Barlow" w:hAnsi="Barlow"/>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1D-2</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Adquisiciones de Bienes Muebles, Inmuebles e Intangibles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continuación se detallan las adquisiciones (altas) de bienes muebles, inmuebles e intangibles en el periodo (mes) con su monto global, señalando el origen del presupuesto con que se obtuvo. En caso de tratarse de un ajuste contable y no de un alta de activo, también se indica en el siguiente cuadro:</w:t>
      </w:r>
    </w:p>
    <w:p w:rsidR="00D811B5" w:rsidRPr="00D811B5" w:rsidRDefault="00D811B5" w:rsidP="00D811B5">
      <w:pPr>
        <w:widowControl w:val="0"/>
        <w:autoSpaceDE w:val="0"/>
        <w:autoSpaceDN w:val="0"/>
        <w:adjustRightInd w:val="0"/>
        <w:spacing w:before="26" w:after="0" w:line="240" w:lineRule="auto"/>
        <w:ind w:left="113" w:right="-20"/>
        <w:jc w:val="center"/>
        <w:rPr>
          <w:rFonts w:ascii="Barlow" w:hAnsi="Barlow"/>
          <w:szCs w:val="20"/>
        </w:rPr>
      </w:pPr>
      <w:r w:rsidRPr="00D811B5">
        <w:rPr>
          <w:rFonts w:ascii="Barlow" w:hAnsi="Barlow"/>
          <w:noProof/>
          <w:szCs w:val="20"/>
        </w:rPr>
        <w:lastRenderedPageBreak/>
        <w:drawing>
          <wp:inline distT="0" distB="0" distL="0" distR="0" wp14:anchorId="3B85A3E3" wp14:editId="10ED09D8">
            <wp:extent cx="8162925" cy="22764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62925" cy="2276475"/>
                    </a:xfrm>
                    <a:prstGeom prst="rect">
                      <a:avLst/>
                    </a:prstGeom>
                    <a:noFill/>
                    <a:ln>
                      <a:noFill/>
                    </a:ln>
                  </pic:spPr>
                </pic:pic>
              </a:graphicData>
            </a:graphic>
          </wp:inline>
        </w:drawing>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1D-3</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Conciliación de los flujos de efectivo y la cuenta Ahorro/Desahorro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Se presentan las partidas que componen la Conciliación entre los Flujos de Efectivo Netos de las Actividades de Operación y la cuenta de Ahorro/Desahorro antes de Rubros Extraordinarios.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szCs w:val="20"/>
        </w:rPr>
      </w:pPr>
      <w:r w:rsidRPr="00D811B5">
        <w:rPr>
          <w:rFonts w:ascii="Barlow" w:hAnsi="Barlow"/>
          <w:noProof/>
          <w:szCs w:val="20"/>
          <w:lang w:eastAsia="es-MX"/>
        </w:rPr>
        <w:lastRenderedPageBreak/>
        <w:drawing>
          <wp:inline distT="0" distB="0" distL="0" distR="0" wp14:anchorId="709F56CB" wp14:editId="2BD193D9">
            <wp:extent cx="8620125" cy="17145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620125" cy="1714500"/>
                    </a:xfrm>
                    <a:prstGeom prst="rect">
                      <a:avLst/>
                    </a:prstGeom>
                    <a:noFill/>
                    <a:ln>
                      <a:noFill/>
                    </a:ln>
                  </pic:spPr>
                </pic:pic>
              </a:graphicData>
            </a:graphic>
          </wp:inline>
        </w:drawing>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V) CONCILIACIÓN ENTRE LOS INGRESOS PRESUPUESTARIOS Y CONTABLES, ASÍ COMO ENTRE LOS EGRESOS PRESUPUESTARIOS Y LOS GASTOS CONTABLES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1E-1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Conciliación entre los Importes Presupuestarios y Contables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"La vinculación del Estado de Actividades y el ejercicio del presupuesto tanto de ingresos como de egresos se hacen en el momento contable del devengado, por lo que resulta conveniente utilizar este momento contable para llevar a cabo la conciliación entre los conceptos contables y presupuestarios.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Atendiendo a lo dispuesto en el Acuerdo por el que se emite el formato de conciliación entre los ingresos presupuestarios y contables, así como entre los egresos presupuestarios y los gastos contables publicado por el CONAC, se presentan los siguientes informes:"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jc w:val="center"/>
        <w:rPr>
          <w:rFonts w:ascii="Barlow" w:hAnsi="Barlow"/>
          <w:szCs w:val="20"/>
        </w:rPr>
      </w:pPr>
      <w:r w:rsidRPr="00D811B5">
        <w:rPr>
          <w:rFonts w:ascii="Barlow" w:hAnsi="Barlow"/>
          <w:noProof/>
          <w:szCs w:val="20"/>
          <w:lang w:eastAsia="es-MX"/>
        </w:rPr>
        <w:lastRenderedPageBreak/>
        <w:drawing>
          <wp:inline distT="0" distB="0" distL="0" distR="0" wp14:anchorId="2221A71A" wp14:editId="00145DED">
            <wp:extent cx="6553200" cy="30861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53200" cy="3086100"/>
                    </a:xfrm>
                    <a:prstGeom prst="rect">
                      <a:avLst/>
                    </a:prstGeom>
                    <a:noFill/>
                    <a:ln>
                      <a:noFill/>
                    </a:ln>
                  </pic:spPr>
                </pic:pic>
              </a:graphicData>
            </a:graphic>
          </wp:inline>
        </w:drawing>
      </w:r>
    </w:p>
    <w:p w:rsidR="00D811B5" w:rsidRPr="00D811B5" w:rsidRDefault="00D811B5" w:rsidP="00D811B5">
      <w:pPr>
        <w:widowControl w:val="0"/>
        <w:autoSpaceDE w:val="0"/>
        <w:autoSpaceDN w:val="0"/>
        <w:adjustRightInd w:val="0"/>
        <w:spacing w:before="26" w:after="0" w:line="240" w:lineRule="auto"/>
        <w:ind w:left="113" w:right="-20"/>
        <w:rPr>
          <w:rFonts w:ascii="Barlow" w:hAnsi="Barlow"/>
          <w:noProof/>
          <w:szCs w:val="20"/>
          <w:lang w:val="es-ES" w:eastAsia="es-ES"/>
        </w:rPr>
      </w:pPr>
    </w:p>
    <w:p w:rsidR="00D811B5" w:rsidRPr="00D811B5" w:rsidRDefault="00D811B5" w:rsidP="00D811B5">
      <w:pPr>
        <w:widowControl w:val="0"/>
        <w:autoSpaceDE w:val="0"/>
        <w:autoSpaceDN w:val="0"/>
        <w:adjustRightInd w:val="0"/>
        <w:spacing w:before="26" w:after="0" w:line="240" w:lineRule="auto"/>
        <w:ind w:left="113" w:right="-20"/>
        <w:jc w:val="center"/>
        <w:rPr>
          <w:rFonts w:ascii="Barlow" w:hAnsi="Barlow"/>
          <w:szCs w:val="20"/>
        </w:rPr>
      </w:pPr>
      <w:r w:rsidRPr="00D811B5">
        <w:rPr>
          <w:rFonts w:ascii="Barlow" w:hAnsi="Barlow"/>
          <w:noProof/>
          <w:szCs w:val="20"/>
        </w:rPr>
        <w:lastRenderedPageBreak/>
        <w:drawing>
          <wp:inline distT="0" distB="0" distL="0" distR="0" wp14:anchorId="2863F988" wp14:editId="1E68A53C">
            <wp:extent cx="6810375" cy="47815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10375" cy="4781550"/>
                    </a:xfrm>
                    <a:prstGeom prst="rect">
                      <a:avLst/>
                    </a:prstGeom>
                    <a:noFill/>
                    <a:ln>
                      <a:noFill/>
                    </a:ln>
                  </pic:spPr>
                </pic:pic>
              </a:graphicData>
            </a:graphic>
          </wp:inline>
        </w:drawing>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numPr>
          <w:ilvl w:val="0"/>
          <w:numId w:val="5"/>
        </w:numPr>
        <w:tabs>
          <w:tab w:val="left" w:pos="284"/>
        </w:tabs>
        <w:spacing w:after="0" w:line="240" w:lineRule="auto"/>
        <w:ind w:left="0" w:firstLine="0"/>
        <w:rPr>
          <w:rFonts w:ascii="Barlow" w:hAnsi="Barlow" w:cs="Calibri"/>
          <w:sz w:val="20"/>
          <w:szCs w:val="20"/>
        </w:rPr>
      </w:pPr>
      <w:r w:rsidRPr="00D811B5">
        <w:rPr>
          <w:rFonts w:ascii="Barlow" w:hAnsi="Barlow" w:cs="Calibri"/>
          <w:sz w:val="20"/>
          <w:szCs w:val="20"/>
        </w:rPr>
        <w:t>Notas de memoria (Cuentas de Orden)</w:t>
      </w:r>
    </w:p>
    <w:p w:rsidR="00D811B5" w:rsidRPr="00D811B5" w:rsidRDefault="00D811B5" w:rsidP="00D811B5">
      <w:pPr>
        <w:widowControl w:val="0"/>
        <w:autoSpaceDE w:val="0"/>
        <w:autoSpaceDN w:val="0"/>
        <w:adjustRightInd w:val="0"/>
        <w:spacing w:before="26" w:after="0" w:line="240" w:lineRule="auto"/>
        <w:ind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right="-20"/>
        <w:rPr>
          <w:rFonts w:ascii="Barlow" w:hAnsi="Barlow" w:cs="Calibri"/>
          <w:bCs/>
          <w:color w:val="000000"/>
          <w:sz w:val="20"/>
          <w:szCs w:val="20"/>
        </w:rPr>
      </w:pPr>
      <w:r w:rsidRPr="00D811B5">
        <w:rPr>
          <w:rFonts w:ascii="Barlow" w:hAnsi="Barlow" w:cs="Calibri"/>
          <w:bCs/>
          <w:color w:val="000000"/>
          <w:sz w:val="20"/>
          <w:szCs w:val="20"/>
        </w:rPr>
        <w:t>Las cuentas de orden se utilizan para registrar movimientos de valores que no afecten o modifiquen el balance del ente contable. Su incorporación en libros es necesaria con fines de recordatorio contable, de control y en general sobre los aspectos administrativos, o bien, para consignar sus derechos o responsabilidades contingentes que puedan, o no, presentarse en el futuro.</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2-1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Cuentas de Orden Contables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cuenta con bienes recibidos en comodato y en concesión a través de convenios celebrados con las siguientes instituciones: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1. Secretaría de la Cultura y las Artes del Gobierno del Estado, (SEDECULTA).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Con esta institución se celebraron los contratos de comodato DASJ-CE-489-053-053-010-011 Serie 0026-CE-03 y DASJ-CE-063-001-001-003-11 Serie 0026-CE-03 a través de los cuales se recibió mobiliario diverso. La ESAY ha solicitado el valor de los bienes a SEDECULTA y se encuentra en espera de la respuesta para su registro.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2. Secretaría de Administración y Finanzas del Gobierno del Estado (SAF).</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Con esta entidad se celebró un contrato por medio del cual se recibió en comodato el edificio de la Antigua Estación de Ferrocarriles, cede de la Licenciatura en Artes Visuales y oficinas administrativas. Este inmueble es catalogado como un monumento histórico de acuerdo a oficio de contestación por parte de la SAF, motivo por el cual es de un valor incalculable, y para efectos del CONAC se registra a valor de $1.00. Se encuentra registrado en la contabilidad.</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3. Secretaría de Educación del Gobierno del Estado (SEGEY).</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Con esta secretaría se celebró un convenio de apoyo y colaboración en la que se le otorga a la Escuela Superior de Artes de Yucatán el uso y disfrute gratuito del inmueble que es cede de la Licenciatura en Teatro. Su valor es de $2'239,713.42 de acuerdo a oficio de contestación por parte de la SEGEY.</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4. Secretaría de Obras Públicas del Gobierno del Estado.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Escuela recibió de esta entidad bienes en concesión a través de un acta de entrega de obra. La ESAY se encuentra en espera de la respuesta por parte de la Secretaría en donde informe el valor de los bienes."</w:t>
      </w:r>
      <w:r w:rsidRPr="00D811B5">
        <w:rPr>
          <w:rFonts w:ascii="Barlow" w:hAnsi="Barlow" w:cs="Calibri"/>
          <w:bCs/>
          <w:color w:val="000000"/>
          <w:sz w:val="20"/>
          <w:szCs w:val="20"/>
        </w:rPr>
        <w:tab/>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lastRenderedPageBreak/>
        <w:t>En apego a la indicación recibida por parte de la Junta de Gobierno de la Escuela Superior de Artes de Yucatán, únicamente se han registrado en cuentas de orden los bienes con valores proporcionados por las entidades señaladas de acuerdo a los contratos o documentos que nos entregaron. A continuación se presentan las cuentas de orden contables utilizadas para el registro de bienes en concesión y bienes en comodato.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noProof/>
          <w:szCs w:val="20"/>
        </w:rPr>
        <w:drawing>
          <wp:inline distT="0" distB="0" distL="0" distR="0" wp14:anchorId="2F97B335" wp14:editId="69C2CBDF">
            <wp:extent cx="8467725" cy="1162050"/>
            <wp:effectExtent l="0" t="0" r="9525" b="0"/>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467725" cy="1162050"/>
                    </a:xfrm>
                    <a:prstGeom prst="rect">
                      <a:avLst/>
                    </a:prstGeom>
                    <a:noFill/>
                    <a:ln>
                      <a:noFill/>
                    </a:ln>
                  </pic:spPr>
                </pic:pic>
              </a:graphicData>
            </a:graphic>
          </wp:inline>
        </w:drawing>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2-2</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Cuentas de Orden Presupuestarias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continuación, se presentan las cuentas de orden presupuestarias utilizadas por la institución con los saldos correspondientes al presente mes:</w:t>
      </w:r>
    </w:p>
    <w:p w:rsidR="00D811B5" w:rsidRPr="00D811B5" w:rsidRDefault="00D811B5" w:rsidP="00D811B5">
      <w:pPr>
        <w:pStyle w:val="Prrafodelista"/>
        <w:tabs>
          <w:tab w:val="left" w:pos="284"/>
        </w:tabs>
        <w:spacing w:after="0" w:line="240" w:lineRule="auto"/>
        <w:ind w:left="0"/>
        <w:jc w:val="center"/>
        <w:rPr>
          <w:rFonts w:ascii="Barlow" w:hAnsi="Barlow"/>
          <w:szCs w:val="20"/>
        </w:rPr>
      </w:pPr>
      <w:r w:rsidRPr="00D811B5">
        <w:rPr>
          <w:rFonts w:ascii="Barlow" w:hAnsi="Barlow"/>
          <w:noProof/>
          <w:szCs w:val="20"/>
          <w:lang w:eastAsia="es-MX"/>
        </w:rPr>
        <w:drawing>
          <wp:inline distT="0" distB="0" distL="0" distR="0" wp14:anchorId="71141F1F" wp14:editId="2BFAE4CB">
            <wp:extent cx="8620125" cy="25812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620125" cy="2581275"/>
                    </a:xfrm>
                    <a:prstGeom prst="rect">
                      <a:avLst/>
                    </a:prstGeom>
                    <a:noFill/>
                    <a:ln>
                      <a:noFill/>
                    </a:ln>
                  </pic:spPr>
                </pic:pic>
              </a:graphicData>
            </a:graphic>
          </wp:inline>
        </w:drawing>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pStyle w:val="Prrafodelista"/>
        <w:numPr>
          <w:ilvl w:val="0"/>
          <w:numId w:val="5"/>
        </w:numPr>
        <w:tabs>
          <w:tab w:val="left" w:pos="284"/>
        </w:tabs>
        <w:spacing w:after="0" w:line="240" w:lineRule="auto"/>
        <w:ind w:left="0" w:firstLine="0"/>
        <w:rPr>
          <w:rFonts w:ascii="Barlow" w:hAnsi="Barlow" w:cs="Calibri"/>
          <w:sz w:val="20"/>
          <w:szCs w:val="20"/>
        </w:rPr>
      </w:pPr>
      <w:r w:rsidRPr="00D811B5">
        <w:rPr>
          <w:rFonts w:ascii="Barlow" w:hAnsi="Barlow" w:cs="Calibri"/>
          <w:sz w:val="20"/>
          <w:szCs w:val="20"/>
        </w:rPr>
        <w:lastRenderedPageBreak/>
        <w:t>Notas de gestión administrativa.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Introducción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Estados Financieros de la Escuela Superior de Artes de Yucatán se han elaborado para proveer de información financiera a los principales usuarios de la misma, al Congreso y a los ciudadanos.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ejes en los que se sustenta el trabajo que realiza la Escuela Superior de Artes de Yucatán son los de impulsar el posicionamiento y el reconocimiento social a través de servicios educativos de calidad, refrendando el compromiso social y la rendición de cuentas.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Para lograr los objetivos planeados, desde la Dirección General y las Direcciones de las diferentes licenciaturas, se realizan actividades y acciones a través de las cuales se generan ingresos adicionales a los presupuestados, mismos que permitieron cubrir, en parte, las necesidades prioritarias.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Cabe señalar que en todas las acciones en las que se ejerce el presupuesto se da cumplimiento a las disposiciones de racionalidad y austeridad presupuestaria establecidas en la Ley de Presupuesto y Contabilidad Gubernamental del Estado de Yucatán y en el Decreto de Presupuesto de Egresos del Gobierno del Estado.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3-2</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Panorama Económico y Financiero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pesar de la difícil situación financiera a nivel nacional, se buscaron alternativas y convenios para poder llevar a cabo de la mejor manera posible los programas educativos planteados y establecer bases firmes para un crecimiento ordenado y transparente.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3-3</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Autorización e Historia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"La Escuela Superior de Artes de Yucatán, es un organismo público descentralizado del Gobierno del Estado con personalidad jurídica y patrimonio propio que fue constituido de conformidad a las leyes Mexicanas el 25 de Junio de 2004 según decreto de creación </w:t>
      </w:r>
      <w:r w:rsidRPr="00D811B5">
        <w:rPr>
          <w:rFonts w:ascii="Barlow" w:hAnsi="Barlow" w:cs="Calibri"/>
          <w:bCs/>
          <w:color w:val="000000"/>
          <w:sz w:val="20"/>
          <w:szCs w:val="20"/>
        </w:rPr>
        <w:t>número</w:t>
      </w:r>
      <w:r w:rsidRPr="00D811B5">
        <w:rPr>
          <w:rFonts w:ascii="Barlow" w:hAnsi="Barlow" w:cs="Calibri"/>
          <w:bCs/>
          <w:color w:val="000000"/>
          <w:sz w:val="20"/>
          <w:szCs w:val="20"/>
        </w:rPr>
        <w:t xml:space="preserve"> 523."</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3-4</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Organización y Objeto Social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a) Objeto Social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"La Escuela Superior de Artes de Yucatán (ESAY) es una institución pública de educación superior del Gobierno del Estado. Siendo la única institución en el </w:t>
      </w:r>
      <w:r w:rsidRPr="00D811B5">
        <w:rPr>
          <w:rFonts w:ascii="Barlow" w:hAnsi="Barlow" w:cs="Calibri"/>
          <w:bCs/>
          <w:color w:val="000000"/>
          <w:sz w:val="20"/>
          <w:szCs w:val="20"/>
        </w:rPr>
        <w:lastRenderedPageBreak/>
        <w:t>sureste del país que ofrece licenciaturas artísticas, la ESAY tiene como objetivo formar profesionistas, creadores, ejecutantes, críticos, investigadores, docentes especializados, promotores y administradores culturales en artes escénicas, visuales, música y todas aquellas disciplinas relacionadas con la actividad artística."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"De igual forma, al ser una institución gubernamental la ESAY tiene la responsabilidad social de diseñar programas de extensión cultural orientados a la comunidad artística y público en general, asesorar en materia de arte y cultura a los organismos públicos y privados que lo requieran, y finalmente realizar investigación y difusión en las áreas de su competencia."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Actualmente se tiene la siguiente oferta educativa: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 Licenciatura en Teatro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Licenciatura en Artes Musicales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Licenciatura en Artes Visuales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Licenciatura en Educación Artística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Licenciatura en Docencia de la Danza Clásica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Perfil Educativo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w:t>
      </w:r>
      <w:r w:rsidRPr="00D811B5">
        <w:rPr>
          <w:rFonts w:ascii="Barlow" w:hAnsi="Barlow" w:cs="Calibri"/>
          <w:b/>
          <w:bCs/>
          <w:color w:val="000000"/>
          <w:sz w:val="20"/>
          <w:szCs w:val="20"/>
        </w:rPr>
        <w:t>Misión</w:t>
      </w:r>
      <w:r w:rsidRPr="00D811B5">
        <w:rPr>
          <w:rFonts w:ascii="Barlow" w:hAnsi="Barlow" w:cs="Calibri"/>
          <w:bCs/>
          <w:color w:val="000000"/>
          <w:sz w:val="20"/>
          <w:szCs w:val="20"/>
        </w:rPr>
        <w:t>. Contribuir al desarrollo social y humano a través de la formación de profesionales de alto nivel y de actividades académicas y culturales que generen un movimiento innovador que valore la tradición y promueva la creación."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w:t>
      </w:r>
      <w:r w:rsidRPr="00D811B5">
        <w:rPr>
          <w:rFonts w:ascii="Barlow" w:hAnsi="Barlow" w:cs="Calibri"/>
          <w:b/>
          <w:bCs/>
          <w:color w:val="000000"/>
          <w:sz w:val="20"/>
          <w:szCs w:val="20"/>
        </w:rPr>
        <w:t>Visión</w:t>
      </w:r>
      <w:r w:rsidRPr="00D811B5">
        <w:rPr>
          <w:rFonts w:ascii="Barlow" w:hAnsi="Barlow" w:cs="Calibri"/>
          <w:bCs/>
          <w:color w:val="000000"/>
          <w:sz w:val="20"/>
          <w:szCs w:val="20"/>
        </w:rPr>
        <w:t>. Generar un movimiento artístico original en el que se armonicen las expresiones clásicas y de vanguardia dentro de un marco de rigor académico profesional que beneficie a la sociedad, promoviendo la formación de individuos con visión amplia, universal y contemporánea.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b) Principales actividades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 Formular sus planes y programas de estudio y establecer los procedimientos de acreditación y certificación de estudios de sus egresados.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II.- Impartir educación superior en las áreas de arte y cultura, así como realizar actividades de extensión académica y cultural.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III.- Expedir certificados y otorgar constancias, diplomas, títulos profesionales, grados y distinciones académicas.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IV.- Revalidar y otorgar equivalencias de estudios de nivel superior realizados en instituciones educativas extranjeras y nacionales, cuando el objeto sea la inscripción en alguno de los planes y programas de estudio que imparte la Escuela.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V.- Celebrar convenios con instituciones de arte, cultura y educación, para el intercambio de actividades académicas y de extensión.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VI.- Establecer la normatividad que regule la vida académica, administrativa y laboral de la Institución, respetando la libertad de cátedra e investigación.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lastRenderedPageBreak/>
        <w:t>VII.- Instituir premios, estímulos y recompensas para reconocer la labor en favor de la educación artística, el arte y la cultura, realizada por personas, organizaciones o instituciones.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VIII.- Realizar toda clase de actos necesarios para el logro de sus objetivos y el cumplimiento de sus atribuciones."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 Ejercicio Fiscal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inicia su ejercicio fiscal el día primero de Enero y lo cierra el día 31 de Diciembre de cada año.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d) Régimen Jurídico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Escuela Superior de Artes de Yucatán, es un organismo público descentralizado del Gobierno del Estado con personalidad jurídica y patrimonio propio que fue constituido de conformidad por las leyes Mexicanas. Las actividades realizadas por la Escuela para el logro de sus objetivos y el cumplimiento de sus atribuciones, se regirán por lo dispuesto en la Constitución Política de los Estados Unidos Mexicanos, la particular del Estado de Yucatán, la Ley General de Educación, la Ley para la Coordinación de la Educación Superior, la Ley de Educación del Estado de Yucatán, La Ley de Entidades Paraestatales de Yucatán, el Decreto de Creación, así como de sus reglamentos y manuales.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e) Consideraciones fiscales de la institución: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se encuentra registrada en el Padrón del Registro Federal de Contribuyentes con la actividad económica "Escuelas de educación media técnica terminal pertenecientes al sector público". Está inscrita en el régimen fiscal de Personas Morales con Fines no Lucrativos y por tanto es sujeto de las siguientes contribuciones federales: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»ISR Retenido por Salarios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»ISR Retenido por Asimilados a Salarios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»ISR Retenido por Honorarios Profesionales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»ISR Retenido por Arrendamiento</w:t>
      </w:r>
      <w:r w:rsidRPr="00D811B5">
        <w:rPr>
          <w:rFonts w:ascii="Barlow" w:hAnsi="Barlow" w:cs="Calibri"/>
          <w:bCs/>
          <w:color w:val="000000"/>
          <w:sz w:val="20"/>
          <w:szCs w:val="20"/>
        </w:rPr>
        <w:tab/>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Adicionalmente, la institución es sujeto del Impuesto estatal sobre erogaciones por remuneración al trabajo personal subordinado.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f) Estructura Organizacional Básica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administración de la Escuela Superior de Artes de Yucatán está a cargo de la Junta de Gobierno y de la Dirección General. La Escuela también cuenta con un Consejo Académico, una Secretaría Académica, una Dirección de Administración y Finanzas y los diversos departamentos que la integran.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g) Fideicomisos, mandatos y análogos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no cuenta con fideicomisos de los cuales sea fideicomitente o fiduciario.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3-5</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Bases de Preparación de los Estados Financieros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Disposiciones legales aplicables y normatividad supletoria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estados financieros al 31 de Marzo de 2019, se prepararon con base en la siguiente normatividad y disposiciones legales: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»Ley General de Contabilidad Gubernamental.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»Normatividad emitida por el Consejo Nacional de Armonización Contable (CONAC).</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»Ley del Presupuesto y Contabilidad Gubernamental del Estado de Yucatán.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»Clasificador por Objeto del Gasto emitido por la Secretaría de Planeación y Presupuesto.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»Acuerdos que conforman el Manual de Contabilidad Gubernamental, remitido por la Secretaría de Hacienda el 15 de marzo de 2011.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Como normatividad supletoria se aplicará:</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»Normatividad emitida por las unidades administrativas o instancias competentes en materia de Contabilidad Gubernamental.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»Normas de Información Financiera (NIF) emitidas por el Consejo Mexicano para la Investigación y Desarrollo de Normas de Información Financiera, A. C. (CINIF).</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»Normas Internacionales de Contabilidad para el sector público (NICSP's) emitidas por la Federación Internacional de Contadores (IFAC, por sus siglas en inglés).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Postulados básicos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postulados básicos de Contabilidad Gubernamental sobre los que se preparan los Estados Financieros, son los emitidos por el Consejo Nacional de Armonización Contable: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»Sustancia Económica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»Entes Públicos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»Existencia Permanente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»Revelación Suficiente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lastRenderedPageBreak/>
        <w:t>»Importancia Relativa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»Registro e Integración Presupuestaria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»Consolidación de la Información Financiera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»Devengo Contable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»Valuación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»Dualidad Económica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»Consistencia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A la presente fecha, la Escuela Superior de Artes de Yucatán cuenta con los siguientes avances en la implementación de la normatividad emitida por el Consejo Nacional de Armonización Contable CONAC:</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»Plan de cuentas vigente.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»Clasificador por rubro de ingresos.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»Clasificador por objeto del gasto.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»Clasificador por tipo de gasto.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»Clasificación funcional del gasto.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»Clasificación administrativa.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»Clasificación económica.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»Clasificación por fuente de financiamiento.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»Aplicación de reglas para el registro y valoración del patrimonio.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»Parámetros de estimación de vida útil.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»Normas y metodología para la determinación de los momentos contables de los ingresos y de los egresos.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 »Matrices de conversión para el registro de las transacciones de ingresos y egresos.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información financiera se emite siguiendo las Normas y metodología aprobada.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formatos de los Estados Financieros se han adecuado conforme al Manual de Contabilidad Gubernamental vigente.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»Conciliación entre los ingresos presupuestarios y contables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registros contables se realizan en apego a la Guía Contabilizadora y a los Modelos de Asientos emitidos por el CONAC.</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»Integración automática de la información contable-presupuestaria.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»Registro en tiempo real de las operaciones.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»Generación de reportes en tiempo real.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lastRenderedPageBreak/>
        <w:t>»El  Manual de Contabilidad propio se encuentra en proceso de revisión.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»En materia de capacitación, el personal involucrado de manera directa en la generación de la información financiera ha participado en todos los cursos que Gobierno del Estado ha organizado y en algunos que de manera particular se han ofrecido. De igual forma, a todo el personal de la escuela se le ha informado sobre la Ley de Contabilidad y la Ley de Presupuesto y Contabilidad Gubernamental del Estado de Yucatán para su sensibilización en todos los cambios que la institución debe implementar.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partir del ejercicio 2016se cuenta con un nuevo sistema integral, el SAACG.Net, desarrollado por el INDETEC, el cual permitirá cubrir con todos los requerimientos establecidos por el CONAC.</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3-6</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Políticas de Contabilidad Significativas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a) Efectivo y Equivalentes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El efectivo y sus equivalentes se registran a su valor nominal.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El personal encargado del resguardo y administración del fondo(s) fijo(s) no se encuentra afianzado, debido a que el manejo que realizan de los valores, no constituye su actividad principal y el monto no es suficientemente significativo para requerir una fianza de una afianzadora autorizada, por lo que actualmente únicamente se requiere la autorización de la Dirección de Administración y Finanzas.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b) Cuentas por cobrar</w:t>
      </w:r>
      <w:r w:rsidRPr="00D811B5">
        <w:rPr>
          <w:rFonts w:ascii="Barlow" w:hAnsi="Barlow" w:cs="Calibri"/>
          <w:bCs/>
          <w:color w:val="000000"/>
          <w:sz w:val="20"/>
          <w:szCs w:val="20"/>
        </w:rPr>
        <w:t xml:space="preserve">.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Estas partidas se registran a su valor pactado originalmente del derecho exigible.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c) Bienes muebles e inmuebles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Las inversiones de activo se registran a su costo de adquisición. El registro de la depreciación se efectúa al cierre del ejercicio y los porcentajes de depreciación para cada rubro de activo ya han sido mencionados en las notas de desglose.</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De acuerdo a las Reglas Específicas del Registro y Valoración del Patrimonio si el costo de adquisición de los bienes muebles es menor a 35 días de salario mínimo vigente en el Distrito Federal podrán registrarse contablemente como un gasto y serán sujetos a los controles correspondientes.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d) Indemnización y compensaciones de retiro.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 "La entidad tiene la política de no considerar anticipadamente reservas para las indemnizaciones y compensaciones que en un futuro tuviera que pagar al personal en ciertos casos de despidos y renuncias, pues su política es registrarlos contablemente en el ejercicio en que se den tales situaciones."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lastRenderedPageBreak/>
        <w:t>e) Primas de antigüedad.</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"De acuerdo a la ley federal del trabajo, aquellos trabajadores que se retiren voluntariamente de su empleo y que hayan cumplido 15 años de servicio por lo menos, tendrán derecho al momento de su separación a una prima de antigüedad equivalente a 12 días de salario por cada año trabajado."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f</w:t>
      </w:r>
      <w:r w:rsidRPr="00D811B5">
        <w:rPr>
          <w:rFonts w:ascii="Barlow" w:hAnsi="Barlow" w:cs="Calibri"/>
          <w:b/>
          <w:bCs/>
          <w:color w:val="000000"/>
          <w:sz w:val="20"/>
          <w:szCs w:val="20"/>
        </w:rPr>
        <w:t>) Reconocimientos de pasivos.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Los adeudos originados por la compra de mercancías o servicios se reconocen en el momento en que se toman posesión de los bienes, se obtienen o se reciben los servicios.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g) Actualización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El método para la actualización del valor de los activos, pasivos y patrimonio se efectuará conforme a los lineamientos del CONAC cuando sean emitidos.</w:t>
      </w:r>
    </w:p>
    <w:p w:rsidR="00D811B5" w:rsidRPr="00D811B5" w:rsidRDefault="00D811B5" w:rsidP="00D811B5">
      <w:pPr>
        <w:widowControl w:val="0"/>
        <w:autoSpaceDE w:val="0"/>
        <w:autoSpaceDN w:val="0"/>
        <w:adjustRightInd w:val="0"/>
        <w:spacing w:before="26" w:after="0" w:line="240" w:lineRule="auto"/>
        <w:ind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right="-20"/>
        <w:rPr>
          <w:rFonts w:ascii="Barlow" w:hAnsi="Barlow" w:cs="Calibri"/>
          <w:b/>
          <w:bCs/>
          <w:color w:val="000000"/>
          <w:sz w:val="20"/>
          <w:szCs w:val="20"/>
        </w:rPr>
      </w:pPr>
      <w:r w:rsidRPr="00D811B5">
        <w:rPr>
          <w:rFonts w:ascii="Barlow" w:hAnsi="Barlow" w:cs="Calibri"/>
          <w:b/>
          <w:bCs/>
          <w:color w:val="000000"/>
          <w:sz w:val="20"/>
          <w:szCs w:val="20"/>
        </w:rPr>
        <w:t>h) Operaciones en el extranjero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no realiza operaciones en el extranjero. Los proveedores con los que realiza transacciones son nacionales. En caso de existir operaciones con proveedores extranjeros se dará el tratamiento conforme a la Nota 3-6.</w:t>
      </w:r>
      <w:r w:rsidRPr="00D811B5">
        <w:rPr>
          <w:rFonts w:ascii="Barlow" w:hAnsi="Barlow" w:cs="Calibri"/>
          <w:bCs/>
          <w:color w:val="000000"/>
          <w:sz w:val="20"/>
          <w:szCs w:val="20"/>
        </w:rPr>
        <w:tab/>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i) Método de valuación de la inversión en acciones del Sector Paraestatal.</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no cuenta con inversiones en acciones.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j) Provisiones y Reservas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Actualmente la ESAY no cuenta con reservas o provisiones para eventos futuros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k) Cambios en políticas contables y correcciones de errores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Debido a la implementación de la normatividad emitida por el CONAC, la cuenta "Patrimonio Contribuido" subcuenta "Aportaciones" quedó con un saldo proveniente de las compras de activo fijo en ejercicios anteriores al 2012. Como política contable se ha determinado mantener el saldo en la cuenta en tanto los bienes incluidos en ese rubro no sean dados de baja y el CONAC emita alguna disposición al respecto. Ver nota Nota 1C-1.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Derivado de la revisión realizada a las cifras del ejercicio 2018, por parte del departamento de contabilidad de la Secretaria de Administración y Finanzas,  nos informó en el  2019 que  realizó una reclasificación por el importe de $34,500.00 de la cuenta de transferencias de entidades descentralizadas a la cuenta de otros ingresos y beneficios varios, en su sistema en línea. Debido a que la ESAY ya había generado el cierre del ejercicio 2018 no se realizó la modificación, por lo que existe una diferencia entre lo registrado en los informes de SAF  y lo registrado en el sistema de la ESAY.</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lastRenderedPageBreak/>
        <w:t xml:space="preserve">A partir del ejercicio 2019 se realizan los registros de acuerdo a lo informado.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l) Reclasificaciones, depuraciones y cancelaciones de saldos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implementará políticas en lo referente en caso de que el CONAC no emita indicación alguna al respecto.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3-7</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Posición en Moneda Extranjera y Protección por Riesgo Cambiario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Actualmente la ESAY no realiza operaciones en moneda extranjera, sin embargo, para situaciones futuras, las operaciones que se deriven pago en moneda extranjera, se convertirán a moneda nacional, utilizando el tipo de cambio del día en que se realice la operación. Adicionalmente, de ser necesario, se utilizarán los métodos de protección de riesgo por variaciones en el tipo de cambio que se consideren más convenientes.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3-8</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Reporte Analítico del Activo</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a) Los porcentajes de depreciación utilizados por la entidad son los presentados en la Nota 1A-7.</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 b) Los porcentajes de depreciación utilizados de manera permanente son los aprobados por la Junta de Gobierno de la Escuela Superior de Artes de Yucatán.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 xml:space="preserve">c) No se han capitalizado en el ejercicio gastos financieros ni de investigación o desarrollo. </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d) La institución no cuenta con inversiones financieras a plazo, por lo que no existe un riesgo en esta área. Tampoco existe un riesgo en los tipos de cambio debido a que las transacciones con moneda extranjera son esporádicas.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 No se cuenta con bienes construidos por la entidad.</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f) No se cuenta con bienes muebles en garantía, embargos o títulos de inversiones.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g) No se cuenta con inversiones en valores, patrimonio de organismos descentralizados, ni inversiones en empresas de participación.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3-9</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Fideicomisos, Mandatos y Análogos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ESAY no cuenta con fideicomisos de los cuales sea fideicomitente o fiduciario.</w:t>
      </w:r>
    </w:p>
    <w:p w:rsid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lastRenderedPageBreak/>
        <w:t>Nota 3-10</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Reporte de la Recaudación</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El comportamiento de la recaudación y la proyección de ingresos estimados para el presente ejercicio se puede observar en el Estado Analítico de Ingresos.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3-11</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Información sobre la deuda y el Reporte Analítico de la Deuda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El monto total que muestra el Estado Analítico de Deuda Pública corresponde a deuda pública interior a corto plazo. La ESAY no cuenta con deuda en títulos de valores, instituciones de crédito o arrendamientos financieros.</w:t>
      </w:r>
    </w:p>
    <w:p w:rsidR="00D811B5" w:rsidRPr="00D811B5" w:rsidRDefault="00D811B5" w:rsidP="00D811B5">
      <w:pPr>
        <w:pStyle w:val="Prrafodelista"/>
        <w:tabs>
          <w:tab w:val="left" w:pos="284"/>
        </w:tabs>
        <w:spacing w:after="0" w:line="240" w:lineRule="auto"/>
        <w:ind w:left="0"/>
        <w:rPr>
          <w:rFonts w:ascii="Barlow" w:hAnsi="Barlow" w:cs="Calibri"/>
          <w:sz w:val="20"/>
          <w:szCs w:val="20"/>
        </w:rPr>
      </w:pPr>
    </w:p>
    <w:p w:rsidR="00D811B5" w:rsidRPr="00D811B5" w:rsidRDefault="00D811B5" w:rsidP="00D811B5">
      <w:pPr>
        <w:widowControl w:val="0"/>
        <w:autoSpaceDE w:val="0"/>
        <w:autoSpaceDN w:val="0"/>
        <w:adjustRightInd w:val="0"/>
        <w:spacing w:before="26" w:after="0" w:line="240" w:lineRule="auto"/>
        <w:ind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3-12</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Calificaciones otorgadas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La institución no ha sido sujeta de una calificación crediticia.</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3-13</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Procesos de mejora</w:t>
      </w:r>
    </w:p>
    <w:p w:rsidR="00D811B5" w:rsidRPr="00D811B5" w:rsidRDefault="00D811B5" w:rsidP="00D811B5">
      <w:pPr>
        <w:widowControl w:val="0"/>
        <w:numPr>
          <w:ilvl w:val="0"/>
          <w:numId w:val="6"/>
        </w:numPr>
        <w:autoSpaceDE w:val="0"/>
        <w:autoSpaceDN w:val="0"/>
        <w:adjustRightInd w:val="0"/>
        <w:spacing w:before="26" w:after="0" w:line="240" w:lineRule="auto"/>
        <w:ind w:right="-20"/>
        <w:rPr>
          <w:rFonts w:ascii="Barlow" w:hAnsi="Barlow" w:cs="Calibri"/>
          <w:b/>
          <w:bCs/>
          <w:color w:val="000000"/>
          <w:sz w:val="20"/>
          <w:szCs w:val="20"/>
        </w:rPr>
      </w:pPr>
      <w:r w:rsidRPr="00D811B5">
        <w:rPr>
          <w:rFonts w:ascii="Barlow" w:hAnsi="Barlow" w:cs="Calibri"/>
          <w:b/>
          <w:bCs/>
          <w:color w:val="000000"/>
          <w:sz w:val="20"/>
          <w:szCs w:val="20"/>
        </w:rPr>
        <w:t>Principales políticas de Control Interno</w:t>
      </w:r>
    </w:p>
    <w:p w:rsidR="00D811B5" w:rsidRPr="00D811B5" w:rsidRDefault="00D811B5" w:rsidP="00D811B5">
      <w:pPr>
        <w:spacing w:after="0"/>
        <w:ind w:firstLine="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La Escuela cuenta con un Código de Conducta, que delimita la actuación ética que deben de observar los servidores públicos.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Los cambios a la estructura administrativa son sometidos a autorización de las instancias gubernamentales correspondientes.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catálogos de cuentas, manual y guía contabilizadora para el registro de las operaciones.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un área encargada de mantener actualizada a la Escuela con relación a Leyes, Reglamentos, Acuerdos, Dictámenes que emitan los Congresos Federal, Estatal así como de otras Instancias de Gobierno.</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Existen políticas de control para la celebración de contratos por parte de la Escuela</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medidas de control para el manejo de los Fondos Fijos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resguarda la documentación que ampara la propiedad de los bienes muebles de la Escuela.</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expedientes actualizados del personal</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emite en forma oportuna la información financiera y presupuestal, autorizada por los servidores públicos competentes.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lastRenderedPageBreak/>
        <w:t>»</w:t>
      </w:r>
      <w:r w:rsidRPr="00D811B5">
        <w:rPr>
          <w:rFonts w:ascii="Barlow" w:hAnsi="Barlow"/>
          <w:sz w:val="20"/>
          <w:szCs w:val="20"/>
        </w:rPr>
        <w:t>Se efectúan conciliaciones mensuales entre los registros contables y los registros presupuestales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elaboran reportes de los ingresos y se cotejan contra las fichas de depósito</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La documentación que respalda los ingresos tiene numeración consecutiva.</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tienen políticas para el manejo de formas oficiales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Los servidores públicos que manejan fondos fijos cuentan con la autorización correspondiente.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Los fondos fijos se encuentran registrados en la contabilidad</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políticas para el manejo de los fondos fijos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Los gastos con cargo al fondo fijo, están autorizados por el servidor público competente.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realizan arqueos de fondo fijo y están firmados por la Dirección del área</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efectúan conciliaciones bancarias, mensualmente.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firmas mancomunadas para el uso de cuentas bancarias.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Los pagos son autorizados a través del servidor público competente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cuenta con medidas de seguridad para la custodia y resguardo de chequeras así como claves para pagos.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efectúan los registros en la contabilidad conforme a la documentación soporte.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analizan las cuentas por cobrar para evaluar el comportamiento de las mismas y determinar las acciones de cobro. Así como su antigüedad de saldos.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autorizan a través de servidor público competente las cuentas por pagar. Y se registran en la contabilidad de acuerdo a la documentación soporte.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registra en la contabilidad y en las cuentas correspondientes, los bienes muebles adquiridos, conforme a las disposiciones establecidas en la Ley General de Contabilidad Gubernamental.</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efectúa  levantamiento físico de los bienes muebles.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registran contablemente las retenciones de impuestos.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concilian mensualmente las retenciones de impuestos contra los comprobantes de pago.</w:t>
      </w:r>
    </w:p>
    <w:p w:rsidR="00D811B5" w:rsidRPr="00D811B5" w:rsidRDefault="00D811B5" w:rsidP="00D811B5">
      <w:pPr>
        <w:spacing w:after="0"/>
        <w:ind w:left="113"/>
        <w:rPr>
          <w:rFonts w:ascii="Barlow" w:hAnsi="Barlow"/>
          <w:sz w:val="20"/>
          <w:szCs w:val="20"/>
        </w:rPr>
      </w:pPr>
    </w:p>
    <w:p w:rsidR="00D811B5" w:rsidRPr="00D811B5" w:rsidRDefault="00D811B5" w:rsidP="00D811B5">
      <w:pPr>
        <w:numPr>
          <w:ilvl w:val="0"/>
          <w:numId w:val="6"/>
        </w:numPr>
        <w:spacing w:after="0"/>
        <w:rPr>
          <w:rFonts w:ascii="Barlow" w:hAnsi="Barlow"/>
          <w:b/>
          <w:sz w:val="20"/>
          <w:szCs w:val="20"/>
        </w:rPr>
      </w:pPr>
      <w:r w:rsidRPr="00D811B5">
        <w:rPr>
          <w:rFonts w:ascii="Barlow" w:hAnsi="Barlow"/>
          <w:b/>
          <w:sz w:val="20"/>
          <w:szCs w:val="20"/>
        </w:rPr>
        <w:t>Medidas de desempeño financiero, metas y alcance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La Escuela Superior de Artes de Yucatán, en el ejercicio de su presupuesto, tomó medidas para racionalizar el gasto destinado a las actividades administrativas y de apoyo, sin afectar el cumplimiento de los objetivos, metas y resultados previstos.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Los gastos que se realizaron por concepto de alimentación solo fueron aprobados al personal cuando las características de la jornada o trabajos extraordinarios los requerían.</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Por concepto de consumo de combustible, se aplicaron gastos exclusivamente para cubrir necesidades de los servicios de transporte.</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lastRenderedPageBreak/>
        <w:t>»</w:t>
      </w:r>
      <w:r w:rsidRPr="00D811B5">
        <w:rPr>
          <w:rFonts w:ascii="Barlow" w:hAnsi="Barlow"/>
          <w:sz w:val="20"/>
          <w:szCs w:val="20"/>
        </w:rPr>
        <w:t>Se continúa con la cultura de ahorro de los materiales, tales como impresiones en calidad borrador para el ahorro de tinta e impresiones a dos caras para el ahorro en el consumo de papel.</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continúan aplicando las medidas de austeridad al no incrementar el sueldo del personal de mandos medios y superiores.</w:t>
      </w:r>
    </w:p>
    <w:p w:rsidR="00D811B5" w:rsidRPr="00D811B5" w:rsidRDefault="00D811B5" w:rsidP="00D811B5">
      <w:pPr>
        <w:spacing w:after="0"/>
        <w:ind w:left="113"/>
        <w:rPr>
          <w:rFonts w:ascii="Barlow" w:hAnsi="Barlow"/>
          <w:sz w:val="20"/>
          <w:szCs w:val="20"/>
        </w:rPr>
      </w:pPr>
      <w:r w:rsidRPr="00D811B5">
        <w:rPr>
          <w:rFonts w:ascii="Barlow" w:hAnsi="Barlow" w:cs="Calibri"/>
          <w:bCs/>
          <w:color w:val="000000"/>
          <w:sz w:val="20"/>
          <w:szCs w:val="20"/>
        </w:rPr>
        <w:t>»</w:t>
      </w:r>
      <w:r w:rsidRPr="00D811B5">
        <w:rPr>
          <w:rFonts w:ascii="Barlow" w:hAnsi="Barlow"/>
          <w:sz w:val="20"/>
          <w:szCs w:val="20"/>
        </w:rPr>
        <w:t>Se cuidan los recursos al buscar obtener los precios más razonables, solicitando tres cotizaciones antes de ejercer el presupuesto.</w:t>
      </w:r>
    </w:p>
    <w:p w:rsidR="00D811B5" w:rsidRPr="00D811B5" w:rsidRDefault="00D811B5" w:rsidP="00D811B5">
      <w:pPr>
        <w:spacing w:after="0"/>
        <w:ind w:left="113"/>
        <w:rPr>
          <w:rFonts w:ascii="Barlow" w:hAnsi="Barlow"/>
          <w:sz w:val="20"/>
          <w:szCs w:val="20"/>
        </w:rPr>
      </w:pP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3-13</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
          <w:bCs/>
          <w:color w:val="000000"/>
          <w:sz w:val="20"/>
          <w:szCs w:val="20"/>
        </w:rPr>
        <w:t>Partes Relacionadas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D811B5">
        <w:rPr>
          <w:rFonts w:ascii="Barlow" w:hAnsi="Barlow" w:cs="Calibri"/>
          <w:bCs/>
          <w:color w:val="000000"/>
          <w:sz w:val="20"/>
          <w:szCs w:val="20"/>
        </w:rPr>
        <w:t>No existen partes relacionadas que pudieran ejercer influencia significativa sobre la toma de decisiones financieras y operativas.</w:t>
      </w:r>
    </w:p>
    <w:p w:rsidR="00D811B5" w:rsidRPr="00D811B5" w:rsidRDefault="00D811B5" w:rsidP="00D811B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D811B5">
        <w:rPr>
          <w:rFonts w:ascii="Barlow" w:hAnsi="Barlow" w:cs="Calibri"/>
          <w:b/>
          <w:bCs/>
          <w:color w:val="000000"/>
          <w:sz w:val="20"/>
          <w:szCs w:val="20"/>
        </w:rPr>
        <w:t>Nota 3-14</w:t>
      </w:r>
    </w:p>
    <w:p w:rsidR="00D811B5" w:rsidRPr="00D811B5" w:rsidRDefault="00D811B5" w:rsidP="00D811B5">
      <w:pPr>
        <w:widowControl w:val="0"/>
        <w:autoSpaceDE w:val="0"/>
        <w:autoSpaceDN w:val="0"/>
        <w:adjustRightInd w:val="0"/>
        <w:spacing w:before="26" w:after="0" w:line="240" w:lineRule="auto"/>
        <w:ind w:right="-20"/>
        <w:rPr>
          <w:rFonts w:ascii="Barlow" w:hAnsi="Barlow" w:cs="Calibri"/>
          <w:b/>
          <w:bCs/>
          <w:color w:val="000000"/>
          <w:sz w:val="20"/>
          <w:szCs w:val="20"/>
        </w:rPr>
      </w:pPr>
      <w:r w:rsidRPr="00D811B5">
        <w:rPr>
          <w:rFonts w:ascii="Barlow" w:hAnsi="Barlow" w:cs="Calibri"/>
          <w:b/>
          <w:bCs/>
          <w:color w:val="000000"/>
          <w:sz w:val="20"/>
          <w:szCs w:val="20"/>
        </w:rPr>
        <w:t>Responsabilidad Sobre la Presentación Razonable de los Estados Financieros</w:t>
      </w:r>
    </w:p>
    <w:p w:rsidR="007D5555" w:rsidRPr="00D811B5" w:rsidRDefault="007D5555" w:rsidP="007D5555">
      <w:pPr>
        <w:widowControl w:val="0"/>
        <w:autoSpaceDE w:val="0"/>
        <w:autoSpaceDN w:val="0"/>
        <w:adjustRightInd w:val="0"/>
        <w:spacing w:before="26" w:after="0" w:line="240" w:lineRule="auto"/>
        <w:ind w:right="-20"/>
        <w:rPr>
          <w:rFonts w:ascii="Barlow" w:hAnsi="Barlow" w:cs="Calibri"/>
          <w:bCs/>
          <w:color w:val="000000"/>
          <w:sz w:val="20"/>
          <w:szCs w:val="20"/>
        </w:rPr>
      </w:pPr>
    </w:p>
    <w:p w:rsidR="00E25D55" w:rsidRPr="00D811B5" w:rsidRDefault="00E25D55" w:rsidP="00AC3899">
      <w:pPr>
        <w:widowControl w:val="0"/>
        <w:autoSpaceDE w:val="0"/>
        <w:autoSpaceDN w:val="0"/>
        <w:adjustRightInd w:val="0"/>
        <w:spacing w:before="26" w:after="0" w:line="240" w:lineRule="auto"/>
        <w:ind w:left="113" w:right="-20"/>
        <w:rPr>
          <w:rFonts w:ascii="Barlow" w:hAnsi="Barlow" w:cs="Calibri"/>
          <w:bCs/>
          <w:color w:val="000000"/>
          <w:spacing w:val="-1"/>
          <w:sz w:val="20"/>
          <w:szCs w:val="20"/>
        </w:rPr>
      </w:pPr>
      <w:r w:rsidRPr="00D811B5">
        <w:rPr>
          <w:rFonts w:ascii="Barlow" w:hAnsi="Barlow" w:cs="Calibri"/>
          <w:bCs/>
          <w:color w:val="000000"/>
          <w:sz w:val="20"/>
          <w:szCs w:val="20"/>
        </w:rPr>
        <w:t>B</w:t>
      </w:r>
      <w:r w:rsidRPr="00D811B5">
        <w:rPr>
          <w:rFonts w:ascii="Barlow" w:hAnsi="Barlow" w:cs="Calibri"/>
          <w:bCs/>
          <w:color w:val="000000"/>
          <w:spacing w:val="1"/>
          <w:sz w:val="20"/>
          <w:szCs w:val="20"/>
        </w:rPr>
        <w:t>a</w:t>
      </w:r>
      <w:r w:rsidRPr="00D811B5">
        <w:rPr>
          <w:rFonts w:ascii="Barlow" w:hAnsi="Barlow" w:cs="Calibri"/>
          <w:bCs/>
          <w:color w:val="000000"/>
          <w:sz w:val="20"/>
          <w:szCs w:val="20"/>
        </w:rPr>
        <w:t>jo</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pro</w:t>
      </w:r>
      <w:r w:rsidRPr="00D811B5">
        <w:rPr>
          <w:rFonts w:ascii="Barlow" w:hAnsi="Barlow" w:cs="Calibri"/>
          <w:bCs/>
          <w:color w:val="000000"/>
          <w:sz w:val="20"/>
          <w:szCs w:val="20"/>
        </w:rPr>
        <w:t>te</w:t>
      </w:r>
      <w:r w:rsidRPr="00D811B5">
        <w:rPr>
          <w:rFonts w:ascii="Barlow" w:hAnsi="Barlow" w:cs="Calibri"/>
          <w:bCs/>
          <w:color w:val="000000"/>
          <w:spacing w:val="-1"/>
          <w:sz w:val="20"/>
          <w:szCs w:val="20"/>
        </w:rPr>
        <w:t>s</w:t>
      </w:r>
      <w:r w:rsidRPr="00D811B5">
        <w:rPr>
          <w:rFonts w:ascii="Barlow" w:hAnsi="Barlow" w:cs="Calibri"/>
          <w:bCs/>
          <w:color w:val="000000"/>
          <w:sz w:val="20"/>
          <w:szCs w:val="20"/>
        </w:rPr>
        <w:t>ta</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d</w:t>
      </w:r>
      <w:r w:rsidRPr="00D811B5">
        <w:rPr>
          <w:rFonts w:ascii="Barlow" w:hAnsi="Barlow" w:cs="Calibri"/>
          <w:bCs/>
          <w:color w:val="000000"/>
          <w:sz w:val="20"/>
          <w:szCs w:val="20"/>
        </w:rPr>
        <w:t>e</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d</w:t>
      </w:r>
      <w:r w:rsidRPr="00D811B5">
        <w:rPr>
          <w:rFonts w:ascii="Barlow" w:hAnsi="Barlow" w:cs="Calibri"/>
          <w:bCs/>
          <w:color w:val="000000"/>
          <w:sz w:val="20"/>
          <w:szCs w:val="20"/>
        </w:rPr>
        <w:t>e</w:t>
      </w:r>
      <w:r w:rsidRPr="00D811B5">
        <w:rPr>
          <w:rFonts w:ascii="Barlow" w:hAnsi="Barlow" w:cs="Calibri"/>
          <w:bCs/>
          <w:color w:val="000000"/>
          <w:spacing w:val="1"/>
          <w:sz w:val="20"/>
          <w:szCs w:val="20"/>
        </w:rPr>
        <w:t>c</w:t>
      </w:r>
      <w:r w:rsidRPr="00D811B5">
        <w:rPr>
          <w:rFonts w:ascii="Barlow" w:hAnsi="Barlow" w:cs="Calibri"/>
          <w:bCs/>
          <w:color w:val="000000"/>
          <w:spacing w:val="-1"/>
          <w:sz w:val="20"/>
          <w:szCs w:val="20"/>
        </w:rPr>
        <w:t>i</w:t>
      </w:r>
      <w:r w:rsidRPr="00D811B5">
        <w:rPr>
          <w:rFonts w:ascii="Barlow" w:hAnsi="Barlow" w:cs="Calibri"/>
          <w:bCs/>
          <w:color w:val="000000"/>
          <w:sz w:val="20"/>
          <w:szCs w:val="20"/>
        </w:rPr>
        <w:t>r</w:t>
      </w:r>
      <w:r w:rsidR="004853B7" w:rsidRPr="00D811B5">
        <w:rPr>
          <w:rFonts w:ascii="Barlow" w:hAnsi="Barlow" w:cs="Calibri"/>
          <w:bCs/>
          <w:color w:val="000000"/>
          <w:sz w:val="20"/>
          <w:szCs w:val="20"/>
        </w:rPr>
        <w:t xml:space="preserve"> </w:t>
      </w:r>
      <w:r w:rsidRPr="00D811B5">
        <w:rPr>
          <w:rFonts w:ascii="Barlow" w:hAnsi="Barlow" w:cs="Calibri"/>
          <w:bCs/>
          <w:color w:val="000000"/>
          <w:sz w:val="20"/>
          <w:szCs w:val="20"/>
        </w:rPr>
        <w:t>ve</w:t>
      </w:r>
      <w:r w:rsidRPr="00D811B5">
        <w:rPr>
          <w:rFonts w:ascii="Barlow" w:hAnsi="Barlow" w:cs="Calibri"/>
          <w:bCs/>
          <w:color w:val="000000"/>
          <w:spacing w:val="-1"/>
          <w:sz w:val="20"/>
          <w:szCs w:val="20"/>
        </w:rPr>
        <w:t>rd</w:t>
      </w:r>
      <w:r w:rsidRPr="00D811B5">
        <w:rPr>
          <w:rFonts w:ascii="Barlow" w:hAnsi="Barlow" w:cs="Calibri"/>
          <w:bCs/>
          <w:color w:val="000000"/>
          <w:spacing w:val="1"/>
          <w:sz w:val="20"/>
          <w:szCs w:val="20"/>
        </w:rPr>
        <w:t>a</w:t>
      </w:r>
      <w:r w:rsidRPr="00D811B5">
        <w:rPr>
          <w:rFonts w:ascii="Barlow" w:hAnsi="Barlow" w:cs="Calibri"/>
          <w:bCs/>
          <w:color w:val="000000"/>
          <w:sz w:val="20"/>
          <w:szCs w:val="20"/>
        </w:rPr>
        <w:t>d</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d</w:t>
      </w:r>
      <w:r w:rsidRPr="00D811B5">
        <w:rPr>
          <w:rFonts w:ascii="Barlow" w:hAnsi="Barlow" w:cs="Calibri"/>
          <w:bCs/>
          <w:color w:val="000000"/>
          <w:sz w:val="20"/>
          <w:szCs w:val="20"/>
        </w:rPr>
        <w:t>e</w:t>
      </w:r>
      <w:r w:rsidRPr="00D811B5">
        <w:rPr>
          <w:rFonts w:ascii="Barlow" w:hAnsi="Barlow" w:cs="Calibri"/>
          <w:bCs/>
          <w:color w:val="000000"/>
          <w:spacing w:val="1"/>
          <w:sz w:val="20"/>
          <w:szCs w:val="20"/>
        </w:rPr>
        <w:t>c</w:t>
      </w:r>
      <w:r w:rsidRPr="00D811B5">
        <w:rPr>
          <w:rFonts w:ascii="Barlow" w:hAnsi="Barlow" w:cs="Calibri"/>
          <w:bCs/>
          <w:color w:val="000000"/>
          <w:spacing w:val="-1"/>
          <w:sz w:val="20"/>
          <w:szCs w:val="20"/>
        </w:rPr>
        <w:t>l</w:t>
      </w:r>
      <w:r w:rsidRPr="00D811B5">
        <w:rPr>
          <w:rFonts w:ascii="Barlow" w:hAnsi="Barlow" w:cs="Calibri"/>
          <w:bCs/>
          <w:color w:val="000000"/>
          <w:spacing w:val="1"/>
          <w:sz w:val="20"/>
          <w:szCs w:val="20"/>
        </w:rPr>
        <w:t>a</w:t>
      </w:r>
      <w:r w:rsidRPr="00D811B5">
        <w:rPr>
          <w:rFonts w:ascii="Barlow" w:hAnsi="Barlow" w:cs="Calibri"/>
          <w:bCs/>
          <w:color w:val="000000"/>
          <w:spacing w:val="-1"/>
          <w:sz w:val="20"/>
          <w:szCs w:val="20"/>
        </w:rPr>
        <w:t>r</w:t>
      </w:r>
      <w:r w:rsidRPr="00D811B5">
        <w:rPr>
          <w:rFonts w:ascii="Barlow" w:hAnsi="Barlow" w:cs="Calibri"/>
          <w:bCs/>
          <w:color w:val="000000"/>
          <w:spacing w:val="1"/>
          <w:sz w:val="20"/>
          <w:szCs w:val="20"/>
        </w:rPr>
        <w:t>am</w:t>
      </w:r>
      <w:r w:rsidRPr="00D811B5">
        <w:rPr>
          <w:rFonts w:ascii="Barlow" w:hAnsi="Barlow" w:cs="Calibri"/>
          <w:bCs/>
          <w:color w:val="000000"/>
          <w:spacing w:val="-1"/>
          <w:sz w:val="20"/>
          <w:szCs w:val="20"/>
        </w:rPr>
        <w:t>o</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qu</w:t>
      </w:r>
      <w:r w:rsidRPr="00D811B5">
        <w:rPr>
          <w:rFonts w:ascii="Barlow" w:hAnsi="Barlow" w:cs="Calibri"/>
          <w:bCs/>
          <w:color w:val="000000"/>
          <w:sz w:val="20"/>
          <w:szCs w:val="20"/>
        </w:rPr>
        <w:t>e</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lo</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Pr="00D811B5">
        <w:rPr>
          <w:rFonts w:ascii="Barlow" w:hAnsi="Barlow" w:cs="Calibri"/>
          <w:bCs/>
          <w:color w:val="000000"/>
          <w:sz w:val="20"/>
          <w:szCs w:val="20"/>
        </w:rPr>
        <w:t>E</w:t>
      </w:r>
      <w:r w:rsidRPr="00D811B5">
        <w:rPr>
          <w:rFonts w:ascii="Barlow" w:hAnsi="Barlow" w:cs="Calibri"/>
          <w:bCs/>
          <w:color w:val="000000"/>
          <w:spacing w:val="-1"/>
          <w:sz w:val="20"/>
          <w:szCs w:val="20"/>
        </w:rPr>
        <w:t>s</w:t>
      </w:r>
      <w:r w:rsidRPr="00D811B5">
        <w:rPr>
          <w:rFonts w:ascii="Barlow" w:hAnsi="Barlow" w:cs="Calibri"/>
          <w:bCs/>
          <w:color w:val="000000"/>
          <w:sz w:val="20"/>
          <w:szCs w:val="20"/>
        </w:rPr>
        <w:t>t</w:t>
      </w:r>
      <w:r w:rsidRPr="00D811B5">
        <w:rPr>
          <w:rFonts w:ascii="Barlow" w:hAnsi="Barlow" w:cs="Calibri"/>
          <w:bCs/>
          <w:color w:val="000000"/>
          <w:spacing w:val="1"/>
          <w:sz w:val="20"/>
          <w:szCs w:val="20"/>
        </w:rPr>
        <w:t>a</w:t>
      </w:r>
      <w:r w:rsidRPr="00D811B5">
        <w:rPr>
          <w:rFonts w:ascii="Barlow" w:hAnsi="Barlow" w:cs="Calibri"/>
          <w:bCs/>
          <w:color w:val="000000"/>
          <w:spacing w:val="-1"/>
          <w:sz w:val="20"/>
          <w:szCs w:val="20"/>
        </w:rPr>
        <w:t>do</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Fin</w:t>
      </w:r>
      <w:r w:rsidRPr="00D811B5">
        <w:rPr>
          <w:rFonts w:ascii="Barlow" w:hAnsi="Barlow" w:cs="Calibri"/>
          <w:bCs/>
          <w:color w:val="000000"/>
          <w:spacing w:val="1"/>
          <w:sz w:val="20"/>
          <w:szCs w:val="20"/>
        </w:rPr>
        <w:t>a</w:t>
      </w:r>
      <w:r w:rsidRPr="00D811B5">
        <w:rPr>
          <w:rFonts w:ascii="Barlow" w:hAnsi="Barlow" w:cs="Calibri"/>
          <w:bCs/>
          <w:color w:val="000000"/>
          <w:spacing w:val="-1"/>
          <w:sz w:val="20"/>
          <w:szCs w:val="20"/>
        </w:rPr>
        <w:t>n</w:t>
      </w:r>
      <w:r w:rsidRPr="00D811B5">
        <w:rPr>
          <w:rFonts w:ascii="Barlow" w:hAnsi="Barlow" w:cs="Calibri"/>
          <w:bCs/>
          <w:color w:val="000000"/>
          <w:spacing w:val="1"/>
          <w:sz w:val="20"/>
          <w:szCs w:val="20"/>
        </w:rPr>
        <w:t>c</w:t>
      </w:r>
      <w:r w:rsidRPr="00D811B5">
        <w:rPr>
          <w:rFonts w:ascii="Barlow" w:hAnsi="Barlow" w:cs="Calibri"/>
          <w:bCs/>
          <w:color w:val="000000"/>
          <w:spacing w:val="-1"/>
          <w:sz w:val="20"/>
          <w:szCs w:val="20"/>
        </w:rPr>
        <w:t>i</w:t>
      </w:r>
      <w:r w:rsidRPr="00D811B5">
        <w:rPr>
          <w:rFonts w:ascii="Barlow" w:hAnsi="Barlow" w:cs="Calibri"/>
          <w:bCs/>
          <w:color w:val="000000"/>
          <w:sz w:val="20"/>
          <w:szCs w:val="20"/>
        </w:rPr>
        <w:t>e</w:t>
      </w:r>
      <w:r w:rsidRPr="00D811B5">
        <w:rPr>
          <w:rFonts w:ascii="Barlow" w:hAnsi="Barlow" w:cs="Calibri"/>
          <w:bCs/>
          <w:color w:val="000000"/>
          <w:spacing w:val="-1"/>
          <w:sz w:val="20"/>
          <w:szCs w:val="20"/>
        </w:rPr>
        <w:t>ro</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Pr="00D811B5">
        <w:rPr>
          <w:rFonts w:ascii="Barlow" w:hAnsi="Barlow" w:cs="Calibri"/>
          <w:bCs/>
          <w:color w:val="000000"/>
          <w:sz w:val="20"/>
          <w:szCs w:val="20"/>
        </w:rPr>
        <w:t>y</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su</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00AC3899" w:rsidRPr="00D811B5">
        <w:rPr>
          <w:rFonts w:ascii="Barlow" w:hAnsi="Barlow" w:cs="Calibri"/>
          <w:bCs/>
          <w:color w:val="000000"/>
          <w:spacing w:val="-1"/>
          <w:sz w:val="20"/>
          <w:szCs w:val="20"/>
        </w:rPr>
        <w:t>N</w:t>
      </w:r>
      <w:r w:rsidRPr="00D811B5">
        <w:rPr>
          <w:rFonts w:ascii="Barlow" w:hAnsi="Barlow" w:cs="Calibri"/>
          <w:bCs/>
          <w:color w:val="000000"/>
          <w:spacing w:val="-1"/>
          <w:sz w:val="20"/>
          <w:szCs w:val="20"/>
        </w:rPr>
        <w:t>o</w:t>
      </w:r>
      <w:r w:rsidRPr="00D811B5">
        <w:rPr>
          <w:rFonts w:ascii="Barlow" w:hAnsi="Barlow" w:cs="Calibri"/>
          <w:bCs/>
          <w:color w:val="000000"/>
          <w:sz w:val="20"/>
          <w:szCs w:val="20"/>
        </w:rPr>
        <w:t>t</w:t>
      </w:r>
      <w:r w:rsidRPr="00D811B5">
        <w:rPr>
          <w:rFonts w:ascii="Barlow" w:hAnsi="Barlow" w:cs="Calibri"/>
          <w:bCs/>
          <w:color w:val="000000"/>
          <w:spacing w:val="1"/>
          <w:sz w:val="20"/>
          <w:szCs w:val="20"/>
        </w:rPr>
        <w:t>a</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so</w:t>
      </w:r>
      <w:r w:rsidRPr="00D811B5">
        <w:rPr>
          <w:rFonts w:ascii="Barlow" w:hAnsi="Barlow" w:cs="Calibri"/>
          <w:bCs/>
          <w:color w:val="000000"/>
          <w:sz w:val="20"/>
          <w:szCs w:val="20"/>
        </w:rPr>
        <w:t>n</w:t>
      </w:r>
      <w:r w:rsidR="004853B7" w:rsidRPr="00D811B5">
        <w:rPr>
          <w:rFonts w:ascii="Barlow" w:hAnsi="Barlow" w:cs="Calibri"/>
          <w:bCs/>
          <w:color w:val="000000"/>
          <w:sz w:val="20"/>
          <w:szCs w:val="20"/>
        </w:rPr>
        <w:t xml:space="preserve"> </w:t>
      </w:r>
      <w:r w:rsidRPr="00D811B5">
        <w:rPr>
          <w:rFonts w:ascii="Barlow" w:hAnsi="Barlow" w:cs="Calibri"/>
          <w:bCs/>
          <w:color w:val="000000"/>
          <w:spacing w:val="-1"/>
          <w:w w:val="98"/>
          <w:sz w:val="20"/>
          <w:szCs w:val="20"/>
        </w:rPr>
        <w:t>r</w:t>
      </w:r>
      <w:r w:rsidRPr="00D811B5">
        <w:rPr>
          <w:rFonts w:ascii="Barlow" w:hAnsi="Barlow" w:cs="Calibri"/>
          <w:bCs/>
          <w:color w:val="000000"/>
          <w:spacing w:val="1"/>
          <w:w w:val="98"/>
          <w:sz w:val="20"/>
          <w:szCs w:val="20"/>
        </w:rPr>
        <w:t>a</w:t>
      </w:r>
      <w:r w:rsidRPr="00D811B5">
        <w:rPr>
          <w:rFonts w:ascii="Barlow" w:hAnsi="Barlow" w:cs="Calibri"/>
          <w:bCs/>
          <w:color w:val="000000"/>
          <w:w w:val="98"/>
          <w:sz w:val="20"/>
          <w:szCs w:val="20"/>
        </w:rPr>
        <w:t>z</w:t>
      </w:r>
      <w:r w:rsidRPr="00D811B5">
        <w:rPr>
          <w:rFonts w:ascii="Barlow" w:hAnsi="Barlow" w:cs="Calibri"/>
          <w:bCs/>
          <w:color w:val="000000"/>
          <w:spacing w:val="-1"/>
          <w:w w:val="98"/>
          <w:sz w:val="20"/>
          <w:szCs w:val="20"/>
        </w:rPr>
        <w:t>on</w:t>
      </w:r>
      <w:r w:rsidRPr="00D811B5">
        <w:rPr>
          <w:rFonts w:ascii="Barlow" w:hAnsi="Barlow" w:cs="Calibri"/>
          <w:bCs/>
          <w:color w:val="000000"/>
          <w:spacing w:val="1"/>
          <w:w w:val="98"/>
          <w:sz w:val="20"/>
          <w:szCs w:val="20"/>
        </w:rPr>
        <w:t>a</w:t>
      </w:r>
      <w:r w:rsidRPr="00D811B5">
        <w:rPr>
          <w:rFonts w:ascii="Barlow" w:hAnsi="Barlow" w:cs="Calibri"/>
          <w:bCs/>
          <w:color w:val="000000"/>
          <w:spacing w:val="-1"/>
          <w:w w:val="98"/>
          <w:sz w:val="20"/>
          <w:szCs w:val="20"/>
        </w:rPr>
        <w:t>bl</w:t>
      </w:r>
      <w:r w:rsidRPr="00D811B5">
        <w:rPr>
          <w:rFonts w:ascii="Barlow" w:hAnsi="Barlow" w:cs="Calibri"/>
          <w:bCs/>
          <w:color w:val="000000"/>
          <w:w w:val="98"/>
          <w:sz w:val="20"/>
          <w:szCs w:val="20"/>
        </w:rPr>
        <w:t>e</w:t>
      </w:r>
      <w:r w:rsidRPr="00D811B5">
        <w:rPr>
          <w:rFonts w:ascii="Barlow" w:hAnsi="Barlow" w:cs="Calibri"/>
          <w:bCs/>
          <w:color w:val="000000"/>
          <w:spacing w:val="1"/>
          <w:w w:val="98"/>
          <w:sz w:val="20"/>
          <w:szCs w:val="20"/>
        </w:rPr>
        <w:t>m</w:t>
      </w:r>
      <w:r w:rsidRPr="00D811B5">
        <w:rPr>
          <w:rFonts w:ascii="Barlow" w:hAnsi="Barlow" w:cs="Calibri"/>
          <w:bCs/>
          <w:color w:val="000000"/>
          <w:w w:val="98"/>
          <w:sz w:val="20"/>
          <w:szCs w:val="20"/>
        </w:rPr>
        <w:t>e</w:t>
      </w:r>
      <w:r w:rsidRPr="00D811B5">
        <w:rPr>
          <w:rFonts w:ascii="Barlow" w:hAnsi="Barlow" w:cs="Calibri"/>
          <w:bCs/>
          <w:color w:val="000000"/>
          <w:spacing w:val="-1"/>
          <w:w w:val="98"/>
          <w:sz w:val="20"/>
          <w:szCs w:val="20"/>
        </w:rPr>
        <w:t>n</w:t>
      </w:r>
      <w:r w:rsidRPr="00D811B5">
        <w:rPr>
          <w:rFonts w:ascii="Barlow" w:hAnsi="Barlow" w:cs="Calibri"/>
          <w:bCs/>
          <w:color w:val="000000"/>
          <w:w w:val="98"/>
          <w:sz w:val="20"/>
          <w:szCs w:val="20"/>
        </w:rPr>
        <w:t>te</w:t>
      </w:r>
      <w:r w:rsidR="004853B7" w:rsidRPr="00D811B5">
        <w:rPr>
          <w:rFonts w:ascii="Barlow" w:hAnsi="Barlow" w:cs="Calibri"/>
          <w:bCs/>
          <w:color w:val="000000"/>
          <w:w w:val="98"/>
          <w:sz w:val="20"/>
          <w:szCs w:val="20"/>
        </w:rPr>
        <w:t xml:space="preserve"> </w:t>
      </w:r>
      <w:r w:rsidRPr="00D811B5">
        <w:rPr>
          <w:rFonts w:ascii="Barlow" w:hAnsi="Barlow" w:cs="Calibri"/>
          <w:bCs/>
          <w:color w:val="000000"/>
          <w:spacing w:val="1"/>
          <w:sz w:val="20"/>
          <w:szCs w:val="20"/>
        </w:rPr>
        <w:t>c</w:t>
      </w:r>
      <w:r w:rsidRPr="00D811B5">
        <w:rPr>
          <w:rFonts w:ascii="Barlow" w:hAnsi="Barlow" w:cs="Calibri"/>
          <w:bCs/>
          <w:color w:val="000000"/>
          <w:spacing w:val="-1"/>
          <w:sz w:val="20"/>
          <w:szCs w:val="20"/>
        </w:rPr>
        <w:t>orr</w:t>
      </w:r>
      <w:r w:rsidRPr="00D811B5">
        <w:rPr>
          <w:rFonts w:ascii="Barlow" w:hAnsi="Barlow" w:cs="Calibri"/>
          <w:bCs/>
          <w:color w:val="000000"/>
          <w:sz w:val="20"/>
          <w:szCs w:val="20"/>
        </w:rPr>
        <w:t>e</w:t>
      </w:r>
      <w:r w:rsidRPr="00D811B5">
        <w:rPr>
          <w:rFonts w:ascii="Barlow" w:hAnsi="Barlow" w:cs="Calibri"/>
          <w:bCs/>
          <w:color w:val="000000"/>
          <w:spacing w:val="1"/>
          <w:sz w:val="20"/>
          <w:szCs w:val="20"/>
        </w:rPr>
        <w:t>c</w:t>
      </w:r>
      <w:r w:rsidRPr="00D811B5">
        <w:rPr>
          <w:rFonts w:ascii="Barlow" w:hAnsi="Barlow" w:cs="Calibri"/>
          <w:bCs/>
          <w:color w:val="000000"/>
          <w:sz w:val="20"/>
          <w:szCs w:val="20"/>
        </w:rPr>
        <w:t>t</w:t>
      </w:r>
      <w:r w:rsidRPr="00D811B5">
        <w:rPr>
          <w:rFonts w:ascii="Barlow" w:hAnsi="Barlow" w:cs="Calibri"/>
          <w:bCs/>
          <w:color w:val="000000"/>
          <w:spacing w:val="-1"/>
          <w:sz w:val="20"/>
          <w:szCs w:val="20"/>
        </w:rPr>
        <w:t>o</w:t>
      </w:r>
      <w:r w:rsidRPr="00D811B5">
        <w:rPr>
          <w:rFonts w:ascii="Barlow" w:hAnsi="Barlow" w:cs="Calibri"/>
          <w:bCs/>
          <w:color w:val="000000"/>
          <w:sz w:val="20"/>
          <w:szCs w:val="20"/>
        </w:rPr>
        <w:t>s</w:t>
      </w:r>
      <w:r w:rsidR="004853B7" w:rsidRPr="00D811B5">
        <w:rPr>
          <w:rFonts w:ascii="Barlow" w:hAnsi="Barlow" w:cs="Calibri"/>
          <w:bCs/>
          <w:color w:val="000000"/>
          <w:sz w:val="20"/>
          <w:szCs w:val="20"/>
        </w:rPr>
        <w:t xml:space="preserve"> </w:t>
      </w:r>
      <w:r w:rsidRPr="00D811B5">
        <w:rPr>
          <w:rFonts w:ascii="Barlow" w:hAnsi="Barlow" w:cs="Calibri"/>
          <w:bCs/>
          <w:color w:val="000000"/>
          <w:sz w:val="20"/>
          <w:szCs w:val="20"/>
        </w:rPr>
        <w:t>y</w:t>
      </w:r>
      <w:r w:rsidR="004853B7" w:rsidRPr="00D811B5">
        <w:rPr>
          <w:rFonts w:ascii="Barlow" w:hAnsi="Barlow" w:cs="Calibri"/>
          <w:bCs/>
          <w:color w:val="000000"/>
          <w:sz w:val="20"/>
          <w:szCs w:val="20"/>
        </w:rPr>
        <w:t xml:space="preserve"> </w:t>
      </w:r>
      <w:r w:rsidRPr="00D811B5">
        <w:rPr>
          <w:rFonts w:ascii="Barlow" w:hAnsi="Barlow" w:cs="Calibri"/>
          <w:bCs/>
          <w:color w:val="000000"/>
          <w:spacing w:val="-1"/>
          <w:sz w:val="20"/>
          <w:szCs w:val="20"/>
        </w:rPr>
        <w:t>so</w:t>
      </w:r>
      <w:r w:rsidRPr="00D811B5">
        <w:rPr>
          <w:rFonts w:ascii="Barlow" w:hAnsi="Barlow" w:cs="Calibri"/>
          <w:bCs/>
          <w:color w:val="000000"/>
          <w:sz w:val="20"/>
          <w:szCs w:val="20"/>
        </w:rPr>
        <w:t>n</w:t>
      </w:r>
      <w:r w:rsidR="004853B7" w:rsidRPr="00D811B5">
        <w:rPr>
          <w:rFonts w:ascii="Barlow" w:hAnsi="Barlow" w:cs="Calibri"/>
          <w:bCs/>
          <w:color w:val="000000"/>
          <w:sz w:val="20"/>
          <w:szCs w:val="20"/>
        </w:rPr>
        <w:t xml:space="preserve"> </w:t>
      </w:r>
      <w:r w:rsidRPr="00D811B5">
        <w:rPr>
          <w:rFonts w:ascii="Barlow" w:hAnsi="Barlow" w:cs="Calibri"/>
          <w:bCs/>
          <w:color w:val="000000"/>
          <w:spacing w:val="-1"/>
          <w:w w:val="98"/>
          <w:sz w:val="20"/>
          <w:szCs w:val="20"/>
        </w:rPr>
        <w:t>r</w:t>
      </w:r>
      <w:r w:rsidRPr="00D811B5">
        <w:rPr>
          <w:rFonts w:ascii="Barlow" w:hAnsi="Barlow" w:cs="Calibri"/>
          <w:bCs/>
          <w:color w:val="000000"/>
          <w:w w:val="98"/>
          <w:sz w:val="20"/>
          <w:szCs w:val="20"/>
        </w:rPr>
        <w:t>e</w:t>
      </w:r>
      <w:r w:rsidRPr="00D811B5">
        <w:rPr>
          <w:rFonts w:ascii="Barlow" w:hAnsi="Barlow" w:cs="Calibri"/>
          <w:bCs/>
          <w:color w:val="000000"/>
          <w:spacing w:val="-1"/>
          <w:w w:val="98"/>
          <w:sz w:val="20"/>
          <w:szCs w:val="20"/>
        </w:rPr>
        <w:t>spons</w:t>
      </w:r>
      <w:r w:rsidRPr="00D811B5">
        <w:rPr>
          <w:rFonts w:ascii="Barlow" w:hAnsi="Barlow" w:cs="Calibri"/>
          <w:bCs/>
          <w:color w:val="000000"/>
          <w:spacing w:val="1"/>
          <w:w w:val="98"/>
          <w:sz w:val="20"/>
          <w:szCs w:val="20"/>
        </w:rPr>
        <w:t>a</w:t>
      </w:r>
      <w:r w:rsidRPr="00D811B5">
        <w:rPr>
          <w:rFonts w:ascii="Barlow" w:hAnsi="Barlow" w:cs="Calibri"/>
          <w:bCs/>
          <w:color w:val="000000"/>
          <w:spacing w:val="-1"/>
          <w:w w:val="98"/>
          <w:sz w:val="20"/>
          <w:szCs w:val="20"/>
        </w:rPr>
        <w:t>bilid</w:t>
      </w:r>
      <w:r w:rsidRPr="00D811B5">
        <w:rPr>
          <w:rFonts w:ascii="Barlow" w:hAnsi="Barlow" w:cs="Calibri"/>
          <w:bCs/>
          <w:color w:val="000000"/>
          <w:spacing w:val="1"/>
          <w:w w:val="98"/>
          <w:sz w:val="20"/>
          <w:szCs w:val="20"/>
        </w:rPr>
        <w:t>a</w:t>
      </w:r>
      <w:r w:rsidRPr="00D811B5">
        <w:rPr>
          <w:rFonts w:ascii="Barlow" w:hAnsi="Barlow" w:cs="Calibri"/>
          <w:bCs/>
          <w:color w:val="000000"/>
          <w:w w:val="98"/>
          <w:sz w:val="20"/>
          <w:szCs w:val="20"/>
        </w:rPr>
        <w:t>d</w:t>
      </w:r>
      <w:r w:rsidR="004853B7" w:rsidRPr="00D811B5">
        <w:rPr>
          <w:rFonts w:ascii="Barlow" w:hAnsi="Barlow" w:cs="Calibri"/>
          <w:bCs/>
          <w:color w:val="000000"/>
          <w:w w:val="98"/>
          <w:sz w:val="20"/>
          <w:szCs w:val="20"/>
        </w:rPr>
        <w:t xml:space="preserve"> </w:t>
      </w:r>
      <w:r w:rsidRPr="00D811B5">
        <w:rPr>
          <w:rFonts w:ascii="Barlow" w:hAnsi="Barlow" w:cs="Calibri"/>
          <w:bCs/>
          <w:color w:val="000000"/>
          <w:spacing w:val="-1"/>
          <w:sz w:val="20"/>
          <w:szCs w:val="20"/>
        </w:rPr>
        <w:t>d</w:t>
      </w:r>
      <w:r w:rsidRPr="00D811B5">
        <w:rPr>
          <w:rFonts w:ascii="Barlow" w:hAnsi="Barlow" w:cs="Calibri"/>
          <w:bCs/>
          <w:color w:val="000000"/>
          <w:sz w:val="20"/>
          <w:szCs w:val="20"/>
        </w:rPr>
        <w:t>el</w:t>
      </w:r>
      <w:r w:rsidR="004853B7" w:rsidRPr="00D811B5">
        <w:rPr>
          <w:rFonts w:ascii="Barlow" w:hAnsi="Barlow" w:cs="Calibri"/>
          <w:bCs/>
          <w:color w:val="000000"/>
          <w:sz w:val="20"/>
          <w:szCs w:val="20"/>
        </w:rPr>
        <w:t xml:space="preserve"> </w:t>
      </w:r>
      <w:r w:rsidRPr="00D811B5">
        <w:rPr>
          <w:rFonts w:ascii="Barlow" w:hAnsi="Barlow" w:cs="Calibri"/>
          <w:bCs/>
          <w:color w:val="000000"/>
          <w:sz w:val="20"/>
          <w:szCs w:val="20"/>
        </w:rPr>
        <w:t>e</w:t>
      </w:r>
      <w:r w:rsidRPr="00D811B5">
        <w:rPr>
          <w:rFonts w:ascii="Barlow" w:hAnsi="Barlow" w:cs="Calibri"/>
          <w:bCs/>
          <w:color w:val="000000"/>
          <w:spacing w:val="1"/>
          <w:sz w:val="20"/>
          <w:szCs w:val="20"/>
        </w:rPr>
        <w:t>m</w:t>
      </w:r>
      <w:r w:rsidRPr="00D811B5">
        <w:rPr>
          <w:rFonts w:ascii="Barlow" w:hAnsi="Barlow" w:cs="Calibri"/>
          <w:bCs/>
          <w:color w:val="000000"/>
          <w:spacing w:val="-1"/>
          <w:sz w:val="20"/>
          <w:szCs w:val="20"/>
        </w:rPr>
        <w:t>isor</w:t>
      </w:r>
      <w:r w:rsidR="006F0D11" w:rsidRPr="00D811B5">
        <w:rPr>
          <w:rFonts w:ascii="Barlow" w:hAnsi="Barlow" w:cs="Calibri"/>
          <w:bCs/>
          <w:color w:val="000000"/>
          <w:spacing w:val="-1"/>
          <w:sz w:val="20"/>
          <w:szCs w:val="20"/>
        </w:rPr>
        <w:t>.</w:t>
      </w:r>
    </w:p>
    <w:p w:rsidR="001429D6" w:rsidRDefault="001429D6">
      <w:pPr>
        <w:widowControl w:val="0"/>
        <w:autoSpaceDE w:val="0"/>
        <w:autoSpaceDN w:val="0"/>
        <w:adjustRightInd w:val="0"/>
        <w:spacing w:before="26" w:after="0" w:line="240" w:lineRule="auto"/>
        <w:ind w:left="113" w:right="-20"/>
        <w:rPr>
          <w:rFonts w:cs="Calibri"/>
          <w:bCs/>
          <w:color w:val="000000"/>
          <w:spacing w:val="-1"/>
          <w:sz w:val="20"/>
          <w:szCs w:val="20"/>
        </w:rPr>
      </w:pPr>
    </w:p>
    <w:p w:rsidR="00865BFA" w:rsidRDefault="00865BFA">
      <w:pPr>
        <w:widowControl w:val="0"/>
        <w:autoSpaceDE w:val="0"/>
        <w:autoSpaceDN w:val="0"/>
        <w:adjustRightInd w:val="0"/>
        <w:spacing w:before="26" w:after="0" w:line="240" w:lineRule="auto"/>
        <w:ind w:left="113" w:right="-20"/>
        <w:rPr>
          <w:rFonts w:cs="Calibri"/>
          <w:bCs/>
          <w:color w:val="000000"/>
          <w:spacing w:val="-1"/>
          <w:sz w:val="20"/>
          <w:szCs w:val="20"/>
        </w:rPr>
      </w:pPr>
    </w:p>
    <w:p w:rsidR="00865BFA" w:rsidRDefault="00865BFA">
      <w:pPr>
        <w:widowControl w:val="0"/>
        <w:autoSpaceDE w:val="0"/>
        <w:autoSpaceDN w:val="0"/>
        <w:adjustRightInd w:val="0"/>
        <w:spacing w:before="26" w:after="0" w:line="240" w:lineRule="auto"/>
        <w:ind w:left="113" w:right="-20"/>
        <w:rPr>
          <w:rFonts w:cs="Calibri"/>
          <w:bCs/>
          <w:color w:val="000000"/>
          <w:spacing w:val="-1"/>
          <w:sz w:val="20"/>
          <w:szCs w:val="20"/>
        </w:rPr>
      </w:pPr>
    </w:p>
    <w:p w:rsidR="00865BFA" w:rsidRPr="00DF20E0" w:rsidRDefault="00865BFA">
      <w:pPr>
        <w:widowControl w:val="0"/>
        <w:autoSpaceDE w:val="0"/>
        <w:autoSpaceDN w:val="0"/>
        <w:adjustRightInd w:val="0"/>
        <w:spacing w:before="26" w:after="0" w:line="240" w:lineRule="auto"/>
        <w:ind w:left="113" w:right="-20"/>
        <w:rPr>
          <w:rFonts w:cs="Calibri"/>
          <w:bCs/>
          <w:color w:val="000000"/>
          <w:spacing w:val="-1"/>
          <w:sz w:val="20"/>
          <w:szCs w:val="20"/>
        </w:rPr>
      </w:pPr>
    </w:p>
    <w:p w:rsidR="00DC5C9A" w:rsidRPr="00DF20E0" w:rsidRDefault="00DC5C9A">
      <w:pPr>
        <w:widowControl w:val="0"/>
        <w:autoSpaceDE w:val="0"/>
        <w:autoSpaceDN w:val="0"/>
        <w:adjustRightInd w:val="0"/>
        <w:spacing w:before="26" w:after="0" w:line="240" w:lineRule="auto"/>
        <w:ind w:left="113" w:right="-20"/>
        <w:rPr>
          <w:rFonts w:cs="Calibri"/>
          <w:bCs/>
          <w:color w:val="000000"/>
          <w:spacing w:val="-1"/>
          <w:sz w:val="20"/>
          <w:szCs w:val="20"/>
        </w:rPr>
      </w:pPr>
    </w:p>
    <w:p w:rsidR="00F64BD6" w:rsidRDefault="00F64BD6">
      <w:pPr>
        <w:widowControl w:val="0"/>
        <w:autoSpaceDE w:val="0"/>
        <w:autoSpaceDN w:val="0"/>
        <w:adjustRightInd w:val="0"/>
        <w:spacing w:before="26" w:after="0" w:line="240" w:lineRule="auto"/>
        <w:ind w:left="113" w:right="-20"/>
        <w:rPr>
          <w:rFonts w:cs="Calibri"/>
          <w:color w:val="000000"/>
          <w:sz w:val="20"/>
          <w:szCs w:val="20"/>
        </w:rPr>
      </w:pPr>
    </w:p>
    <w:p w:rsidR="00DC5C9A" w:rsidRPr="00DF20E0" w:rsidRDefault="00DC5C9A">
      <w:pPr>
        <w:widowControl w:val="0"/>
        <w:autoSpaceDE w:val="0"/>
        <w:autoSpaceDN w:val="0"/>
        <w:adjustRightInd w:val="0"/>
        <w:spacing w:before="26" w:after="0" w:line="240" w:lineRule="auto"/>
        <w:ind w:left="113" w:right="-20"/>
        <w:rPr>
          <w:rFonts w:cs="Calibri"/>
          <w:color w:val="000000"/>
          <w:sz w:val="20"/>
          <w:szCs w:val="20"/>
        </w:rPr>
      </w:pPr>
    </w:p>
    <w:sectPr w:rsidR="00DC5C9A" w:rsidRPr="00DF20E0" w:rsidSect="009938FF">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ED" w:rsidRDefault="00FF01ED">
      <w:pPr>
        <w:spacing w:after="0" w:line="240" w:lineRule="auto"/>
      </w:pPr>
      <w:r>
        <w:separator/>
      </w:r>
    </w:p>
  </w:endnote>
  <w:endnote w:type="continuationSeparator" w:id="0">
    <w:p w:rsidR="00FF01ED" w:rsidRDefault="00FF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ED" w:rsidRDefault="00FF01ED">
      <w:pPr>
        <w:spacing w:after="0" w:line="240" w:lineRule="auto"/>
      </w:pPr>
      <w:r>
        <w:separator/>
      </w:r>
    </w:p>
  </w:footnote>
  <w:footnote w:type="continuationSeparator" w:id="0">
    <w:p w:rsidR="00FF01ED" w:rsidRDefault="00FF0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9041D8"/>
    <w:multiLevelType w:val="hybridMultilevel"/>
    <w:tmpl w:val="83B08DDC"/>
    <w:lvl w:ilvl="0" w:tplc="C416FF72">
      <w:start w:val="1"/>
      <w:numFmt w:val="low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3">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16"/>
    <w:rsid w:val="00001F48"/>
    <w:rsid w:val="000027BB"/>
    <w:rsid w:val="0001518E"/>
    <w:rsid w:val="00016B42"/>
    <w:rsid w:val="00031714"/>
    <w:rsid w:val="000352A0"/>
    <w:rsid w:val="00035648"/>
    <w:rsid w:val="00035698"/>
    <w:rsid w:val="000452DF"/>
    <w:rsid w:val="00052892"/>
    <w:rsid w:val="00053C44"/>
    <w:rsid w:val="00057CFB"/>
    <w:rsid w:val="00060A42"/>
    <w:rsid w:val="000650CB"/>
    <w:rsid w:val="00072080"/>
    <w:rsid w:val="00072C0E"/>
    <w:rsid w:val="00075D1E"/>
    <w:rsid w:val="00081289"/>
    <w:rsid w:val="00086F88"/>
    <w:rsid w:val="0008740B"/>
    <w:rsid w:val="000978B2"/>
    <w:rsid w:val="000A3C1D"/>
    <w:rsid w:val="000A509D"/>
    <w:rsid w:val="000A5522"/>
    <w:rsid w:val="000A6CE8"/>
    <w:rsid w:val="000A720B"/>
    <w:rsid w:val="000B5030"/>
    <w:rsid w:val="000B7934"/>
    <w:rsid w:val="000C292D"/>
    <w:rsid w:val="000C4B96"/>
    <w:rsid w:val="000D09F3"/>
    <w:rsid w:val="000D5926"/>
    <w:rsid w:val="000D76F0"/>
    <w:rsid w:val="000E195A"/>
    <w:rsid w:val="000F029F"/>
    <w:rsid w:val="00101157"/>
    <w:rsid w:val="0010340E"/>
    <w:rsid w:val="00105A1C"/>
    <w:rsid w:val="00112CF9"/>
    <w:rsid w:val="00115AAC"/>
    <w:rsid w:val="00116007"/>
    <w:rsid w:val="00117B5A"/>
    <w:rsid w:val="00120A9C"/>
    <w:rsid w:val="00125DFD"/>
    <w:rsid w:val="001312EE"/>
    <w:rsid w:val="001316F3"/>
    <w:rsid w:val="001428E4"/>
    <w:rsid w:val="001429D6"/>
    <w:rsid w:val="00146D2C"/>
    <w:rsid w:val="00152F9C"/>
    <w:rsid w:val="00160334"/>
    <w:rsid w:val="001621E7"/>
    <w:rsid w:val="00163FCF"/>
    <w:rsid w:val="00164D31"/>
    <w:rsid w:val="001656EA"/>
    <w:rsid w:val="00167FE5"/>
    <w:rsid w:val="0017681D"/>
    <w:rsid w:val="00176ABD"/>
    <w:rsid w:val="00181D03"/>
    <w:rsid w:val="00183D7B"/>
    <w:rsid w:val="00190277"/>
    <w:rsid w:val="001938F8"/>
    <w:rsid w:val="001958AC"/>
    <w:rsid w:val="00197049"/>
    <w:rsid w:val="00197298"/>
    <w:rsid w:val="001978B1"/>
    <w:rsid w:val="001A4317"/>
    <w:rsid w:val="001B15DF"/>
    <w:rsid w:val="001B34AB"/>
    <w:rsid w:val="001B5E7C"/>
    <w:rsid w:val="001B79BE"/>
    <w:rsid w:val="001C009C"/>
    <w:rsid w:val="001C1CD6"/>
    <w:rsid w:val="001C6C49"/>
    <w:rsid w:val="001D0A9D"/>
    <w:rsid w:val="001D1845"/>
    <w:rsid w:val="001D3387"/>
    <w:rsid w:val="001D7187"/>
    <w:rsid w:val="001E2396"/>
    <w:rsid w:val="001F0CC7"/>
    <w:rsid w:val="001F2065"/>
    <w:rsid w:val="001F28DF"/>
    <w:rsid w:val="001F5AFD"/>
    <w:rsid w:val="001F6CAA"/>
    <w:rsid w:val="001F7D28"/>
    <w:rsid w:val="002003E4"/>
    <w:rsid w:val="002037BB"/>
    <w:rsid w:val="0022091F"/>
    <w:rsid w:val="0022693A"/>
    <w:rsid w:val="00235FE7"/>
    <w:rsid w:val="00240719"/>
    <w:rsid w:val="002432DB"/>
    <w:rsid w:val="00250BCF"/>
    <w:rsid w:val="00251AD9"/>
    <w:rsid w:val="00253E8A"/>
    <w:rsid w:val="00260C97"/>
    <w:rsid w:val="00263DF8"/>
    <w:rsid w:val="00264B4D"/>
    <w:rsid w:val="00270CF1"/>
    <w:rsid w:val="00276048"/>
    <w:rsid w:val="00276882"/>
    <w:rsid w:val="00276D28"/>
    <w:rsid w:val="002919B3"/>
    <w:rsid w:val="002A45FD"/>
    <w:rsid w:val="002A7FF6"/>
    <w:rsid w:val="002B1EBC"/>
    <w:rsid w:val="002B4A9B"/>
    <w:rsid w:val="002B4CC8"/>
    <w:rsid w:val="002C3D6B"/>
    <w:rsid w:val="002C7272"/>
    <w:rsid w:val="002D3590"/>
    <w:rsid w:val="002E363B"/>
    <w:rsid w:val="002E62DD"/>
    <w:rsid w:val="002F16ED"/>
    <w:rsid w:val="00301D62"/>
    <w:rsid w:val="0030270C"/>
    <w:rsid w:val="00304CC5"/>
    <w:rsid w:val="00307E67"/>
    <w:rsid w:val="00307EF9"/>
    <w:rsid w:val="0031438F"/>
    <w:rsid w:val="00322CA1"/>
    <w:rsid w:val="003231F7"/>
    <w:rsid w:val="00326EDB"/>
    <w:rsid w:val="0032767A"/>
    <w:rsid w:val="0033109C"/>
    <w:rsid w:val="003319A3"/>
    <w:rsid w:val="00341817"/>
    <w:rsid w:val="00351854"/>
    <w:rsid w:val="00357996"/>
    <w:rsid w:val="003602A4"/>
    <w:rsid w:val="0036168C"/>
    <w:rsid w:val="00366FF2"/>
    <w:rsid w:val="003703B1"/>
    <w:rsid w:val="0037132C"/>
    <w:rsid w:val="00372C5C"/>
    <w:rsid w:val="00373DE5"/>
    <w:rsid w:val="00374E66"/>
    <w:rsid w:val="00374E8D"/>
    <w:rsid w:val="00375521"/>
    <w:rsid w:val="00392CA4"/>
    <w:rsid w:val="003955D3"/>
    <w:rsid w:val="0039787C"/>
    <w:rsid w:val="003A0A3E"/>
    <w:rsid w:val="003A7176"/>
    <w:rsid w:val="003A7BDC"/>
    <w:rsid w:val="003B4557"/>
    <w:rsid w:val="003B53C9"/>
    <w:rsid w:val="003D4D76"/>
    <w:rsid w:val="003D56FF"/>
    <w:rsid w:val="003D6B68"/>
    <w:rsid w:val="003E1EA1"/>
    <w:rsid w:val="003E2282"/>
    <w:rsid w:val="003E39C2"/>
    <w:rsid w:val="003F01B5"/>
    <w:rsid w:val="003F324E"/>
    <w:rsid w:val="003F680C"/>
    <w:rsid w:val="004000A4"/>
    <w:rsid w:val="00404152"/>
    <w:rsid w:val="00404AA3"/>
    <w:rsid w:val="00407D5F"/>
    <w:rsid w:val="00410016"/>
    <w:rsid w:val="00433356"/>
    <w:rsid w:val="00440F71"/>
    <w:rsid w:val="00445947"/>
    <w:rsid w:val="00451A4D"/>
    <w:rsid w:val="0045213F"/>
    <w:rsid w:val="00453CCE"/>
    <w:rsid w:val="00460658"/>
    <w:rsid w:val="00473160"/>
    <w:rsid w:val="00484113"/>
    <w:rsid w:val="004851A7"/>
    <w:rsid w:val="004853B7"/>
    <w:rsid w:val="00485A44"/>
    <w:rsid w:val="00491CB4"/>
    <w:rsid w:val="0049317C"/>
    <w:rsid w:val="004A3A01"/>
    <w:rsid w:val="004A4C49"/>
    <w:rsid w:val="004A6501"/>
    <w:rsid w:val="004B44A7"/>
    <w:rsid w:val="004C25C5"/>
    <w:rsid w:val="004D1012"/>
    <w:rsid w:val="004D5E2A"/>
    <w:rsid w:val="004D67B7"/>
    <w:rsid w:val="004D76EA"/>
    <w:rsid w:val="004E6A86"/>
    <w:rsid w:val="004F3CEC"/>
    <w:rsid w:val="004F65B1"/>
    <w:rsid w:val="004F7FBD"/>
    <w:rsid w:val="00504C0D"/>
    <w:rsid w:val="005155D8"/>
    <w:rsid w:val="00515925"/>
    <w:rsid w:val="00526B21"/>
    <w:rsid w:val="005312CB"/>
    <w:rsid w:val="00533DC6"/>
    <w:rsid w:val="00543731"/>
    <w:rsid w:val="005443C8"/>
    <w:rsid w:val="00547281"/>
    <w:rsid w:val="005536A7"/>
    <w:rsid w:val="00554774"/>
    <w:rsid w:val="00566B9F"/>
    <w:rsid w:val="00575513"/>
    <w:rsid w:val="005777B5"/>
    <w:rsid w:val="0058134B"/>
    <w:rsid w:val="005875A5"/>
    <w:rsid w:val="00594551"/>
    <w:rsid w:val="005A080D"/>
    <w:rsid w:val="005A3423"/>
    <w:rsid w:val="005A56C4"/>
    <w:rsid w:val="005B03EE"/>
    <w:rsid w:val="005B3963"/>
    <w:rsid w:val="005B5088"/>
    <w:rsid w:val="005B651F"/>
    <w:rsid w:val="005B707A"/>
    <w:rsid w:val="005C50D2"/>
    <w:rsid w:val="005D1D00"/>
    <w:rsid w:val="005E29E5"/>
    <w:rsid w:val="005E43BF"/>
    <w:rsid w:val="005E60C0"/>
    <w:rsid w:val="005F704F"/>
    <w:rsid w:val="005F7472"/>
    <w:rsid w:val="00600ABB"/>
    <w:rsid w:val="00615568"/>
    <w:rsid w:val="00616192"/>
    <w:rsid w:val="00623665"/>
    <w:rsid w:val="0062569D"/>
    <w:rsid w:val="006304DB"/>
    <w:rsid w:val="00630976"/>
    <w:rsid w:val="00637612"/>
    <w:rsid w:val="006416E4"/>
    <w:rsid w:val="00641F71"/>
    <w:rsid w:val="00660030"/>
    <w:rsid w:val="00660492"/>
    <w:rsid w:val="00666454"/>
    <w:rsid w:val="006676CA"/>
    <w:rsid w:val="0067108C"/>
    <w:rsid w:val="006734B3"/>
    <w:rsid w:val="006734BD"/>
    <w:rsid w:val="00673C7C"/>
    <w:rsid w:val="006749E3"/>
    <w:rsid w:val="00686C70"/>
    <w:rsid w:val="00692941"/>
    <w:rsid w:val="00693A8B"/>
    <w:rsid w:val="006A1770"/>
    <w:rsid w:val="006A4239"/>
    <w:rsid w:val="006A4F5D"/>
    <w:rsid w:val="006A5941"/>
    <w:rsid w:val="006A7F3A"/>
    <w:rsid w:val="006B20A8"/>
    <w:rsid w:val="006B2AA2"/>
    <w:rsid w:val="006B49F2"/>
    <w:rsid w:val="006B6200"/>
    <w:rsid w:val="006B68A1"/>
    <w:rsid w:val="006C27D7"/>
    <w:rsid w:val="006C3746"/>
    <w:rsid w:val="006D07EB"/>
    <w:rsid w:val="006F0300"/>
    <w:rsid w:val="006F0D11"/>
    <w:rsid w:val="007043A9"/>
    <w:rsid w:val="00707E7D"/>
    <w:rsid w:val="007144A8"/>
    <w:rsid w:val="007272FC"/>
    <w:rsid w:val="00734532"/>
    <w:rsid w:val="00735A80"/>
    <w:rsid w:val="007368C3"/>
    <w:rsid w:val="007405FC"/>
    <w:rsid w:val="0074151E"/>
    <w:rsid w:val="00742FD4"/>
    <w:rsid w:val="007460EE"/>
    <w:rsid w:val="007605C3"/>
    <w:rsid w:val="00760D59"/>
    <w:rsid w:val="00762B88"/>
    <w:rsid w:val="0076318B"/>
    <w:rsid w:val="00766695"/>
    <w:rsid w:val="0077328E"/>
    <w:rsid w:val="00773B84"/>
    <w:rsid w:val="00775E63"/>
    <w:rsid w:val="00791185"/>
    <w:rsid w:val="00792CE3"/>
    <w:rsid w:val="0079553D"/>
    <w:rsid w:val="007A016E"/>
    <w:rsid w:val="007A3C3F"/>
    <w:rsid w:val="007C73B9"/>
    <w:rsid w:val="007D0F85"/>
    <w:rsid w:val="007D5555"/>
    <w:rsid w:val="007D7D9B"/>
    <w:rsid w:val="007E2657"/>
    <w:rsid w:val="007E7CE8"/>
    <w:rsid w:val="007F1C73"/>
    <w:rsid w:val="007F276F"/>
    <w:rsid w:val="007F6908"/>
    <w:rsid w:val="00806845"/>
    <w:rsid w:val="00807741"/>
    <w:rsid w:val="00811CBD"/>
    <w:rsid w:val="00815D24"/>
    <w:rsid w:val="0082475D"/>
    <w:rsid w:val="00824AE1"/>
    <w:rsid w:val="00826150"/>
    <w:rsid w:val="00827759"/>
    <w:rsid w:val="0083378F"/>
    <w:rsid w:val="00836B18"/>
    <w:rsid w:val="008435D5"/>
    <w:rsid w:val="00853064"/>
    <w:rsid w:val="0085497D"/>
    <w:rsid w:val="0086157D"/>
    <w:rsid w:val="00865BFA"/>
    <w:rsid w:val="00871F27"/>
    <w:rsid w:val="00873164"/>
    <w:rsid w:val="00876D82"/>
    <w:rsid w:val="008901DF"/>
    <w:rsid w:val="008A12FB"/>
    <w:rsid w:val="008A723C"/>
    <w:rsid w:val="008A75E1"/>
    <w:rsid w:val="008B17C4"/>
    <w:rsid w:val="008E20AF"/>
    <w:rsid w:val="008F078B"/>
    <w:rsid w:val="008F2CCA"/>
    <w:rsid w:val="008F424E"/>
    <w:rsid w:val="0090374B"/>
    <w:rsid w:val="009054FA"/>
    <w:rsid w:val="0090560F"/>
    <w:rsid w:val="009075AF"/>
    <w:rsid w:val="00907AFC"/>
    <w:rsid w:val="00907C02"/>
    <w:rsid w:val="00911089"/>
    <w:rsid w:val="0091407E"/>
    <w:rsid w:val="009141D5"/>
    <w:rsid w:val="00915FA1"/>
    <w:rsid w:val="0091760A"/>
    <w:rsid w:val="00923E04"/>
    <w:rsid w:val="0092453D"/>
    <w:rsid w:val="00930E1A"/>
    <w:rsid w:val="009336AC"/>
    <w:rsid w:val="00944CEB"/>
    <w:rsid w:val="00945CF2"/>
    <w:rsid w:val="009464E0"/>
    <w:rsid w:val="00950A94"/>
    <w:rsid w:val="009636DC"/>
    <w:rsid w:val="00970016"/>
    <w:rsid w:val="00974D7E"/>
    <w:rsid w:val="00984D7D"/>
    <w:rsid w:val="00992F4B"/>
    <w:rsid w:val="009932CA"/>
    <w:rsid w:val="009938FF"/>
    <w:rsid w:val="0099630C"/>
    <w:rsid w:val="00997A94"/>
    <w:rsid w:val="009A558E"/>
    <w:rsid w:val="009A772A"/>
    <w:rsid w:val="009A7AD6"/>
    <w:rsid w:val="009B1AB6"/>
    <w:rsid w:val="009B35A2"/>
    <w:rsid w:val="009B46E0"/>
    <w:rsid w:val="009B593E"/>
    <w:rsid w:val="009B6632"/>
    <w:rsid w:val="009B7312"/>
    <w:rsid w:val="009C31B6"/>
    <w:rsid w:val="009C4B79"/>
    <w:rsid w:val="009D1120"/>
    <w:rsid w:val="009D43E2"/>
    <w:rsid w:val="009D75A2"/>
    <w:rsid w:val="009E53E8"/>
    <w:rsid w:val="009E7C1E"/>
    <w:rsid w:val="00A03013"/>
    <w:rsid w:val="00A157F2"/>
    <w:rsid w:val="00A27775"/>
    <w:rsid w:val="00A27A17"/>
    <w:rsid w:val="00A317E6"/>
    <w:rsid w:val="00A324C3"/>
    <w:rsid w:val="00A40B86"/>
    <w:rsid w:val="00A42EE6"/>
    <w:rsid w:val="00A45020"/>
    <w:rsid w:val="00A4579F"/>
    <w:rsid w:val="00A463F0"/>
    <w:rsid w:val="00A51F2E"/>
    <w:rsid w:val="00A551C4"/>
    <w:rsid w:val="00A561E4"/>
    <w:rsid w:val="00A57B8C"/>
    <w:rsid w:val="00A7645D"/>
    <w:rsid w:val="00A801FF"/>
    <w:rsid w:val="00A82F13"/>
    <w:rsid w:val="00A84342"/>
    <w:rsid w:val="00A946E1"/>
    <w:rsid w:val="00AA1BEC"/>
    <w:rsid w:val="00AA2C58"/>
    <w:rsid w:val="00AA6690"/>
    <w:rsid w:val="00AA6F4A"/>
    <w:rsid w:val="00AA7DAC"/>
    <w:rsid w:val="00AB047C"/>
    <w:rsid w:val="00AB1F9E"/>
    <w:rsid w:val="00AB2F49"/>
    <w:rsid w:val="00AC3899"/>
    <w:rsid w:val="00AC3F85"/>
    <w:rsid w:val="00AE2E73"/>
    <w:rsid w:val="00AE3528"/>
    <w:rsid w:val="00AF2112"/>
    <w:rsid w:val="00AF70D4"/>
    <w:rsid w:val="00B04C72"/>
    <w:rsid w:val="00B11C4A"/>
    <w:rsid w:val="00B147B3"/>
    <w:rsid w:val="00B15768"/>
    <w:rsid w:val="00B15C18"/>
    <w:rsid w:val="00B1621F"/>
    <w:rsid w:val="00B326C0"/>
    <w:rsid w:val="00B343F4"/>
    <w:rsid w:val="00B37E43"/>
    <w:rsid w:val="00B44FA0"/>
    <w:rsid w:val="00B561AE"/>
    <w:rsid w:val="00B61554"/>
    <w:rsid w:val="00B65245"/>
    <w:rsid w:val="00B65693"/>
    <w:rsid w:val="00B65EF7"/>
    <w:rsid w:val="00B6663E"/>
    <w:rsid w:val="00B95498"/>
    <w:rsid w:val="00BA008F"/>
    <w:rsid w:val="00BA1609"/>
    <w:rsid w:val="00BA40C1"/>
    <w:rsid w:val="00BA5C71"/>
    <w:rsid w:val="00BB0861"/>
    <w:rsid w:val="00BB1D2B"/>
    <w:rsid w:val="00BD11C5"/>
    <w:rsid w:val="00BD1F92"/>
    <w:rsid w:val="00BD2299"/>
    <w:rsid w:val="00BD6213"/>
    <w:rsid w:val="00BE07D6"/>
    <w:rsid w:val="00BE4E61"/>
    <w:rsid w:val="00BE595B"/>
    <w:rsid w:val="00BE7830"/>
    <w:rsid w:val="00BE7A5F"/>
    <w:rsid w:val="00BE7DCE"/>
    <w:rsid w:val="00C02AEE"/>
    <w:rsid w:val="00C06154"/>
    <w:rsid w:val="00C06783"/>
    <w:rsid w:val="00C2129E"/>
    <w:rsid w:val="00C22E7C"/>
    <w:rsid w:val="00C23B87"/>
    <w:rsid w:val="00C25EA9"/>
    <w:rsid w:val="00C317FA"/>
    <w:rsid w:val="00C31BC7"/>
    <w:rsid w:val="00C323B4"/>
    <w:rsid w:val="00C3590E"/>
    <w:rsid w:val="00C40AE3"/>
    <w:rsid w:val="00C42408"/>
    <w:rsid w:val="00C448C5"/>
    <w:rsid w:val="00C4605B"/>
    <w:rsid w:val="00C47003"/>
    <w:rsid w:val="00C57423"/>
    <w:rsid w:val="00C63257"/>
    <w:rsid w:val="00C64731"/>
    <w:rsid w:val="00C64AD8"/>
    <w:rsid w:val="00C75E6F"/>
    <w:rsid w:val="00C76265"/>
    <w:rsid w:val="00C77AA9"/>
    <w:rsid w:val="00C80181"/>
    <w:rsid w:val="00C80E9C"/>
    <w:rsid w:val="00C84C28"/>
    <w:rsid w:val="00C86BCB"/>
    <w:rsid w:val="00C876A3"/>
    <w:rsid w:val="00C92668"/>
    <w:rsid w:val="00C931CC"/>
    <w:rsid w:val="00C9450D"/>
    <w:rsid w:val="00C96F44"/>
    <w:rsid w:val="00CA6999"/>
    <w:rsid w:val="00CB0DFB"/>
    <w:rsid w:val="00CB237A"/>
    <w:rsid w:val="00CB31C6"/>
    <w:rsid w:val="00CB3B25"/>
    <w:rsid w:val="00CB77CB"/>
    <w:rsid w:val="00CB7929"/>
    <w:rsid w:val="00CC2F89"/>
    <w:rsid w:val="00CC7D74"/>
    <w:rsid w:val="00CD3B41"/>
    <w:rsid w:val="00CF539D"/>
    <w:rsid w:val="00CF59DC"/>
    <w:rsid w:val="00CF666A"/>
    <w:rsid w:val="00CF6DFA"/>
    <w:rsid w:val="00D00FF2"/>
    <w:rsid w:val="00D064A8"/>
    <w:rsid w:val="00D11B8B"/>
    <w:rsid w:val="00D1216C"/>
    <w:rsid w:val="00D239F7"/>
    <w:rsid w:val="00D37D3E"/>
    <w:rsid w:val="00D37F80"/>
    <w:rsid w:val="00D4625C"/>
    <w:rsid w:val="00D5173A"/>
    <w:rsid w:val="00D5485F"/>
    <w:rsid w:val="00D570E7"/>
    <w:rsid w:val="00D646BA"/>
    <w:rsid w:val="00D735FA"/>
    <w:rsid w:val="00D741DD"/>
    <w:rsid w:val="00D802C2"/>
    <w:rsid w:val="00D811B5"/>
    <w:rsid w:val="00D81D8C"/>
    <w:rsid w:val="00D83274"/>
    <w:rsid w:val="00D840A5"/>
    <w:rsid w:val="00D847E6"/>
    <w:rsid w:val="00D87C8B"/>
    <w:rsid w:val="00D919F9"/>
    <w:rsid w:val="00D921A5"/>
    <w:rsid w:val="00DA39DB"/>
    <w:rsid w:val="00DB3860"/>
    <w:rsid w:val="00DB6F38"/>
    <w:rsid w:val="00DC1CC9"/>
    <w:rsid w:val="00DC5C9A"/>
    <w:rsid w:val="00DD309F"/>
    <w:rsid w:val="00DE48B4"/>
    <w:rsid w:val="00DE5D2D"/>
    <w:rsid w:val="00DE6DA0"/>
    <w:rsid w:val="00DF0E10"/>
    <w:rsid w:val="00DF20E0"/>
    <w:rsid w:val="00DF2A01"/>
    <w:rsid w:val="00DF7971"/>
    <w:rsid w:val="00E136EF"/>
    <w:rsid w:val="00E14422"/>
    <w:rsid w:val="00E1449D"/>
    <w:rsid w:val="00E1463D"/>
    <w:rsid w:val="00E24380"/>
    <w:rsid w:val="00E247A3"/>
    <w:rsid w:val="00E249D9"/>
    <w:rsid w:val="00E25D55"/>
    <w:rsid w:val="00E266C0"/>
    <w:rsid w:val="00E43351"/>
    <w:rsid w:val="00E502AE"/>
    <w:rsid w:val="00E5288B"/>
    <w:rsid w:val="00E55B07"/>
    <w:rsid w:val="00E603B7"/>
    <w:rsid w:val="00E611A5"/>
    <w:rsid w:val="00E65CA9"/>
    <w:rsid w:val="00E6749E"/>
    <w:rsid w:val="00E71A3D"/>
    <w:rsid w:val="00E73E54"/>
    <w:rsid w:val="00E81DB2"/>
    <w:rsid w:val="00E85E19"/>
    <w:rsid w:val="00E86CE6"/>
    <w:rsid w:val="00E91253"/>
    <w:rsid w:val="00E95336"/>
    <w:rsid w:val="00E958CD"/>
    <w:rsid w:val="00EC686C"/>
    <w:rsid w:val="00ED0F72"/>
    <w:rsid w:val="00ED3FCE"/>
    <w:rsid w:val="00EE21C6"/>
    <w:rsid w:val="00EE277F"/>
    <w:rsid w:val="00EE3F4D"/>
    <w:rsid w:val="00EE50C5"/>
    <w:rsid w:val="00EE59EC"/>
    <w:rsid w:val="00EE6EF4"/>
    <w:rsid w:val="00EF06CC"/>
    <w:rsid w:val="00EF2CBB"/>
    <w:rsid w:val="00EF3686"/>
    <w:rsid w:val="00EF3D77"/>
    <w:rsid w:val="00F052FE"/>
    <w:rsid w:val="00F072DD"/>
    <w:rsid w:val="00F15483"/>
    <w:rsid w:val="00F168A6"/>
    <w:rsid w:val="00F23B20"/>
    <w:rsid w:val="00F2519E"/>
    <w:rsid w:val="00F2548C"/>
    <w:rsid w:val="00F26419"/>
    <w:rsid w:val="00F27BC9"/>
    <w:rsid w:val="00F30301"/>
    <w:rsid w:val="00F30BE2"/>
    <w:rsid w:val="00F310A7"/>
    <w:rsid w:val="00F32A6A"/>
    <w:rsid w:val="00F40354"/>
    <w:rsid w:val="00F44BD8"/>
    <w:rsid w:val="00F4789B"/>
    <w:rsid w:val="00F47E7A"/>
    <w:rsid w:val="00F506F1"/>
    <w:rsid w:val="00F53841"/>
    <w:rsid w:val="00F6477D"/>
    <w:rsid w:val="00F64BD6"/>
    <w:rsid w:val="00F678D3"/>
    <w:rsid w:val="00F72AF6"/>
    <w:rsid w:val="00F76143"/>
    <w:rsid w:val="00F820D8"/>
    <w:rsid w:val="00F93D4A"/>
    <w:rsid w:val="00FA7635"/>
    <w:rsid w:val="00FB0805"/>
    <w:rsid w:val="00FB13B8"/>
    <w:rsid w:val="00FB1A27"/>
    <w:rsid w:val="00FD3314"/>
    <w:rsid w:val="00FD388E"/>
    <w:rsid w:val="00FD58B8"/>
    <w:rsid w:val="00FE01DD"/>
    <w:rsid w:val="00FE5880"/>
    <w:rsid w:val="00FE603F"/>
    <w:rsid w:val="00FF01ED"/>
    <w:rsid w:val="00FF2DE4"/>
    <w:rsid w:val="00FF3A6D"/>
    <w:rsid w:val="00FF76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811B5"/>
    <w:rPr>
      <w:color w:val="0563C1" w:themeColor="hyperlink"/>
      <w:u w:val="single"/>
    </w:rPr>
  </w:style>
  <w:style w:type="character" w:styleId="Hipervnculovisitado">
    <w:name w:val="FollowedHyperlink"/>
    <w:basedOn w:val="Fuentedeprrafopredeter"/>
    <w:uiPriority w:val="99"/>
    <w:semiHidden/>
    <w:unhideWhenUsed/>
    <w:rsid w:val="00D811B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811B5"/>
    <w:rPr>
      <w:color w:val="0563C1" w:themeColor="hyperlink"/>
      <w:u w:val="single"/>
    </w:rPr>
  </w:style>
  <w:style w:type="character" w:styleId="Hipervnculovisitado">
    <w:name w:val="FollowedHyperlink"/>
    <w:basedOn w:val="Fuentedeprrafopredeter"/>
    <w:uiPriority w:val="99"/>
    <w:semiHidden/>
    <w:unhideWhenUsed/>
    <w:rsid w:val="00D811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0534377">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file:///C:\SIGEY\Contabilidad\Reportes\USUARIOS\SHAROLARA\Copia%20de%2009.2017%20ESTADOS%20FINANCIEROS%20ESAY%20(FORMATO%20ESTATAL%20INDETEC)2_10%20Enero%2018_1.06.xlsm" TargetMode="External"/><Relationship Id="rId26" Type="http://schemas.openxmlformats.org/officeDocument/2006/relationships/image" Target="media/image7.emf"/><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hyperlink" Target="file:///C:\SIGEY\Contabilidad\Reportes\USUARIOS\SHAROLARA\Copia%20de%2009.2017%20ESTADOS%20FINANCIEROS%20ESAY%20(FORMATO%20ESTATAL%20INDETEC)2_10%20Enero%2018_1.06.xlsm" TargetMode="External"/><Relationship Id="rId34" Type="http://schemas.openxmlformats.org/officeDocument/2006/relationships/image" Target="media/image11.emf"/><Relationship Id="rId42" Type="http://schemas.openxmlformats.org/officeDocument/2006/relationships/image" Target="media/image18.emf"/><Relationship Id="rId7" Type="http://schemas.openxmlformats.org/officeDocument/2006/relationships/footnotes" Target="footnotes.xml"/><Relationship Id="rId12" Type="http://schemas.openxmlformats.org/officeDocument/2006/relationships/hyperlink" Target="file:///C:\SIGEY\Contabilidad\Reportes\USUARIOS\SHAROLARA\Copia%20de%2009.2017%20ESTADOS%20FINANCIEROS%20ESAY%20(FORMATO%20ESTATAL%20INDETEC)2_10%20Enero%2018_1.06.xlsm" TargetMode="External"/><Relationship Id="rId17" Type="http://schemas.openxmlformats.org/officeDocument/2006/relationships/package" Target="embeddings/Microsoft_Excel_Worksheet3.xlsx"/><Relationship Id="rId25" Type="http://schemas.openxmlformats.org/officeDocument/2006/relationships/package" Target="embeddings/Microsoft_Excel_Worksheet6.xlsx"/><Relationship Id="rId33" Type="http://schemas.openxmlformats.org/officeDocument/2006/relationships/package" Target="embeddings/Microsoft_Excel_Worksheet9.xlsx"/><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package" Target="embeddings/Microsoft_Excel_Worksheet4.xlsx"/><Relationship Id="rId29" Type="http://schemas.openxmlformats.org/officeDocument/2006/relationships/image" Target="media/image9.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hyperlink" Target="file:///C:\SIGEY\Contabilidad\Reportes\USUARIOS\SHAROLARA\Copia%20de%2009.2017%20ESTADOS%20FINANCIEROS%20ESAY%20(FORMATO%20ESTATAL%20INDETEC)2_10%20Enero%2018_1.06.xlsm" TargetMode="External"/><Relationship Id="rId23" Type="http://schemas.openxmlformats.org/officeDocument/2006/relationships/package" Target="embeddings/Microsoft_Excel_Worksheet5.xlsx"/><Relationship Id="rId28" Type="http://schemas.openxmlformats.org/officeDocument/2006/relationships/image" Target="media/image8.emf"/><Relationship Id="rId36" Type="http://schemas.openxmlformats.org/officeDocument/2006/relationships/package" Target="embeddings/Microsoft_Excel_Worksheet10.xlsx"/><Relationship Id="rId10" Type="http://schemas.openxmlformats.org/officeDocument/2006/relationships/image" Target="media/image1.emf"/><Relationship Id="rId19" Type="http://schemas.openxmlformats.org/officeDocument/2006/relationships/image" Target="media/image4.emf"/><Relationship Id="rId31" Type="http://schemas.openxmlformats.org/officeDocument/2006/relationships/hyperlink" Target="file:///C:\SIGEY\Contabilidad\Reportes\USUARIOS\SHAROLARA\Copia%20de%2009.2017%20ESTADOS%20FINANCIEROS%20ESAY%20(FORMATO%20ESTATAL%20INDETEC)2_10%20Enero%2018_1.06.xls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SIGEY\Contabilidad\Reportes\USUARIOS\SHAROLARA\Copia%20de%2009.2017%20ESTADOS%20FINANCIEROS%20ESAY%20(FORMATO%20ESTATAL%20INDETEC)2_10%20Enero%2018_1.06.xlsm" TargetMode="External"/><Relationship Id="rId14" Type="http://schemas.openxmlformats.org/officeDocument/2006/relationships/package" Target="embeddings/Microsoft_Excel_Worksheet2.xlsx"/><Relationship Id="rId22" Type="http://schemas.openxmlformats.org/officeDocument/2006/relationships/image" Target="media/image5.emf"/><Relationship Id="rId27" Type="http://schemas.openxmlformats.org/officeDocument/2006/relationships/package" Target="embeddings/Microsoft_Excel_Worksheet7.xlsx"/><Relationship Id="rId30" Type="http://schemas.openxmlformats.org/officeDocument/2006/relationships/package" Target="embeddings/Microsoft_Excel_Worksheet8.xlsx"/><Relationship Id="rId35" Type="http://schemas.openxmlformats.org/officeDocument/2006/relationships/image" Target="media/image12.emf"/><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5F754-DA42-4924-B95D-CF4E8233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6126</Words>
  <Characters>33693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Sharon Y. Lara Medrano</cp:lastModifiedBy>
  <cp:revision>11</cp:revision>
  <cp:lastPrinted>2018-01-09T19:07:00Z</cp:lastPrinted>
  <dcterms:created xsi:type="dcterms:W3CDTF">2019-02-18T23:01:00Z</dcterms:created>
  <dcterms:modified xsi:type="dcterms:W3CDTF">2019-05-15T15:45:00Z</dcterms:modified>
</cp:coreProperties>
</file>