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86222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Cuenta Pública</w:t>
      </w:r>
      <w:r w:rsidR="00BE3121" w:rsidRPr="0086222F">
        <w:rPr>
          <w:rFonts w:ascii="Barlow" w:hAnsi="Barlow" w:cs="Arial"/>
          <w:b/>
          <w:sz w:val="20"/>
          <w:szCs w:val="20"/>
        </w:rPr>
        <w:t xml:space="preserve"> 201</w:t>
      </w:r>
      <w:r w:rsidR="003C1C49" w:rsidRPr="0086222F">
        <w:rPr>
          <w:rFonts w:ascii="Barlow" w:hAnsi="Barlow" w:cs="Arial"/>
          <w:b/>
          <w:sz w:val="20"/>
          <w:szCs w:val="20"/>
        </w:rPr>
        <w:t>9</w:t>
      </w:r>
    </w:p>
    <w:p w:rsidR="006F3019" w:rsidRPr="0086222F" w:rsidRDefault="006F0BF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Notas a los Estados Financieros</w:t>
      </w:r>
    </w:p>
    <w:p w:rsidR="006F3019" w:rsidRPr="0086222F" w:rsidRDefault="000773C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A</w:t>
      </w:r>
      <w:r w:rsidR="00C40335" w:rsidRPr="0086222F">
        <w:rPr>
          <w:rFonts w:ascii="Barlow" w:hAnsi="Barlow" w:cs="Arial"/>
          <w:b/>
          <w:sz w:val="20"/>
          <w:szCs w:val="20"/>
        </w:rPr>
        <w:t xml:space="preserve">l </w:t>
      </w:r>
      <w:r w:rsidR="008A42E8" w:rsidRPr="0086222F">
        <w:rPr>
          <w:rFonts w:ascii="Barlow" w:hAnsi="Barlow" w:cs="Arial"/>
          <w:b/>
          <w:sz w:val="20"/>
          <w:szCs w:val="20"/>
        </w:rPr>
        <w:t>31</w:t>
      </w:r>
      <w:r w:rsidR="00915AD7" w:rsidRPr="0086222F">
        <w:rPr>
          <w:rFonts w:ascii="Barlow" w:hAnsi="Barlow" w:cs="Arial"/>
          <w:b/>
          <w:sz w:val="20"/>
          <w:szCs w:val="20"/>
        </w:rPr>
        <w:t xml:space="preserve"> de </w:t>
      </w:r>
      <w:r w:rsidR="008A42E8" w:rsidRPr="0086222F">
        <w:rPr>
          <w:rFonts w:ascii="Barlow" w:hAnsi="Barlow" w:cs="Arial"/>
          <w:b/>
          <w:sz w:val="20"/>
          <w:szCs w:val="20"/>
        </w:rPr>
        <w:t>Marz</w:t>
      </w:r>
      <w:r w:rsidR="003C1C49" w:rsidRPr="0086222F">
        <w:rPr>
          <w:rFonts w:ascii="Barlow" w:hAnsi="Barlow" w:cs="Arial"/>
          <w:b/>
          <w:sz w:val="20"/>
          <w:szCs w:val="20"/>
        </w:rPr>
        <w:t>o</w:t>
      </w:r>
      <w:r w:rsidR="00915AD7" w:rsidRPr="0086222F">
        <w:rPr>
          <w:rFonts w:ascii="Barlow" w:hAnsi="Barlow" w:cs="Arial"/>
          <w:b/>
          <w:sz w:val="20"/>
          <w:szCs w:val="20"/>
        </w:rPr>
        <w:t xml:space="preserve"> de 201</w:t>
      </w:r>
      <w:r w:rsidR="003C1C49" w:rsidRPr="0086222F">
        <w:rPr>
          <w:rFonts w:ascii="Barlow" w:hAnsi="Barlow" w:cs="Arial"/>
          <w:b/>
          <w:sz w:val="20"/>
          <w:szCs w:val="20"/>
        </w:rPr>
        <w:t>9</w:t>
      </w:r>
    </w:p>
    <w:p w:rsidR="006F3019" w:rsidRPr="0086222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86222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6222F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 xml:space="preserve">Ente Público:      </w:t>
      </w:r>
      <w:r w:rsidR="005620D4" w:rsidRPr="0086222F">
        <w:rPr>
          <w:rFonts w:ascii="Barlow" w:hAnsi="Barlow" w:cs="Arial"/>
          <w:b/>
          <w:sz w:val="20"/>
          <w:szCs w:val="20"/>
        </w:rPr>
        <w:t xml:space="preserve">    </w:t>
      </w:r>
      <w:r w:rsidR="00BE3121" w:rsidRPr="0086222F">
        <w:rPr>
          <w:rFonts w:ascii="Barlow" w:hAnsi="Barlow" w:cs="Arial"/>
          <w:b/>
          <w:sz w:val="20"/>
          <w:szCs w:val="20"/>
        </w:rPr>
        <w:t>FIDEICOMISO FONDO DE PARTICIPACIÓN CIUDADANA DE YUCATÁN</w:t>
      </w:r>
    </w:p>
    <w:p w:rsidR="00594617" w:rsidRPr="0086222F" w:rsidRDefault="007526B1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7526B1" w:rsidRPr="0086222F" w:rsidRDefault="007526B1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A continuación se presentan los tres tipos de notas que acompañan a los estados, a saber:</w:t>
      </w:r>
    </w:p>
    <w:p w:rsidR="007526B1" w:rsidRPr="0086222F" w:rsidRDefault="007526B1" w:rsidP="007526B1">
      <w:pPr>
        <w:pStyle w:val="Prrafodelista"/>
        <w:numPr>
          <w:ilvl w:val="0"/>
          <w:numId w:val="3"/>
        </w:numPr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Notas de desglose;</w:t>
      </w:r>
    </w:p>
    <w:p w:rsidR="007526B1" w:rsidRPr="0086222F" w:rsidRDefault="007526B1" w:rsidP="007526B1">
      <w:pPr>
        <w:pStyle w:val="Prrafodelista"/>
        <w:numPr>
          <w:ilvl w:val="0"/>
          <w:numId w:val="3"/>
        </w:numPr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Notas de memoria (cuentas de orden), y</w:t>
      </w:r>
    </w:p>
    <w:p w:rsidR="007526B1" w:rsidRPr="0086222F" w:rsidRDefault="007526B1" w:rsidP="007526B1">
      <w:pPr>
        <w:pStyle w:val="Prrafodelista"/>
        <w:numPr>
          <w:ilvl w:val="0"/>
          <w:numId w:val="3"/>
        </w:numPr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Notas de gestión administrativa.</w:t>
      </w:r>
    </w:p>
    <w:p w:rsidR="007526B1" w:rsidRPr="0086222F" w:rsidRDefault="007526B1" w:rsidP="007526B1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526B1" w:rsidRPr="0086222F" w:rsidRDefault="007526B1" w:rsidP="007526B1">
      <w:pPr>
        <w:pStyle w:val="Prrafodelista"/>
        <w:numPr>
          <w:ilvl w:val="0"/>
          <w:numId w:val="4"/>
        </w:numPr>
        <w:spacing w:line="240" w:lineRule="auto"/>
        <w:jc w:val="center"/>
        <w:rPr>
          <w:rFonts w:ascii="Barlow" w:hAnsi="Barlow" w:cs="Arial"/>
          <w:b/>
          <w:sz w:val="24"/>
          <w:szCs w:val="24"/>
          <w:u w:val="single"/>
        </w:rPr>
      </w:pPr>
      <w:r w:rsidRPr="0086222F">
        <w:rPr>
          <w:rFonts w:ascii="Barlow" w:hAnsi="Barlow" w:cs="Arial"/>
          <w:b/>
          <w:sz w:val="24"/>
          <w:szCs w:val="24"/>
          <w:u w:val="single"/>
        </w:rPr>
        <w:t>NOTAS DE DESGLOSE</w:t>
      </w:r>
    </w:p>
    <w:p w:rsidR="00315A1D" w:rsidRPr="0086222F" w:rsidRDefault="00315A1D" w:rsidP="00315A1D">
      <w:pPr>
        <w:pStyle w:val="Prrafodelista"/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526B1" w:rsidRPr="0086222F" w:rsidRDefault="007526B1" w:rsidP="007526B1">
      <w:pPr>
        <w:pStyle w:val="Prrafodelista"/>
        <w:numPr>
          <w:ilvl w:val="0"/>
          <w:numId w:val="5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N</w:t>
      </w:r>
      <w:r w:rsidR="00315A1D" w:rsidRPr="0086222F">
        <w:rPr>
          <w:rFonts w:ascii="Barlow" w:hAnsi="Barlow" w:cs="Arial"/>
          <w:b/>
          <w:sz w:val="20"/>
          <w:szCs w:val="20"/>
        </w:rPr>
        <w:t>OTAS</w:t>
      </w:r>
      <w:r w:rsidRPr="0086222F">
        <w:rPr>
          <w:rFonts w:ascii="Barlow" w:hAnsi="Barlow" w:cs="Arial"/>
          <w:b/>
          <w:sz w:val="20"/>
          <w:szCs w:val="20"/>
        </w:rPr>
        <w:t xml:space="preserve"> </w:t>
      </w:r>
      <w:r w:rsidR="00315A1D" w:rsidRPr="0086222F">
        <w:rPr>
          <w:rFonts w:ascii="Barlow" w:hAnsi="Barlow" w:cs="Arial"/>
          <w:b/>
          <w:sz w:val="20"/>
          <w:szCs w:val="20"/>
        </w:rPr>
        <w:t>AL</w:t>
      </w:r>
      <w:r w:rsidRPr="0086222F">
        <w:rPr>
          <w:rFonts w:ascii="Barlow" w:hAnsi="Barlow" w:cs="Arial"/>
          <w:b/>
          <w:sz w:val="20"/>
          <w:szCs w:val="20"/>
        </w:rPr>
        <w:t xml:space="preserve"> E</w:t>
      </w:r>
      <w:r w:rsidR="00315A1D" w:rsidRPr="0086222F">
        <w:rPr>
          <w:rFonts w:ascii="Barlow" w:hAnsi="Barlow" w:cs="Arial"/>
          <w:b/>
          <w:sz w:val="20"/>
          <w:szCs w:val="20"/>
        </w:rPr>
        <w:t>STADO</w:t>
      </w:r>
      <w:r w:rsidRPr="0086222F">
        <w:rPr>
          <w:rFonts w:ascii="Barlow" w:hAnsi="Barlow" w:cs="Arial"/>
          <w:b/>
          <w:sz w:val="20"/>
          <w:szCs w:val="20"/>
        </w:rPr>
        <w:t xml:space="preserve"> </w:t>
      </w:r>
      <w:r w:rsidR="00315A1D" w:rsidRPr="0086222F">
        <w:rPr>
          <w:rFonts w:ascii="Barlow" w:hAnsi="Barlow" w:cs="Arial"/>
          <w:b/>
          <w:sz w:val="20"/>
          <w:szCs w:val="20"/>
        </w:rPr>
        <w:t>DE</w:t>
      </w:r>
      <w:r w:rsidRPr="0086222F">
        <w:rPr>
          <w:rFonts w:ascii="Barlow" w:hAnsi="Barlow" w:cs="Arial"/>
          <w:b/>
          <w:sz w:val="20"/>
          <w:szCs w:val="20"/>
        </w:rPr>
        <w:t xml:space="preserve"> S</w:t>
      </w:r>
      <w:r w:rsidR="00315A1D" w:rsidRPr="0086222F">
        <w:rPr>
          <w:rFonts w:ascii="Barlow" w:hAnsi="Barlow" w:cs="Arial"/>
          <w:b/>
          <w:sz w:val="20"/>
          <w:szCs w:val="20"/>
        </w:rPr>
        <w:t>ITUACIÓN</w:t>
      </w:r>
      <w:r w:rsidRPr="0086222F">
        <w:rPr>
          <w:rFonts w:ascii="Barlow" w:hAnsi="Barlow" w:cs="Arial"/>
          <w:b/>
          <w:sz w:val="20"/>
          <w:szCs w:val="20"/>
        </w:rPr>
        <w:t xml:space="preserve"> F</w:t>
      </w:r>
      <w:r w:rsidR="00315A1D" w:rsidRPr="0086222F">
        <w:rPr>
          <w:rFonts w:ascii="Barlow" w:hAnsi="Barlow" w:cs="Arial"/>
          <w:b/>
          <w:sz w:val="20"/>
          <w:szCs w:val="20"/>
        </w:rPr>
        <w:t>INANCIERA</w:t>
      </w:r>
    </w:p>
    <w:p w:rsidR="004D398D" w:rsidRPr="0086222F" w:rsidRDefault="004D398D" w:rsidP="009C6AD4">
      <w:pPr>
        <w:spacing w:line="240" w:lineRule="auto"/>
        <w:ind w:left="360" w:firstLine="348"/>
        <w:rPr>
          <w:rFonts w:ascii="Barlow" w:hAnsi="Barlow" w:cs="Arial"/>
          <w:b/>
          <w:sz w:val="20"/>
          <w:szCs w:val="20"/>
          <w:u w:val="single"/>
        </w:rPr>
      </w:pPr>
      <w:r w:rsidRPr="0086222F">
        <w:rPr>
          <w:rFonts w:ascii="Barlow" w:hAnsi="Barlow" w:cs="Arial"/>
          <w:b/>
          <w:sz w:val="20"/>
          <w:szCs w:val="20"/>
          <w:u w:val="single"/>
        </w:rPr>
        <w:t>Activo</w:t>
      </w:r>
    </w:p>
    <w:p w:rsidR="009C6AD4" w:rsidRPr="0086222F" w:rsidRDefault="009C6AD4" w:rsidP="009C6AD4">
      <w:pPr>
        <w:spacing w:after="0" w:line="240" w:lineRule="auto"/>
        <w:ind w:left="360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Efectivo y Equivalentes</w:t>
      </w:r>
    </w:p>
    <w:p w:rsidR="004D398D" w:rsidRPr="0086222F" w:rsidRDefault="004D398D" w:rsidP="009C6AD4">
      <w:pPr>
        <w:spacing w:after="0" w:line="240" w:lineRule="auto"/>
        <w:ind w:left="360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A continuación se relacionan las cuentas que integran el rubro de efectivo y equivalente:</w:t>
      </w:r>
    </w:p>
    <w:p w:rsidR="009C6AD4" w:rsidRPr="0086222F" w:rsidRDefault="009C6AD4" w:rsidP="009C6AD4">
      <w:pPr>
        <w:spacing w:after="0" w:line="240" w:lineRule="auto"/>
        <w:ind w:left="360"/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0" w:type="auto"/>
        <w:tblInd w:w="3231" w:type="dxa"/>
        <w:tblLook w:val="04A0" w:firstRow="1" w:lastRow="0" w:firstColumn="1" w:lastColumn="0" w:noHBand="0" w:noVBand="1"/>
      </w:tblPr>
      <w:tblGrid>
        <w:gridCol w:w="3114"/>
        <w:gridCol w:w="1584"/>
      </w:tblGrid>
      <w:tr w:rsidR="007526B1" w:rsidRPr="0086222F" w:rsidTr="004D398D">
        <w:tc>
          <w:tcPr>
            <w:tcW w:w="3114" w:type="dxa"/>
          </w:tcPr>
          <w:p w:rsidR="007526B1" w:rsidRPr="0086222F" w:rsidRDefault="004D398D" w:rsidP="007526B1">
            <w:pPr>
              <w:pStyle w:val="Prrafodelista"/>
              <w:ind w:left="0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lastRenderedPageBreak/>
              <w:t>Cuenta</w:t>
            </w:r>
          </w:p>
        </w:tc>
        <w:tc>
          <w:tcPr>
            <w:tcW w:w="1584" w:type="dxa"/>
          </w:tcPr>
          <w:p w:rsidR="007526B1" w:rsidRPr="0086222F" w:rsidRDefault="004D398D" w:rsidP="007526B1">
            <w:pPr>
              <w:pStyle w:val="Prrafodelista"/>
              <w:ind w:left="0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Importe</w:t>
            </w:r>
          </w:p>
        </w:tc>
      </w:tr>
      <w:tr w:rsidR="007526B1" w:rsidRPr="0086222F" w:rsidTr="004D398D">
        <w:tc>
          <w:tcPr>
            <w:tcW w:w="3114" w:type="dxa"/>
          </w:tcPr>
          <w:p w:rsidR="007526B1" w:rsidRPr="0086222F" w:rsidRDefault="004D398D" w:rsidP="007526B1">
            <w:pPr>
              <w:pStyle w:val="Prrafodelista"/>
              <w:ind w:left="0"/>
              <w:rPr>
                <w:rFonts w:ascii="Barlow" w:hAnsi="Barlow" w:cs="Arial"/>
              </w:rPr>
            </w:pPr>
            <w:r w:rsidRPr="0086222F">
              <w:rPr>
                <w:rFonts w:ascii="Barlow" w:hAnsi="Barlow" w:cs="Arial"/>
              </w:rPr>
              <w:t>HSBC – Contrato 250309</w:t>
            </w:r>
          </w:p>
        </w:tc>
        <w:tc>
          <w:tcPr>
            <w:tcW w:w="1584" w:type="dxa"/>
          </w:tcPr>
          <w:p w:rsidR="007526B1" w:rsidRPr="0086222F" w:rsidRDefault="004D398D" w:rsidP="00C40335">
            <w:pPr>
              <w:pStyle w:val="Prrafodelista"/>
              <w:ind w:left="0"/>
              <w:rPr>
                <w:rFonts w:ascii="Barlow" w:hAnsi="Barlow" w:cs="Arial"/>
              </w:rPr>
            </w:pPr>
            <w:r w:rsidRPr="0086222F">
              <w:rPr>
                <w:rFonts w:ascii="Barlow" w:hAnsi="Barlow" w:cs="Arial"/>
              </w:rPr>
              <w:t>$ 4’</w:t>
            </w:r>
            <w:r w:rsidR="003C1C49" w:rsidRPr="0086222F">
              <w:rPr>
                <w:rFonts w:ascii="Barlow" w:hAnsi="Barlow" w:cs="Arial"/>
              </w:rPr>
              <w:t>8</w:t>
            </w:r>
            <w:r w:rsidR="00C40335" w:rsidRPr="0086222F">
              <w:rPr>
                <w:rFonts w:ascii="Barlow" w:hAnsi="Barlow" w:cs="Arial"/>
              </w:rPr>
              <w:t>48</w:t>
            </w:r>
            <w:r w:rsidRPr="0086222F">
              <w:rPr>
                <w:rFonts w:ascii="Barlow" w:hAnsi="Barlow" w:cs="Arial"/>
              </w:rPr>
              <w:t>,</w:t>
            </w:r>
            <w:r w:rsidR="00C40335" w:rsidRPr="0086222F">
              <w:rPr>
                <w:rFonts w:ascii="Barlow" w:hAnsi="Barlow" w:cs="Arial"/>
              </w:rPr>
              <w:t>24</w:t>
            </w:r>
            <w:r w:rsidR="003C1C49" w:rsidRPr="0086222F">
              <w:rPr>
                <w:rFonts w:ascii="Barlow" w:hAnsi="Barlow" w:cs="Arial"/>
              </w:rPr>
              <w:t>3</w:t>
            </w:r>
            <w:r w:rsidRPr="0086222F">
              <w:rPr>
                <w:rFonts w:ascii="Barlow" w:hAnsi="Barlow" w:cs="Arial"/>
              </w:rPr>
              <w:t>.</w:t>
            </w:r>
            <w:r w:rsidR="00C40335" w:rsidRPr="0086222F">
              <w:rPr>
                <w:rFonts w:ascii="Barlow" w:hAnsi="Barlow" w:cs="Arial"/>
              </w:rPr>
              <w:t>7</w:t>
            </w:r>
            <w:r w:rsidR="003C1C49" w:rsidRPr="0086222F">
              <w:rPr>
                <w:rFonts w:ascii="Barlow" w:hAnsi="Barlow" w:cs="Arial"/>
              </w:rPr>
              <w:t>7</w:t>
            </w:r>
          </w:p>
        </w:tc>
      </w:tr>
      <w:tr w:rsidR="004D398D" w:rsidRPr="0086222F" w:rsidTr="004D398D">
        <w:tc>
          <w:tcPr>
            <w:tcW w:w="3114" w:type="dxa"/>
          </w:tcPr>
          <w:p w:rsidR="004D398D" w:rsidRPr="0086222F" w:rsidRDefault="004D398D" w:rsidP="007526B1">
            <w:pPr>
              <w:pStyle w:val="Prrafodelista"/>
              <w:ind w:left="0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Total de Efectivo y Equivalentes</w:t>
            </w:r>
          </w:p>
        </w:tc>
        <w:tc>
          <w:tcPr>
            <w:tcW w:w="1584" w:type="dxa"/>
          </w:tcPr>
          <w:p w:rsidR="004D398D" w:rsidRPr="0086222F" w:rsidRDefault="003C1C49" w:rsidP="00C40335">
            <w:pPr>
              <w:pStyle w:val="Prrafodelista"/>
              <w:ind w:left="0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$ 4’8</w:t>
            </w:r>
            <w:r w:rsidR="00C40335" w:rsidRPr="0086222F">
              <w:rPr>
                <w:rFonts w:ascii="Barlow" w:hAnsi="Barlow" w:cs="Arial"/>
                <w:b/>
              </w:rPr>
              <w:t>48</w:t>
            </w:r>
            <w:r w:rsidR="004D398D" w:rsidRPr="0086222F">
              <w:rPr>
                <w:rFonts w:ascii="Barlow" w:hAnsi="Barlow" w:cs="Arial"/>
                <w:b/>
              </w:rPr>
              <w:t>,</w:t>
            </w:r>
            <w:r w:rsidR="00C40335" w:rsidRPr="0086222F">
              <w:rPr>
                <w:rFonts w:ascii="Barlow" w:hAnsi="Barlow" w:cs="Arial"/>
                <w:b/>
              </w:rPr>
              <w:t>24</w:t>
            </w:r>
            <w:r w:rsidR="004D398D" w:rsidRPr="0086222F">
              <w:rPr>
                <w:rFonts w:ascii="Barlow" w:hAnsi="Barlow" w:cs="Arial"/>
                <w:b/>
              </w:rPr>
              <w:t>3.</w:t>
            </w:r>
            <w:r w:rsidR="00C40335" w:rsidRPr="0086222F">
              <w:rPr>
                <w:rFonts w:ascii="Barlow" w:hAnsi="Barlow" w:cs="Arial"/>
                <w:b/>
              </w:rPr>
              <w:t>7</w:t>
            </w:r>
            <w:r w:rsidRPr="0086222F">
              <w:rPr>
                <w:rFonts w:ascii="Barlow" w:hAnsi="Barlow" w:cs="Arial"/>
                <w:b/>
              </w:rPr>
              <w:t>7</w:t>
            </w:r>
          </w:p>
        </w:tc>
      </w:tr>
    </w:tbl>
    <w:p w:rsidR="007526B1" w:rsidRPr="0086222F" w:rsidRDefault="007526B1" w:rsidP="007526B1">
      <w:pPr>
        <w:pStyle w:val="Prrafodelista"/>
        <w:spacing w:line="240" w:lineRule="auto"/>
        <w:ind w:left="1080"/>
        <w:rPr>
          <w:rFonts w:ascii="Barlow" w:hAnsi="Barlow" w:cs="Arial"/>
          <w:b/>
          <w:sz w:val="20"/>
          <w:szCs w:val="20"/>
        </w:rPr>
      </w:pPr>
    </w:p>
    <w:p w:rsidR="007526B1" w:rsidRPr="0086222F" w:rsidRDefault="004D398D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L</w:t>
      </w:r>
      <w:r w:rsidR="007526B1" w:rsidRPr="0086222F">
        <w:rPr>
          <w:rFonts w:ascii="Barlow" w:hAnsi="Barlow" w:cs="Arial"/>
          <w:sz w:val="20"/>
          <w:szCs w:val="20"/>
        </w:rPr>
        <w:t xml:space="preserve">a cuenta de Inversión </w:t>
      </w:r>
      <w:r w:rsidRPr="0086222F">
        <w:rPr>
          <w:rFonts w:ascii="Barlow" w:hAnsi="Barlow" w:cs="Arial"/>
          <w:sz w:val="20"/>
          <w:szCs w:val="20"/>
        </w:rPr>
        <w:t xml:space="preserve">existente fue aperturada en HSBC, la cual funge como Fiduciaria de este Fideicomiso, </w:t>
      </w:r>
      <w:r w:rsidR="007C4F75" w:rsidRPr="0086222F">
        <w:rPr>
          <w:rFonts w:ascii="Barlow" w:hAnsi="Barlow" w:cs="Arial"/>
          <w:sz w:val="20"/>
          <w:szCs w:val="20"/>
        </w:rPr>
        <w:t>éste</w:t>
      </w:r>
      <w:r w:rsidRPr="0086222F">
        <w:rPr>
          <w:rFonts w:ascii="Barlow" w:hAnsi="Barlow" w:cs="Arial"/>
          <w:sz w:val="20"/>
          <w:szCs w:val="20"/>
        </w:rPr>
        <w:t xml:space="preserve"> invierte los recursos a las mejores tasa de inver</w:t>
      </w:r>
      <w:r w:rsidR="003C1C49" w:rsidRPr="0086222F">
        <w:rPr>
          <w:rFonts w:ascii="Barlow" w:hAnsi="Barlow" w:cs="Arial"/>
          <w:sz w:val="20"/>
          <w:szCs w:val="20"/>
        </w:rPr>
        <w:t>sión (tasa nominal anual del 7.</w:t>
      </w:r>
      <w:r w:rsidRPr="0086222F">
        <w:rPr>
          <w:rFonts w:ascii="Barlow" w:hAnsi="Barlow" w:cs="Arial"/>
          <w:sz w:val="20"/>
          <w:szCs w:val="20"/>
        </w:rPr>
        <w:t>2</w:t>
      </w:r>
      <w:r w:rsidR="00C40335" w:rsidRPr="0086222F">
        <w:rPr>
          <w:rFonts w:ascii="Barlow" w:hAnsi="Barlow" w:cs="Arial"/>
          <w:sz w:val="20"/>
          <w:szCs w:val="20"/>
        </w:rPr>
        <w:t>3</w:t>
      </w:r>
      <w:r w:rsidRPr="0086222F">
        <w:rPr>
          <w:rFonts w:ascii="Barlow" w:hAnsi="Barlow" w:cs="Arial"/>
          <w:sz w:val="20"/>
          <w:szCs w:val="20"/>
        </w:rPr>
        <w:t xml:space="preserve"> % al cierre del mes de </w:t>
      </w:r>
      <w:r w:rsidR="00C40335" w:rsidRPr="0086222F">
        <w:rPr>
          <w:rFonts w:ascii="Barlow" w:hAnsi="Barlow" w:cs="Arial"/>
          <w:sz w:val="20"/>
          <w:szCs w:val="20"/>
        </w:rPr>
        <w:t>f</w:t>
      </w:r>
      <w:r w:rsidR="003C1C49" w:rsidRPr="0086222F">
        <w:rPr>
          <w:rFonts w:ascii="Barlow" w:hAnsi="Barlow" w:cs="Arial"/>
          <w:sz w:val="20"/>
          <w:szCs w:val="20"/>
        </w:rPr>
        <w:t>e</w:t>
      </w:r>
      <w:r w:rsidR="00C40335" w:rsidRPr="0086222F">
        <w:rPr>
          <w:rFonts w:ascii="Barlow" w:hAnsi="Barlow" w:cs="Arial"/>
          <w:sz w:val="20"/>
          <w:szCs w:val="20"/>
        </w:rPr>
        <w:t>br</w:t>
      </w:r>
      <w:r w:rsidR="003C1C49" w:rsidRPr="0086222F">
        <w:rPr>
          <w:rFonts w:ascii="Barlow" w:hAnsi="Barlow" w:cs="Arial"/>
          <w:sz w:val="20"/>
          <w:szCs w:val="20"/>
        </w:rPr>
        <w:t>ero</w:t>
      </w:r>
      <w:r w:rsidRPr="0086222F">
        <w:rPr>
          <w:rFonts w:ascii="Barlow" w:hAnsi="Barlow" w:cs="Arial"/>
          <w:sz w:val="20"/>
          <w:szCs w:val="20"/>
        </w:rPr>
        <w:t>).</w:t>
      </w:r>
      <w:r w:rsidR="00E0026D" w:rsidRPr="0086222F">
        <w:rPr>
          <w:rFonts w:ascii="Barlow" w:hAnsi="Barlow" w:cs="Arial"/>
          <w:sz w:val="20"/>
          <w:szCs w:val="20"/>
        </w:rPr>
        <w:t xml:space="preserve">  </w:t>
      </w:r>
      <w:r w:rsidR="00A91E63" w:rsidRPr="0086222F">
        <w:rPr>
          <w:rFonts w:ascii="Barlow" w:hAnsi="Barlow" w:cs="Arial"/>
          <w:sz w:val="20"/>
          <w:szCs w:val="20"/>
        </w:rPr>
        <w:t>Esta inversión se ve incrementada con la generación de los intereses</w:t>
      </w:r>
      <w:r w:rsidR="009C6AD4" w:rsidRPr="0086222F">
        <w:rPr>
          <w:rFonts w:ascii="Barlow" w:hAnsi="Barlow" w:cs="Arial"/>
          <w:sz w:val="20"/>
          <w:szCs w:val="20"/>
        </w:rPr>
        <w:t>.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Durante el ejercicio 201</w:t>
      </w:r>
      <w:r w:rsidR="00B234E5" w:rsidRPr="0086222F">
        <w:rPr>
          <w:rFonts w:ascii="Barlow" w:hAnsi="Barlow" w:cs="Arial"/>
          <w:sz w:val="20"/>
          <w:szCs w:val="20"/>
        </w:rPr>
        <w:t>9</w:t>
      </w:r>
      <w:r w:rsidRPr="0086222F">
        <w:rPr>
          <w:rFonts w:ascii="Barlow" w:hAnsi="Barlow" w:cs="Arial"/>
          <w:sz w:val="20"/>
          <w:szCs w:val="20"/>
        </w:rPr>
        <w:t xml:space="preserve"> los recursos no </w:t>
      </w:r>
      <w:r w:rsidR="00F42D3C" w:rsidRPr="0086222F">
        <w:rPr>
          <w:rFonts w:ascii="Barlow" w:hAnsi="Barlow" w:cs="Arial"/>
          <w:sz w:val="20"/>
          <w:szCs w:val="20"/>
        </w:rPr>
        <w:t>se han podido</w:t>
      </w:r>
      <w:r w:rsidRPr="0086222F">
        <w:rPr>
          <w:rFonts w:ascii="Barlow" w:hAnsi="Barlow" w:cs="Arial"/>
          <w:sz w:val="20"/>
          <w:szCs w:val="20"/>
        </w:rPr>
        <w:t xml:space="preserve"> aplica</w:t>
      </w:r>
      <w:r w:rsidR="00F42D3C" w:rsidRPr="0086222F">
        <w:rPr>
          <w:rFonts w:ascii="Barlow" w:hAnsi="Barlow" w:cs="Arial"/>
          <w:sz w:val="20"/>
          <w:szCs w:val="20"/>
        </w:rPr>
        <w:t>r</w:t>
      </w:r>
      <w:r w:rsidRPr="0086222F">
        <w:rPr>
          <w:rFonts w:ascii="Barlow" w:hAnsi="Barlow" w:cs="Arial"/>
          <w:sz w:val="20"/>
          <w:szCs w:val="20"/>
        </w:rPr>
        <w:t xml:space="preserve"> </w:t>
      </w:r>
      <w:r w:rsidR="00F42D3C" w:rsidRPr="0086222F">
        <w:rPr>
          <w:rFonts w:ascii="Barlow" w:hAnsi="Barlow" w:cs="Arial"/>
          <w:sz w:val="20"/>
          <w:szCs w:val="20"/>
        </w:rPr>
        <w:t>a pesar de</w:t>
      </w:r>
      <w:r w:rsidRPr="0086222F">
        <w:rPr>
          <w:rFonts w:ascii="Barlow" w:hAnsi="Barlow" w:cs="Arial"/>
          <w:sz w:val="20"/>
          <w:szCs w:val="20"/>
        </w:rPr>
        <w:t xml:space="preserve"> exist</w:t>
      </w:r>
      <w:r w:rsidR="00F42D3C" w:rsidRPr="0086222F">
        <w:rPr>
          <w:rFonts w:ascii="Barlow" w:hAnsi="Barlow" w:cs="Arial"/>
          <w:sz w:val="20"/>
          <w:szCs w:val="20"/>
        </w:rPr>
        <w:t>ir</w:t>
      </w:r>
      <w:r w:rsidRPr="0086222F">
        <w:rPr>
          <w:rFonts w:ascii="Barlow" w:hAnsi="Barlow" w:cs="Arial"/>
          <w:sz w:val="20"/>
          <w:szCs w:val="20"/>
        </w:rPr>
        <w:t xml:space="preserve"> convocatoria específica para aprobación por el Comité Técnico del Fideicomiso</w:t>
      </w:r>
      <w:r w:rsidR="00F42D3C" w:rsidRPr="0086222F">
        <w:rPr>
          <w:rFonts w:ascii="Barlow" w:hAnsi="Barlow" w:cs="Arial"/>
          <w:sz w:val="20"/>
          <w:szCs w:val="20"/>
        </w:rPr>
        <w:t>; debido a que no se ha actualizado dicho Comité</w:t>
      </w:r>
      <w:r w:rsidRPr="0086222F">
        <w:rPr>
          <w:rFonts w:ascii="Barlow" w:hAnsi="Barlow" w:cs="Arial"/>
          <w:sz w:val="20"/>
          <w:szCs w:val="20"/>
        </w:rPr>
        <w:t>.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Derechos a recibir Efectivo y Equivalentes y Bienes o Servicios a Recibir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Bienes Disponibles para su Transformación o Consumo (inventarios)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7526B1" w:rsidRPr="0086222F" w:rsidRDefault="007526B1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Inversiones Financieras</w:t>
      </w:r>
    </w:p>
    <w:p w:rsidR="009C6AD4" w:rsidRPr="0086222F" w:rsidRDefault="00F42D3C" w:rsidP="00F42D3C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/>
          <w:sz w:val="20"/>
          <w:szCs w:val="20"/>
        </w:rPr>
        <w:t xml:space="preserve">El saldo en la cuenta es de </w:t>
      </w:r>
      <w:r w:rsidRPr="0086222F">
        <w:rPr>
          <w:rFonts w:ascii="Barlow" w:hAnsi="Barlow"/>
          <w:b/>
          <w:sz w:val="20"/>
          <w:szCs w:val="20"/>
        </w:rPr>
        <w:t>$ 4’8</w:t>
      </w:r>
      <w:r w:rsidR="00C40335" w:rsidRPr="0086222F">
        <w:rPr>
          <w:rFonts w:ascii="Barlow" w:hAnsi="Barlow"/>
          <w:b/>
          <w:sz w:val="20"/>
          <w:szCs w:val="20"/>
        </w:rPr>
        <w:t>48</w:t>
      </w:r>
      <w:r w:rsidRPr="0086222F">
        <w:rPr>
          <w:rFonts w:ascii="Barlow" w:hAnsi="Barlow"/>
          <w:b/>
          <w:sz w:val="20"/>
          <w:szCs w:val="20"/>
        </w:rPr>
        <w:t>,</w:t>
      </w:r>
      <w:r w:rsidR="00C40335" w:rsidRPr="0086222F">
        <w:rPr>
          <w:rFonts w:ascii="Barlow" w:hAnsi="Barlow"/>
          <w:b/>
          <w:sz w:val="20"/>
          <w:szCs w:val="20"/>
        </w:rPr>
        <w:t>24</w:t>
      </w:r>
      <w:r w:rsidRPr="0086222F">
        <w:rPr>
          <w:rFonts w:ascii="Barlow" w:hAnsi="Barlow"/>
          <w:b/>
          <w:sz w:val="20"/>
          <w:szCs w:val="20"/>
        </w:rPr>
        <w:t>3.</w:t>
      </w:r>
      <w:r w:rsidR="00C40335" w:rsidRPr="0086222F">
        <w:rPr>
          <w:rFonts w:ascii="Barlow" w:hAnsi="Barlow"/>
          <w:b/>
          <w:sz w:val="20"/>
          <w:szCs w:val="20"/>
        </w:rPr>
        <w:t>7</w:t>
      </w:r>
      <w:r w:rsidRPr="0086222F">
        <w:rPr>
          <w:rFonts w:ascii="Barlow" w:hAnsi="Barlow"/>
          <w:b/>
          <w:sz w:val="20"/>
          <w:szCs w:val="20"/>
        </w:rPr>
        <w:t>7,</w:t>
      </w:r>
      <w:r w:rsidRPr="0086222F">
        <w:rPr>
          <w:rFonts w:ascii="Barlow" w:hAnsi="Barlow"/>
          <w:sz w:val="20"/>
          <w:szCs w:val="20"/>
        </w:rPr>
        <w:t xml:space="preserve"> </w:t>
      </w:r>
      <w:r w:rsidR="008A42E8" w:rsidRPr="0086222F">
        <w:rPr>
          <w:rFonts w:ascii="Barlow" w:hAnsi="Barlow"/>
          <w:sz w:val="20"/>
          <w:szCs w:val="20"/>
        </w:rPr>
        <w:t xml:space="preserve">no </w:t>
      </w:r>
      <w:r w:rsidRPr="0086222F">
        <w:rPr>
          <w:rFonts w:ascii="Barlow" w:hAnsi="Barlow"/>
          <w:sz w:val="20"/>
          <w:szCs w:val="20"/>
        </w:rPr>
        <w:t>se registrar</w:t>
      </w:r>
      <w:r w:rsidR="008A42E8" w:rsidRPr="0086222F">
        <w:rPr>
          <w:rFonts w:ascii="Barlow" w:hAnsi="Barlow"/>
          <w:sz w:val="20"/>
          <w:szCs w:val="20"/>
        </w:rPr>
        <w:t>on intereses correspondientes a</w:t>
      </w:r>
      <w:r w:rsidRPr="0086222F">
        <w:rPr>
          <w:rFonts w:ascii="Barlow" w:hAnsi="Barlow"/>
          <w:sz w:val="20"/>
          <w:szCs w:val="20"/>
        </w:rPr>
        <w:t xml:space="preserve">l mes de </w:t>
      </w:r>
      <w:r w:rsidR="008A42E8" w:rsidRPr="0086222F">
        <w:rPr>
          <w:rFonts w:ascii="Barlow" w:hAnsi="Barlow"/>
          <w:sz w:val="20"/>
          <w:szCs w:val="20"/>
        </w:rPr>
        <w:t>Ma</w:t>
      </w:r>
      <w:r w:rsidRPr="0086222F">
        <w:rPr>
          <w:rFonts w:ascii="Barlow" w:hAnsi="Barlow"/>
          <w:sz w:val="20"/>
          <w:szCs w:val="20"/>
        </w:rPr>
        <w:t>r</w:t>
      </w:r>
      <w:r w:rsidR="008A42E8" w:rsidRPr="0086222F">
        <w:rPr>
          <w:rFonts w:ascii="Barlow" w:hAnsi="Barlow"/>
          <w:sz w:val="20"/>
          <w:szCs w:val="20"/>
        </w:rPr>
        <w:t>z</w:t>
      </w:r>
      <w:r w:rsidRPr="0086222F">
        <w:rPr>
          <w:rFonts w:ascii="Barlow" w:hAnsi="Barlow"/>
          <w:sz w:val="20"/>
          <w:szCs w:val="20"/>
        </w:rPr>
        <w:t>o por</w:t>
      </w:r>
      <w:r w:rsidR="008A42E8" w:rsidRPr="0086222F">
        <w:rPr>
          <w:rFonts w:ascii="Barlow" w:hAnsi="Barlow"/>
          <w:sz w:val="20"/>
          <w:szCs w:val="20"/>
        </w:rPr>
        <w:t>que no se cuenta con el estado de cuenta a la fecha de cierre.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Bienes Muebles, Inmuebles e Intangibles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Estimaciones y Deterioros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Otros Activos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9C6AD4" w:rsidRPr="0086222F" w:rsidRDefault="009C6AD4" w:rsidP="00B234E5">
      <w:pPr>
        <w:pStyle w:val="Prrafodelista"/>
        <w:spacing w:after="0" w:line="240" w:lineRule="auto"/>
        <w:jc w:val="both"/>
        <w:rPr>
          <w:rFonts w:ascii="Barlow" w:hAnsi="Barlow" w:cs="Arial"/>
          <w:sz w:val="20"/>
          <w:szCs w:val="20"/>
        </w:rPr>
      </w:pPr>
    </w:p>
    <w:p w:rsidR="00F42D3C" w:rsidRPr="0086222F" w:rsidRDefault="008A42E8" w:rsidP="008A42E8">
      <w:pPr>
        <w:pStyle w:val="Prrafodelista"/>
        <w:spacing w:after="0" w:line="240" w:lineRule="auto"/>
        <w:ind w:firstLine="696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86222F">
        <w:rPr>
          <w:rFonts w:ascii="Barlow" w:hAnsi="Barlow" w:cs="Arial"/>
          <w:b/>
          <w:sz w:val="20"/>
          <w:szCs w:val="20"/>
          <w:u w:val="single"/>
        </w:rPr>
        <w:t>Pasivo</w:t>
      </w:r>
    </w:p>
    <w:p w:rsidR="00F42D3C" w:rsidRPr="0086222F" w:rsidRDefault="00F42D3C" w:rsidP="00F42D3C">
      <w:pPr>
        <w:ind w:firstLine="708"/>
        <w:rPr>
          <w:rFonts w:ascii="Barlow" w:hAnsi="Barlow"/>
          <w:b/>
          <w:sz w:val="20"/>
          <w:szCs w:val="20"/>
        </w:rPr>
      </w:pPr>
      <w:r w:rsidRPr="0086222F">
        <w:rPr>
          <w:rFonts w:ascii="Barlow" w:hAnsi="Barlow"/>
          <w:b/>
          <w:sz w:val="20"/>
          <w:szCs w:val="20"/>
        </w:rPr>
        <w:t>Cuentas por pagar a corto plazo</w:t>
      </w:r>
    </w:p>
    <w:tbl>
      <w:tblPr>
        <w:tblpPr w:leftFromText="141" w:rightFromText="141" w:vertAnchor="text" w:horzAnchor="page" w:tblpX="1861" w:tblpY="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37"/>
        <w:gridCol w:w="1243"/>
        <w:gridCol w:w="1695"/>
        <w:gridCol w:w="1504"/>
      </w:tblGrid>
      <w:tr w:rsidR="00F42D3C" w:rsidRPr="0086222F" w:rsidTr="00F42D3C">
        <w:tc>
          <w:tcPr>
            <w:tcW w:w="2835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86222F">
              <w:rPr>
                <w:rFonts w:ascii="Barlow" w:hAnsi="Barlow"/>
                <w:b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1937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center"/>
              <w:rPr>
                <w:rFonts w:ascii="Barlow" w:hAnsi="Barlow"/>
                <w:sz w:val="20"/>
                <w:szCs w:val="20"/>
              </w:rPr>
            </w:pPr>
            <w:r w:rsidRPr="0086222F">
              <w:rPr>
                <w:rFonts w:ascii="Barlow" w:hAnsi="Barlow"/>
                <w:sz w:val="20"/>
                <w:szCs w:val="20"/>
              </w:rPr>
              <w:t>90 días</w:t>
            </w:r>
          </w:p>
        </w:tc>
        <w:tc>
          <w:tcPr>
            <w:tcW w:w="1243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center"/>
              <w:rPr>
                <w:rFonts w:ascii="Barlow" w:hAnsi="Barlow"/>
                <w:sz w:val="20"/>
                <w:szCs w:val="20"/>
              </w:rPr>
            </w:pPr>
            <w:r w:rsidRPr="0086222F">
              <w:rPr>
                <w:rFonts w:ascii="Barlow" w:hAnsi="Barlow"/>
                <w:sz w:val="20"/>
                <w:szCs w:val="20"/>
              </w:rPr>
              <w:t>180 días</w:t>
            </w:r>
          </w:p>
        </w:tc>
        <w:tc>
          <w:tcPr>
            <w:tcW w:w="1695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center"/>
              <w:rPr>
                <w:rFonts w:ascii="Barlow" w:hAnsi="Barlow"/>
                <w:sz w:val="20"/>
                <w:szCs w:val="20"/>
              </w:rPr>
            </w:pPr>
            <w:r w:rsidRPr="0086222F">
              <w:rPr>
                <w:rFonts w:ascii="Barlow" w:hAnsi="Barlow"/>
                <w:sz w:val="20"/>
                <w:szCs w:val="20"/>
              </w:rPr>
              <w:t>=&lt;365 días</w:t>
            </w:r>
          </w:p>
        </w:tc>
        <w:tc>
          <w:tcPr>
            <w:tcW w:w="1504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center"/>
              <w:rPr>
                <w:rFonts w:ascii="Barlow" w:hAnsi="Barlow"/>
                <w:sz w:val="20"/>
                <w:szCs w:val="20"/>
              </w:rPr>
            </w:pPr>
            <w:r w:rsidRPr="0086222F">
              <w:rPr>
                <w:rFonts w:ascii="Barlow" w:hAnsi="Barlow"/>
                <w:sz w:val="20"/>
                <w:szCs w:val="20"/>
              </w:rPr>
              <w:t>&gt;365 días</w:t>
            </w:r>
          </w:p>
        </w:tc>
      </w:tr>
      <w:tr w:rsidR="00F42D3C" w:rsidRPr="0086222F" w:rsidTr="00F42D3C">
        <w:tc>
          <w:tcPr>
            <w:tcW w:w="2835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rPr>
                <w:rFonts w:ascii="Barlow" w:hAnsi="Barlow"/>
                <w:sz w:val="20"/>
                <w:szCs w:val="20"/>
              </w:rPr>
            </w:pPr>
            <w:r w:rsidRPr="0086222F">
              <w:rPr>
                <w:rFonts w:ascii="Barlow" w:hAnsi="Barlow"/>
                <w:sz w:val="20"/>
                <w:szCs w:val="20"/>
              </w:rPr>
              <w:t>Instituto Electoral y de Participación Ciudadana de Yuc.</w:t>
            </w:r>
          </w:p>
        </w:tc>
        <w:tc>
          <w:tcPr>
            <w:tcW w:w="1937" w:type="dxa"/>
            <w:shd w:val="clear" w:color="auto" w:fill="auto"/>
          </w:tcPr>
          <w:p w:rsidR="00F42D3C" w:rsidRPr="0086222F" w:rsidRDefault="008A42E8" w:rsidP="008A42E8">
            <w:pPr>
              <w:pStyle w:val="Prrafodelista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86222F">
              <w:rPr>
                <w:rFonts w:ascii="Barlow" w:hAnsi="Barlow"/>
                <w:sz w:val="20"/>
                <w:szCs w:val="20"/>
              </w:rPr>
              <w:t>40</w:t>
            </w:r>
            <w:r w:rsidR="00C40335" w:rsidRPr="0086222F">
              <w:rPr>
                <w:rFonts w:ascii="Barlow" w:hAnsi="Barlow"/>
                <w:sz w:val="20"/>
                <w:szCs w:val="20"/>
              </w:rPr>
              <w:t>9</w:t>
            </w:r>
            <w:r w:rsidR="00F42D3C" w:rsidRPr="0086222F">
              <w:rPr>
                <w:rFonts w:ascii="Barlow" w:hAnsi="Barlow"/>
                <w:sz w:val="20"/>
                <w:szCs w:val="20"/>
              </w:rPr>
              <w:t>,</w:t>
            </w:r>
            <w:r w:rsidR="00C40335" w:rsidRPr="0086222F">
              <w:rPr>
                <w:rFonts w:ascii="Barlow" w:hAnsi="Barlow"/>
                <w:sz w:val="20"/>
                <w:szCs w:val="20"/>
              </w:rPr>
              <w:t>2</w:t>
            </w:r>
            <w:r w:rsidRPr="0086222F">
              <w:rPr>
                <w:rFonts w:ascii="Barlow" w:hAnsi="Barlow"/>
                <w:sz w:val="20"/>
                <w:szCs w:val="20"/>
              </w:rPr>
              <w:t>71</w:t>
            </w:r>
            <w:r w:rsidR="00F42D3C" w:rsidRPr="0086222F">
              <w:rPr>
                <w:rFonts w:ascii="Barlow" w:hAnsi="Barlow"/>
                <w:sz w:val="20"/>
                <w:szCs w:val="20"/>
              </w:rPr>
              <w:t>.</w:t>
            </w:r>
            <w:r w:rsidRPr="0086222F">
              <w:rPr>
                <w:rFonts w:ascii="Barlow" w:hAnsi="Barlow"/>
                <w:sz w:val="20"/>
                <w:szCs w:val="20"/>
              </w:rPr>
              <w:t>48</w:t>
            </w:r>
          </w:p>
        </w:tc>
        <w:tc>
          <w:tcPr>
            <w:tcW w:w="1243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F42D3C" w:rsidRPr="0086222F" w:rsidTr="00F42D3C">
        <w:tc>
          <w:tcPr>
            <w:tcW w:w="2835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rPr>
                <w:rFonts w:ascii="Barlow" w:hAnsi="Barlow"/>
                <w:b/>
                <w:sz w:val="20"/>
                <w:szCs w:val="20"/>
              </w:rPr>
            </w:pPr>
            <w:r w:rsidRPr="0086222F">
              <w:rPr>
                <w:rFonts w:ascii="Barlow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1937" w:type="dxa"/>
            <w:shd w:val="clear" w:color="auto" w:fill="auto"/>
          </w:tcPr>
          <w:p w:rsidR="00F42D3C" w:rsidRPr="0086222F" w:rsidRDefault="008A42E8" w:rsidP="008A42E8">
            <w:pPr>
              <w:pStyle w:val="Prrafodelista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86222F">
              <w:rPr>
                <w:rFonts w:ascii="Barlow" w:hAnsi="Barlow"/>
                <w:b/>
                <w:sz w:val="20"/>
                <w:szCs w:val="20"/>
              </w:rPr>
              <w:t>40</w:t>
            </w:r>
            <w:r w:rsidR="00F42D3C" w:rsidRPr="0086222F">
              <w:rPr>
                <w:rFonts w:ascii="Barlow" w:hAnsi="Barlow"/>
                <w:b/>
                <w:sz w:val="20"/>
                <w:szCs w:val="20"/>
              </w:rPr>
              <w:t>9</w:t>
            </w:r>
            <w:r w:rsidR="00C40335" w:rsidRPr="0086222F">
              <w:rPr>
                <w:rFonts w:ascii="Barlow" w:hAnsi="Barlow"/>
                <w:b/>
                <w:sz w:val="20"/>
                <w:szCs w:val="20"/>
              </w:rPr>
              <w:t>,2</w:t>
            </w:r>
            <w:r w:rsidRPr="0086222F">
              <w:rPr>
                <w:rFonts w:ascii="Barlow" w:hAnsi="Barlow"/>
                <w:b/>
                <w:sz w:val="20"/>
                <w:szCs w:val="20"/>
              </w:rPr>
              <w:t>71</w:t>
            </w:r>
            <w:r w:rsidR="00F42D3C" w:rsidRPr="0086222F">
              <w:rPr>
                <w:rFonts w:ascii="Barlow" w:hAnsi="Barlow"/>
                <w:b/>
                <w:sz w:val="20"/>
                <w:szCs w:val="20"/>
              </w:rPr>
              <w:t>.</w:t>
            </w:r>
            <w:r w:rsidRPr="0086222F">
              <w:rPr>
                <w:rFonts w:ascii="Barlow" w:hAnsi="Barlow"/>
                <w:b/>
                <w:sz w:val="20"/>
                <w:szCs w:val="20"/>
              </w:rPr>
              <w:t>48</w:t>
            </w:r>
          </w:p>
        </w:tc>
        <w:tc>
          <w:tcPr>
            <w:tcW w:w="1243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86222F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  <w:tc>
          <w:tcPr>
            <w:tcW w:w="1695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86222F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  <w:tc>
          <w:tcPr>
            <w:tcW w:w="1504" w:type="dxa"/>
            <w:shd w:val="clear" w:color="auto" w:fill="auto"/>
          </w:tcPr>
          <w:p w:rsidR="00F42D3C" w:rsidRPr="0086222F" w:rsidRDefault="00F42D3C" w:rsidP="00F42D3C">
            <w:pPr>
              <w:pStyle w:val="Prrafodelista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86222F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</w:tr>
    </w:tbl>
    <w:p w:rsidR="00F42D3C" w:rsidRPr="0086222F" w:rsidRDefault="00F42D3C" w:rsidP="00F42D3C">
      <w:pPr>
        <w:pStyle w:val="Prrafodelista"/>
        <w:rPr>
          <w:rFonts w:ascii="Barlow" w:hAnsi="Barlow"/>
          <w:b/>
          <w:sz w:val="20"/>
          <w:szCs w:val="20"/>
        </w:rPr>
      </w:pPr>
    </w:p>
    <w:p w:rsidR="00F42D3C" w:rsidRPr="0086222F" w:rsidRDefault="00F42D3C" w:rsidP="00B234E5">
      <w:pPr>
        <w:spacing w:line="240" w:lineRule="auto"/>
        <w:jc w:val="both"/>
        <w:rPr>
          <w:rFonts w:ascii="Barlow" w:hAnsi="Barlow" w:cs="Arial"/>
          <w:sz w:val="20"/>
          <w:szCs w:val="20"/>
        </w:rPr>
      </w:pPr>
    </w:p>
    <w:p w:rsidR="00F42D3C" w:rsidRPr="0086222F" w:rsidRDefault="00F42D3C" w:rsidP="00B234E5">
      <w:pPr>
        <w:spacing w:line="240" w:lineRule="auto"/>
        <w:jc w:val="both"/>
        <w:rPr>
          <w:rFonts w:ascii="Barlow" w:hAnsi="Barlow" w:cs="Arial"/>
          <w:sz w:val="20"/>
          <w:szCs w:val="20"/>
        </w:rPr>
      </w:pPr>
    </w:p>
    <w:p w:rsidR="008A42E8" w:rsidRPr="0086222F" w:rsidRDefault="008A42E8" w:rsidP="00F42D3C">
      <w:pPr>
        <w:spacing w:line="240" w:lineRule="auto"/>
        <w:ind w:firstLine="708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F42D3C" w:rsidP="00F42D3C">
      <w:pPr>
        <w:spacing w:line="240" w:lineRule="auto"/>
        <w:ind w:firstLine="708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 xml:space="preserve">El </w:t>
      </w:r>
      <w:r w:rsidR="009C6AD4" w:rsidRPr="0086222F">
        <w:rPr>
          <w:rFonts w:ascii="Barlow" w:hAnsi="Barlow" w:cs="Arial"/>
          <w:sz w:val="20"/>
          <w:szCs w:val="20"/>
        </w:rPr>
        <w:t>Fideicomiso no cuenta con Activo No Circulante.</w:t>
      </w:r>
    </w:p>
    <w:p w:rsidR="00315A1D" w:rsidRPr="0086222F" w:rsidRDefault="00315A1D" w:rsidP="00B234E5">
      <w:pPr>
        <w:spacing w:line="240" w:lineRule="auto"/>
        <w:jc w:val="both"/>
        <w:rPr>
          <w:rFonts w:ascii="Barlow" w:hAnsi="Barlow" w:cs="Arial"/>
          <w:sz w:val="20"/>
          <w:szCs w:val="20"/>
        </w:rPr>
      </w:pPr>
    </w:p>
    <w:p w:rsidR="009C6AD4" w:rsidRPr="0086222F" w:rsidRDefault="009C6AD4" w:rsidP="00315A1D">
      <w:pPr>
        <w:pStyle w:val="Prrafodelista"/>
        <w:numPr>
          <w:ilvl w:val="0"/>
          <w:numId w:val="5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N</w:t>
      </w:r>
      <w:r w:rsidR="00315A1D" w:rsidRPr="0086222F">
        <w:rPr>
          <w:rFonts w:ascii="Barlow" w:hAnsi="Barlow" w:cs="Arial"/>
          <w:b/>
          <w:sz w:val="20"/>
          <w:szCs w:val="20"/>
        </w:rPr>
        <w:t>OTAS AL ESTADO DE ACTIVIDADES</w:t>
      </w:r>
    </w:p>
    <w:p w:rsidR="009C6AD4" w:rsidRPr="0086222F" w:rsidRDefault="00315A1D" w:rsidP="00315A1D">
      <w:pPr>
        <w:spacing w:after="0"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Ingresos de Gestión</w:t>
      </w:r>
    </w:p>
    <w:p w:rsidR="00315A1D" w:rsidRPr="0086222F" w:rsidRDefault="00315A1D" w:rsidP="00315A1D">
      <w:pPr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315A1D" w:rsidRPr="0086222F" w:rsidRDefault="00315A1D" w:rsidP="00315A1D">
      <w:pPr>
        <w:spacing w:line="240" w:lineRule="auto"/>
        <w:jc w:val="both"/>
        <w:rPr>
          <w:rFonts w:ascii="Barlow" w:hAnsi="Barlow" w:cs="Arial"/>
          <w:sz w:val="20"/>
          <w:szCs w:val="20"/>
        </w:rPr>
      </w:pPr>
    </w:p>
    <w:p w:rsidR="00315A1D" w:rsidRPr="0086222F" w:rsidRDefault="00315A1D" w:rsidP="00315A1D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P</w:t>
      </w:r>
      <w:r w:rsidR="006A1CB0" w:rsidRPr="0086222F">
        <w:rPr>
          <w:rFonts w:ascii="Barlow" w:hAnsi="Barlow" w:cs="Arial"/>
          <w:b/>
          <w:sz w:val="20"/>
          <w:szCs w:val="20"/>
        </w:rPr>
        <w:t>art</w:t>
      </w:r>
      <w:r w:rsidRPr="0086222F">
        <w:rPr>
          <w:rFonts w:ascii="Barlow" w:hAnsi="Barlow" w:cs="Arial"/>
          <w:b/>
          <w:sz w:val="20"/>
          <w:szCs w:val="20"/>
        </w:rPr>
        <w:t>icipaciones, Aportaciones, Convenios, Incentivos</w:t>
      </w:r>
      <w:r w:rsidR="006A1CB0" w:rsidRPr="0086222F">
        <w:rPr>
          <w:rFonts w:ascii="Barlow" w:hAnsi="Barlow" w:cs="Arial"/>
          <w:b/>
          <w:sz w:val="20"/>
          <w:szCs w:val="20"/>
        </w:rPr>
        <w:t xml:space="preserve"> Derivados de la Colaboración Fiscal, Fondos Distintos de Aportaciones, Transferencias, Asignaciones, Subsidios y Subvenciones, Pensiones y Jubilaciones</w:t>
      </w:r>
    </w:p>
    <w:p w:rsidR="006A1CB0" w:rsidRPr="0086222F" w:rsidRDefault="006A1CB0" w:rsidP="00315A1D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aplica</w:t>
      </w:r>
    </w:p>
    <w:p w:rsidR="006A1CB0" w:rsidRPr="0086222F" w:rsidRDefault="006A1CB0" w:rsidP="00315A1D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Otros Ingresos y Beneficios</w:t>
      </w:r>
    </w:p>
    <w:p w:rsidR="007526B1" w:rsidRPr="0086222F" w:rsidRDefault="007526B1" w:rsidP="006A1CB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 xml:space="preserve">Los ingresos </w:t>
      </w:r>
      <w:r w:rsidR="006A1CB0" w:rsidRPr="0086222F">
        <w:rPr>
          <w:rFonts w:ascii="Barlow" w:hAnsi="Barlow" w:cs="Arial"/>
          <w:sz w:val="20"/>
          <w:szCs w:val="20"/>
        </w:rPr>
        <w:t>percibidos por el fideicomiso</w:t>
      </w:r>
      <w:r w:rsidR="00423133" w:rsidRPr="0086222F">
        <w:rPr>
          <w:rFonts w:ascii="Barlow" w:hAnsi="Barlow" w:cs="Arial"/>
          <w:sz w:val="20"/>
          <w:szCs w:val="20"/>
        </w:rPr>
        <w:t xml:space="preserve"> al </w:t>
      </w:r>
      <w:r w:rsidR="008A42E8" w:rsidRPr="0086222F">
        <w:rPr>
          <w:rFonts w:ascii="Barlow" w:hAnsi="Barlow" w:cs="Arial"/>
          <w:sz w:val="20"/>
          <w:szCs w:val="20"/>
        </w:rPr>
        <w:t>31</w:t>
      </w:r>
      <w:r w:rsidR="00423133" w:rsidRPr="0086222F">
        <w:rPr>
          <w:rFonts w:ascii="Barlow" w:hAnsi="Barlow" w:cs="Arial"/>
          <w:sz w:val="20"/>
          <w:szCs w:val="20"/>
        </w:rPr>
        <w:t xml:space="preserve"> de </w:t>
      </w:r>
      <w:r w:rsidR="008A42E8" w:rsidRPr="0086222F">
        <w:rPr>
          <w:rFonts w:ascii="Barlow" w:hAnsi="Barlow" w:cs="Arial"/>
          <w:sz w:val="20"/>
          <w:szCs w:val="20"/>
        </w:rPr>
        <w:t>Ma</w:t>
      </w:r>
      <w:r w:rsidR="00F42D3C" w:rsidRPr="0086222F">
        <w:rPr>
          <w:rFonts w:ascii="Barlow" w:hAnsi="Barlow" w:cs="Arial"/>
          <w:sz w:val="20"/>
          <w:szCs w:val="20"/>
        </w:rPr>
        <w:t>r</w:t>
      </w:r>
      <w:r w:rsidR="008A42E8" w:rsidRPr="0086222F">
        <w:rPr>
          <w:rFonts w:ascii="Barlow" w:hAnsi="Barlow" w:cs="Arial"/>
          <w:sz w:val="20"/>
          <w:szCs w:val="20"/>
        </w:rPr>
        <w:t>z</w:t>
      </w:r>
      <w:r w:rsidR="00F42D3C" w:rsidRPr="0086222F">
        <w:rPr>
          <w:rFonts w:ascii="Barlow" w:hAnsi="Barlow" w:cs="Arial"/>
          <w:sz w:val="20"/>
          <w:szCs w:val="20"/>
        </w:rPr>
        <w:t>o</w:t>
      </w:r>
      <w:r w:rsidR="00423133" w:rsidRPr="0086222F">
        <w:rPr>
          <w:rFonts w:ascii="Barlow" w:hAnsi="Barlow" w:cs="Arial"/>
          <w:sz w:val="20"/>
          <w:szCs w:val="20"/>
        </w:rPr>
        <w:t xml:space="preserve"> del 201</w:t>
      </w:r>
      <w:r w:rsidR="00F42D3C" w:rsidRPr="0086222F">
        <w:rPr>
          <w:rFonts w:ascii="Barlow" w:hAnsi="Barlow" w:cs="Arial"/>
          <w:sz w:val="20"/>
          <w:szCs w:val="20"/>
        </w:rPr>
        <w:t>9</w:t>
      </w:r>
      <w:r w:rsidR="00423133" w:rsidRPr="0086222F">
        <w:rPr>
          <w:rFonts w:ascii="Barlow" w:hAnsi="Barlow" w:cs="Arial"/>
          <w:sz w:val="20"/>
          <w:szCs w:val="20"/>
        </w:rPr>
        <w:t xml:space="preserve"> son por la cantidad de</w:t>
      </w:r>
      <w:r w:rsidRPr="0086222F">
        <w:rPr>
          <w:rFonts w:ascii="Barlow" w:hAnsi="Barlow" w:cs="Arial"/>
          <w:sz w:val="20"/>
          <w:szCs w:val="20"/>
        </w:rPr>
        <w:t xml:space="preserve"> $ </w:t>
      </w:r>
      <w:r w:rsidR="008A42E8" w:rsidRPr="0086222F">
        <w:rPr>
          <w:rFonts w:ascii="Barlow" w:hAnsi="Barlow" w:cs="Arial"/>
          <w:sz w:val="20"/>
          <w:szCs w:val="20"/>
        </w:rPr>
        <w:t>0</w:t>
      </w:r>
      <w:r w:rsidRPr="0086222F">
        <w:rPr>
          <w:rFonts w:ascii="Barlow" w:hAnsi="Barlow" w:cs="Arial"/>
          <w:sz w:val="20"/>
          <w:szCs w:val="20"/>
        </w:rPr>
        <w:t>.</w:t>
      </w:r>
      <w:r w:rsidR="008A42E8" w:rsidRPr="0086222F">
        <w:rPr>
          <w:rFonts w:ascii="Barlow" w:hAnsi="Barlow" w:cs="Arial"/>
          <w:sz w:val="20"/>
          <w:szCs w:val="20"/>
        </w:rPr>
        <w:t>0</w:t>
      </w:r>
      <w:r w:rsidR="00C40335" w:rsidRPr="0086222F">
        <w:rPr>
          <w:rFonts w:ascii="Barlow" w:hAnsi="Barlow" w:cs="Arial"/>
          <w:sz w:val="20"/>
          <w:szCs w:val="20"/>
        </w:rPr>
        <w:t>0</w:t>
      </w:r>
      <w:r w:rsidRPr="0086222F">
        <w:rPr>
          <w:rFonts w:ascii="Barlow" w:hAnsi="Barlow" w:cs="Arial"/>
          <w:sz w:val="20"/>
          <w:szCs w:val="20"/>
        </w:rPr>
        <w:t xml:space="preserve"> </w:t>
      </w:r>
      <w:r w:rsidR="008A42E8" w:rsidRPr="0086222F">
        <w:rPr>
          <w:rFonts w:ascii="Barlow" w:hAnsi="Barlow" w:cs="Arial"/>
          <w:sz w:val="20"/>
          <w:szCs w:val="20"/>
        </w:rPr>
        <w:t xml:space="preserve">pues no se </w:t>
      </w:r>
      <w:r w:rsidRPr="0086222F">
        <w:rPr>
          <w:rFonts w:ascii="Barlow" w:hAnsi="Barlow" w:cs="Arial"/>
          <w:sz w:val="20"/>
          <w:szCs w:val="20"/>
        </w:rPr>
        <w:t>considera</w:t>
      </w:r>
      <w:r w:rsidR="008A42E8" w:rsidRPr="0086222F">
        <w:rPr>
          <w:rFonts w:ascii="Barlow" w:hAnsi="Barlow" w:cs="Arial"/>
          <w:sz w:val="20"/>
          <w:szCs w:val="20"/>
        </w:rPr>
        <w:t>ro</w:t>
      </w:r>
      <w:r w:rsidR="00F42D3C" w:rsidRPr="0086222F">
        <w:rPr>
          <w:rFonts w:ascii="Barlow" w:hAnsi="Barlow" w:cs="Arial"/>
          <w:sz w:val="20"/>
          <w:szCs w:val="20"/>
        </w:rPr>
        <w:t>n</w:t>
      </w:r>
      <w:r w:rsidRPr="0086222F">
        <w:rPr>
          <w:rFonts w:ascii="Barlow" w:hAnsi="Barlow" w:cs="Arial"/>
          <w:sz w:val="20"/>
          <w:szCs w:val="20"/>
        </w:rPr>
        <w:t xml:space="preserve"> los rendimientos de </w:t>
      </w:r>
      <w:r w:rsidR="008A42E8" w:rsidRPr="0086222F">
        <w:rPr>
          <w:rFonts w:ascii="Barlow" w:hAnsi="Barlow" w:cs="Arial"/>
          <w:sz w:val="20"/>
          <w:szCs w:val="20"/>
        </w:rPr>
        <w:t>ma</w:t>
      </w:r>
      <w:r w:rsidR="00F42D3C" w:rsidRPr="0086222F">
        <w:rPr>
          <w:rFonts w:ascii="Barlow" w:hAnsi="Barlow" w:cs="Arial"/>
          <w:sz w:val="20"/>
          <w:szCs w:val="20"/>
        </w:rPr>
        <w:t>r</w:t>
      </w:r>
      <w:r w:rsidR="008A42E8" w:rsidRPr="0086222F">
        <w:rPr>
          <w:rFonts w:ascii="Barlow" w:hAnsi="Barlow" w:cs="Arial"/>
          <w:sz w:val="20"/>
          <w:szCs w:val="20"/>
        </w:rPr>
        <w:t>z</w:t>
      </w:r>
      <w:r w:rsidR="00F42D3C" w:rsidRPr="0086222F">
        <w:rPr>
          <w:rFonts w:ascii="Barlow" w:hAnsi="Barlow" w:cs="Arial"/>
          <w:sz w:val="20"/>
          <w:szCs w:val="20"/>
        </w:rPr>
        <w:t>o 2019</w:t>
      </w:r>
      <w:r w:rsidR="008A42E8" w:rsidRPr="0086222F">
        <w:rPr>
          <w:rFonts w:ascii="Barlow" w:hAnsi="Barlow" w:cs="Arial"/>
          <w:sz w:val="20"/>
          <w:szCs w:val="20"/>
        </w:rPr>
        <w:t xml:space="preserve"> ya que no se recibieron los estados de cuenta bancarios a la fecha del cierre</w:t>
      </w:r>
      <w:r w:rsidR="00423133" w:rsidRPr="0086222F">
        <w:rPr>
          <w:rFonts w:ascii="Barlow" w:hAnsi="Barlow" w:cs="Arial"/>
          <w:sz w:val="20"/>
          <w:szCs w:val="20"/>
        </w:rPr>
        <w:t>; proviene de intereses generados.</w:t>
      </w:r>
    </w:p>
    <w:p w:rsidR="00496F80" w:rsidRPr="0086222F" w:rsidRDefault="00496F80" w:rsidP="00496F80">
      <w:pPr>
        <w:ind w:firstLine="360"/>
        <w:rPr>
          <w:rFonts w:ascii="Barlow" w:hAnsi="Barlow"/>
          <w:b/>
          <w:sz w:val="20"/>
          <w:szCs w:val="20"/>
          <w:u w:val="single"/>
        </w:rPr>
      </w:pPr>
      <w:r w:rsidRPr="0086222F">
        <w:rPr>
          <w:rFonts w:ascii="Barlow" w:hAnsi="Barlow"/>
          <w:b/>
          <w:sz w:val="20"/>
          <w:szCs w:val="20"/>
          <w:u w:val="single"/>
        </w:rPr>
        <w:t>GASTOS Y OTRAS PÉRDIDAS</w:t>
      </w:r>
    </w:p>
    <w:p w:rsidR="00496F80" w:rsidRPr="0086222F" w:rsidRDefault="00496F80" w:rsidP="006A1CB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SERVICIOS GENERALES</w:t>
      </w:r>
    </w:p>
    <w:p w:rsidR="00423133" w:rsidRPr="0086222F" w:rsidRDefault="00423133" w:rsidP="006A1CB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lastRenderedPageBreak/>
        <w:t xml:space="preserve">Los recursos devengados por el fideicomiso en las partidas de </w:t>
      </w:r>
      <w:r w:rsidR="00496F80" w:rsidRPr="0086222F">
        <w:rPr>
          <w:rFonts w:ascii="Barlow" w:hAnsi="Barlow" w:cs="Arial"/>
          <w:sz w:val="20"/>
          <w:szCs w:val="20"/>
        </w:rPr>
        <w:t>Publicaciones Oficiales</w:t>
      </w:r>
      <w:r w:rsidRPr="0086222F">
        <w:rPr>
          <w:rFonts w:ascii="Barlow" w:hAnsi="Barlow" w:cs="Arial"/>
          <w:sz w:val="20"/>
          <w:szCs w:val="20"/>
        </w:rPr>
        <w:t xml:space="preserve"> por la cantidad de $</w:t>
      </w:r>
      <w:r w:rsidR="00C40335" w:rsidRPr="0086222F">
        <w:rPr>
          <w:rFonts w:ascii="Barlow" w:hAnsi="Barlow" w:cs="Arial"/>
          <w:sz w:val="20"/>
          <w:szCs w:val="20"/>
        </w:rPr>
        <w:t>1</w:t>
      </w:r>
      <w:r w:rsidR="008A42E8" w:rsidRPr="0086222F">
        <w:rPr>
          <w:rFonts w:ascii="Barlow" w:hAnsi="Barlow" w:cs="Arial"/>
          <w:sz w:val="20"/>
          <w:szCs w:val="20"/>
        </w:rPr>
        <w:t>1</w:t>
      </w:r>
      <w:r w:rsidRPr="0086222F">
        <w:rPr>
          <w:rFonts w:ascii="Barlow" w:hAnsi="Barlow" w:cs="Arial"/>
          <w:sz w:val="20"/>
          <w:szCs w:val="20"/>
        </w:rPr>
        <w:t>,</w:t>
      </w:r>
      <w:r w:rsidR="00F42D3C" w:rsidRPr="0086222F">
        <w:rPr>
          <w:rFonts w:ascii="Barlow" w:hAnsi="Barlow" w:cs="Arial"/>
          <w:sz w:val="20"/>
          <w:szCs w:val="20"/>
        </w:rPr>
        <w:t>6</w:t>
      </w:r>
      <w:r w:rsidR="008A42E8" w:rsidRPr="0086222F">
        <w:rPr>
          <w:rFonts w:ascii="Barlow" w:hAnsi="Barlow" w:cs="Arial"/>
          <w:sz w:val="20"/>
          <w:szCs w:val="20"/>
        </w:rPr>
        <w:t>09</w:t>
      </w:r>
      <w:r w:rsidRPr="0086222F">
        <w:rPr>
          <w:rFonts w:ascii="Barlow" w:hAnsi="Barlow" w:cs="Arial"/>
          <w:sz w:val="20"/>
          <w:szCs w:val="20"/>
        </w:rPr>
        <w:t>.</w:t>
      </w:r>
      <w:r w:rsidR="00C40335" w:rsidRPr="0086222F">
        <w:rPr>
          <w:rFonts w:ascii="Barlow" w:hAnsi="Barlow" w:cs="Arial"/>
          <w:sz w:val="20"/>
          <w:szCs w:val="20"/>
        </w:rPr>
        <w:t>2</w:t>
      </w:r>
      <w:r w:rsidR="008A42E8" w:rsidRPr="0086222F">
        <w:rPr>
          <w:rFonts w:ascii="Barlow" w:hAnsi="Barlow" w:cs="Arial"/>
          <w:sz w:val="20"/>
          <w:szCs w:val="20"/>
        </w:rPr>
        <w:t>8</w:t>
      </w:r>
      <w:r w:rsidRPr="0086222F">
        <w:rPr>
          <w:rFonts w:ascii="Barlow" w:hAnsi="Barlow" w:cs="Arial"/>
          <w:sz w:val="20"/>
          <w:szCs w:val="20"/>
        </w:rPr>
        <w:t xml:space="preserve"> corresponden a </w:t>
      </w:r>
      <w:r w:rsidR="00496F80" w:rsidRPr="0086222F">
        <w:rPr>
          <w:rFonts w:ascii="Barlow" w:hAnsi="Barlow" w:cs="Arial"/>
          <w:sz w:val="20"/>
          <w:szCs w:val="20"/>
        </w:rPr>
        <w:t xml:space="preserve"> publicaciones de</w:t>
      </w:r>
      <w:r w:rsidR="008A42E8" w:rsidRPr="0086222F">
        <w:rPr>
          <w:rFonts w:ascii="Barlow" w:hAnsi="Barlow" w:cs="Arial"/>
          <w:sz w:val="20"/>
          <w:szCs w:val="20"/>
        </w:rPr>
        <w:t xml:space="preserve"> </w:t>
      </w:r>
      <w:r w:rsidR="00496F80" w:rsidRPr="0086222F">
        <w:rPr>
          <w:rFonts w:ascii="Barlow" w:hAnsi="Barlow" w:cs="Arial"/>
          <w:sz w:val="20"/>
          <w:szCs w:val="20"/>
        </w:rPr>
        <w:t>l</w:t>
      </w:r>
      <w:r w:rsidR="008A42E8" w:rsidRPr="0086222F">
        <w:rPr>
          <w:rFonts w:ascii="Barlow" w:hAnsi="Barlow" w:cs="Arial"/>
          <w:sz w:val="20"/>
          <w:szCs w:val="20"/>
        </w:rPr>
        <w:t>a</w:t>
      </w:r>
      <w:r w:rsidR="00496F80" w:rsidRPr="0086222F">
        <w:rPr>
          <w:rFonts w:ascii="Barlow" w:hAnsi="Barlow" w:cs="Arial"/>
          <w:sz w:val="20"/>
          <w:szCs w:val="20"/>
        </w:rPr>
        <w:t xml:space="preserve"> C</w:t>
      </w:r>
      <w:r w:rsidR="008A42E8" w:rsidRPr="0086222F">
        <w:rPr>
          <w:rFonts w:ascii="Barlow" w:hAnsi="Barlow" w:cs="Arial"/>
          <w:sz w:val="20"/>
          <w:szCs w:val="20"/>
        </w:rPr>
        <w:t>onvoc</w:t>
      </w:r>
      <w:r w:rsidR="00496F80" w:rsidRPr="0086222F">
        <w:rPr>
          <w:rFonts w:ascii="Barlow" w:hAnsi="Barlow" w:cs="Arial"/>
          <w:sz w:val="20"/>
          <w:szCs w:val="20"/>
        </w:rPr>
        <w:t>ato</w:t>
      </w:r>
      <w:r w:rsidR="008A42E8" w:rsidRPr="0086222F">
        <w:rPr>
          <w:rFonts w:ascii="Barlow" w:hAnsi="Barlow" w:cs="Arial"/>
          <w:sz w:val="20"/>
          <w:szCs w:val="20"/>
        </w:rPr>
        <w:t>ria</w:t>
      </w:r>
      <w:r w:rsidR="00496F80" w:rsidRPr="0086222F">
        <w:rPr>
          <w:rFonts w:ascii="Barlow" w:hAnsi="Barlow" w:cs="Arial"/>
          <w:sz w:val="20"/>
          <w:szCs w:val="20"/>
        </w:rPr>
        <w:t xml:space="preserve"> </w:t>
      </w:r>
      <w:r w:rsidR="008A42E8" w:rsidRPr="0086222F">
        <w:rPr>
          <w:rFonts w:ascii="Barlow" w:hAnsi="Barlow" w:cs="Arial"/>
          <w:sz w:val="20"/>
          <w:szCs w:val="20"/>
        </w:rPr>
        <w:t>al</w:t>
      </w:r>
      <w:r w:rsidR="00496F80" w:rsidRPr="0086222F">
        <w:rPr>
          <w:rFonts w:ascii="Barlow" w:hAnsi="Barlow" w:cs="Arial"/>
          <w:sz w:val="20"/>
          <w:szCs w:val="20"/>
        </w:rPr>
        <w:t xml:space="preserve"> Pl</w:t>
      </w:r>
      <w:r w:rsidR="008A42E8" w:rsidRPr="0086222F">
        <w:rPr>
          <w:rFonts w:ascii="Barlow" w:hAnsi="Barlow" w:cs="Arial"/>
          <w:sz w:val="20"/>
          <w:szCs w:val="20"/>
        </w:rPr>
        <w:t>ebis</w:t>
      </w:r>
      <w:r w:rsidR="00496F80" w:rsidRPr="0086222F">
        <w:rPr>
          <w:rFonts w:ascii="Barlow" w:hAnsi="Barlow" w:cs="Arial"/>
          <w:sz w:val="20"/>
          <w:szCs w:val="20"/>
        </w:rPr>
        <w:t>c</w:t>
      </w:r>
      <w:r w:rsidR="008A42E8" w:rsidRPr="0086222F">
        <w:rPr>
          <w:rFonts w:ascii="Barlow" w:hAnsi="Barlow" w:cs="Arial"/>
          <w:sz w:val="20"/>
          <w:szCs w:val="20"/>
        </w:rPr>
        <w:t>ito de</w:t>
      </w:r>
      <w:r w:rsidR="00496F80" w:rsidRPr="0086222F">
        <w:rPr>
          <w:rFonts w:ascii="Barlow" w:hAnsi="Barlow" w:cs="Arial"/>
          <w:sz w:val="20"/>
          <w:szCs w:val="20"/>
        </w:rPr>
        <w:t xml:space="preserve"> </w:t>
      </w:r>
      <w:r w:rsidR="008A42E8" w:rsidRPr="0086222F">
        <w:rPr>
          <w:rFonts w:ascii="Barlow" w:hAnsi="Barlow" w:cs="Arial"/>
          <w:sz w:val="20"/>
          <w:szCs w:val="20"/>
        </w:rPr>
        <w:t xml:space="preserve">Telchac </w:t>
      </w:r>
      <w:r w:rsidR="00496F80" w:rsidRPr="0086222F">
        <w:rPr>
          <w:rFonts w:ascii="Barlow" w:hAnsi="Barlow" w:cs="Arial"/>
          <w:sz w:val="20"/>
          <w:szCs w:val="20"/>
        </w:rPr>
        <w:t>P</w:t>
      </w:r>
      <w:r w:rsidR="008A42E8" w:rsidRPr="0086222F">
        <w:rPr>
          <w:rFonts w:ascii="Barlow" w:hAnsi="Barlow" w:cs="Arial"/>
          <w:sz w:val="20"/>
          <w:szCs w:val="20"/>
        </w:rPr>
        <w:t>ue</w:t>
      </w:r>
      <w:r w:rsidR="00496F80" w:rsidRPr="0086222F">
        <w:rPr>
          <w:rFonts w:ascii="Barlow" w:hAnsi="Barlow" w:cs="Arial"/>
          <w:sz w:val="20"/>
          <w:szCs w:val="20"/>
        </w:rPr>
        <w:t>bl</w:t>
      </w:r>
      <w:r w:rsidR="008A42E8" w:rsidRPr="0086222F">
        <w:rPr>
          <w:rFonts w:ascii="Barlow" w:hAnsi="Barlow" w:cs="Arial"/>
          <w:sz w:val="20"/>
          <w:szCs w:val="20"/>
        </w:rPr>
        <w:t>o</w:t>
      </w:r>
      <w:r w:rsidRPr="0086222F">
        <w:rPr>
          <w:rFonts w:ascii="Barlow" w:hAnsi="Barlow" w:cs="Arial"/>
          <w:sz w:val="20"/>
          <w:szCs w:val="20"/>
        </w:rPr>
        <w:t>.</w:t>
      </w:r>
    </w:p>
    <w:p w:rsidR="00423133" w:rsidRPr="0086222F" w:rsidRDefault="00423133" w:rsidP="00423133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NOTAS AL ESTADO DE VARIACION EN LA HACIENDA PÚBLICA</w:t>
      </w:r>
    </w:p>
    <w:p w:rsidR="007526B1" w:rsidRPr="0086222F" w:rsidRDefault="00423133" w:rsidP="00315A1D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Patrimonio Generado del Ejercicio</w:t>
      </w:r>
    </w:p>
    <w:p w:rsidR="00423133" w:rsidRPr="0086222F" w:rsidRDefault="00C33246" w:rsidP="00315A1D">
      <w:pPr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 xml:space="preserve">Al </w:t>
      </w:r>
      <w:r w:rsidR="008A42E8" w:rsidRPr="0086222F">
        <w:rPr>
          <w:rFonts w:ascii="Barlow" w:hAnsi="Barlow" w:cs="Arial"/>
          <w:sz w:val="20"/>
          <w:szCs w:val="20"/>
        </w:rPr>
        <w:t>31</w:t>
      </w:r>
      <w:r w:rsidRPr="0086222F">
        <w:rPr>
          <w:rFonts w:ascii="Barlow" w:hAnsi="Barlow" w:cs="Arial"/>
          <w:sz w:val="20"/>
          <w:szCs w:val="20"/>
        </w:rPr>
        <w:t xml:space="preserve"> de </w:t>
      </w:r>
      <w:r w:rsidR="008A42E8" w:rsidRPr="0086222F">
        <w:rPr>
          <w:rFonts w:ascii="Barlow" w:hAnsi="Barlow" w:cs="Arial"/>
          <w:sz w:val="20"/>
          <w:szCs w:val="20"/>
        </w:rPr>
        <w:t>Ma</w:t>
      </w:r>
      <w:r w:rsidR="00496F80" w:rsidRPr="0086222F">
        <w:rPr>
          <w:rFonts w:ascii="Barlow" w:hAnsi="Barlow" w:cs="Arial"/>
          <w:sz w:val="20"/>
          <w:szCs w:val="20"/>
        </w:rPr>
        <w:t>r</w:t>
      </w:r>
      <w:r w:rsidR="008A42E8" w:rsidRPr="0086222F">
        <w:rPr>
          <w:rFonts w:ascii="Barlow" w:hAnsi="Barlow" w:cs="Arial"/>
          <w:sz w:val="20"/>
          <w:szCs w:val="20"/>
        </w:rPr>
        <w:t>z</w:t>
      </w:r>
      <w:r w:rsidR="00496F80" w:rsidRPr="0086222F">
        <w:rPr>
          <w:rFonts w:ascii="Barlow" w:hAnsi="Barlow" w:cs="Arial"/>
          <w:sz w:val="20"/>
          <w:szCs w:val="20"/>
        </w:rPr>
        <w:t>o</w:t>
      </w:r>
      <w:r w:rsidRPr="0086222F">
        <w:rPr>
          <w:rFonts w:ascii="Barlow" w:hAnsi="Barlow" w:cs="Arial"/>
          <w:sz w:val="20"/>
          <w:szCs w:val="20"/>
        </w:rPr>
        <w:t xml:space="preserve"> de 201</w:t>
      </w:r>
      <w:r w:rsidR="00496F80" w:rsidRPr="0086222F">
        <w:rPr>
          <w:rFonts w:ascii="Barlow" w:hAnsi="Barlow" w:cs="Arial"/>
          <w:sz w:val="20"/>
          <w:szCs w:val="20"/>
        </w:rPr>
        <w:t>9</w:t>
      </w:r>
      <w:r w:rsidRPr="0086222F">
        <w:rPr>
          <w:rFonts w:ascii="Barlow" w:hAnsi="Barlow" w:cs="Arial"/>
          <w:sz w:val="20"/>
          <w:szCs w:val="20"/>
        </w:rPr>
        <w:t xml:space="preserve">, la procedencia del </w:t>
      </w:r>
      <w:r w:rsidR="00496F80" w:rsidRPr="0086222F">
        <w:rPr>
          <w:rFonts w:ascii="Barlow" w:hAnsi="Barlow" w:cs="Arial"/>
          <w:sz w:val="20"/>
          <w:szCs w:val="20"/>
        </w:rPr>
        <w:t>decre</w:t>
      </w:r>
      <w:r w:rsidRPr="0086222F">
        <w:rPr>
          <w:rFonts w:ascii="Barlow" w:hAnsi="Barlow" w:cs="Arial"/>
          <w:sz w:val="20"/>
          <w:szCs w:val="20"/>
        </w:rPr>
        <w:t xml:space="preserve">mento en el Patrimonio Generado es por concepto del </w:t>
      </w:r>
      <w:r w:rsidR="00496F80" w:rsidRPr="0086222F">
        <w:rPr>
          <w:rFonts w:ascii="Barlow" w:hAnsi="Barlow" w:cs="Arial"/>
          <w:sz w:val="20"/>
          <w:szCs w:val="20"/>
        </w:rPr>
        <w:t>des</w:t>
      </w:r>
      <w:r w:rsidRPr="0086222F">
        <w:rPr>
          <w:rFonts w:ascii="Barlow" w:hAnsi="Barlow" w:cs="Arial"/>
          <w:sz w:val="20"/>
          <w:szCs w:val="20"/>
        </w:rPr>
        <w:t>ahorro neto del ejercicio por la cantidad de $3</w:t>
      </w:r>
      <w:r w:rsidR="008A42E8" w:rsidRPr="0086222F">
        <w:rPr>
          <w:rFonts w:ascii="Barlow" w:hAnsi="Barlow" w:cs="Arial"/>
          <w:sz w:val="20"/>
          <w:szCs w:val="20"/>
        </w:rPr>
        <w:t>23</w:t>
      </w:r>
      <w:r w:rsidRPr="0086222F">
        <w:rPr>
          <w:rFonts w:ascii="Barlow" w:hAnsi="Barlow" w:cs="Arial"/>
          <w:sz w:val="20"/>
          <w:szCs w:val="20"/>
        </w:rPr>
        <w:t>,</w:t>
      </w:r>
      <w:r w:rsidR="008A42E8" w:rsidRPr="0086222F">
        <w:rPr>
          <w:rFonts w:ascii="Barlow" w:hAnsi="Barlow" w:cs="Arial"/>
          <w:sz w:val="20"/>
          <w:szCs w:val="20"/>
        </w:rPr>
        <w:t>385</w:t>
      </w:r>
      <w:r w:rsidRPr="0086222F">
        <w:rPr>
          <w:rFonts w:ascii="Barlow" w:hAnsi="Barlow" w:cs="Arial"/>
          <w:sz w:val="20"/>
          <w:szCs w:val="20"/>
        </w:rPr>
        <w:t>.</w:t>
      </w:r>
      <w:r w:rsidR="008A42E8" w:rsidRPr="0086222F">
        <w:rPr>
          <w:rFonts w:ascii="Barlow" w:hAnsi="Barlow" w:cs="Arial"/>
          <w:sz w:val="20"/>
          <w:szCs w:val="20"/>
        </w:rPr>
        <w:t>34</w:t>
      </w:r>
      <w:r w:rsidRPr="0086222F">
        <w:rPr>
          <w:rFonts w:ascii="Barlow" w:hAnsi="Barlow" w:cs="Arial"/>
          <w:sz w:val="20"/>
          <w:szCs w:val="20"/>
        </w:rPr>
        <w:t>.</w:t>
      </w:r>
    </w:p>
    <w:p w:rsidR="00C33246" w:rsidRPr="0086222F" w:rsidRDefault="00C33246" w:rsidP="00C33246">
      <w:pPr>
        <w:pStyle w:val="Prrafodelista"/>
        <w:numPr>
          <w:ilvl w:val="0"/>
          <w:numId w:val="5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NOTAS AL ESTADO DE FLUJOS DE EFECTIVO</w:t>
      </w:r>
    </w:p>
    <w:p w:rsidR="00C33246" w:rsidRPr="0086222F" w:rsidRDefault="00C33246" w:rsidP="00C33246">
      <w:pPr>
        <w:spacing w:line="240" w:lineRule="auto"/>
        <w:ind w:left="360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Efectivo y Equivalentes</w:t>
      </w:r>
    </w:p>
    <w:p w:rsidR="00C33246" w:rsidRPr="0086222F" w:rsidRDefault="00C33246" w:rsidP="00C33246">
      <w:pPr>
        <w:spacing w:line="240" w:lineRule="auto"/>
        <w:ind w:left="360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Flujo de Efectivo en la cuenta de efectivo y equivalentes es como sigue:</w:t>
      </w:r>
    </w:p>
    <w:tbl>
      <w:tblPr>
        <w:tblStyle w:val="Tablaconcuadrcula"/>
        <w:tblW w:w="0" w:type="auto"/>
        <w:tblInd w:w="2526" w:type="dxa"/>
        <w:tblLook w:val="04A0" w:firstRow="1" w:lastRow="0" w:firstColumn="1" w:lastColumn="0" w:noHBand="0" w:noVBand="1"/>
      </w:tblPr>
      <w:tblGrid>
        <w:gridCol w:w="3292"/>
        <w:gridCol w:w="1701"/>
        <w:gridCol w:w="1843"/>
      </w:tblGrid>
      <w:tr w:rsidR="00C33246" w:rsidRPr="0086222F" w:rsidTr="00C33246">
        <w:tc>
          <w:tcPr>
            <w:tcW w:w="3292" w:type="dxa"/>
          </w:tcPr>
          <w:p w:rsidR="00C33246" w:rsidRPr="0086222F" w:rsidRDefault="00C33246" w:rsidP="00C33246">
            <w:pPr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Cuenta</w:t>
            </w:r>
          </w:p>
        </w:tc>
        <w:tc>
          <w:tcPr>
            <w:tcW w:w="1701" w:type="dxa"/>
          </w:tcPr>
          <w:p w:rsidR="00C33246" w:rsidRPr="0086222F" w:rsidRDefault="00C33246" w:rsidP="00496F80">
            <w:pPr>
              <w:jc w:val="center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Saldo Inicial</w:t>
            </w:r>
          </w:p>
        </w:tc>
        <w:tc>
          <w:tcPr>
            <w:tcW w:w="1843" w:type="dxa"/>
          </w:tcPr>
          <w:p w:rsidR="00C33246" w:rsidRPr="0086222F" w:rsidRDefault="00C33246" w:rsidP="00496F80">
            <w:pPr>
              <w:jc w:val="center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Saldo Final</w:t>
            </w:r>
          </w:p>
        </w:tc>
      </w:tr>
      <w:tr w:rsidR="00C40335" w:rsidRPr="0086222F" w:rsidTr="00C33246">
        <w:tc>
          <w:tcPr>
            <w:tcW w:w="3292" w:type="dxa"/>
          </w:tcPr>
          <w:p w:rsidR="00C40335" w:rsidRPr="0086222F" w:rsidRDefault="00C40335" w:rsidP="00C40335">
            <w:pPr>
              <w:rPr>
                <w:rFonts w:ascii="Barlow" w:hAnsi="Barlow" w:cs="Arial"/>
              </w:rPr>
            </w:pPr>
            <w:r w:rsidRPr="0086222F">
              <w:rPr>
                <w:rFonts w:ascii="Barlow" w:hAnsi="Barlow" w:cs="Arial"/>
              </w:rPr>
              <w:t>HSBC – Contrato 250309</w:t>
            </w:r>
          </w:p>
        </w:tc>
        <w:tc>
          <w:tcPr>
            <w:tcW w:w="1701" w:type="dxa"/>
          </w:tcPr>
          <w:p w:rsidR="00C40335" w:rsidRPr="0086222F" w:rsidRDefault="00C40335" w:rsidP="008A42E8">
            <w:pPr>
              <w:jc w:val="right"/>
              <w:rPr>
                <w:rFonts w:ascii="Barlow" w:hAnsi="Barlow" w:cs="Arial"/>
              </w:rPr>
            </w:pPr>
            <w:r w:rsidRPr="0086222F">
              <w:rPr>
                <w:rFonts w:ascii="Barlow" w:hAnsi="Barlow" w:cs="Arial"/>
              </w:rPr>
              <w:t>$ 4’8</w:t>
            </w:r>
            <w:r w:rsidR="008A42E8" w:rsidRPr="0086222F">
              <w:rPr>
                <w:rFonts w:ascii="Barlow" w:hAnsi="Barlow" w:cs="Arial"/>
              </w:rPr>
              <w:t>48</w:t>
            </w:r>
            <w:r w:rsidRPr="0086222F">
              <w:rPr>
                <w:rFonts w:ascii="Barlow" w:hAnsi="Barlow" w:cs="Arial"/>
              </w:rPr>
              <w:t>,</w:t>
            </w:r>
            <w:r w:rsidR="008A42E8" w:rsidRPr="0086222F">
              <w:rPr>
                <w:rFonts w:ascii="Barlow" w:hAnsi="Barlow" w:cs="Arial"/>
              </w:rPr>
              <w:t>24</w:t>
            </w:r>
            <w:r w:rsidRPr="0086222F">
              <w:rPr>
                <w:rFonts w:ascii="Barlow" w:hAnsi="Barlow" w:cs="Arial"/>
              </w:rPr>
              <w:t>3.</w:t>
            </w:r>
            <w:r w:rsidR="008A42E8" w:rsidRPr="0086222F">
              <w:rPr>
                <w:rFonts w:ascii="Barlow" w:hAnsi="Barlow" w:cs="Arial"/>
              </w:rPr>
              <w:t>7</w:t>
            </w:r>
            <w:r w:rsidRPr="0086222F">
              <w:rPr>
                <w:rFonts w:ascii="Barlow" w:hAnsi="Barlow" w:cs="Arial"/>
              </w:rPr>
              <w:t>7</w:t>
            </w:r>
          </w:p>
        </w:tc>
        <w:tc>
          <w:tcPr>
            <w:tcW w:w="1843" w:type="dxa"/>
          </w:tcPr>
          <w:p w:rsidR="00C40335" w:rsidRPr="0086222F" w:rsidRDefault="00C40335" w:rsidP="00C40335">
            <w:pPr>
              <w:jc w:val="right"/>
              <w:rPr>
                <w:rFonts w:ascii="Barlow" w:hAnsi="Barlow" w:cs="Arial"/>
              </w:rPr>
            </w:pPr>
            <w:r w:rsidRPr="0086222F">
              <w:rPr>
                <w:rFonts w:ascii="Barlow" w:hAnsi="Barlow" w:cs="Arial"/>
              </w:rPr>
              <w:t>$ 4’848,243.77</w:t>
            </w:r>
          </w:p>
        </w:tc>
      </w:tr>
      <w:tr w:rsidR="00C40335" w:rsidRPr="0086222F" w:rsidTr="00C33246">
        <w:tc>
          <w:tcPr>
            <w:tcW w:w="3292" w:type="dxa"/>
          </w:tcPr>
          <w:p w:rsidR="00C40335" w:rsidRPr="0086222F" w:rsidRDefault="00C40335" w:rsidP="00C40335">
            <w:pPr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Total de Efectivo y Equivalentes</w:t>
            </w:r>
          </w:p>
        </w:tc>
        <w:tc>
          <w:tcPr>
            <w:tcW w:w="1701" w:type="dxa"/>
          </w:tcPr>
          <w:p w:rsidR="00C40335" w:rsidRPr="0086222F" w:rsidRDefault="008A42E8" w:rsidP="008A42E8">
            <w:pPr>
              <w:jc w:val="right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$4’848</w:t>
            </w:r>
            <w:r w:rsidR="00C40335" w:rsidRPr="0086222F">
              <w:rPr>
                <w:rFonts w:ascii="Barlow" w:hAnsi="Barlow" w:cs="Arial"/>
                <w:b/>
              </w:rPr>
              <w:t>,</w:t>
            </w:r>
            <w:r w:rsidRPr="0086222F">
              <w:rPr>
                <w:rFonts w:ascii="Barlow" w:hAnsi="Barlow" w:cs="Arial"/>
                <w:b/>
              </w:rPr>
              <w:t>24</w:t>
            </w:r>
            <w:r w:rsidR="00C40335" w:rsidRPr="0086222F">
              <w:rPr>
                <w:rFonts w:ascii="Barlow" w:hAnsi="Barlow" w:cs="Arial"/>
                <w:b/>
              </w:rPr>
              <w:t>3.</w:t>
            </w:r>
            <w:r w:rsidRPr="0086222F">
              <w:rPr>
                <w:rFonts w:ascii="Barlow" w:hAnsi="Barlow" w:cs="Arial"/>
                <w:b/>
              </w:rPr>
              <w:t>7</w:t>
            </w:r>
            <w:r w:rsidR="00C40335" w:rsidRPr="0086222F">
              <w:rPr>
                <w:rFonts w:ascii="Barlow" w:hAnsi="Barlow" w:cs="Arial"/>
                <w:b/>
              </w:rPr>
              <w:t>7</w:t>
            </w:r>
          </w:p>
        </w:tc>
        <w:tc>
          <w:tcPr>
            <w:tcW w:w="1843" w:type="dxa"/>
          </w:tcPr>
          <w:p w:rsidR="00C40335" w:rsidRPr="0086222F" w:rsidRDefault="00C40335" w:rsidP="00C40335">
            <w:pPr>
              <w:jc w:val="right"/>
              <w:rPr>
                <w:rFonts w:ascii="Barlow" w:hAnsi="Barlow" w:cs="Arial"/>
                <w:b/>
              </w:rPr>
            </w:pPr>
            <w:r w:rsidRPr="0086222F">
              <w:rPr>
                <w:rFonts w:ascii="Barlow" w:hAnsi="Barlow" w:cs="Arial"/>
                <w:b/>
              </w:rPr>
              <w:t>$4’848,243.77</w:t>
            </w:r>
          </w:p>
        </w:tc>
      </w:tr>
    </w:tbl>
    <w:p w:rsidR="00C33246" w:rsidRPr="0086222F" w:rsidRDefault="00C33246" w:rsidP="00C33246">
      <w:pPr>
        <w:spacing w:line="240" w:lineRule="auto"/>
        <w:ind w:left="360"/>
        <w:rPr>
          <w:rFonts w:ascii="Barlow" w:hAnsi="Barlow" w:cs="Arial"/>
          <w:sz w:val="20"/>
          <w:szCs w:val="20"/>
        </w:rPr>
      </w:pPr>
    </w:p>
    <w:p w:rsidR="00C33246" w:rsidRPr="0086222F" w:rsidRDefault="00C33246" w:rsidP="00C33246">
      <w:pPr>
        <w:spacing w:line="240" w:lineRule="auto"/>
        <w:ind w:left="360"/>
        <w:rPr>
          <w:rFonts w:ascii="Barlow" w:hAnsi="Barlow" w:cs="Arial"/>
          <w:sz w:val="20"/>
          <w:szCs w:val="20"/>
        </w:rPr>
      </w:pPr>
    </w:p>
    <w:p w:rsidR="00C33246" w:rsidRPr="0086222F" w:rsidRDefault="00C33246" w:rsidP="00C33246">
      <w:pPr>
        <w:pStyle w:val="Prrafodelista"/>
        <w:numPr>
          <w:ilvl w:val="0"/>
          <w:numId w:val="4"/>
        </w:numPr>
        <w:spacing w:line="240" w:lineRule="auto"/>
        <w:jc w:val="center"/>
        <w:rPr>
          <w:rFonts w:ascii="Barlow" w:hAnsi="Barlow" w:cs="Arial"/>
          <w:b/>
          <w:sz w:val="24"/>
          <w:szCs w:val="24"/>
        </w:rPr>
      </w:pPr>
      <w:r w:rsidRPr="0086222F">
        <w:rPr>
          <w:rFonts w:ascii="Barlow" w:hAnsi="Barlow" w:cs="Arial"/>
          <w:b/>
          <w:sz w:val="24"/>
          <w:szCs w:val="24"/>
        </w:rPr>
        <w:t>NOTAS DE MEMORIA (CUENTAS DE ORDEN)</w:t>
      </w:r>
    </w:p>
    <w:p w:rsidR="00C33246" w:rsidRPr="0086222F" w:rsidRDefault="00C33246" w:rsidP="00C33246">
      <w:pPr>
        <w:pStyle w:val="Prrafodelista"/>
        <w:spacing w:line="240" w:lineRule="auto"/>
        <w:rPr>
          <w:rFonts w:ascii="Barlow" w:hAnsi="Barlow" w:cs="Arial"/>
          <w:sz w:val="20"/>
          <w:szCs w:val="20"/>
        </w:rPr>
      </w:pPr>
    </w:p>
    <w:p w:rsidR="00C33246" w:rsidRPr="0086222F" w:rsidRDefault="00C33246" w:rsidP="00C33246">
      <w:pPr>
        <w:pStyle w:val="Prrafodelista"/>
        <w:spacing w:line="240" w:lineRule="auto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No se manejas</w:t>
      </w:r>
      <w:r w:rsidR="007604F4" w:rsidRPr="0086222F">
        <w:rPr>
          <w:rFonts w:ascii="Barlow" w:hAnsi="Barlow" w:cs="Arial"/>
          <w:sz w:val="20"/>
          <w:szCs w:val="20"/>
        </w:rPr>
        <w:t xml:space="preserve"> cuentas para los efectos de estas Notas.</w:t>
      </w:r>
    </w:p>
    <w:p w:rsidR="007604F4" w:rsidRPr="0086222F" w:rsidRDefault="007604F4" w:rsidP="00C33246">
      <w:pPr>
        <w:pStyle w:val="Prrafodelista"/>
        <w:spacing w:line="240" w:lineRule="auto"/>
        <w:rPr>
          <w:rFonts w:ascii="Barlow" w:hAnsi="Barlow" w:cs="Arial"/>
          <w:sz w:val="24"/>
          <w:szCs w:val="24"/>
        </w:rPr>
      </w:pPr>
    </w:p>
    <w:p w:rsidR="00594617" w:rsidRPr="0086222F" w:rsidRDefault="00594617" w:rsidP="007604F4">
      <w:pPr>
        <w:pStyle w:val="Prrafodelista"/>
        <w:numPr>
          <w:ilvl w:val="0"/>
          <w:numId w:val="4"/>
        </w:numPr>
        <w:spacing w:line="240" w:lineRule="auto"/>
        <w:jc w:val="center"/>
        <w:rPr>
          <w:rFonts w:ascii="Barlow" w:hAnsi="Barlow" w:cs="Arial"/>
          <w:b/>
          <w:sz w:val="24"/>
          <w:szCs w:val="24"/>
        </w:rPr>
      </w:pPr>
      <w:r w:rsidRPr="0086222F">
        <w:rPr>
          <w:rFonts w:ascii="Barlow" w:hAnsi="Barlow" w:cs="Arial"/>
          <w:b/>
          <w:sz w:val="24"/>
          <w:szCs w:val="24"/>
        </w:rPr>
        <w:t>NOTAS DE GESTIÓN ADMINISTRATIVO</w:t>
      </w:r>
    </w:p>
    <w:p w:rsidR="005F0E96" w:rsidRPr="0086222F" w:rsidRDefault="007604F4" w:rsidP="007604F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Barlow" w:hAnsi="Barlow" w:cs="Arial"/>
          <w:b/>
          <w:sz w:val="24"/>
          <w:szCs w:val="24"/>
        </w:rPr>
      </w:pPr>
      <w:r w:rsidRPr="0086222F">
        <w:rPr>
          <w:rFonts w:ascii="Barlow" w:hAnsi="Barlow" w:cs="Arial"/>
          <w:b/>
          <w:sz w:val="24"/>
          <w:szCs w:val="24"/>
        </w:rPr>
        <w:t>Introducción</w:t>
      </w:r>
    </w:p>
    <w:p w:rsidR="00594617" w:rsidRPr="0086222F" w:rsidRDefault="00BA5317" w:rsidP="00C437A3">
      <w:pPr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 xml:space="preserve">De los Programas Operativos Anuales 2008 del Gobierno del Estado de Yucatán, fue autorizada la partida asignada a la creación del FONDO DE PARTICIPACIÓN CIUDADANA, que sería destinado a la realización de las acciones procesales que permitan la intervención activa de los ciudadanos en la toma de decisiones </w:t>
      </w:r>
      <w:r w:rsidRPr="0086222F">
        <w:rPr>
          <w:rFonts w:ascii="Barlow" w:hAnsi="Barlow" w:cs="Arial"/>
          <w:sz w:val="20"/>
          <w:szCs w:val="20"/>
        </w:rPr>
        <w:lastRenderedPageBreak/>
        <w:t>públicas y la resolución de problemas de interés general, mediante la figura del Plebiscito y Referéndum previstas en el Título Segundo de la Ley de Participación Ciudadana que regula el Plebiscito, Referéndum y la Iniciativa Popular en el Estado de Yucatán.</w:t>
      </w:r>
    </w:p>
    <w:p w:rsidR="00E36CEB" w:rsidRPr="0086222F" w:rsidRDefault="00E36CEB" w:rsidP="00C437A3">
      <w:pPr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Mediante el Decreto 47 publicado en el Diario Oficial del Estado de Yucatán con fecha 24 de diciembre de 2007, en sus transi</w:t>
      </w:r>
      <w:r w:rsidR="00BA5317" w:rsidRPr="0086222F">
        <w:rPr>
          <w:rFonts w:ascii="Barlow" w:hAnsi="Barlow" w:cs="Arial"/>
          <w:sz w:val="20"/>
          <w:szCs w:val="20"/>
        </w:rPr>
        <w:t>torios se instruyó al entonces Instituto de Procedimientos Electorales y de Participación Ciudadana del Estado de Yucatán ahora Instituto Electoral y de Participación Ciudadana de Yucatán, para que los recursos asignados para el Fondo de Participación Ciudadana, se manejen mediante la constitución de un Fideicomiso durante el año 2008.</w:t>
      </w:r>
    </w:p>
    <w:p w:rsidR="00BA5317" w:rsidRPr="0086222F" w:rsidRDefault="00061A1D" w:rsidP="00C437A3">
      <w:pPr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Con fecha 14 de Marzo de 2008 se constituye un Fideicomiso Irrevocable de Administración e Inversión denominado “FIDEICOMISO DE PARTICIPACIÓN CIUDADANA DEL ESTADO DE YUCATÁN” por la cantidad de $ 4</w:t>
      </w:r>
      <w:proofErr w:type="gramStart"/>
      <w:r w:rsidRPr="0086222F">
        <w:rPr>
          <w:rFonts w:ascii="Barlow" w:hAnsi="Barlow" w:cs="Arial"/>
          <w:sz w:val="20"/>
          <w:szCs w:val="20"/>
        </w:rPr>
        <w:t>,999,999.00</w:t>
      </w:r>
      <w:proofErr w:type="gramEnd"/>
      <w:r w:rsidRPr="0086222F">
        <w:rPr>
          <w:rFonts w:ascii="Barlow" w:hAnsi="Barlow" w:cs="Arial"/>
          <w:sz w:val="20"/>
          <w:szCs w:val="20"/>
        </w:rPr>
        <w:t xml:space="preserve"> como aportación inicial del presente Fideicomiso. </w:t>
      </w:r>
    </w:p>
    <w:p w:rsidR="00061A1D" w:rsidRPr="0086222F" w:rsidRDefault="00061A1D" w:rsidP="00C437A3">
      <w:pPr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86222F">
        <w:rPr>
          <w:rFonts w:ascii="Barlow" w:hAnsi="Barlow" w:cs="Arial"/>
          <w:b/>
          <w:sz w:val="20"/>
          <w:szCs w:val="20"/>
          <w:u w:val="single"/>
        </w:rPr>
        <w:t>PARTES DEL FIDEICOMISO:</w:t>
      </w:r>
    </w:p>
    <w:p w:rsidR="00061A1D" w:rsidRPr="0086222F" w:rsidRDefault="00061A1D" w:rsidP="00C437A3">
      <w:pPr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FIDEICOMITENTE Y FIDEICOMISARIO: Instituto Electoral y de Participación Ciudadana de Yucatán</w:t>
      </w:r>
    </w:p>
    <w:p w:rsidR="00061A1D" w:rsidRPr="0086222F" w:rsidRDefault="00061A1D" w:rsidP="00C437A3">
      <w:pPr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>FIDUCIARIO: HSBC MÉXICO, S.A. Institución de Banca Múltiple, Grupo Financiero HSBC, División Fiduciaria.</w:t>
      </w:r>
    </w:p>
    <w:p w:rsidR="005F0E96" w:rsidRPr="0086222F" w:rsidRDefault="005F0E96" w:rsidP="005F0E96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86222F">
        <w:rPr>
          <w:rFonts w:ascii="Barlow" w:hAnsi="Barlow" w:cs="Arial"/>
          <w:b/>
          <w:sz w:val="20"/>
          <w:szCs w:val="20"/>
          <w:u w:val="single"/>
        </w:rPr>
        <w:t>FINES DEL FIDEICOMISO:</w:t>
      </w:r>
    </w:p>
    <w:p w:rsidR="00594617" w:rsidRPr="0086222F" w:rsidRDefault="005F0E96" w:rsidP="00C437A3">
      <w:pPr>
        <w:jc w:val="both"/>
        <w:rPr>
          <w:rFonts w:ascii="Barlow" w:hAnsi="Barlow" w:cs="Arial"/>
          <w:sz w:val="20"/>
          <w:szCs w:val="20"/>
        </w:rPr>
      </w:pPr>
      <w:r w:rsidRPr="0086222F">
        <w:rPr>
          <w:rFonts w:ascii="Barlow" w:hAnsi="Barlow" w:cs="Arial"/>
          <w:sz w:val="20"/>
          <w:szCs w:val="20"/>
        </w:rPr>
        <w:t xml:space="preserve">El Fideicomiso es la creación de un fondo que será destinado siempre por Instrucciones por escrito del Comité Técnico a cubrir hasta dónde éste alcance los costos y gastos que se generen para la realización de los Plebiscitos y Referéndums previstos en el Título Segundo de la Ley de Participación Ciudadana que regula el Plebiscito, Referéndum y la Iniciativa Popular en el Estado de Yucatán. </w:t>
      </w:r>
    </w:p>
    <w:p w:rsidR="002C58EF" w:rsidRPr="0086222F" w:rsidRDefault="002C58E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58EF" w:rsidRPr="0086222F" w:rsidRDefault="002C58E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222F">
        <w:rPr>
          <w:rFonts w:ascii="Barlow" w:hAnsi="Barlow"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sectPr w:rsidR="002C58EF" w:rsidRPr="0086222F" w:rsidSect="00DD20DA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A1" w:rsidRDefault="00CD75A1" w:rsidP="00C437A3">
      <w:pPr>
        <w:spacing w:after="0" w:line="240" w:lineRule="auto"/>
      </w:pPr>
      <w:r>
        <w:separator/>
      </w:r>
    </w:p>
  </w:endnote>
  <w:endnote w:type="continuationSeparator" w:id="0">
    <w:p w:rsidR="00CD75A1" w:rsidRDefault="00CD75A1" w:rsidP="00C4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A1" w:rsidRDefault="00CD75A1" w:rsidP="00C437A3">
      <w:pPr>
        <w:spacing w:after="0" w:line="240" w:lineRule="auto"/>
      </w:pPr>
      <w:r>
        <w:separator/>
      </w:r>
    </w:p>
  </w:footnote>
  <w:footnote w:type="continuationSeparator" w:id="0">
    <w:p w:rsidR="00CD75A1" w:rsidRDefault="00CD75A1" w:rsidP="00C4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49A"/>
    <w:multiLevelType w:val="hybridMultilevel"/>
    <w:tmpl w:val="644293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731A"/>
    <w:multiLevelType w:val="hybridMultilevel"/>
    <w:tmpl w:val="3A344EC8"/>
    <w:lvl w:ilvl="0" w:tplc="B54841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21FE9"/>
    <w:multiLevelType w:val="hybridMultilevel"/>
    <w:tmpl w:val="3D14A5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7A57"/>
    <w:multiLevelType w:val="hybridMultilevel"/>
    <w:tmpl w:val="11CADC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64B4C"/>
    <w:multiLevelType w:val="hybridMultilevel"/>
    <w:tmpl w:val="BB7E524E"/>
    <w:lvl w:ilvl="0" w:tplc="73842E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B580F"/>
    <w:multiLevelType w:val="hybridMultilevel"/>
    <w:tmpl w:val="BB7E524E"/>
    <w:lvl w:ilvl="0" w:tplc="73842E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219F3"/>
    <w:multiLevelType w:val="hybridMultilevel"/>
    <w:tmpl w:val="F7F29274"/>
    <w:lvl w:ilvl="0" w:tplc="183CF6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1A1D"/>
    <w:rsid w:val="000773CA"/>
    <w:rsid w:val="000A1251"/>
    <w:rsid w:val="00142199"/>
    <w:rsid w:val="00193A59"/>
    <w:rsid w:val="001D6145"/>
    <w:rsid w:val="001E50C5"/>
    <w:rsid w:val="001E7C0E"/>
    <w:rsid w:val="00207F0A"/>
    <w:rsid w:val="00263CA4"/>
    <w:rsid w:val="002C58EF"/>
    <w:rsid w:val="003129FF"/>
    <w:rsid w:val="00315A1D"/>
    <w:rsid w:val="003565D5"/>
    <w:rsid w:val="003C1C49"/>
    <w:rsid w:val="003E2DC9"/>
    <w:rsid w:val="003E5BEC"/>
    <w:rsid w:val="003F0739"/>
    <w:rsid w:val="00423133"/>
    <w:rsid w:val="00424B74"/>
    <w:rsid w:val="00496F80"/>
    <w:rsid w:val="004D398D"/>
    <w:rsid w:val="005620D4"/>
    <w:rsid w:val="0057307E"/>
    <w:rsid w:val="00594617"/>
    <w:rsid w:val="005F0E96"/>
    <w:rsid w:val="005F74FA"/>
    <w:rsid w:val="00602DD7"/>
    <w:rsid w:val="006052A6"/>
    <w:rsid w:val="00626DFB"/>
    <w:rsid w:val="0067300E"/>
    <w:rsid w:val="006A1CB0"/>
    <w:rsid w:val="006B09E2"/>
    <w:rsid w:val="006F0BF0"/>
    <w:rsid w:val="006F3019"/>
    <w:rsid w:val="007526B1"/>
    <w:rsid w:val="007604F4"/>
    <w:rsid w:val="007772BE"/>
    <w:rsid w:val="0079181D"/>
    <w:rsid w:val="007C4F75"/>
    <w:rsid w:val="007F0362"/>
    <w:rsid w:val="0086222F"/>
    <w:rsid w:val="008A42E8"/>
    <w:rsid w:val="008C7F33"/>
    <w:rsid w:val="00915AD7"/>
    <w:rsid w:val="00917213"/>
    <w:rsid w:val="009A4243"/>
    <w:rsid w:val="009C6AD4"/>
    <w:rsid w:val="009F0748"/>
    <w:rsid w:val="00A76127"/>
    <w:rsid w:val="00A90F2B"/>
    <w:rsid w:val="00A91E63"/>
    <w:rsid w:val="00B234E5"/>
    <w:rsid w:val="00B56042"/>
    <w:rsid w:val="00B777D5"/>
    <w:rsid w:val="00BA5317"/>
    <w:rsid w:val="00BE3121"/>
    <w:rsid w:val="00BF6CAF"/>
    <w:rsid w:val="00C1308F"/>
    <w:rsid w:val="00C33246"/>
    <w:rsid w:val="00C40335"/>
    <w:rsid w:val="00C40E84"/>
    <w:rsid w:val="00C437A3"/>
    <w:rsid w:val="00CB2208"/>
    <w:rsid w:val="00CD75A1"/>
    <w:rsid w:val="00D169B9"/>
    <w:rsid w:val="00D37054"/>
    <w:rsid w:val="00D60FCA"/>
    <w:rsid w:val="00D83798"/>
    <w:rsid w:val="00DD20DA"/>
    <w:rsid w:val="00E0026D"/>
    <w:rsid w:val="00E07AE6"/>
    <w:rsid w:val="00E36CEB"/>
    <w:rsid w:val="00E675BF"/>
    <w:rsid w:val="00EF26DE"/>
    <w:rsid w:val="00F42D3C"/>
    <w:rsid w:val="00F77405"/>
    <w:rsid w:val="00FA6772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675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3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7A3"/>
  </w:style>
  <w:style w:type="paragraph" w:styleId="Piedepgina">
    <w:name w:val="footer"/>
    <w:basedOn w:val="Normal"/>
    <w:link w:val="PiedepginaCar"/>
    <w:uiPriority w:val="99"/>
    <w:unhideWhenUsed/>
    <w:rsid w:val="00C43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7A3"/>
  </w:style>
  <w:style w:type="paragraph" w:styleId="Textodeglobo">
    <w:name w:val="Balloon Text"/>
    <w:basedOn w:val="Normal"/>
    <w:link w:val="TextodegloboCar"/>
    <w:uiPriority w:val="99"/>
    <w:semiHidden/>
    <w:unhideWhenUsed/>
    <w:rsid w:val="00F42D3C"/>
    <w:pPr>
      <w:spacing w:after="0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D3C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675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3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7A3"/>
  </w:style>
  <w:style w:type="paragraph" w:styleId="Piedepgina">
    <w:name w:val="footer"/>
    <w:basedOn w:val="Normal"/>
    <w:link w:val="PiedepginaCar"/>
    <w:uiPriority w:val="99"/>
    <w:unhideWhenUsed/>
    <w:rsid w:val="00C43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7A3"/>
  </w:style>
  <w:style w:type="paragraph" w:styleId="Textodeglobo">
    <w:name w:val="Balloon Text"/>
    <w:basedOn w:val="Normal"/>
    <w:link w:val="TextodegloboCar"/>
    <w:uiPriority w:val="99"/>
    <w:semiHidden/>
    <w:unhideWhenUsed/>
    <w:rsid w:val="00F42D3C"/>
    <w:pPr>
      <w:spacing w:after="0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D3C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Y. Lara Medrano</cp:lastModifiedBy>
  <cp:revision>9</cp:revision>
  <cp:lastPrinted>2017-01-20T21:22:00Z</cp:lastPrinted>
  <dcterms:created xsi:type="dcterms:W3CDTF">2019-02-20T22:41:00Z</dcterms:created>
  <dcterms:modified xsi:type="dcterms:W3CDTF">2019-05-20T16:09:00Z</dcterms:modified>
</cp:coreProperties>
</file>