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318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131889">
        <w:rPr>
          <w:rFonts w:ascii="Barlow" w:hAnsi="Barlow" w:cs="Arial"/>
          <w:b/>
          <w:sz w:val="20"/>
          <w:szCs w:val="20"/>
        </w:rPr>
        <w:t>Cuenta Pública</w:t>
      </w:r>
      <w:r w:rsidR="00093B8B" w:rsidRPr="00131889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131889" w:rsidRDefault="006F0BF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Notas a los Estados Financieros</w:t>
      </w:r>
    </w:p>
    <w:p w:rsidR="000C5E01" w:rsidRPr="00131889" w:rsidRDefault="000773CA" w:rsidP="000C5E0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A</w:t>
      </w:r>
      <w:r w:rsidR="00E227E2" w:rsidRPr="00131889">
        <w:rPr>
          <w:rFonts w:ascii="Barlow" w:hAnsi="Barlow" w:cs="Arial"/>
          <w:b/>
          <w:sz w:val="20"/>
          <w:szCs w:val="20"/>
        </w:rPr>
        <w:t xml:space="preserve">l </w:t>
      </w:r>
      <w:r w:rsidR="00F004DF" w:rsidRPr="00131889">
        <w:rPr>
          <w:rFonts w:ascii="Barlow" w:hAnsi="Barlow" w:cs="Arial"/>
          <w:b/>
          <w:sz w:val="20"/>
          <w:szCs w:val="20"/>
        </w:rPr>
        <w:t>31</w:t>
      </w:r>
      <w:r w:rsidR="00E227E2" w:rsidRPr="00131889">
        <w:rPr>
          <w:rFonts w:ascii="Barlow" w:hAnsi="Barlow" w:cs="Arial"/>
          <w:b/>
          <w:sz w:val="20"/>
          <w:szCs w:val="20"/>
        </w:rPr>
        <w:t xml:space="preserve"> de </w:t>
      </w:r>
      <w:r w:rsidR="00F004DF" w:rsidRPr="00131889">
        <w:rPr>
          <w:rFonts w:ascii="Barlow" w:hAnsi="Barlow" w:cs="Arial"/>
          <w:b/>
          <w:sz w:val="20"/>
          <w:szCs w:val="20"/>
        </w:rPr>
        <w:t>Marzo</w:t>
      </w:r>
      <w:r w:rsidR="00E227E2" w:rsidRPr="00131889">
        <w:rPr>
          <w:rFonts w:ascii="Barlow" w:hAnsi="Barlow" w:cs="Arial"/>
          <w:b/>
          <w:sz w:val="20"/>
          <w:szCs w:val="20"/>
        </w:rPr>
        <w:t xml:space="preserve"> </w:t>
      </w:r>
      <w:r w:rsidR="000C5E01" w:rsidRPr="00131889">
        <w:rPr>
          <w:rFonts w:ascii="Barlow" w:hAnsi="Barlow" w:cs="Arial"/>
          <w:b/>
          <w:sz w:val="20"/>
          <w:szCs w:val="20"/>
        </w:rPr>
        <w:t>de 201</w:t>
      </w:r>
      <w:r w:rsidR="00093B8B" w:rsidRPr="00131889">
        <w:rPr>
          <w:rFonts w:ascii="Barlow" w:hAnsi="Barlow" w:cs="Arial"/>
          <w:b/>
          <w:sz w:val="20"/>
          <w:szCs w:val="20"/>
        </w:rPr>
        <w:t>9</w:t>
      </w:r>
    </w:p>
    <w:p w:rsidR="006F3019" w:rsidRPr="001318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(Pesos)</w:t>
      </w:r>
    </w:p>
    <w:p w:rsidR="006F3019" w:rsidRPr="001318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94617" w:rsidRPr="00131889" w:rsidRDefault="00B14E7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31889">
        <w:rPr>
          <w:rFonts w:ascii="Barlow" w:hAnsi="Barlow" w:cs="Arial"/>
          <w:b/>
          <w:sz w:val="20"/>
          <w:szCs w:val="20"/>
        </w:rPr>
        <w:t xml:space="preserve">: </w:t>
      </w:r>
      <w:r w:rsidR="00C76C40" w:rsidRPr="00131889">
        <w:rPr>
          <w:rFonts w:ascii="Barlow" w:hAnsi="Barlow" w:cs="Arial"/>
          <w:b/>
          <w:sz w:val="20"/>
          <w:szCs w:val="20"/>
        </w:rPr>
        <w:t xml:space="preserve"> FIDEICOMISO</w:t>
      </w:r>
      <w:proofErr w:type="gramEnd"/>
      <w:r w:rsidR="00C76C40" w:rsidRPr="00131889">
        <w:rPr>
          <w:rFonts w:ascii="Barlow" w:hAnsi="Barlow" w:cs="Arial"/>
          <w:b/>
          <w:sz w:val="20"/>
          <w:szCs w:val="20"/>
        </w:rPr>
        <w:t xml:space="preserve"> </w:t>
      </w:r>
      <w:r w:rsidR="00191849" w:rsidRPr="00131889">
        <w:rPr>
          <w:rFonts w:ascii="Barlow" w:hAnsi="Barlow" w:cs="Arial"/>
          <w:b/>
          <w:sz w:val="20"/>
          <w:szCs w:val="20"/>
        </w:rPr>
        <w:t>FONDO DE CRÉDITO AGROPECUARIO Y PESQUERO DE YUCATÁN</w:t>
      </w:r>
      <w:r w:rsidR="00C76C40" w:rsidRPr="00131889">
        <w:rPr>
          <w:rFonts w:ascii="Barlow" w:hAnsi="Barlow" w:cs="Arial"/>
          <w:b/>
          <w:sz w:val="20"/>
          <w:szCs w:val="20"/>
        </w:rPr>
        <w:t xml:space="preserve"> </w:t>
      </w:r>
    </w:p>
    <w:p w:rsidR="00B14E7E" w:rsidRPr="0013188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B14E7E" w:rsidRPr="0013188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sz w:val="20"/>
        </w:rPr>
        <w:t>A continuación se presentan los tres tipos de notas que acompañan a los estados, a saber:</w:t>
      </w:r>
    </w:p>
    <w:p w:rsidR="00B14E7E" w:rsidRPr="0013188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sz w:val="20"/>
        </w:rPr>
        <w:t xml:space="preserve">a) </w:t>
      </w:r>
      <w:r w:rsidRPr="00131889">
        <w:rPr>
          <w:rFonts w:ascii="Barlow" w:hAnsi="Barlow" w:cstheme="minorHAnsi"/>
          <w:sz w:val="20"/>
        </w:rPr>
        <w:tab/>
        <w:t>Notas de desglose;</w:t>
      </w:r>
    </w:p>
    <w:p w:rsidR="00B14E7E" w:rsidRPr="0013188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sz w:val="20"/>
        </w:rPr>
        <w:t xml:space="preserve">b) </w:t>
      </w:r>
      <w:r w:rsidRPr="00131889">
        <w:rPr>
          <w:rFonts w:ascii="Barlow" w:hAnsi="Barlow" w:cstheme="minorHAnsi"/>
          <w:sz w:val="20"/>
        </w:rPr>
        <w:tab/>
        <w:t>Notas de memoria (cuentas de orden), y</w:t>
      </w:r>
    </w:p>
    <w:p w:rsidR="00B14E7E" w:rsidRPr="0013188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sz w:val="20"/>
        </w:rPr>
        <w:t xml:space="preserve">c) </w:t>
      </w:r>
      <w:r w:rsidRPr="00131889">
        <w:rPr>
          <w:rFonts w:ascii="Barlow" w:hAnsi="Barlow" w:cstheme="minorHAnsi"/>
          <w:sz w:val="20"/>
        </w:rPr>
        <w:tab/>
        <w:t>Notas de gestión administrativa.</w:t>
      </w:r>
    </w:p>
    <w:p w:rsidR="006D3F6F" w:rsidRPr="00131889" w:rsidRDefault="006D3F6F" w:rsidP="006D3F6F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</w:rPr>
      </w:pPr>
    </w:p>
    <w:p w:rsidR="000D4C23" w:rsidRPr="00131889" w:rsidRDefault="000D4C23">
      <w:pPr>
        <w:rPr>
          <w:rFonts w:ascii="Barlow" w:eastAsia="Times New Roman" w:hAnsi="Barlow" w:cstheme="minorHAnsi"/>
          <w:b/>
          <w:sz w:val="20"/>
          <w:szCs w:val="20"/>
          <w:lang w:val="es-ES" w:eastAsia="es-ES"/>
        </w:rPr>
      </w:pPr>
      <w:r w:rsidRPr="00131889">
        <w:rPr>
          <w:rFonts w:ascii="Barlow" w:hAnsi="Barlow" w:cstheme="minorHAnsi"/>
          <w:b/>
          <w:sz w:val="20"/>
        </w:rPr>
        <w:br w:type="page"/>
      </w:r>
    </w:p>
    <w:p w:rsidR="00B14E7E" w:rsidRPr="00131889" w:rsidRDefault="00B14E7E" w:rsidP="006D3F6F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</w:rPr>
      </w:pPr>
      <w:r w:rsidRPr="00131889">
        <w:rPr>
          <w:rFonts w:ascii="Barlow" w:hAnsi="Barlow" w:cstheme="minorHAnsi"/>
          <w:b/>
          <w:sz w:val="20"/>
        </w:rPr>
        <w:lastRenderedPageBreak/>
        <w:t>a) NOTAS DE DESGLOSE</w:t>
      </w:r>
    </w:p>
    <w:p w:rsidR="00B14E7E" w:rsidRPr="00131889" w:rsidRDefault="006D3F6F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31889">
        <w:rPr>
          <w:rFonts w:ascii="Barlow" w:hAnsi="Barlow" w:cstheme="minorHAnsi"/>
          <w:b/>
          <w:smallCaps/>
          <w:sz w:val="20"/>
        </w:rPr>
        <w:t>I)</w:t>
      </w:r>
      <w:r w:rsidR="00B14E7E" w:rsidRPr="00131889">
        <w:rPr>
          <w:rFonts w:ascii="Barlow" w:hAnsi="Barlow" w:cstheme="minorHAnsi"/>
          <w:b/>
          <w:smallCaps/>
          <w:sz w:val="20"/>
        </w:rPr>
        <w:t>Notas al Estado de Situación Financiera</w:t>
      </w:r>
    </w:p>
    <w:p w:rsidR="00B14E7E" w:rsidRPr="00131889" w:rsidRDefault="00B14E7E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Activo</w:t>
      </w:r>
    </w:p>
    <w:p w:rsidR="00B14E7E" w:rsidRPr="00131889" w:rsidRDefault="00B14E7E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14E7E" w:rsidRPr="00131889" w:rsidTr="005A1D17">
        <w:tc>
          <w:tcPr>
            <w:tcW w:w="4322" w:type="dxa"/>
          </w:tcPr>
          <w:p w:rsidR="00B14E7E" w:rsidRPr="00131889" w:rsidRDefault="00B14E7E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:rsidR="00B14E7E" w:rsidRPr="00131889" w:rsidRDefault="00B14E7E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Importe</w:t>
            </w:r>
          </w:p>
        </w:tc>
      </w:tr>
      <w:tr w:rsidR="00B14E7E" w:rsidRPr="00131889" w:rsidTr="005A1D17">
        <w:tc>
          <w:tcPr>
            <w:tcW w:w="4322" w:type="dxa"/>
          </w:tcPr>
          <w:p w:rsidR="00B14E7E" w:rsidRPr="00131889" w:rsidRDefault="00B14E7E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4322" w:type="dxa"/>
          </w:tcPr>
          <w:p w:rsidR="00B14E7E" w:rsidRPr="00131889" w:rsidRDefault="00B14E7E" w:rsidP="00B14E7E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 xml:space="preserve">$ 0.00   </w:t>
            </w:r>
          </w:p>
        </w:tc>
      </w:tr>
      <w:tr w:rsidR="00B14E7E" w:rsidRPr="00131889" w:rsidTr="005A1D17">
        <w:tc>
          <w:tcPr>
            <w:tcW w:w="4322" w:type="dxa"/>
          </w:tcPr>
          <w:p w:rsidR="00B14E7E" w:rsidRPr="00131889" w:rsidRDefault="00B14E7E" w:rsidP="005A1D1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Bancos/ Tesorería</w:t>
            </w:r>
          </w:p>
          <w:p w:rsidR="00B14E7E" w:rsidRPr="00131889" w:rsidRDefault="00B14E7E" w:rsidP="00E115C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 xml:space="preserve">Banorte Cta. </w:t>
            </w:r>
            <w:r w:rsidR="006D3F6F" w:rsidRPr="00131889">
              <w:rPr>
                <w:rFonts w:ascii="Barlow" w:hAnsi="Barlow" w:cstheme="minorHAnsi"/>
                <w:sz w:val="20"/>
                <w:szCs w:val="20"/>
              </w:rPr>
              <w:t>0633654690</w:t>
            </w:r>
          </w:p>
        </w:tc>
        <w:tc>
          <w:tcPr>
            <w:tcW w:w="4322" w:type="dxa"/>
          </w:tcPr>
          <w:p w:rsidR="006D3F6F" w:rsidRPr="00131889" w:rsidRDefault="00246170" w:rsidP="008F7BB6">
            <w:pPr>
              <w:jc w:val="center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$</w:t>
            </w:r>
            <w:r w:rsidR="00333E4E" w:rsidRPr="00131889">
              <w:rPr>
                <w:rFonts w:ascii="Barlow" w:hAnsi="Barlow" w:cstheme="minorHAnsi"/>
                <w:bCs/>
                <w:sz w:val="20"/>
                <w:szCs w:val="20"/>
              </w:rPr>
              <w:t>2</w:t>
            </w: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,</w:t>
            </w:r>
            <w:r w:rsidR="00333E4E" w:rsidRPr="00131889">
              <w:rPr>
                <w:rFonts w:ascii="Barlow" w:hAnsi="Barlow" w:cstheme="minorHAnsi"/>
                <w:bCs/>
                <w:sz w:val="20"/>
                <w:szCs w:val="20"/>
              </w:rPr>
              <w:t>13</w:t>
            </w:r>
            <w:r w:rsidR="008F7BB6" w:rsidRPr="00131889">
              <w:rPr>
                <w:rFonts w:ascii="Barlow" w:hAnsi="Barlow" w:cstheme="minorHAnsi"/>
                <w:bCs/>
                <w:sz w:val="20"/>
                <w:szCs w:val="20"/>
              </w:rPr>
              <w:t>9</w:t>
            </w: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,</w:t>
            </w:r>
            <w:r w:rsidR="008F7BB6" w:rsidRPr="00131889">
              <w:rPr>
                <w:rFonts w:ascii="Barlow" w:hAnsi="Barlow" w:cstheme="minorHAnsi"/>
                <w:bCs/>
                <w:sz w:val="20"/>
                <w:szCs w:val="20"/>
              </w:rPr>
              <w:t>324</w:t>
            </w:r>
            <w:r w:rsidR="004E3E63" w:rsidRPr="00131889">
              <w:rPr>
                <w:rFonts w:ascii="Barlow" w:hAnsi="Barlow" w:cstheme="minorHAnsi"/>
                <w:bCs/>
                <w:sz w:val="20"/>
                <w:szCs w:val="20"/>
              </w:rPr>
              <w:t>.</w:t>
            </w:r>
            <w:r w:rsidR="008F7BB6" w:rsidRPr="00131889">
              <w:rPr>
                <w:rFonts w:ascii="Barlow" w:hAnsi="Barlow" w:cstheme="minorHAnsi"/>
                <w:bCs/>
                <w:sz w:val="20"/>
                <w:szCs w:val="20"/>
              </w:rPr>
              <w:t>01</w:t>
            </w:r>
          </w:p>
        </w:tc>
      </w:tr>
    </w:tbl>
    <w:p w:rsidR="00B14E7E" w:rsidRPr="00131889" w:rsidRDefault="00B14E7E" w:rsidP="00B14E7E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:rsidR="00494EB2" w:rsidRPr="00131889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 xml:space="preserve">Efectivo y Fondo Fijo.- </w:t>
      </w:r>
      <w:r w:rsidRPr="00131889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6D2444" w:rsidRPr="00131889" w:rsidRDefault="00494EB2" w:rsidP="006D2444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>Bancos/Tesorería</w:t>
      </w:r>
      <w:r w:rsidR="006D2444" w:rsidRPr="00131889">
        <w:rPr>
          <w:rFonts w:ascii="Barlow" w:hAnsi="Barlow" w:cstheme="minorHAnsi"/>
          <w:b/>
          <w:bCs/>
          <w:sz w:val="20"/>
          <w:szCs w:val="20"/>
        </w:rPr>
        <w:t xml:space="preserve">.- </w:t>
      </w:r>
      <w:r w:rsidR="006D2444" w:rsidRPr="00131889">
        <w:rPr>
          <w:rFonts w:ascii="Barlow" w:hAnsi="Barlow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:rsidR="00292B51" w:rsidRPr="00131889" w:rsidRDefault="00292B51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494EB2" w:rsidRPr="00131889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b/>
          <w:sz w:val="20"/>
          <w:szCs w:val="20"/>
        </w:rPr>
        <w:lastRenderedPageBreak/>
        <w:t xml:space="preserve">Derechos a Recibir Efectivo y Equivalentes y Bienes o Servicios a recibir.- </w:t>
      </w:r>
      <w:r w:rsidRPr="00131889">
        <w:rPr>
          <w:rFonts w:ascii="Barlow" w:hAnsi="Barlow" w:cstheme="minorHAnsi"/>
          <w:sz w:val="20"/>
          <w:szCs w:val="20"/>
        </w:rPr>
        <w:t xml:space="preserve"> Los saldos de las cuentas por cobrar de los créditos otorgados de los 5 ejercicios anteriores se desglosan a continuación:</w:t>
      </w:r>
    </w:p>
    <w:p w:rsidR="00292B51" w:rsidRPr="00131889" w:rsidRDefault="00292B51" w:rsidP="00494EB2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738"/>
      </w:tblGrid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="FreeSans"/>
                <w:sz w:val="16"/>
                <w:szCs w:val="16"/>
              </w:rPr>
              <w:t>DERECHOS A RECIBIR EFECTIVO O EQUIVALENTES</w:t>
            </w:r>
          </w:p>
        </w:tc>
        <w:tc>
          <w:tcPr>
            <w:tcW w:w="1738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2018</w:t>
            </w:r>
          </w:p>
        </w:tc>
        <w:tc>
          <w:tcPr>
            <w:tcW w:w="1738" w:type="dxa"/>
          </w:tcPr>
          <w:p w:rsidR="00207DE9" w:rsidRPr="00131889" w:rsidRDefault="00207DE9" w:rsidP="00207DE9">
            <w:pPr>
              <w:jc w:val="both"/>
              <w:rPr>
                <w:rFonts w:ascii="Barlow" w:hAnsi="Barlow" w:cs="Arial"/>
                <w:bCs/>
                <w:color w:val="000000" w:themeColor="text1"/>
                <w:sz w:val="16"/>
              </w:rPr>
            </w:pPr>
            <w:r w:rsidRPr="00131889">
              <w:rPr>
                <w:rFonts w:ascii="Barlow" w:hAnsi="Barlow" w:cs="Arial"/>
                <w:bCs/>
                <w:color w:val="000000" w:themeColor="text1"/>
                <w:sz w:val="16"/>
              </w:rPr>
              <w:t>$           4,</w:t>
            </w:r>
            <w:r w:rsidR="004F2AD4" w:rsidRPr="00131889">
              <w:rPr>
                <w:rFonts w:ascii="Barlow" w:hAnsi="Barlow" w:cs="Arial"/>
                <w:bCs/>
                <w:color w:val="000000" w:themeColor="text1"/>
                <w:sz w:val="16"/>
              </w:rPr>
              <w:t>523</w:t>
            </w:r>
            <w:r w:rsidRPr="00131889">
              <w:rPr>
                <w:rFonts w:ascii="Barlow" w:hAnsi="Barlow" w:cs="Arial"/>
                <w:bCs/>
                <w:color w:val="000000" w:themeColor="text1"/>
                <w:sz w:val="16"/>
              </w:rPr>
              <w:t>,</w:t>
            </w:r>
            <w:r w:rsidR="004F2AD4" w:rsidRPr="00131889">
              <w:rPr>
                <w:rFonts w:ascii="Barlow" w:hAnsi="Barlow" w:cs="Arial"/>
                <w:bCs/>
                <w:color w:val="000000" w:themeColor="text1"/>
                <w:sz w:val="16"/>
              </w:rPr>
              <w:t>053.14</w:t>
            </w:r>
            <w:r w:rsidRPr="00131889">
              <w:rPr>
                <w:rFonts w:ascii="Barlow" w:hAnsi="Barlow" w:cs="Arial"/>
                <w:bCs/>
                <w:color w:val="000000" w:themeColor="text1"/>
                <w:sz w:val="16"/>
              </w:rPr>
              <w:t xml:space="preserve"> </w:t>
            </w:r>
          </w:p>
          <w:p w:rsidR="00494EB2" w:rsidRPr="00131889" w:rsidRDefault="00494EB2" w:rsidP="009110C7">
            <w:pPr>
              <w:jc w:val="both"/>
              <w:rPr>
                <w:rFonts w:ascii="Barlow" w:hAnsi="Barlow"/>
                <w:color w:val="000000" w:themeColor="text1"/>
                <w:sz w:val="20"/>
                <w:szCs w:val="20"/>
              </w:rPr>
            </w:pP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2017</w:t>
            </w:r>
          </w:p>
        </w:tc>
        <w:tc>
          <w:tcPr>
            <w:tcW w:w="1738" w:type="dxa"/>
          </w:tcPr>
          <w:p w:rsidR="00494EB2" w:rsidRPr="00131889" w:rsidRDefault="009110C7" w:rsidP="00207DE9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$         1,</w:t>
            </w:r>
            <w:r w:rsidR="00207DE9" w:rsidRPr="00131889">
              <w:rPr>
                <w:rFonts w:ascii="Barlow" w:hAnsi="Barlow"/>
                <w:color w:val="000000"/>
                <w:sz w:val="20"/>
                <w:szCs w:val="20"/>
              </w:rPr>
              <w:t>5</w:t>
            </w: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00,000.00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2016</w:t>
            </w:r>
          </w:p>
        </w:tc>
        <w:tc>
          <w:tcPr>
            <w:tcW w:w="1738" w:type="dxa"/>
          </w:tcPr>
          <w:p w:rsidR="00494EB2" w:rsidRPr="00131889" w:rsidRDefault="009110C7" w:rsidP="00207DE9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 xml:space="preserve">$      </w:t>
            </w:r>
            <w:r w:rsidR="00207DE9" w:rsidRPr="00131889">
              <w:rPr>
                <w:rFonts w:ascii="Barlow" w:hAnsi="Barlow"/>
                <w:color w:val="000000"/>
                <w:sz w:val="20"/>
                <w:szCs w:val="20"/>
              </w:rPr>
              <w:t>1,049</w:t>
            </w: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,484.93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2015</w:t>
            </w:r>
          </w:p>
        </w:tc>
        <w:tc>
          <w:tcPr>
            <w:tcW w:w="1738" w:type="dxa"/>
          </w:tcPr>
          <w:p w:rsidR="00494EB2" w:rsidRPr="00131889" w:rsidRDefault="00207DE9" w:rsidP="004F2AD4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$ 1,</w:t>
            </w:r>
            <w:r w:rsidR="004F2AD4" w:rsidRPr="00131889">
              <w:rPr>
                <w:rFonts w:ascii="Barlow" w:hAnsi="Barlow"/>
                <w:color w:val="000000"/>
                <w:sz w:val="20"/>
                <w:szCs w:val="20"/>
              </w:rPr>
              <w:t>323</w:t>
            </w: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,</w:t>
            </w:r>
            <w:r w:rsidR="004F2AD4" w:rsidRPr="00131889">
              <w:rPr>
                <w:rFonts w:ascii="Barlow" w:hAnsi="Barlow"/>
                <w:color w:val="000000"/>
                <w:sz w:val="20"/>
                <w:szCs w:val="20"/>
              </w:rPr>
              <w:t>547</w:t>
            </w:r>
            <w:r w:rsidR="009110C7" w:rsidRPr="00131889">
              <w:rPr>
                <w:rFonts w:ascii="Barlow" w:hAnsi="Barlow"/>
                <w:color w:val="000000"/>
                <w:sz w:val="20"/>
                <w:szCs w:val="20"/>
              </w:rPr>
              <w:t>.</w:t>
            </w:r>
            <w:r w:rsidR="004F2AD4" w:rsidRPr="00131889">
              <w:rPr>
                <w:rFonts w:ascii="Barlow" w:hAnsi="Barlow"/>
                <w:color w:val="000000"/>
                <w:sz w:val="20"/>
                <w:szCs w:val="20"/>
              </w:rPr>
              <w:t>73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2014</w:t>
            </w:r>
          </w:p>
          <w:p w:rsidR="00494EB2" w:rsidRPr="00131889" w:rsidRDefault="00494EB2" w:rsidP="008C7FF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38" w:type="dxa"/>
          </w:tcPr>
          <w:p w:rsidR="00494EB2" w:rsidRPr="00131889" w:rsidRDefault="00494EB2" w:rsidP="009110C7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$</w:t>
            </w:r>
            <w:r w:rsidR="009110C7" w:rsidRPr="00131889">
              <w:rPr>
                <w:rFonts w:ascii="Barlow" w:hAnsi="Barlow"/>
                <w:color w:val="000000"/>
                <w:sz w:val="20"/>
                <w:szCs w:val="20"/>
              </w:rPr>
              <w:t xml:space="preserve">                     0.00</w:t>
            </w:r>
          </w:p>
        </w:tc>
      </w:tr>
      <w:tr w:rsidR="00207DE9" w:rsidRPr="00131889" w:rsidTr="008C7FF5">
        <w:tc>
          <w:tcPr>
            <w:tcW w:w="4322" w:type="dxa"/>
          </w:tcPr>
          <w:p w:rsidR="00207DE9" w:rsidRPr="00131889" w:rsidRDefault="00207DE9" w:rsidP="008C7FF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ANTERIORES A 2014</w:t>
            </w:r>
          </w:p>
        </w:tc>
        <w:tc>
          <w:tcPr>
            <w:tcW w:w="1738" w:type="dxa"/>
          </w:tcPr>
          <w:p w:rsidR="00207DE9" w:rsidRPr="00131889" w:rsidRDefault="00207DE9" w:rsidP="009110C7">
            <w:pPr>
              <w:jc w:val="both"/>
              <w:rPr>
                <w:rFonts w:ascii="Barlow" w:hAnsi="Barlow"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color w:val="000000"/>
                <w:sz w:val="20"/>
                <w:szCs w:val="20"/>
              </w:rPr>
              <w:t>$5,297,716.64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738" w:type="dxa"/>
          </w:tcPr>
          <w:p w:rsidR="00494EB2" w:rsidRPr="00131889" w:rsidRDefault="00494EB2" w:rsidP="008C7FF5">
            <w:pPr>
              <w:jc w:val="both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begin"/>
            </w: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separate"/>
            </w:r>
            <w:r w:rsidR="004F2AD4" w:rsidRPr="00131889">
              <w:rPr>
                <w:rFonts w:ascii="Barlow" w:hAnsi="Barlow"/>
                <w:b/>
                <w:noProof/>
                <w:color w:val="000000"/>
                <w:sz w:val="20"/>
                <w:szCs w:val="20"/>
              </w:rPr>
              <w:t>$13,693,802.44</w:t>
            </w: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94EB2" w:rsidRPr="00131889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292B51" w:rsidRPr="00131889" w:rsidRDefault="00292B51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494EB2" w:rsidRPr="00131889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lastRenderedPageBreak/>
        <w:t>La siguiente tabla presenta la agrupación por periodo de vencimiento en días.</w:t>
      </w: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738"/>
      </w:tblGrid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="FreeSans"/>
                <w:sz w:val="16"/>
                <w:szCs w:val="16"/>
              </w:rPr>
              <w:t>DERECHOS A RECIBIR EFECTIVO O EQUIVALENTES</w:t>
            </w:r>
          </w:p>
        </w:tc>
        <w:tc>
          <w:tcPr>
            <w:tcW w:w="1738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Menor a 90 días</w:t>
            </w:r>
          </w:p>
        </w:tc>
        <w:tc>
          <w:tcPr>
            <w:tcW w:w="1738" w:type="dxa"/>
          </w:tcPr>
          <w:p w:rsidR="00494EB2" w:rsidRPr="00131889" w:rsidRDefault="00494EB2" w:rsidP="001B5A5F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$</w:t>
            </w:r>
            <w:r w:rsidR="006D2444" w:rsidRPr="00131889">
              <w:rPr>
                <w:rFonts w:ascii="Barlow" w:hAnsi="Barlow" w:cstheme="minorHAnsi"/>
                <w:sz w:val="20"/>
                <w:szCs w:val="20"/>
              </w:rPr>
              <w:t xml:space="preserve">     </w:t>
            </w:r>
            <w:r w:rsidR="004F2AD4" w:rsidRPr="00131889">
              <w:rPr>
                <w:rFonts w:ascii="Barlow" w:hAnsi="Barlow" w:cstheme="minorHAnsi"/>
                <w:sz w:val="20"/>
                <w:szCs w:val="20"/>
              </w:rPr>
              <w:t>4,062,263.</w:t>
            </w:r>
            <w:r w:rsidR="001B5A5F" w:rsidRPr="00131889">
              <w:rPr>
                <w:rFonts w:ascii="Barlow" w:hAnsi="Barlow" w:cstheme="minorHAnsi"/>
                <w:sz w:val="20"/>
                <w:szCs w:val="20"/>
              </w:rPr>
              <w:t>05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91 a 180 días</w:t>
            </w:r>
          </w:p>
        </w:tc>
        <w:tc>
          <w:tcPr>
            <w:tcW w:w="1738" w:type="dxa"/>
          </w:tcPr>
          <w:p w:rsidR="00494EB2" w:rsidRPr="00131889" w:rsidRDefault="00494EB2" w:rsidP="00207DE9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$</w:t>
            </w:r>
            <w:r w:rsidR="006D2444" w:rsidRPr="00131889">
              <w:rPr>
                <w:rFonts w:ascii="Barlow" w:hAnsi="Barlow" w:cstheme="minorHAnsi"/>
                <w:sz w:val="20"/>
                <w:szCs w:val="20"/>
              </w:rPr>
              <w:t xml:space="preserve">       7</w:t>
            </w:r>
            <w:r w:rsidR="00207DE9" w:rsidRPr="00131889">
              <w:rPr>
                <w:rFonts w:ascii="Barlow" w:hAnsi="Barlow" w:cstheme="minorHAnsi"/>
                <w:sz w:val="20"/>
                <w:szCs w:val="20"/>
              </w:rPr>
              <w:t>66</w:t>
            </w:r>
            <w:r w:rsidR="006D2444" w:rsidRPr="00131889">
              <w:rPr>
                <w:rFonts w:ascii="Barlow" w:hAnsi="Barlow" w:cstheme="minorHAnsi"/>
                <w:sz w:val="20"/>
                <w:szCs w:val="20"/>
              </w:rPr>
              <w:t>,</w:t>
            </w:r>
            <w:r w:rsidR="00207DE9" w:rsidRPr="00131889">
              <w:rPr>
                <w:rFonts w:ascii="Barlow" w:hAnsi="Barlow" w:cstheme="minorHAnsi"/>
                <w:sz w:val="20"/>
                <w:szCs w:val="20"/>
              </w:rPr>
              <w:t>0</w:t>
            </w:r>
            <w:r w:rsidR="006D2444" w:rsidRPr="00131889">
              <w:rPr>
                <w:rFonts w:ascii="Barlow" w:hAnsi="Barlow" w:cstheme="minorHAnsi"/>
                <w:sz w:val="20"/>
                <w:szCs w:val="20"/>
              </w:rPr>
              <w:t>00.00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181 a 365 días</w:t>
            </w:r>
          </w:p>
        </w:tc>
        <w:tc>
          <w:tcPr>
            <w:tcW w:w="1738" w:type="dxa"/>
          </w:tcPr>
          <w:p w:rsidR="006D2444" w:rsidRPr="00131889" w:rsidRDefault="006D2444" w:rsidP="006D2444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 xml:space="preserve">$    </w:t>
            </w:r>
            <w:r w:rsidR="00207DE9" w:rsidRPr="00131889">
              <w:rPr>
                <w:rFonts w:ascii="Barlow" w:hAnsi="Barlow" w:cstheme="minorHAnsi"/>
                <w:sz w:val="20"/>
                <w:szCs w:val="20"/>
              </w:rPr>
              <w:t>3</w:t>
            </w:r>
            <w:r w:rsidRPr="00131889">
              <w:rPr>
                <w:rFonts w:ascii="Barlow" w:hAnsi="Barlow" w:cstheme="minorHAnsi"/>
                <w:sz w:val="20"/>
                <w:szCs w:val="20"/>
              </w:rPr>
              <w:t>,</w:t>
            </w:r>
            <w:r w:rsidR="00207DE9" w:rsidRPr="00131889">
              <w:rPr>
                <w:rFonts w:ascii="Barlow" w:hAnsi="Barlow" w:cstheme="minorHAnsi"/>
                <w:sz w:val="20"/>
                <w:szCs w:val="20"/>
              </w:rPr>
              <w:t>3</w:t>
            </w:r>
            <w:r w:rsidR="004F2AD4" w:rsidRPr="00131889">
              <w:rPr>
                <w:rFonts w:ascii="Barlow" w:hAnsi="Barlow" w:cstheme="minorHAnsi"/>
                <w:sz w:val="20"/>
                <w:szCs w:val="20"/>
              </w:rPr>
              <w:t>62</w:t>
            </w:r>
            <w:r w:rsidRPr="00131889">
              <w:rPr>
                <w:rFonts w:ascii="Barlow" w:hAnsi="Barlow" w:cstheme="minorHAnsi"/>
                <w:sz w:val="20"/>
                <w:szCs w:val="20"/>
              </w:rPr>
              <w:t>,</w:t>
            </w:r>
            <w:r w:rsidR="004F2AD4" w:rsidRPr="00131889">
              <w:rPr>
                <w:rFonts w:ascii="Barlow" w:hAnsi="Barlow" w:cstheme="minorHAnsi"/>
                <w:sz w:val="20"/>
                <w:szCs w:val="20"/>
              </w:rPr>
              <w:t>039.39</w:t>
            </w:r>
            <w:r w:rsidRPr="00131889">
              <w:rPr>
                <w:rFonts w:ascii="Barlow" w:hAnsi="Barlow" w:cstheme="minorHAnsi"/>
                <w:sz w:val="20"/>
                <w:szCs w:val="20"/>
              </w:rPr>
              <w:t xml:space="preserve"> </w:t>
            </w:r>
          </w:p>
          <w:p w:rsidR="00494EB2" w:rsidRPr="00131889" w:rsidRDefault="00494EB2" w:rsidP="008C7FF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9110C7" w:rsidRPr="00131889" w:rsidTr="008C7FF5">
        <w:tc>
          <w:tcPr>
            <w:tcW w:w="4322" w:type="dxa"/>
          </w:tcPr>
          <w:p w:rsidR="009110C7" w:rsidRPr="00131889" w:rsidRDefault="009110C7" w:rsidP="009110C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Mayor a 365 días</w:t>
            </w:r>
          </w:p>
        </w:tc>
        <w:tc>
          <w:tcPr>
            <w:tcW w:w="1738" w:type="dxa"/>
          </w:tcPr>
          <w:p w:rsidR="009110C7" w:rsidRPr="00131889" w:rsidRDefault="009110C7" w:rsidP="00207DE9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$</w:t>
            </w:r>
            <w:r w:rsidR="006D2444" w:rsidRPr="00131889">
              <w:rPr>
                <w:rFonts w:ascii="Barlow" w:hAnsi="Barlow" w:cstheme="minorHAnsi"/>
                <w:sz w:val="20"/>
                <w:szCs w:val="20"/>
              </w:rPr>
              <w:t xml:space="preserve">       </w:t>
            </w:r>
            <w:r w:rsidR="00207DE9" w:rsidRPr="00131889">
              <w:rPr>
                <w:rFonts w:ascii="Barlow" w:hAnsi="Barlow" w:cstheme="minorHAnsi"/>
                <w:sz w:val="20"/>
                <w:szCs w:val="20"/>
              </w:rPr>
              <w:t>5,503,500.00</w:t>
            </w:r>
          </w:p>
        </w:tc>
      </w:tr>
      <w:tr w:rsidR="00494EB2" w:rsidRPr="00131889" w:rsidTr="008C7FF5">
        <w:tc>
          <w:tcPr>
            <w:tcW w:w="4322" w:type="dxa"/>
          </w:tcPr>
          <w:p w:rsidR="00494EB2" w:rsidRPr="00131889" w:rsidRDefault="00494EB2" w:rsidP="008C7FF5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738" w:type="dxa"/>
          </w:tcPr>
          <w:p w:rsidR="00494EB2" w:rsidRPr="00131889" w:rsidRDefault="00494EB2" w:rsidP="008C7FF5">
            <w:pPr>
              <w:jc w:val="both"/>
              <w:rPr>
                <w:rFonts w:ascii="Barlow" w:hAnsi="Barlow"/>
                <w:b/>
                <w:color w:val="000000"/>
                <w:sz w:val="20"/>
                <w:szCs w:val="20"/>
              </w:rPr>
            </w:pP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begin"/>
            </w: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separate"/>
            </w:r>
            <w:r w:rsidR="001B5A5F" w:rsidRPr="00131889">
              <w:rPr>
                <w:rFonts w:ascii="Barlow" w:hAnsi="Barlow"/>
                <w:b/>
                <w:noProof/>
                <w:color w:val="000000"/>
                <w:sz w:val="20"/>
                <w:szCs w:val="20"/>
              </w:rPr>
              <w:t>$13,693,802.44</w:t>
            </w:r>
            <w:r w:rsidRPr="00131889">
              <w:rPr>
                <w:rFonts w:ascii="Barlow" w:hAnsi="Barlow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94EB2" w:rsidRPr="00131889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494EB2" w:rsidRPr="00131889" w:rsidRDefault="00494EB2" w:rsidP="00494EB2">
      <w:pPr>
        <w:jc w:val="both"/>
        <w:rPr>
          <w:rFonts w:ascii="Barlow" w:hAnsi="Barlow" w:cstheme="minorHAnsi"/>
          <w:b/>
          <w:sz w:val="20"/>
          <w:szCs w:val="20"/>
        </w:rPr>
      </w:pPr>
      <w:r w:rsidRPr="00131889">
        <w:rPr>
          <w:rFonts w:ascii="Barlow" w:hAnsi="Barlow" w:cstheme="minorHAnsi"/>
          <w:b/>
          <w:sz w:val="20"/>
          <w:szCs w:val="20"/>
        </w:rPr>
        <w:t>Bienes disponibles para su trasformación o consumo (inventarios)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Inversiones Financieras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lastRenderedPageBreak/>
        <w:t>Otros activos</w:t>
      </w:r>
    </w:p>
    <w:p w:rsidR="00494EB2" w:rsidRPr="0013188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494EB2" w:rsidRPr="00131889" w:rsidRDefault="00494EB2" w:rsidP="00B14E7E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:rsidR="00B14E7E" w:rsidRPr="00131889" w:rsidRDefault="00B14E7E" w:rsidP="00B14E7E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Pasivo</w:t>
      </w:r>
    </w:p>
    <w:p w:rsidR="00B14E7E" w:rsidRPr="00131889" w:rsidRDefault="00B14E7E" w:rsidP="00B14E7E">
      <w:pPr>
        <w:jc w:val="both"/>
        <w:rPr>
          <w:rFonts w:ascii="Barlow" w:hAnsi="Barlow" w:cstheme="minorHAnsi"/>
          <w:bCs/>
          <w:sz w:val="20"/>
          <w:szCs w:val="20"/>
        </w:rPr>
      </w:pPr>
      <w:r w:rsidRPr="00131889">
        <w:rPr>
          <w:rFonts w:ascii="Barlow" w:hAnsi="Barlow" w:cstheme="minorHAnsi"/>
          <w:bCs/>
          <w:sz w:val="20"/>
          <w:szCs w:val="20"/>
        </w:rPr>
        <w:t>El f</w:t>
      </w:r>
      <w:r w:rsidR="00E115CB" w:rsidRPr="00131889">
        <w:rPr>
          <w:rFonts w:ascii="Barlow" w:hAnsi="Barlow" w:cstheme="minorHAnsi"/>
          <w:bCs/>
          <w:sz w:val="20"/>
          <w:szCs w:val="20"/>
        </w:rPr>
        <w:t>ondo</w:t>
      </w:r>
      <w:r w:rsidRPr="00131889">
        <w:rPr>
          <w:rFonts w:ascii="Barlow" w:hAnsi="Barlow" w:cstheme="minorHAnsi"/>
          <w:bCs/>
          <w:sz w:val="20"/>
          <w:szCs w:val="20"/>
        </w:rPr>
        <w:t xml:space="preserve"> cuenta son pasivos circulantes de </w:t>
      </w:r>
      <w:r w:rsidR="000D4C23" w:rsidRPr="00131889">
        <w:rPr>
          <w:rFonts w:ascii="Barlow" w:hAnsi="Barlow" w:cstheme="minorHAnsi"/>
          <w:bCs/>
          <w:sz w:val="20"/>
          <w:szCs w:val="20"/>
        </w:rPr>
        <w:t>otros pasivos</w:t>
      </w:r>
      <w:r w:rsidRPr="00131889">
        <w:rPr>
          <w:rFonts w:ascii="Barlow" w:hAnsi="Barlow" w:cstheme="minorHAnsi"/>
          <w:bCs/>
          <w:sz w:val="20"/>
          <w:szCs w:val="20"/>
        </w:rPr>
        <w:t xml:space="preserve"> a corto plazo  por $ </w:t>
      </w:r>
      <w:r w:rsidR="00F343EC" w:rsidRPr="00131889">
        <w:rPr>
          <w:rFonts w:ascii="Barlow" w:hAnsi="Barlow" w:cstheme="minorHAnsi"/>
          <w:bCs/>
          <w:sz w:val="20"/>
          <w:szCs w:val="20"/>
        </w:rPr>
        <w:t>60</w:t>
      </w:r>
      <w:r w:rsidR="00E115CB" w:rsidRPr="00131889">
        <w:rPr>
          <w:rFonts w:ascii="Barlow" w:hAnsi="Barlow" w:cstheme="minorHAnsi"/>
          <w:bCs/>
          <w:sz w:val="20"/>
          <w:szCs w:val="20"/>
        </w:rPr>
        <w:t xml:space="preserve">,000.00 </w:t>
      </w:r>
      <w:r w:rsidRPr="00131889">
        <w:rPr>
          <w:rFonts w:ascii="Barlow" w:hAnsi="Barlow" w:cstheme="minorHAnsi"/>
          <w:bCs/>
          <w:sz w:val="20"/>
          <w:szCs w:val="20"/>
        </w:rPr>
        <w:t xml:space="preserve">pesos, que corresponden a </w:t>
      </w:r>
      <w:r w:rsidR="007176C4" w:rsidRPr="00131889">
        <w:rPr>
          <w:rFonts w:ascii="Barlow" w:hAnsi="Barlow" w:cstheme="minorHAnsi"/>
          <w:bCs/>
          <w:sz w:val="20"/>
          <w:szCs w:val="20"/>
        </w:rPr>
        <w:t>abono a créditos en espera de tratamiento de cartera y su futura aplicación.</w:t>
      </w:r>
    </w:p>
    <w:p w:rsidR="007176C4" w:rsidRPr="0013188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31889">
        <w:rPr>
          <w:rFonts w:ascii="Barlow" w:hAnsi="Barlow" w:cstheme="minorHAnsi"/>
          <w:b/>
          <w:smallCaps/>
          <w:sz w:val="20"/>
        </w:rPr>
        <w:t>II)</w:t>
      </w:r>
      <w:r w:rsidRPr="00131889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7176C4" w:rsidRPr="0013188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7176C4" w:rsidRPr="00131889" w:rsidRDefault="007176C4" w:rsidP="007176C4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 xml:space="preserve">Los ingresos percibidos </w:t>
      </w:r>
      <w:r w:rsidR="006D3F6F" w:rsidRPr="00131889">
        <w:rPr>
          <w:rFonts w:ascii="Barlow" w:hAnsi="Barlow" w:cstheme="minorHAnsi"/>
          <w:sz w:val="20"/>
          <w:szCs w:val="20"/>
        </w:rPr>
        <w:t>por el</w:t>
      </w:r>
      <w:r w:rsidRPr="00131889">
        <w:rPr>
          <w:rFonts w:ascii="Barlow" w:hAnsi="Barlow" w:cstheme="minorHAnsi"/>
          <w:sz w:val="20"/>
          <w:szCs w:val="20"/>
        </w:rPr>
        <w:t xml:space="preserve"> </w:t>
      </w:r>
      <w:r w:rsidR="006D3F6F" w:rsidRPr="00131889">
        <w:rPr>
          <w:rFonts w:ascii="Barlow" w:hAnsi="Barlow" w:cstheme="minorHAnsi"/>
          <w:sz w:val="20"/>
          <w:szCs w:val="20"/>
        </w:rPr>
        <w:t>f</w:t>
      </w:r>
      <w:r w:rsidR="00E227E2" w:rsidRPr="00131889">
        <w:rPr>
          <w:rFonts w:ascii="Barlow" w:hAnsi="Barlow" w:cstheme="minorHAnsi"/>
          <w:sz w:val="20"/>
          <w:szCs w:val="20"/>
        </w:rPr>
        <w:t xml:space="preserve">ondo al </w:t>
      </w:r>
      <w:r w:rsidR="008F7BB6" w:rsidRPr="00131889">
        <w:rPr>
          <w:rFonts w:ascii="Barlow" w:hAnsi="Barlow" w:cstheme="minorHAnsi"/>
          <w:sz w:val="20"/>
          <w:szCs w:val="20"/>
        </w:rPr>
        <w:t>31</w:t>
      </w:r>
      <w:r w:rsidR="00E227E2" w:rsidRPr="00131889">
        <w:rPr>
          <w:rFonts w:ascii="Barlow" w:hAnsi="Barlow" w:cstheme="minorHAnsi"/>
          <w:sz w:val="20"/>
          <w:szCs w:val="20"/>
        </w:rPr>
        <w:t xml:space="preserve"> de </w:t>
      </w:r>
      <w:r w:rsidR="008F7BB6" w:rsidRPr="00131889">
        <w:rPr>
          <w:rFonts w:ascii="Barlow" w:hAnsi="Barlow" w:cstheme="minorHAnsi"/>
          <w:sz w:val="20"/>
          <w:szCs w:val="20"/>
        </w:rPr>
        <w:t>Marzo</w:t>
      </w:r>
      <w:r w:rsidR="006D3F6F" w:rsidRPr="00131889">
        <w:rPr>
          <w:rFonts w:ascii="Barlow" w:hAnsi="Barlow" w:cstheme="minorHAnsi"/>
          <w:sz w:val="20"/>
          <w:szCs w:val="20"/>
        </w:rPr>
        <w:t xml:space="preserve"> de</w:t>
      </w:r>
      <w:r w:rsidR="004F73CA" w:rsidRPr="00131889">
        <w:rPr>
          <w:rFonts w:ascii="Barlow" w:hAnsi="Barlow" w:cstheme="minorHAnsi"/>
          <w:sz w:val="20"/>
          <w:szCs w:val="20"/>
        </w:rPr>
        <w:t xml:space="preserve"> </w:t>
      </w:r>
      <w:r w:rsidR="00F343EC" w:rsidRPr="00131889">
        <w:rPr>
          <w:rFonts w:ascii="Barlow" w:hAnsi="Barlow" w:cstheme="minorHAnsi"/>
          <w:sz w:val="20"/>
          <w:szCs w:val="20"/>
        </w:rPr>
        <w:t>201</w:t>
      </w:r>
      <w:r w:rsidR="00093B8B" w:rsidRPr="00131889">
        <w:rPr>
          <w:rFonts w:ascii="Barlow" w:hAnsi="Barlow" w:cstheme="minorHAnsi"/>
          <w:sz w:val="20"/>
          <w:szCs w:val="20"/>
        </w:rPr>
        <w:t>9</w:t>
      </w:r>
      <w:r w:rsidRPr="00131889">
        <w:rPr>
          <w:rFonts w:ascii="Barlow" w:hAnsi="Barlow" w:cstheme="minorHAnsi"/>
          <w:sz w:val="20"/>
          <w:szCs w:val="20"/>
        </w:rPr>
        <w:t xml:space="preserve"> son </w:t>
      </w:r>
      <w:r w:rsidR="00E115CB" w:rsidRPr="00131889">
        <w:rPr>
          <w:rFonts w:ascii="Barlow" w:hAnsi="Barlow" w:cstheme="minorHAnsi"/>
          <w:sz w:val="20"/>
          <w:szCs w:val="20"/>
        </w:rPr>
        <w:t xml:space="preserve">conformados en primera instancia </w:t>
      </w:r>
      <w:r w:rsidR="006D3F6F" w:rsidRPr="00131889">
        <w:rPr>
          <w:rFonts w:ascii="Barlow" w:hAnsi="Barlow" w:cstheme="minorHAnsi"/>
          <w:sz w:val="20"/>
          <w:szCs w:val="20"/>
        </w:rPr>
        <w:t>por la</w:t>
      </w:r>
      <w:r w:rsidR="00E227E2" w:rsidRPr="00131889">
        <w:rPr>
          <w:rFonts w:ascii="Barlow" w:hAnsi="Barlow" w:cstheme="minorHAnsi"/>
          <w:sz w:val="20"/>
          <w:szCs w:val="20"/>
        </w:rPr>
        <w:t xml:space="preserve"> cantidad de $</w:t>
      </w:r>
      <w:r w:rsidR="001B5A5F" w:rsidRPr="00131889">
        <w:rPr>
          <w:rFonts w:ascii="Barlow" w:hAnsi="Barlow" w:cstheme="minorHAnsi"/>
          <w:sz w:val="20"/>
          <w:szCs w:val="20"/>
        </w:rPr>
        <w:t>73</w:t>
      </w:r>
      <w:r w:rsidR="004E3E63" w:rsidRPr="00131889">
        <w:rPr>
          <w:rFonts w:ascii="Barlow" w:hAnsi="Barlow" w:cstheme="minorHAnsi"/>
          <w:sz w:val="20"/>
          <w:szCs w:val="20"/>
        </w:rPr>
        <w:t>,</w:t>
      </w:r>
      <w:r w:rsidR="008F7BB6" w:rsidRPr="00131889">
        <w:rPr>
          <w:rFonts w:ascii="Barlow" w:hAnsi="Barlow" w:cstheme="minorHAnsi"/>
          <w:sz w:val="20"/>
          <w:szCs w:val="20"/>
        </w:rPr>
        <w:t>717</w:t>
      </w:r>
      <w:r w:rsidR="004E3E63" w:rsidRPr="00131889">
        <w:rPr>
          <w:rFonts w:ascii="Barlow" w:hAnsi="Barlow" w:cstheme="minorHAnsi"/>
          <w:sz w:val="20"/>
          <w:szCs w:val="20"/>
        </w:rPr>
        <w:t>.</w:t>
      </w:r>
      <w:r w:rsidR="008F7BB6" w:rsidRPr="00131889">
        <w:rPr>
          <w:rFonts w:ascii="Barlow" w:hAnsi="Barlow" w:cstheme="minorHAnsi"/>
          <w:sz w:val="20"/>
          <w:szCs w:val="20"/>
        </w:rPr>
        <w:t>92</w:t>
      </w:r>
      <w:r w:rsidR="00246170" w:rsidRPr="00131889">
        <w:rPr>
          <w:rFonts w:ascii="Barlow" w:hAnsi="Barlow" w:cstheme="minorHAnsi"/>
          <w:sz w:val="20"/>
          <w:szCs w:val="20"/>
        </w:rPr>
        <w:t xml:space="preserve"> </w:t>
      </w:r>
      <w:r w:rsidRPr="00131889">
        <w:rPr>
          <w:rFonts w:ascii="Barlow" w:hAnsi="Barlow" w:cstheme="minorHAnsi"/>
          <w:sz w:val="20"/>
          <w:szCs w:val="20"/>
        </w:rPr>
        <w:t xml:space="preserve">pesos correspondientes a los intereses </w:t>
      </w:r>
      <w:r w:rsidR="006D3F6F" w:rsidRPr="00131889">
        <w:rPr>
          <w:rFonts w:ascii="Barlow" w:hAnsi="Barlow" w:cstheme="minorHAnsi"/>
          <w:sz w:val="20"/>
          <w:szCs w:val="20"/>
        </w:rPr>
        <w:t>ordinarios generados</w:t>
      </w:r>
      <w:r w:rsidRPr="00131889">
        <w:rPr>
          <w:rFonts w:ascii="Barlow" w:hAnsi="Barlow" w:cstheme="minorHAnsi"/>
          <w:sz w:val="20"/>
          <w:szCs w:val="20"/>
        </w:rPr>
        <w:t xml:space="preserve"> por créditos otorgad</w:t>
      </w:r>
      <w:r w:rsidR="00E115CB" w:rsidRPr="00131889">
        <w:rPr>
          <w:rFonts w:ascii="Barlow" w:hAnsi="Barlow" w:cstheme="minorHAnsi"/>
          <w:sz w:val="20"/>
          <w:szCs w:val="20"/>
        </w:rPr>
        <w:t>os y los rendimientos bancarios</w:t>
      </w:r>
      <w:r w:rsidR="00F343EC" w:rsidRPr="00131889">
        <w:rPr>
          <w:rFonts w:ascii="Barlow" w:hAnsi="Barlow" w:cstheme="minorHAnsi"/>
          <w:sz w:val="20"/>
          <w:szCs w:val="20"/>
        </w:rPr>
        <w:t>.</w:t>
      </w:r>
    </w:p>
    <w:p w:rsidR="006D2444" w:rsidRPr="0013188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6D2444" w:rsidRPr="0013188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6D2444" w:rsidRPr="0013188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6D2444" w:rsidRPr="0013188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6D2444" w:rsidRPr="0013188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Gastos y Otras Pérdidas:</w:t>
      </w:r>
    </w:p>
    <w:p w:rsidR="006D2444" w:rsidRPr="0013188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No aplica.</w:t>
      </w:r>
    </w:p>
    <w:p w:rsidR="006D2444" w:rsidRPr="00131889" w:rsidRDefault="006D244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7176C4" w:rsidRPr="0013188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31889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7176C4" w:rsidRPr="00131889" w:rsidRDefault="007176C4" w:rsidP="007176C4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 xml:space="preserve">Patrimonio Generado del </w:t>
      </w:r>
      <w:r w:rsidR="000D4C23" w:rsidRPr="00131889">
        <w:rPr>
          <w:rFonts w:ascii="Barlow" w:hAnsi="Barlow" w:cstheme="minorHAnsi"/>
          <w:sz w:val="20"/>
          <w:szCs w:val="20"/>
        </w:rPr>
        <w:t>Ejercicio. -</w:t>
      </w:r>
    </w:p>
    <w:p w:rsidR="007176C4" w:rsidRPr="00131889" w:rsidRDefault="00E227E2" w:rsidP="007176C4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lastRenderedPageBreak/>
        <w:t xml:space="preserve">Al </w:t>
      </w:r>
      <w:r w:rsidR="00B072A5" w:rsidRPr="00131889">
        <w:rPr>
          <w:rFonts w:ascii="Barlow" w:hAnsi="Barlow" w:cstheme="minorHAnsi"/>
          <w:sz w:val="20"/>
          <w:szCs w:val="20"/>
        </w:rPr>
        <w:t>31</w:t>
      </w:r>
      <w:r w:rsidRPr="00131889">
        <w:rPr>
          <w:rFonts w:ascii="Barlow" w:hAnsi="Barlow" w:cstheme="minorHAnsi"/>
          <w:sz w:val="20"/>
          <w:szCs w:val="20"/>
        </w:rPr>
        <w:t xml:space="preserve"> de </w:t>
      </w:r>
      <w:r w:rsidR="00B072A5" w:rsidRPr="00131889">
        <w:rPr>
          <w:rFonts w:ascii="Barlow" w:hAnsi="Barlow" w:cstheme="minorHAnsi"/>
          <w:sz w:val="20"/>
          <w:szCs w:val="20"/>
        </w:rPr>
        <w:t>Marzo</w:t>
      </w:r>
      <w:r w:rsidR="00F343EC" w:rsidRPr="00131889">
        <w:rPr>
          <w:rFonts w:ascii="Barlow" w:hAnsi="Barlow" w:cstheme="minorHAnsi"/>
          <w:sz w:val="20"/>
          <w:szCs w:val="20"/>
        </w:rPr>
        <w:t xml:space="preserve"> de</w:t>
      </w:r>
      <w:r w:rsidR="004F73CA" w:rsidRPr="00131889">
        <w:rPr>
          <w:rFonts w:ascii="Barlow" w:hAnsi="Barlow" w:cstheme="minorHAnsi"/>
          <w:sz w:val="20"/>
          <w:szCs w:val="20"/>
        </w:rPr>
        <w:t xml:space="preserve"> 201</w:t>
      </w:r>
      <w:r w:rsidR="00093B8B" w:rsidRPr="00131889">
        <w:rPr>
          <w:rFonts w:ascii="Barlow" w:hAnsi="Barlow" w:cstheme="minorHAnsi"/>
          <w:sz w:val="20"/>
          <w:szCs w:val="20"/>
        </w:rPr>
        <w:t>9</w:t>
      </w:r>
      <w:r w:rsidR="007176C4" w:rsidRPr="00131889">
        <w:rPr>
          <w:rFonts w:ascii="Barlow" w:hAnsi="Barlow" w:cstheme="minorHAnsi"/>
          <w:sz w:val="20"/>
          <w:szCs w:val="20"/>
        </w:rPr>
        <w:t xml:space="preserve">, la procedencia del aumento en el Patrimonio Generado se debe por concepto del ahorro neto del ejercicio por la cantidad de $ </w:t>
      </w:r>
      <w:r w:rsidR="00246170" w:rsidRPr="00131889">
        <w:rPr>
          <w:rFonts w:ascii="Barlow" w:hAnsi="Barlow" w:cstheme="minorHAnsi"/>
          <w:sz w:val="20"/>
          <w:szCs w:val="20"/>
        </w:rPr>
        <w:t xml:space="preserve">350,952.57 </w:t>
      </w:r>
      <w:r w:rsidR="006D3F6F" w:rsidRPr="00131889">
        <w:rPr>
          <w:rFonts w:ascii="Barlow" w:hAnsi="Barlow" w:cstheme="minorHAnsi"/>
          <w:sz w:val="20"/>
          <w:szCs w:val="20"/>
        </w:rPr>
        <w:t>pesos</w:t>
      </w:r>
      <w:r w:rsidR="007176C4" w:rsidRPr="00131889">
        <w:rPr>
          <w:rFonts w:ascii="Barlow" w:hAnsi="Barlow" w:cstheme="minorHAnsi"/>
          <w:sz w:val="20"/>
          <w:szCs w:val="20"/>
        </w:rPr>
        <w:t>.</w:t>
      </w:r>
    </w:p>
    <w:p w:rsidR="007176C4" w:rsidRPr="0013188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31889">
        <w:rPr>
          <w:rFonts w:ascii="Barlow" w:hAnsi="Barlow" w:cstheme="minorHAnsi"/>
          <w:b/>
          <w:smallCaps/>
          <w:sz w:val="20"/>
        </w:rPr>
        <w:t>IV)</w:t>
      </w:r>
      <w:r w:rsidRPr="00131889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7176C4" w:rsidRPr="0013188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31889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7176C4" w:rsidRPr="00131889" w:rsidRDefault="007176C4" w:rsidP="007176C4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  <w:r w:rsidRPr="00131889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7176C4" w:rsidRPr="00131889" w:rsidTr="005A1D17">
        <w:tc>
          <w:tcPr>
            <w:tcW w:w="2881" w:type="dxa"/>
          </w:tcPr>
          <w:p w:rsidR="007176C4" w:rsidRPr="00131889" w:rsidRDefault="007176C4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2881" w:type="dxa"/>
          </w:tcPr>
          <w:p w:rsidR="007176C4" w:rsidRPr="00131889" w:rsidRDefault="007176C4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Saldo Inicial</w:t>
            </w:r>
          </w:p>
        </w:tc>
        <w:tc>
          <w:tcPr>
            <w:tcW w:w="2882" w:type="dxa"/>
          </w:tcPr>
          <w:p w:rsidR="007176C4" w:rsidRPr="00131889" w:rsidRDefault="007176C4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Saldo Final</w:t>
            </w:r>
          </w:p>
        </w:tc>
      </w:tr>
      <w:tr w:rsidR="004F73CA" w:rsidRPr="00131889" w:rsidTr="005A1D17">
        <w:tc>
          <w:tcPr>
            <w:tcW w:w="2881" w:type="dxa"/>
          </w:tcPr>
          <w:p w:rsidR="004F73CA" w:rsidRPr="00131889" w:rsidRDefault="004F73CA" w:rsidP="005A1D1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Fondo Fijo</w:t>
            </w:r>
          </w:p>
        </w:tc>
        <w:tc>
          <w:tcPr>
            <w:tcW w:w="2881" w:type="dxa"/>
          </w:tcPr>
          <w:p w:rsidR="004F73CA" w:rsidRPr="00131889" w:rsidRDefault="004F73CA" w:rsidP="00610BAE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$ 0.00</w:t>
            </w:r>
          </w:p>
        </w:tc>
        <w:tc>
          <w:tcPr>
            <w:tcW w:w="2882" w:type="dxa"/>
          </w:tcPr>
          <w:p w:rsidR="004F73CA" w:rsidRPr="00131889" w:rsidRDefault="004F73CA" w:rsidP="007176C4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$ 0.00</w:t>
            </w:r>
          </w:p>
        </w:tc>
      </w:tr>
      <w:tr w:rsidR="008F7BB6" w:rsidRPr="00131889" w:rsidTr="005A1D17">
        <w:tc>
          <w:tcPr>
            <w:tcW w:w="2881" w:type="dxa"/>
          </w:tcPr>
          <w:p w:rsidR="008F7BB6" w:rsidRPr="00131889" w:rsidRDefault="008F7BB6" w:rsidP="008F7BB6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Banorte Cta. 0633654690</w:t>
            </w:r>
          </w:p>
        </w:tc>
        <w:tc>
          <w:tcPr>
            <w:tcW w:w="2881" w:type="dxa"/>
          </w:tcPr>
          <w:p w:rsidR="008F7BB6" w:rsidRPr="00131889" w:rsidRDefault="008F7BB6" w:rsidP="008F7BB6">
            <w:pPr>
              <w:jc w:val="center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$2,138,808.32</w:t>
            </w:r>
          </w:p>
        </w:tc>
        <w:tc>
          <w:tcPr>
            <w:tcW w:w="2882" w:type="dxa"/>
          </w:tcPr>
          <w:p w:rsidR="008F7BB6" w:rsidRPr="00131889" w:rsidRDefault="008F7BB6" w:rsidP="00B072A5">
            <w:pPr>
              <w:jc w:val="center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$2,139,</w:t>
            </w:r>
            <w:r w:rsidR="00B072A5" w:rsidRPr="00131889">
              <w:rPr>
                <w:rFonts w:ascii="Barlow" w:hAnsi="Barlow" w:cstheme="minorHAnsi"/>
                <w:bCs/>
                <w:sz w:val="20"/>
                <w:szCs w:val="20"/>
              </w:rPr>
              <w:t>324</w:t>
            </w: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.</w:t>
            </w:r>
            <w:r w:rsidR="00B072A5" w:rsidRPr="00131889">
              <w:rPr>
                <w:rFonts w:ascii="Barlow" w:hAnsi="Barlow" w:cstheme="minorHAnsi"/>
                <w:bCs/>
                <w:sz w:val="20"/>
                <w:szCs w:val="20"/>
              </w:rPr>
              <w:t>01</w:t>
            </w:r>
          </w:p>
        </w:tc>
      </w:tr>
      <w:tr w:rsidR="008F7BB6" w:rsidRPr="00131889" w:rsidTr="00457EB6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B6" w:rsidRPr="00131889" w:rsidRDefault="008F7BB6" w:rsidP="008F7BB6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sz w:val="20"/>
                <w:szCs w:val="20"/>
              </w:rPr>
              <w:t>Total de Efectivo y Equivalentes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B6" w:rsidRPr="00131889" w:rsidRDefault="008F7BB6" w:rsidP="008F7BB6">
            <w:pPr>
              <w:jc w:val="center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$2,138,808.32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B6" w:rsidRPr="00131889" w:rsidRDefault="008F7BB6" w:rsidP="00B072A5">
            <w:pPr>
              <w:jc w:val="center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$2,139,</w:t>
            </w:r>
            <w:r w:rsidR="00B072A5" w:rsidRPr="00131889">
              <w:rPr>
                <w:rFonts w:ascii="Barlow" w:hAnsi="Barlow" w:cstheme="minorHAnsi"/>
                <w:bCs/>
                <w:sz w:val="20"/>
                <w:szCs w:val="20"/>
              </w:rPr>
              <w:t>324</w:t>
            </w:r>
            <w:r w:rsidRPr="00131889">
              <w:rPr>
                <w:rFonts w:ascii="Barlow" w:hAnsi="Barlow" w:cstheme="minorHAnsi"/>
                <w:bCs/>
                <w:sz w:val="20"/>
                <w:szCs w:val="20"/>
              </w:rPr>
              <w:t>.</w:t>
            </w:r>
            <w:r w:rsidR="00B072A5" w:rsidRPr="00131889">
              <w:rPr>
                <w:rFonts w:ascii="Barlow" w:hAnsi="Barlow" w:cstheme="minorHAnsi"/>
                <w:bCs/>
                <w:sz w:val="20"/>
                <w:szCs w:val="20"/>
              </w:rPr>
              <w:t>01</w:t>
            </w:r>
          </w:p>
        </w:tc>
      </w:tr>
    </w:tbl>
    <w:p w:rsidR="007176C4" w:rsidRPr="00131889" w:rsidRDefault="007176C4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457EB6" w:rsidRPr="00131889" w:rsidRDefault="00457EB6" w:rsidP="00292B51">
      <w:pPr>
        <w:rPr>
          <w:rFonts w:ascii="Barlow" w:eastAsia="Times New Roman" w:hAnsi="Barlow" w:cstheme="minorHAnsi"/>
          <w:b/>
          <w:sz w:val="20"/>
          <w:szCs w:val="20"/>
          <w:lang w:val="es-ES" w:eastAsia="es-ES"/>
        </w:rPr>
      </w:pPr>
      <w:r w:rsidRPr="00131889">
        <w:rPr>
          <w:rFonts w:ascii="Barlow" w:hAnsi="Barlow" w:cstheme="minorHAnsi"/>
          <w:b/>
          <w:sz w:val="20"/>
        </w:rPr>
        <w:t>b)</w:t>
      </w:r>
      <w:r w:rsidRPr="00131889">
        <w:rPr>
          <w:rFonts w:ascii="Barlow" w:hAnsi="Barlow" w:cstheme="minorHAnsi"/>
          <w:sz w:val="20"/>
        </w:rPr>
        <w:t xml:space="preserve"> </w:t>
      </w:r>
      <w:r w:rsidRPr="00131889">
        <w:rPr>
          <w:rFonts w:ascii="Barlow" w:hAnsi="Barlow" w:cstheme="minorHAnsi"/>
          <w:b/>
          <w:sz w:val="20"/>
        </w:rPr>
        <w:t>NOTAS DE MEMORIA (CUENTAS DE ORDEN)</w:t>
      </w:r>
    </w:p>
    <w:p w:rsidR="00457EB6" w:rsidRPr="00131889" w:rsidRDefault="00457EB6" w:rsidP="00457EB6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</w:p>
    <w:p w:rsidR="00457EB6" w:rsidRPr="00131889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31889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457EB6" w:rsidRPr="00131889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131889">
        <w:rPr>
          <w:rFonts w:ascii="Barlow" w:hAnsi="Barlow" w:cstheme="minorHAnsi"/>
          <w:b/>
          <w:sz w:val="20"/>
        </w:rPr>
        <w:t>Cuentas de Orden Contables y Presupuestarias:</w:t>
      </w:r>
    </w:p>
    <w:p w:rsidR="004C592D" w:rsidRPr="00131889" w:rsidRDefault="004C592D" w:rsidP="004C592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131889">
        <w:rPr>
          <w:rFonts w:ascii="Barlow" w:hAnsi="Barlow" w:cstheme="minorHAnsi"/>
          <w:i/>
          <w:sz w:val="20"/>
        </w:rPr>
        <w:t>Contables:</w:t>
      </w:r>
    </w:p>
    <w:p w:rsidR="004C592D" w:rsidRPr="00131889" w:rsidRDefault="004C592D" w:rsidP="004C592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131889">
        <w:rPr>
          <w:rFonts w:ascii="Barlow" w:hAnsi="Barlow" w:cstheme="minorHAnsi"/>
          <w:i/>
          <w:sz w:val="20"/>
        </w:rPr>
        <w:t>ninguna</w:t>
      </w:r>
    </w:p>
    <w:p w:rsidR="00457EB6" w:rsidRPr="00131889" w:rsidRDefault="00457EB6" w:rsidP="00457EB6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i/>
          <w:sz w:val="20"/>
        </w:rPr>
        <w:t>Presupuestarias:</w:t>
      </w:r>
    </w:p>
    <w:p w:rsidR="00457EB6" w:rsidRPr="00131889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131889">
        <w:rPr>
          <w:rFonts w:ascii="Barlow" w:hAnsi="Barlow" w:cstheme="minorHAnsi"/>
          <w:sz w:val="20"/>
        </w:rPr>
        <w:t>Cuentas de ingresos.</w:t>
      </w:r>
    </w:p>
    <w:p w:rsidR="00457EB6" w:rsidRPr="00131889" w:rsidRDefault="00E227E2" w:rsidP="00457EB6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lastRenderedPageBreak/>
        <w:t xml:space="preserve">Los ingresos al </w:t>
      </w:r>
      <w:r w:rsidR="0036304B" w:rsidRPr="00131889">
        <w:rPr>
          <w:rFonts w:ascii="Barlow" w:hAnsi="Barlow" w:cstheme="minorHAnsi"/>
          <w:sz w:val="20"/>
          <w:szCs w:val="20"/>
        </w:rPr>
        <w:t>31</w:t>
      </w:r>
      <w:r w:rsidR="000D4C23" w:rsidRPr="00131889">
        <w:rPr>
          <w:rFonts w:ascii="Barlow" w:hAnsi="Barlow" w:cstheme="minorHAnsi"/>
          <w:sz w:val="20"/>
          <w:szCs w:val="20"/>
        </w:rPr>
        <w:t xml:space="preserve"> </w:t>
      </w:r>
      <w:r w:rsidR="006D3F6F" w:rsidRPr="00131889">
        <w:rPr>
          <w:rFonts w:ascii="Barlow" w:hAnsi="Barlow" w:cstheme="minorHAnsi"/>
          <w:sz w:val="20"/>
          <w:szCs w:val="20"/>
        </w:rPr>
        <w:t xml:space="preserve">de </w:t>
      </w:r>
      <w:r w:rsidR="0036304B" w:rsidRPr="00131889">
        <w:rPr>
          <w:rFonts w:ascii="Barlow" w:hAnsi="Barlow" w:cstheme="minorHAnsi"/>
          <w:sz w:val="20"/>
          <w:szCs w:val="20"/>
        </w:rPr>
        <w:t>Marzo</w:t>
      </w:r>
      <w:r w:rsidR="000D4C23" w:rsidRPr="00131889">
        <w:rPr>
          <w:rFonts w:ascii="Barlow" w:hAnsi="Barlow" w:cstheme="minorHAnsi"/>
          <w:sz w:val="20"/>
          <w:szCs w:val="20"/>
        </w:rPr>
        <w:t xml:space="preserve"> </w:t>
      </w:r>
      <w:r w:rsidR="004F73CA" w:rsidRPr="00131889">
        <w:rPr>
          <w:rFonts w:ascii="Barlow" w:hAnsi="Barlow" w:cstheme="minorHAnsi"/>
          <w:sz w:val="20"/>
          <w:szCs w:val="20"/>
        </w:rPr>
        <w:t>de 201</w:t>
      </w:r>
      <w:r w:rsidR="00093B8B" w:rsidRPr="00131889">
        <w:rPr>
          <w:rFonts w:ascii="Barlow" w:hAnsi="Barlow" w:cstheme="minorHAnsi"/>
          <w:sz w:val="20"/>
          <w:szCs w:val="20"/>
        </w:rPr>
        <w:t>9</w:t>
      </w:r>
      <w:r w:rsidR="00457EB6" w:rsidRPr="00131889">
        <w:rPr>
          <w:rFonts w:ascii="Barlow" w:hAnsi="Barlow" w:cstheme="minorHAnsi"/>
          <w:sz w:val="20"/>
          <w:szCs w:val="20"/>
        </w:rPr>
        <w:t xml:space="preserve"> son por la cantidad de $</w:t>
      </w:r>
      <w:r w:rsidR="00D664D6" w:rsidRPr="00131889">
        <w:rPr>
          <w:rFonts w:ascii="Barlow" w:hAnsi="Barlow" w:cstheme="minorHAnsi"/>
          <w:sz w:val="20"/>
          <w:szCs w:val="20"/>
        </w:rPr>
        <w:t>73</w:t>
      </w:r>
      <w:r w:rsidR="000D4C23" w:rsidRPr="00131889">
        <w:rPr>
          <w:rFonts w:ascii="Barlow" w:hAnsi="Barlow" w:cstheme="minorHAnsi"/>
          <w:sz w:val="20"/>
          <w:szCs w:val="20"/>
        </w:rPr>
        <w:t>,</w:t>
      </w:r>
      <w:r w:rsidR="0036304B" w:rsidRPr="00131889">
        <w:rPr>
          <w:rFonts w:ascii="Barlow" w:hAnsi="Barlow" w:cstheme="minorHAnsi"/>
          <w:sz w:val="20"/>
          <w:szCs w:val="20"/>
        </w:rPr>
        <w:t>717</w:t>
      </w:r>
      <w:r w:rsidR="000D4C23" w:rsidRPr="00131889">
        <w:rPr>
          <w:rFonts w:ascii="Barlow" w:hAnsi="Barlow" w:cstheme="minorHAnsi"/>
          <w:sz w:val="20"/>
          <w:szCs w:val="20"/>
        </w:rPr>
        <w:t>.</w:t>
      </w:r>
      <w:r w:rsidR="0036304B" w:rsidRPr="00131889">
        <w:rPr>
          <w:rFonts w:ascii="Barlow" w:hAnsi="Barlow" w:cstheme="minorHAnsi"/>
          <w:sz w:val="20"/>
          <w:szCs w:val="20"/>
        </w:rPr>
        <w:t>92</w:t>
      </w:r>
      <w:r w:rsidR="000D4C23" w:rsidRPr="00131889">
        <w:rPr>
          <w:rFonts w:ascii="Barlow" w:hAnsi="Barlow" w:cstheme="minorHAnsi"/>
          <w:sz w:val="20"/>
          <w:szCs w:val="20"/>
        </w:rPr>
        <w:t xml:space="preserve"> </w:t>
      </w:r>
      <w:r w:rsidR="00457EB6" w:rsidRPr="00131889">
        <w:rPr>
          <w:rFonts w:ascii="Barlow" w:hAnsi="Barlow" w:cstheme="minorHAnsi"/>
          <w:sz w:val="20"/>
          <w:szCs w:val="20"/>
        </w:rPr>
        <w:t>pesos</w:t>
      </w:r>
    </w:p>
    <w:p w:rsidR="003B4F2A" w:rsidRPr="00131889" w:rsidRDefault="003B4F2A" w:rsidP="009D1727">
      <w:pPr>
        <w:rPr>
          <w:rFonts w:ascii="Barlow" w:hAnsi="Barlow" w:cstheme="minorHAnsi"/>
          <w:b/>
          <w:bCs/>
          <w:sz w:val="20"/>
          <w:szCs w:val="20"/>
        </w:rPr>
      </w:pPr>
    </w:p>
    <w:p w:rsidR="00457EB6" w:rsidRPr="00131889" w:rsidRDefault="00457EB6" w:rsidP="006E1347">
      <w:pPr>
        <w:rPr>
          <w:rFonts w:ascii="Barlow" w:hAnsi="Barlow" w:cstheme="minorHAnsi"/>
          <w:b/>
          <w:bCs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 xml:space="preserve">C) </w:t>
      </w:r>
      <w:r w:rsidR="004C592D" w:rsidRPr="00131889">
        <w:rPr>
          <w:rFonts w:ascii="Barlow" w:hAnsi="Barlow" w:cstheme="minorHAnsi"/>
          <w:b/>
          <w:bCs/>
          <w:sz w:val="20"/>
          <w:szCs w:val="20"/>
        </w:rPr>
        <w:t>NOTAS DE GESTIÓN ADMINISTRATIVA.</w:t>
      </w:r>
      <w:r w:rsidRPr="00131889">
        <w:rPr>
          <w:rFonts w:ascii="Barlow" w:hAnsi="Barlow" w:cstheme="minorHAnsi"/>
          <w:sz w:val="20"/>
          <w:szCs w:val="20"/>
        </w:rPr>
        <w:tab/>
      </w:r>
    </w:p>
    <w:p w:rsidR="00DB6DE2" w:rsidRPr="00131889" w:rsidRDefault="00DB6DE2" w:rsidP="00DB6DE2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>Autorización e Historia.</w:t>
      </w:r>
    </w:p>
    <w:p w:rsidR="00DB6DE2" w:rsidRPr="00131889" w:rsidRDefault="00DB6DE2" w:rsidP="00DB6DE2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bCs/>
          <w:sz w:val="20"/>
          <w:szCs w:val="20"/>
        </w:rPr>
        <w:t xml:space="preserve">El 20 de Mayo de 2004 se crea el FONDO DE CREDITO AGROPECUARIO Y PESQUERO DE YUCATAN </w:t>
      </w:r>
      <w:r w:rsidRPr="00131889">
        <w:rPr>
          <w:rFonts w:ascii="Barlow" w:hAnsi="Barlow" w:cstheme="minorHAnsi"/>
          <w:sz w:val="20"/>
          <w:szCs w:val="20"/>
        </w:rPr>
        <w:t>(FOCAPY)</w:t>
      </w:r>
      <w:r w:rsidRPr="00131889">
        <w:rPr>
          <w:rFonts w:ascii="Barlow" w:hAnsi="Barlow" w:cstheme="minorHAnsi"/>
          <w:bCs/>
          <w:sz w:val="20"/>
          <w:szCs w:val="20"/>
        </w:rPr>
        <w:t xml:space="preserve"> de acuerdo al decreto </w:t>
      </w:r>
      <w:proofErr w:type="gramStart"/>
      <w:r w:rsidRPr="00131889">
        <w:rPr>
          <w:rFonts w:ascii="Barlow" w:hAnsi="Barlow" w:cstheme="minorHAnsi"/>
          <w:bCs/>
          <w:sz w:val="20"/>
          <w:szCs w:val="20"/>
        </w:rPr>
        <w:t>519 .</w:t>
      </w:r>
      <w:proofErr w:type="gramEnd"/>
    </w:p>
    <w:p w:rsidR="00457EB6" w:rsidRPr="00131889" w:rsidRDefault="00457EB6" w:rsidP="00457EB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>Organización y Objeto Social.-</w:t>
      </w:r>
    </w:p>
    <w:p w:rsidR="009D49CF" w:rsidRPr="00131889" w:rsidRDefault="00457EB6" w:rsidP="009D49CF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>El F</w:t>
      </w:r>
      <w:r w:rsidR="003B4F2A" w:rsidRPr="00131889">
        <w:rPr>
          <w:rFonts w:ascii="Barlow" w:hAnsi="Barlow" w:cstheme="minorHAnsi"/>
          <w:sz w:val="20"/>
          <w:szCs w:val="20"/>
        </w:rPr>
        <w:t>ondo</w:t>
      </w:r>
      <w:r w:rsidRPr="00131889">
        <w:rPr>
          <w:rFonts w:ascii="Barlow" w:hAnsi="Barlow" w:cstheme="minorHAnsi"/>
          <w:sz w:val="20"/>
          <w:szCs w:val="20"/>
        </w:rPr>
        <w:t xml:space="preserve"> denominado </w:t>
      </w:r>
      <w:r w:rsidR="009D49CF" w:rsidRPr="00131889">
        <w:rPr>
          <w:rFonts w:ascii="Barlow" w:hAnsi="Barlow" w:cstheme="minorHAnsi"/>
          <w:sz w:val="20"/>
          <w:szCs w:val="20"/>
        </w:rPr>
        <w:t>“FONDO DE CREDITO AGROPECUARIO Y PESQUERO DE YUCATAN” tiene como objeto apoyar financieramente, con tasas preferentes, a cualquier productor que cuente con un proyecto agropecuario o pesquero de desarrollo rural sustentable y que beneficie a un grupo de trabajadores o productores del Estado de Yucatán.</w:t>
      </w:r>
    </w:p>
    <w:p w:rsidR="004C592D" w:rsidRPr="00131889" w:rsidRDefault="004C592D" w:rsidP="004C592D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>Ejercicio Fiscal</w:t>
      </w:r>
      <w:proofErr w:type="gramStart"/>
      <w:r w:rsidRPr="00131889">
        <w:rPr>
          <w:rFonts w:ascii="Barlow" w:hAnsi="Barlow" w:cstheme="minorHAnsi"/>
          <w:sz w:val="20"/>
          <w:szCs w:val="20"/>
        </w:rPr>
        <w:t>:  1</w:t>
      </w:r>
      <w:proofErr w:type="gramEnd"/>
      <w:r w:rsidRPr="00131889">
        <w:rPr>
          <w:rFonts w:ascii="Barlow" w:hAnsi="Barlow" w:cstheme="minorHAnsi"/>
          <w:sz w:val="20"/>
          <w:szCs w:val="20"/>
        </w:rPr>
        <w:t xml:space="preserve"> de E</w:t>
      </w:r>
      <w:r w:rsidR="00093B8B" w:rsidRPr="00131889">
        <w:rPr>
          <w:rFonts w:ascii="Barlow" w:hAnsi="Barlow" w:cstheme="minorHAnsi"/>
          <w:sz w:val="20"/>
          <w:szCs w:val="20"/>
        </w:rPr>
        <w:t>nero  al 31 de Diciembre de 2019</w:t>
      </w:r>
    </w:p>
    <w:p w:rsidR="004C592D" w:rsidRPr="00131889" w:rsidRDefault="004C592D" w:rsidP="004C592D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>Consideraciones fiscales: ninguna</w:t>
      </w:r>
    </w:p>
    <w:p w:rsidR="009602EF" w:rsidRPr="00131889" w:rsidRDefault="009602EF" w:rsidP="009602EF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>La administración de este fondo está a cargo de un Comité Técnico, cuya integración, facultades y obligaciones se encuentras estipuladas en su Decreto de Creación.</w:t>
      </w:r>
    </w:p>
    <w:p w:rsidR="009D49CF" w:rsidRPr="00131889" w:rsidRDefault="009D49CF" w:rsidP="009D49CF">
      <w:pPr>
        <w:spacing w:after="0"/>
        <w:jc w:val="both"/>
        <w:rPr>
          <w:rFonts w:ascii="Barlow" w:hAnsi="Barlow" w:cstheme="minorHAnsi"/>
          <w:sz w:val="20"/>
          <w:szCs w:val="20"/>
        </w:rPr>
      </w:pPr>
    </w:p>
    <w:p w:rsidR="00457EB6" w:rsidRPr="00131889" w:rsidRDefault="00457EB6" w:rsidP="009D49CF">
      <w:pPr>
        <w:spacing w:after="0"/>
        <w:jc w:val="both"/>
        <w:rPr>
          <w:rFonts w:ascii="Barlow" w:hAnsi="Barlow" w:cstheme="minorHAnsi"/>
          <w:b/>
          <w:bCs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>Base de preparación de Estados Financieros.-</w:t>
      </w:r>
    </w:p>
    <w:p w:rsidR="00457EB6" w:rsidRPr="00131889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 xml:space="preserve">Los Estados Financieros de este </w:t>
      </w:r>
      <w:r w:rsidR="0031685D" w:rsidRPr="00131889">
        <w:rPr>
          <w:rFonts w:ascii="Barlow" w:hAnsi="Barlow" w:cstheme="minorHAnsi"/>
          <w:sz w:val="20"/>
          <w:szCs w:val="20"/>
        </w:rPr>
        <w:t>fondo,</w:t>
      </w:r>
      <w:r w:rsidRPr="00131889">
        <w:rPr>
          <w:rFonts w:ascii="Barlow" w:hAnsi="Barlow" w:cstheme="minorHAnsi"/>
          <w:sz w:val="20"/>
          <w:szCs w:val="20"/>
        </w:rPr>
        <w:t xml:space="preserve"> están preparados de acuerdo a la normatividad emitida por el CONAC y las disposiciones legales aplicables.</w:t>
      </w:r>
    </w:p>
    <w:p w:rsidR="004C592D" w:rsidRPr="00131889" w:rsidRDefault="004C592D" w:rsidP="004C592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>POLITICAS DE CONTABILIDAD SIGNIFICATIVAS. -</w:t>
      </w:r>
    </w:p>
    <w:p w:rsidR="004C592D" w:rsidRPr="00131889" w:rsidRDefault="004C592D" w:rsidP="004C592D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131889">
        <w:rPr>
          <w:rFonts w:ascii="Barlow" w:hAnsi="Barlow" w:cstheme="minorHAnsi"/>
          <w:b/>
          <w:sz w:val="20"/>
          <w:szCs w:val="20"/>
        </w:rPr>
        <w:t>Registro de Ingresos. -</w:t>
      </w:r>
    </w:p>
    <w:p w:rsidR="00457EB6" w:rsidRPr="00131889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 xml:space="preserve">El </w:t>
      </w:r>
      <w:r w:rsidR="0031685D" w:rsidRPr="00131889">
        <w:rPr>
          <w:rFonts w:ascii="Barlow" w:hAnsi="Barlow" w:cstheme="minorHAnsi"/>
          <w:sz w:val="20"/>
          <w:szCs w:val="20"/>
        </w:rPr>
        <w:t>ingreso</w:t>
      </w:r>
      <w:r w:rsidR="009D49CF" w:rsidRPr="00131889">
        <w:rPr>
          <w:rFonts w:ascii="Barlow" w:hAnsi="Barlow" w:cstheme="minorHAnsi"/>
          <w:sz w:val="20"/>
          <w:szCs w:val="20"/>
        </w:rPr>
        <w:t xml:space="preserve"> en el ejercicio de </w:t>
      </w:r>
      <w:r w:rsidRPr="00131889">
        <w:rPr>
          <w:rFonts w:ascii="Barlow" w:hAnsi="Barlow" w:cstheme="minorHAnsi"/>
          <w:sz w:val="20"/>
          <w:szCs w:val="20"/>
        </w:rPr>
        <w:t xml:space="preserve"> este </w:t>
      </w:r>
      <w:r w:rsidR="009D49CF" w:rsidRPr="00131889">
        <w:rPr>
          <w:rFonts w:ascii="Barlow" w:hAnsi="Barlow" w:cstheme="minorHAnsi"/>
          <w:sz w:val="20"/>
          <w:szCs w:val="20"/>
        </w:rPr>
        <w:t>fondo</w:t>
      </w:r>
      <w:r w:rsidRPr="00131889">
        <w:rPr>
          <w:rFonts w:ascii="Barlow" w:hAnsi="Barlow" w:cstheme="minorHAnsi"/>
          <w:sz w:val="20"/>
          <w:szCs w:val="20"/>
        </w:rPr>
        <w:t xml:space="preserve">, </w:t>
      </w:r>
      <w:r w:rsidR="009D49CF" w:rsidRPr="00131889">
        <w:rPr>
          <w:rFonts w:ascii="Barlow" w:hAnsi="Barlow" w:cstheme="minorHAnsi"/>
          <w:sz w:val="20"/>
          <w:szCs w:val="20"/>
        </w:rPr>
        <w:t>se  integra por los recursos en concepto de recuperación de los apoyos otorgados en los términos que establezcan las Reglas de Operación, con  los interes</w:t>
      </w:r>
      <w:r w:rsidR="0031685D" w:rsidRPr="00131889">
        <w:rPr>
          <w:rFonts w:ascii="Barlow" w:hAnsi="Barlow" w:cstheme="minorHAnsi"/>
          <w:sz w:val="20"/>
          <w:szCs w:val="20"/>
        </w:rPr>
        <w:t xml:space="preserve">es cobrados a los acreditados, así como los rendimientos bancarios; cada ingreso es registrado en el momento de </w:t>
      </w:r>
      <w:r w:rsidR="0031685D" w:rsidRPr="00131889">
        <w:rPr>
          <w:rFonts w:ascii="Barlow" w:hAnsi="Barlow" w:cstheme="minorHAnsi"/>
          <w:sz w:val="20"/>
          <w:szCs w:val="20"/>
        </w:rPr>
        <w:lastRenderedPageBreak/>
        <w:t>generarse. Se incluye como ingresos las aportaciones que con el carácter de aportación o donación gratuita realice cualquier persona, pública o privada, nacional o extranjera, así como con cualesquiera otras aportaciones que bajo cualquier título reciba previa aceptación de su Comité Técnico.</w:t>
      </w:r>
    </w:p>
    <w:p w:rsidR="00457EB6" w:rsidRPr="00131889" w:rsidRDefault="00457EB6" w:rsidP="00457EB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31889">
        <w:rPr>
          <w:rFonts w:ascii="Barlow" w:hAnsi="Barlow" w:cstheme="minorHAnsi"/>
          <w:b/>
          <w:bCs/>
          <w:sz w:val="20"/>
          <w:szCs w:val="20"/>
        </w:rPr>
        <w:t xml:space="preserve">       B) Registro de Egresos.-</w:t>
      </w:r>
    </w:p>
    <w:p w:rsidR="00457EB6" w:rsidRPr="00131889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A92EE2" w:rsidRPr="00131889" w:rsidRDefault="00457EB6" w:rsidP="00A92EE2">
      <w:pPr>
        <w:jc w:val="both"/>
        <w:rPr>
          <w:rFonts w:ascii="Barlow" w:hAnsi="Barlow" w:cstheme="minorHAnsi"/>
          <w:sz w:val="20"/>
          <w:szCs w:val="20"/>
        </w:rPr>
      </w:pPr>
      <w:r w:rsidRPr="00131889">
        <w:rPr>
          <w:rFonts w:ascii="Barlow" w:hAnsi="Barlow" w:cstheme="minorHAnsi"/>
          <w:sz w:val="20"/>
          <w:szCs w:val="20"/>
        </w:rPr>
        <w:t xml:space="preserve">Es importante mencionar que el monto </w:t>
      </w:r>
      <w:r w:rsidR="00A92EE2" w:rsidRPr="00131889">
        <w:rPr>
          <w:rFonts w:ascii="Barlow" w:hAnsi="Barlow" w:cstheme="minorHAnsi"/>
          <w:sz w:val="20"/>
          <w:szCs w:val="20"/>
        </w:rPr>
        <w:t>del egreso</w:t>
      </w:r>
      <w:r w:rsidRPr="00131889">
        <w:rPr>
          <w:rFonts w:ascii="Barlow" w:hAnsi="Barlow" w:cstheme="minorHAnsi"/>
          <w:sz w:val="20"/>
          <w:szCs w:val="20"/>
        </w:rPr>
        <w:t xml:space="preserve"> en cada uno de los ejercicios, se va </w:t>
      </w:r>
      <w:r w:rsidR="00A92EE2" w:rsidRPr="00131889">
        <w:rPr>
          <w:rFonts w:ascii="Barlow" w:hAnsi="Barlow" w:cstheme="minorHAnsi"/>
          <w:sz w:val="20"/>
          <w:szCs w:val="20"/>
        </w:rPr>
        <w:t>generando de acuerdo a la autorización nuevos créditos</w:t>
      </w:r>
      <w:r w:rsidRPr="00131889">
        <w:rPr>
          <w:rFonts w:ascii="Barlow" w:hAnsi="Barlow" w:cstheme="minorHAnsi"/>
          <w:sz w:val="20"/>
          <w:szCs w:val="20"/>
        </w:rPr>
        <w:t>,</w:t>
      </w:r>
      <w:r w:rsidR="00A92EE2" w:rsidRPr="00131889">
        <w:rPr>
          <w:rFonts w:ascii="Barlow" w:hAnsi="Barlow" w:cstheme="minorHAnsi"/>
          <w:sz w:val="20"/>
          <w:szCs w:val="20"/>
        </w:rPr>
        <w:t xml:space="preserve"> esta deberá de ser solicitada en el seno de la Junta del Comité Técnico y de Administración del Fondo quien dará su aprobación en su caso.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Posición en moneda extranjera y protección por riego cambiario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Reporte analítico del activo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Fideicomisos mandatos y análogos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 xml:space="preserve">Reporte de la Recaudación 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No aplica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:rsidR="009E6148" w:rsidRPr="00131889" w:rsidRDefault="009E6148" w:rsidP="009E6148">
      <w:pPr>
        <w:spacing w:line="240" w:lineRule="auto"/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Calificaciones otorgadas</w:t>
      </w:r>
    </w:p>
    <w:p w:rsidR="00292B51" w:rsidRPr="00131889" w:rsidRDefault="009E6148" w:rsidP="009E6148">
      <w:pPr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lastRenderedPageBreak/>
        <w:t>Proceso de Mejora</w:t>
      </w:r>
    </w:p>
    <w:p w:rsidR="009E6148" w:rsidRPr="00131889" w:rsidRDefault="009E6148" w:rsidP="009E6148">
      <w:pPr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Información por Segmentos</w:t>
      </w:r>
    </w:p>
    <w:p w:rsidR="009E6148" w:rsidRPr="00131889" w:rsidRDefault="009E6148" w:rsidP="009E6148">
      <w:pPr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Eventos Posteriores al Cierre</w:t>
      </w:r>
    </w:p>
    <w:p w:rsidR="009E6148" w:rsidRPr="00131889" w:rsidRDefault="009E6148" w:rsidP="009E6148">
      <w:pPr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aplica</w:t>
      </w:r>
    </w:p>
    <w:p w:rsidR="009E6148" w:rsidRPr="0013188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Partes Relacionadas</w:t>
      </w:r>
    </w:p>
    <w:p w:rsidR="009E6148" w:rsidRPr="00131889" w:rsidRDefault="009E6148" w:rsidP="009E6148">
      <w:pPr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9E6148" w:rsidRPr="0013188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31889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:rsidR="00292B51" w:rsidRPr="00131889" w:rsidRDefault="00292B51" w:rsidP="009E6148">
      <w:pPr>
        <w:spacing w:line="240" w:lineRule="auto"/>
        <w:rPr>
          <w:rFonts w:ascii="Barlow" w:hAnsi="Barlow" w:cs="Arial"/>
          <w:sz w:val="20"/>
          <w:szCs w:val="20"/>
        </w:rPr>
      </w:pPr>
    </w:p>
    <w:p w:rsidR="00292B51" w:rsidRPr="00131889" w:rsidRDefault="00292B51" w:rsidP="009E6148">
      <w:pPr>
        <w:spacing w:line="240" w:lineRule="auto"/>
        <w:rPr>
          <w:rFonts w:ascii="Barlow" w:hAnsi="Barlow" w:cs="Arial"/>
          <w:sz w:val="20"/>
          <w:szCs w:val="20"/>
        </w:rPr>
      </w:pPr>
    </w:p>
    <w:p w:rsidR="009E6148" w:rsidRPr="00131889" w:rsidRDefault="009E6148" w:rsidP="009E6148">
      <w:pPr>
        <w:spacing w:line="240" w:lineRule="auto"/>
        <w:rPr>
          <w:rFonts w:ascii="Barlow" w:hAnsi="Barlow" w:cs="Arial"/>
          <w:sz w:val="20"/>
          <w:szCs w:val="20"/>
        </w:rPr>
      </w:pPr>
      <w:r w:rsidRPr="00131889">
        <w:rPr>
          <w:rFonts w:ascii="Barlow" w:hAnsi="Barlow" w:cs="Arial"/>
          <w:sz w:val="20"/>
          <w:szCs w:val="20"/>
        </w:rPr>
        <w:t xml:space="preserve">Bajo protesta de decir verdad declaramos que los Estados Financieros y sus </w:t>
      </w:r>
      <w:r w:rsidR="00292B51" w:rsidRPr="00131889">
        <w:rPr>
          <w:rFonts w:ascii="Barlow" w:hAnsi="Barlow" w:cs="Arial"/>
          <w:sz w:val="20"/>
          <w:szCs w:val="20"/>
        </w:rPr>
        <w:t>N</w:t>
      </w:r>
      <w:r w:rsidRPr="00131889">
        <w:rPr>
          <w:rFonts w:ascii="Barlow" w:hAnsi="Barlow" w:cs="Arial"/>
          <w:sz w:val="20"/>
          <w:szCs w:val="20"/>
        </w:rPr>
        <w:t>otas son razonablemente correctos y responsabilidad del emisor.</w:t>
      </w:r>
    </w:p>
    <w:bookmarkEnd w:id="0"/>
    <w:p w:rsidR="0084580B" w:rsidRPr="00131889" w:rsidRDefault="0084580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84580B" w:rsidRPr="00131889" w:rsidSect="00C76C40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213B"/>
    <w:rsid w:val="000773CA"/>
    <w:rsid w:val="00093B8B"/>
    <w:rsid w:val="000C5E01"/>
    <w:rsid w:val="000D15AE"/>
    <w:rsid w:val="000D4C23"/>
    <w:rsid w:val="000E3AD1"/>
    <w:rsid w:val="00131889"/>
    <w:rsid w:val="00191849"/>
    <w:rsid w:val="001B5A5F"/>
    <w:rsid w:val="00207DE9"/>
    <w:rsid w:val="00246170"/>
    <w:rsid w:val="00257DD7"/>
    <w:rsid w:val="00292B51"/>
    <w:rsid w:val="002C58EF"/>
    <w:rsid w:val="003129FF"/>
    <w:rsid w:val="0031685D"/>
    <w:rsid w:val="00333E4E"/>
    <w:rsid w:val="0036304B"/>
    <w:rsid w:val="003A7074"/>
    <w:rsid w:val="003B4F2A"/>
    <w:rsid w:val="003E2DC9"/>
    <w:rsid w:val="003E5BEC"/>
    <w:rsid w:val="0040229C"/>
    <w:rsid w:val="00457EB6"/>
    <w:rsid w:val="00494EB2"/>
    <w:rsid w:val="004B7E8C"/>
    <w:rsid w:val="004C592D"/>
    <w:rsid w:val="004E3E63"/>
    <w:rsid w:val="004F2AD4"/>
    <w:rsid w:val="004F73CA"/>
    <w:rsid w:val="005547CD"/>
    <w:rsid w:val="005620D4"/>
    <w:rsid w:val="00580410"/>
    <w:rsid w:val="00594617"/>
    <w:rsid w:val="00626DFB"/>
    <w:rsid w:val="0067300E"/>
    <w:rsid w:val="006D0C6B"/>
    <w:rsid w:val="006D2444"/>
    <w:rsid w:val="006D3F6F"/>
    <w:rsid w:val="006E1347"/>
    <w:rsid w:val="006F0BF0"/>
    <w:rsid w:val="006F3019"/>
    <w:rsid w:val="007176C4"/>
    <w:rsid w:val="007C3E51"/>
    <w:rsid w:val="007E08D0"/>
    <w:rsid w:val="008404F2"/>
    <w:rsid w:val="0084580B"/>
    <w:rsid w:val="008F7BB6"/>
    <w:rsid w:val="009110C7"/>
    <w:rsid w:val="00915AD7"/>
    <w:rsid w:val="009602EF"/>
    <w:rsid w:val="009711D2"/>
    <w:rsid w:val="009A30C8"/>
    <w:rsid w:val="009D1727"/>
    <w:rsid w:val="009D49CF"/>
    <w:rsid w:val="009E6148"/>
    <w:rsid w:val="009F0748"/>
    <w:rsid w:val="00A92EE2"/>
    <w:rsid w:val="00B072A5"/>
    <w:rsid w:val="00B0792A"/>
    <w:rsid w:val="00B14E7E"/>
    <w:rsid w:val="00B23082"/>
    <w:rsid w:val="00B56042"/>
    <w:rsid w:val="00BF2C53"/>
    <w:rsid w:val="00BF6CAF"/>
    <w:rsid w:val="00C2220E"/>
    <w:rsid w:val="00C76C40"/>
    <w:rsid w:val="00D664D6"/>
    <w:rsid w:val="00D83798"/>
    <w:rsid w:val="00DB6DE2"/>
    <w:rsid w:val="00E115CB"/>
    <w:rsid w:val="00E227E2"/>
    <w:rsid w:val="00F004DF"/>
    <w:rsid w:val="00F27437"/>
    <w:rsid w:val="00F343EC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2017-01-27T20:08:00Z</cp:lastPrinted>
  <dcterms:created xsi:type="dcterms:W3CDTF">2019-05-07T18:32:00Z</dcterms:created>
  <dcterms:modified xsi:type="dcterms:W3CDTF">2019-05-07T21:13:00Z</dcterms:modified>
</cp:coreProperties>
</file>