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CA" w:rsidRDefault="006F3019" w:rsidP="006F3019">
      <w:pPr>
        <w:spacing w:line="240" w:lineRule="auto"/>
        <w:jc w:val="center"/>
        <w:rPr>
          <w:rFonts w:cs="Arial"/>
          <w:b/>
          <w:sz w:val="20"/>
          <w:szCs w:val="20"/>
        </w:rPr>
      </w:pPr>
      <w:r w:rsidRPr="003E2DC9">
        <w:rPr>
          <w:rFonts w:cs="Arial"/>
          <w:b/>
          <w:sz w:val="20"/>
          <w:szCs w:val="20"/>
        </w:rPr>
        <w:t>Cuenta Pública</w:t>
      </w:r>
      <w:r w:rsidR="00626DFB">
        <w:rPr>
          <w:rFonts w:cs="Arial"/>
          <w:b/>
          <w:sz w:val="20"/>
          <w:szCs w:val="20"/>
        </w:rPr>
        <w:t xml:space="preserve"> 201</w:t>
      </w:r>
      <w:r w:rsidR="000D0391">
        <w:rPr>
          <w:rFonts w:cs="Arial"/>
          <w:b/>
          <w:sz w:val="20"/>
          <w:szCs w:val="20"/>
        </w:rPr>
        <w:t>8</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AD2091">
        <w:rPr>
          <w:rFonts w:cs="Arial"/>
          <w:b/>
          <w:sz w:val="20"/>
          <w:szCs w:val="20"/>
        </w:rPr>
        <w:t>l 31</w:t>
      </w:r>
      <w:r w:rsidR="0015701F">
        <w:rPr>
          <w:rFonts w:cs="Arial"/>
          <w:b/>
          <w:sz w:val="20"/>
          <w:szCs w:val="20"/>
        </w:rPr>
        <w:t xml:space="preserve"> de </w:t>
      </w:r>
      <w:r w:rsidR="00AD2091">
        <w:rPr>
          <w:rFonts w:cs="Arial"/>
          <w:b/>
          <w:sz w:val="20"/>
          <w:szCs w:val="20"/>
        </w:rPr>
        <w:t>Marzo</w:t>
      </w:r>
      <w:r w:rsidR="000D0391">
        <w:rPr>
          <w:rFonts w:cs="Arial"/>
          <w:b/>
          <w:sz w:val="20"/>
          <w:szCs w:val="20"/>
        </w:rPr>
        <w:t xml:space="preserve"> de 2018</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6F3019" w:rsidRDefault="00F80ACD" w:rsidP="006F3019">
      <w:pPr>
        <w:spacing w:line="240" w:lineRule="auto"/>
        <w:rPr>
          <w:rFonts w:cs="Arial"/>
          <w:b/>
          <w:sz w:val="20"/>
          <w:szCs w:val="20"/>
        </w:rPr>
      </w:pPr>
      <w:r>
        <w:rPr>
          <w:rFonts w:cs="Arial"/>
          <w:b/>
          <w:sz w:val="20"/>
          <w:szCs w:val="20"/>
        </w:rPr>
        <w:t>Ente Público</w:t>
      </w:r>
      <w:proofErr w:type="gramStart"/>
      <w:r w:rsidR="003C6212">
        <w:rPr>
          <w:rFonts w:cs="Arial"/>
          <w:b/>
          <w:sz w:val="20"/>
          <w:szCs w:val="20"/>
        </w:rPr>
        <w:t>:</w:t>
      </w:r>
      <w:bookmarkStart w:id="0" w:name="_GoBack"/>
      <w:bookmarkEnd w:id="0"/>
      <w:r>
        <w:rPr>
          <w:rFonts w:cs="Arial"/>
          <w:b/>
          <w:sz w:val="20"/>
          <w:szCs w:val="20"/>
        </w:rPr>
        <w:t xml:space="preserve">  </w:t>
      </w:r>
      <w:r w:rsidR="0090441A">
        <w:rPr>
          <w:rFonts w:cs="Arial"/>
          <w:b/>
          <w:sz w:val="20"/>
          <w:szCs w:val="20"/>
        </w:rPr>
        <w:t>TRIBUNAL</w:t>
      </w:r>
      <w:proofErr w:type="gramEnd"/>
      <w:r w:rsidR="0090441A">
        <w:rPr>
          <w:rFonts w:cs="Arial"/>
          <w:b/>
          <w:sz w:val="20"/>
          <w:szCs w:val="20"/>
        </w:rPr>
        <w:t xml:space="preserve"> DE JUSTICIA</w:t>
      </w:r>
      <w:r w:rsidR="00122122">
        <w:rPr>
          <w:rFonts w:cs="Arial"/>
          <w:b/>
          <w:sz w:val="20"/>
          <w:szCs w:val="20"/>
        </w:rPr>
        <w:t xml:space="preserve">  ADMINISTRATIVA</w:t>
      </w:r>
      <w:r w:rsidR="005C0768">
        <w:rPr>
          <w:rFonts w:cs="Arial"/>
          <w:b/>
          <w:sz w:val="20"/>
          <w:szCs w:val="20"/>
        </w:rPr>
        <w:t xml:space="preserve"> DEL ESTADO DE YUCATÁ</w:t>
      </w:r>
      <w:r w:rsidR="0090441A">
        <w:rPr>
          <w:rFonts w:cs="Arial"/>
          <w:b/>
          <w:sz w:val="20"/>
          <w:szCs w:val="20"/>
        </w:rPr>
        <w:t>N</w:t>
      </w:r>
    </w:p>
    <w:p w:rsidR="00594617" w:rsidRDefault="00594617"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GESTIÓN ADMINISTRATIV</w:t>
      </w:r>
      <w:r w:rsidR="00C46072">
        <w:rPr>
          <w:rFonts w:cs="Arial"/>
          <w:b/>
          <w:sz w:val="20"/>
          <w:szCs w:val="20"/>
        </w:rPr>
        <w:t>A</w:t>
      </w:r>
    </w:p>
    <w:p w:rsidR="0090441A" w:rsidRPr="00D84EF8" w:rsidRDefault="0090441A" w:rsidP="0090441A">
      <w:pPr>
        <w:pStyle w:val="Texto"/>
        <w:spacing w:after="98" w:line="276" w:lineRule="auto"/>
        <w:ind w:firstLine="0"/>
        <w:rPr>
          <w:rFonts w:asciiTheme="minorHAnsi" w:hAnsiTheme="minorHAnsi"/>
          <w:b/>
          <w:sz w:val="20"/>
          <w:lang w:val="es-MX"/>
        </w:rPr>
      </w:pPr>
      <w:r w:rsidRPr="00D84EF8">
        <w:rPr>
          <w:rFonts w:asciiTheme="minorHAnsi" w:hAnsiTheme="minorHAnsi"/>
          <w:b/>
          <w:sz w:val="20"/>
          <w:lang w:val="es-MX"/>
        </w:rPr>
        <w:t>Historia</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sz w:val="20"/>
        </w:rPr>
        <w:t>Fecha de creación del ente y principales cambios en su estructura</w:t>
      </w:r>
    </w:p>
    <w:p w:rsidR="00B81BA9" w:rsidRDefault="00B81BA9" w:rsidP="0090441A">
      <w:pPr>
        <w:pStyle w:val="Prrafodelista"/>
        <w:spacing w:after="0"/>
        <w:ind w:left="0"/>
        <w:jc w:val="both"/>
        <w:rPr>
          <w:rFonts w:asciiTheme="minorHAnsi" w:hAnsiTheme="minorHAnsi"/>
          <w:sz w:val="20"/>
          <w:szCs w:val="20"/>
          <w:lang w:val="es-MX"/>
        </w:rPr>
      </w:pPr>
    </w:p>
    <w:p w:rsidR="00C46072" w:rsidRPr="00C46072" w:rsidRDefault="00C46072" w:rsidP="0090441A">
      <w:pPr>
        <w:pStyle w:val="Prrafodelista"/>
        <w:spacing w:after="0"/>
        <w:ind w:left="0"/>
        <w:jc w:val="both"/>
        <w:rPr>
          <w:rFonts w:asciiTheme="minorHAnsi" w:hAnsiTheme="minorHAnsi"/>
          <w:sz w:val="20"/>
          <w:szCs w:val="20"/>
          <w:lang w:val="es-MX"/>
        </w:rPr>
      </w:pPr>
      <w:r w:rsidRPr="00C46072">
        <w:rPr>
          <w:rFonts w:asciiTheme="minorHAnsi" w:hAnsiTheme="minorHAnsi"/>
          <w:sz w:val="20"/>
          <w:szCs w:val="20"/>
          <w:lang w:val="es-MX"/>
        </w:rPr>
        <w:t>TRIBUNAL DE JUSTICIA ELECTORAL Y ADMINISTRATIVA DEL PODER JUDICIAL DEL ESTADO DE YUCATÁN.</w:t>
      </w:r>
    </w:p>
    <w:p w:rsidR="0090441A" w:rsidRPr="00C46072" w:rsidRDefault="0090441A" w:rsidP="0090441A">
      <w:pPr>
        <w:pStyle w:val="Prrafodelista"/>
        <w:spacing w:after="0"/>
        <w:ind w:left="0"/>
        <w:jc w:val="both"/>
        <w:rPr>
          <w:rFonts w:asciiTheme="minorHAnsi" w:hAnsiTheme="minorHAnsi"/>
          <w:sz w:val="20"/>
          <w:szCs w:val="20"/>
          <w:lang w:val="es-MX"/>
        </w:rPr>
      </w:pPr>
      <w:r w:rsidRPr="00C46072">
        <w:rPr>
          <w:rFonts w:asciiTheme="minorHAnsi" w:hAnsiTheme="minorHAnsi"/>
          <w:sz w:val="20"/>
          <w:szCs w:val="20"/>
          <w:lang w:val="es-MX"/>
        </w:rPr>
        <w:t xml:space="preserve">El día 1 de marzo del año 2011 entró en vigor la Reforma Constitucional en materia de Seguridad y Justicia dada en Yucatán, publicada en el ejemplar número 31,603 del Diario Oficial del Gobierno del Estado de fecha 17 de mayo de 2010, la cual establecía en su artículo 71 que </w:t>
      </w:r>
      <w:r w:rsidRPr="00C46072">
        <w:rPr>
          <w:rFonts w:asciiTheme="minorHAnsi" w:hAnsiTheme="minorHAnsi"/>
          <w:b/>
          <w:i/>
          <w:sz w:val="20"/>
          <w:szCs w:val="20"/>
          <w:lang w:val="es-MX"/>
        </w:rPr>
        <w:t>el Tribunal de Justicia Electoral y Administrativa del Poder Judicial del Estado es un órgano especializado del Poder Judicial, con competencia jurisdiccional en la materia electoral y en la contencioso administrativa en el Estado de Yucatán en términos de la Ley, y que contará con plena autonomía en el dictado de sus resoluciones, las cuales serán definitivas e inatacables.</w:t>
      </w:r>
    </w:p>
    <w:p w:rsidR="0090441A" w:rsidRPr="00C46072" w:rsidRDefault="0090441A" w:rsidP="0090441A">
      <w:pPr>
        <w:pStyle w:val="Prrafodelista"/>
        <w:ind w:left="0"/>
        <w:jc w:val="both"/>
        <w:rPr>
          <w:rFonts w:asciiTheme="minorHAnsi" w:hAnsiTheme="minorHAnsi"/>
          <w:sz w:val="20"/>
          <w:szCs w:val="20"/>
          <w:lang w:val="es-MX"/>
        </w:rPr>
      </w:pPr>
      <w:r w:rsidRPr="00C46072">
        <w:rPr>
          <w:rFonts w:asciiTheme="minorHAnsi" w:hAnsiTheme="minorHAnsi"/>
          <w:sz w:val="20"/>
          <w:szCs w:val="20"/>
          <w:lang w:val="es-MX"/>
        </w:rPr>
        <w:t xml:space="preserve">Asimismo entró en vigor la Ley Orgánica del Poder Judicial del Estado de Yucatán, en donde se establecieron las bases para la organización y funcionamiento del entonces Tribunal de Justicia Electoral y Administrativa como parte del Poder Judicial del Estado. Los transitorios DÉCIMO SEXTO, DÉCIMO SÉPTIMO, VIGÉSIMO PRIMERO Y VIGÉSIMO SEGUNDO, establecieron en lo conducente, que con la entrada en vigor de la referida Ley Orgánica, los acuerdos, convenios, actos jurídicos, así como los asuntos pendientes y de trámite en el Tribunal de lo Contencioso Administrativo y del Tribunal Electoral del Estado, se transfirieran y quedaran a cargo del Tribunal de Justicia Electoral y Administrativa, que los bienes muebles e inmuebles del antes Tribunal Electoral del Estado y del Tribunal de lo Contencioso Administrativo pasarán a dominio y uso del Poder Judicial del Estado con destino para el Tribunal de Justicia Electoral y Administrativa; que cuando otras disposiciones </w:t>
      </w:r>
      <w:r w:rsidRPr="00C46072">
        <w:rPr>
          <w:rFonts w:asciiTheme="minorHAnsi" w:hAnsiTheme="minorHAnsi"/>
          <w:sz w:val="20"/>
          <w:szCs w:val="20"/>
          <w:lang w:val="es-MX"/>
        </w:rPr>
        <w:lastRenderedPageBreak/>
        <w:t>legales mencionen o contemplen la figura “Tribunal Electoral del Estado” o la del “Tribunal de lo Contencioso Administrativo”, se entenderán referidas al “Tribunal de Justicia Electoral y Administrativa”.</w:t>
      </w:r>
    </w:p>
    <w:p w:rsidR="0090441A" w:rsidRDefault="0090441A" w:rsidP="0090441A">
      <w:pPr>
        <w:pStyle w:val="Prrafodelista"/>
        <w:ind w:left="0"/>
        <w:jc w:val="both"/>
        <w:rPr>
          <w:rFonts w:asciiTheme="minorHAnsi" w:hAnsiTheme="minorHAnsi"/>
          <w:sz w:val="20"/>
          <w:szCs w:val="20"/>
        </w:rPr>
      </w:pPr>
      <w:r w:rsidRPr="00C46072">
        <w:rPr>
          <w:rFonts w:asciiTheme="minorHAnsi" w:hAnsiTheme="minorHAnsi"/>
          <w:sz w:val="20"/>
          <w:szCs w:val="20"/>
        </w:rPr>
        <w:t>Se realizaron los trámites correspondientes ante el Servicio de Administración Tributaria, asignándole esa autoridad el Registro Federal de Contribuyentes TJE1103018L3.</w:t>
      </w:r>
    </w:p>
    <w:p w:rsidR="00B81BA9" w:rsidRPr="00D84EF8" w:rsidRDefault="00B81BA9" w:rsidP="0090441A">
      <w:pPr>
        <w:pStyle w:val="Prrafodelista"/>
        <w:ind w:left="0"/>
        <w:jc w:val="both"/>
        <w:rPr>
          <w:rFonts w:asciiTheme="minorHAnsi" w:hAnsiTheme="minorHAnsi"/>
          <w:sz w:val="20"/>
          <w:szCs w:val="20"/>
        </w:rPr>
      </w:pPr>
      <w:r>
        <w:rPr>
          <w:rFonts w:asciiTheme="minorHAnsi" w:hAnsiTheme="minorHAnsi"/>
          <w:sz w:val="20"/>
          <w:szCs w:val="20"/>
        </w:rPr>
        <w:t>TRIBUNAL DE JUSTICIA FISCAL Y ADMINISTRATIVA DEL PODER JUDICIAL DEL ESTADO DE YUCATÁN.</w:t>
      </w:r>
    </w:p>
    <w:p w:rsidR="0090441A" w:rsidRDefault="00FE2D8A" w:rsidP="0090441A">
      <w:pPr>
        <w:pStyle w:val="Prrafodelista"/>
        <w:ind w:left="0"/>
        <w:jc w:val="both"/>
        <w:rPr>
          <w:rFonts w:asciiTheme="minorHAnsi" w:hAnsiTheme="minorHAnsi"/>
          <w:sz w:val="20"/>
          <w:szCs w:val="20"/>
          <w:lang w:val="es-MX"/>
        </w:rPr>
      </w:pPr>
      <w:r w:rsidRPr="00C46072">
        <w:rPr>
          <w:rFonts w:asciiTheme="minorHAnsi" w:hAnsiTheme="minorHAnsi"/>
          <w:sz w:val="20"/>
          <w:szCs w:val="20"/>
        </w:rPr>
        <w:t>E</w:t>
      </w:r>
      <w:r w:rsidR="0090441A" w:rsidRPr="00C46072">
        <w:rPr>
          <w:rFonts w:asciiTheme="minorHAnsi" w:hAnsiTheme="minorHAnsi"/>
          <w:sz w:val="20"/>
          <w:szCs w:val="20"/>
        </w:rPr>
        <w:t xml:space="preserve">l 20 de junio del año 2014, se publicó el Decreto 195/2014 </w:t>
      </w:r>
      <w:r w:rsidRPr="00C46072">
        <w:rPr>
          <w:rFonts w:asciiTheme="minorHAnsi" w:hAnsiTheme="minorHAnsi"/>
          <w:sz w:val="20"/>
          <w:szCs w:val="20"/>
          <w:lang w:val="es-MX"/>
        </w:rPr>
        <w:t>por el que se modificó</w:t>
      </w:r>
      <w:r w:rsidR="0090441A" w:rsidRPr="00C46072">
        <w:rPr>
          <w:rFonts w:asciiTheme="minorHAnsi" w:hAnsiTheme="minorHAnsi"/>
          <w:sz w:val="20"/>
          <w:szCs w:val="20"/>
          <w:lang w:val="es-MX"/>
        </w:rPr>
        <w:t xml:space="preserve"> la Constitución Política del Estado de Yucatán, por medio del cual se escindió la materia electoral del entonces Tribunal de Justicia Electoral y Administrativa del Poder Judicial del Estado de Yucatán que pasó a ser Tribunal de Justicia Fiscal y Administrativa del Poder Judicial del Estado de Yucatán dejándolo con la materia fiscal administrativa, conservando el mismo Registro Federal de Contribuyentes TJE1103018L3</w:t>
      </w:r>
    </w:p>
    <w:p w:rsidR="00B1297D" w:rsidRDefault="00B1297D" w:rsidP="0090441A">
      <w:pPr>
        <w:pStyle w:val="Prrafodelista"/>
        <w:ind w:left="0"/>
        <w:jc w:val="both"/>
        <w:rPr>
          <w:rFonts w:asciiTheme="minorHAnsi" w:hAnsiTheme="minorHAnsi"/>
          <w:sz w:val="20"/>
          <w:szCs w:val="20"/>
          <w:lang w:val="es-MX"/>
        </w:rPr>
      </w:pPr>
    </w:p>
    <w:p w:rsidR="00B81BA9" w:rsidRDefault="00B81BA9" w:rsidP="002718A7">
      <w:pPr>
        <w:pStyle w:val="Prrafodelista"/>
        <w:spacing w:after="0"/>
        <w:ind w:left="0"/>
        <w:jc w:val="both"/>
        <w:rPr>
          <w:rFonts w:asciiTheme="minorHAnsi" w:hAnsiTheme="minorHAnsi"/>
          <w:sz w:val="20"/>
          <w:szCs w:val="20"/>
          <w:lang w:val="es-MX"/>
        </w:rPr>
      </w:pPr>
      <w:r>
        <w:rPr>
          <w:rFonts w:asciiTheme="minorHAnsi" w:hAnsiTheme="minorHAnsi"/>
          <w:sz w:val="20"/>
          <w:szCs w:val="20"/>
          <w:lang w:val="es-MX"/>
        </w:rPr>
        <w:t>TRIBUNAL DE JUSTICIA ADMINISTRATIVA DEL ESTADO DE YUCATÁN</w:t>
      </w:r>
    </w:p>
    <w:p w:rsidR="00B81BA9" w:rsidRPr="00C605F9" w:rsidRDefault="00B1297D" w:rsidP="002718A7">
      <w:pPr>
        <w:autoSpaceDE w:val="0"/>
        <w:autoSpaceDN w:val="0"/>
        <w:adjustRightInd w:val="0"/>
        <w:spacing w:after="0"/>
        <w:jc w:val="both"/>
      </w:pPr>
      <w:r>
        <w:rPr>
          <w:sz w:val="20"/>
          <w:szCs w:val="20"/>
        </w:rPr>
        <w:t xml:space="preserve">El 19 de julio de 2017, inició el Sistema Anticorrupción con la entrada en vigor de los </w:t>
      </w:r>
      <w:r w:rsidR="00FE2D8A">
        <w:rPr>
          <w:sz w:val="20"/>
          <w:szCs w:val="20"/>
        </w:rPr>
        <w:t>Decretos 380/2016 y 511/2017 publicados en el Diario Oficial del Gobierno del Estado en fechas 20 de abril de 2016 y 18 de julio de 2017</w:t>
      </w:r>
      <w:r w:rsidR="00B81BA9">
        <w:rPr>
          <w:sz w:val="20"/>
          <w:szCs w:val="20"/>
        </w:rPr>
        <w:t xml:space="preserve"> respectivamente</w:t>
      </w:r>
      <w:r w:rsidR="00DA1CE9">
        <w:rPr>
          <w:sz w:val="20"/>
          <w:szCs w:val="20"/>
        </w:rPr>
        <w:t>,</w:t>
      </w:r>
      <w:r w:rsidR="00B81BA9">
        <w:rPr>
          <w:sz w:val="20"/>
          <w:szCs w:val="20"/>
        </w:rPr>
        <w:t xml:space="preserve"> así como la Ley Orgánica del Tribunal de Justicia Administrativa del Estado de Yucatán. El artículo Décimo Quinto Transitorio del Decreto 380/2016, establece que “</w:t>
      </w:r>
      <w:r w:rsidR="00B81BA9" w:rsidRPr="00B81BA9">
        <w:rPr>
          <w:sz w:val="20"/>
          <w:szCs w:val="20"/>
        </w:rPr>
        <w:t>los recursos humanos, materiales, financieros y presupuestales con que cuenta el Tribunal de Justicia Fiscal y Administrativa del Poder Judicial del Estado de Yucatán, incluyendo todos sus bienes y los derechos derivados de los fondos o fideicomisos vigentes, pasarán a formar parte del Tribunal de Justicia  Administrativa del Estado de Yucatán</w:t>
      </w:r>
      <w:r w:rsidR="00B81BA9">
        <w:rPr>
          <w:sz w:val="20"/>
          <w:szCs w:val="20"/>
        </w:rPr>
        <w:t xml:space="preserve">”; </w:t>
      </w:r>
      <w:r w:rsidR="00B81BA9" w:rsidRPr="00B81BA9">
        <w:rPr>
          <w:sz w:val="20"/>
          <w:szCs w:val="20"/>
        </w:rPr>
        <w:t xml:space="preserve">El artículo Décimo sexto transitorio del </w:t>
      </w:r>
      <w:r w:rsidR="00B81BA9">
        <w:rPr>
          <w:sz w:val="20"/>
          <w:szCs w:val="20"/>
        </w:rPr>
        <w:t xml:space="preserve">referido </w:t>
      </w:r>
      <w:r w:rsidR="00B81BA9" w:rsidRPr="00B81BA9">
        <w:rPr>
          <w:sz w:val="20"/>
          <w:szCs w:val="20"/>
        </w:rPr>
        <w:t>Decreto 380/2016 señala que los acuerdos, convenios, así como los asuntos, expediente, medios de impugnación y demás actos jurídicos pendientes y en trámite en materia fiscal y administrativa, que se encuentren bajo cualquier concepto en el Tribunal de Justicia Fiscal y Administrativa del Poder Judicial del Estado de Yucatán, se transferirán y quedarán a cargo del Tribunal de Justicia Admin</w:t>
      </w:r>
      <w:r w:rsidR="00B81BA9">
        <w:rPr>
          <w:sz w:val="20"/>
          <w:szCs w:val="20"/>
        </w:rPr>
        <w:t xml:space="preserve">istrativa del Estado de Yucatán; </w:t>
      </w:r>
      <w:r w:rsidR="00DA1CE9">
        <w:rPr>
          <w:sz w:val="20"/>
          <w:szCs w:val="20"/>
        </w:rPr>
        <w:t xml:space="preserve">El artículo </w:t>
      </w:r>
      <w:r w:rsidR="00DA1CE9" w:rsidRPr="00DA1CE9">
        <w:rPr>
          <w:sz w:val="20"/>
          <w:szCs w:val="20"/>
        </w:rPr>
        <w:t>Décimo cuarto</w:t>
      </w:r>
      <w:r w:rsidR="00DA1CE9">
        <w:rPr>
          <w:sz w:val="20"/>
          <w:szCs w:val="20"/>
        </w:rPr>
        <w:t xml:space="preserve"> señala “</w:t>
      </w:r>
      <w:r w:rsidR="00DA1CE9" w:rsidRPr="00DA1CE9">
        <w:rPr>
          <w:sz w:val="20"/>
          <w:szCs w:val="20"/>
        </w:rPr>
        <w:t xml:space="preserve">Con objeto de no afectar derechos adquiridos con anterioridad a este decreto, los magistrados del actual Tribunal de Justicia Fiscal y Administrativa del Poder Judicial del Estado </w:t>
      </w:r>
      <w:r w:rsidR="00DA1CE9">
        <w:rPr>
          <w:sz w:val="20"/>
          <w:szCs w:val="20"/>
        </w:rPr>
        <w:t>d</w:t>
      </w:r>
      <w:r w:rsidR="00DA1CE9" w:rsidRPr="00DA1CE9">
        <w:rPr>
          <w:sz w:val="20"/>
          <w:szCs w:val="20"/>
        </w:rPr>
        <w:t>e Yucatán, continuarán como magistrados del organismo autónomo denominado Tribunal de Justicia Administrativa del Estado de Yucatán, exclusivamente por el tiempo que hayan sido nombrados</w:t>
      </w:r>
      <w:r w:rsidR="00DA1CE9">
        <w:rPr>
          <w:sz w:val="20"/>
          <w:szCs w:val="20"/>
        </w:rPr>
        <w:t>”</w:t>
      </w:r>
      <w:r w:rsidR="00DA1CE9" w:rsidRPr="00DA1CE9">
        <w:rPr>
          <w:sz w:val="20"/>
          <w:szCs w:val="20"/>
        </w:rPr>
        <w:t>.</w:t>
      </w:r>
    </w:p>
    <w:p w:rsidR="002718A7" w:rsidRDefault="002718A7" w:rsidP="0090441A">
      <w:pPr>
        <w:widowControl w:val="0"/>
        <w:autoSpaceDE w:val="0"/>
        <w:autoSpaceDN w:val="0"/>
        <w:adjustRightInd w:val="0"/>
        <w:ind w:right="358"/>
        <w:jc w:val="both"/>
        <w:rPr>
          <w:rFonts w:eastAsia="Calibri" w:cs="Arial"/>
          <w:b/>
          <w:sz w:val="20"/>
          <w:szCs w:val="20"/>
        </w:rPr>
      </w:pPr>
    </w:p>
    <w:p w:rsidR="002718A7" w:rsidRDefault="002718A7" w:rsidP="0090441A">
      <w:pPr>
        <w:widowControl w:val="0"/>
        <w:autoSpaceDE w:val="0"/>
        <w:autoSpaceDN w:val="0"/>
        <w:adjustRightInd w:val="0"/>
        <w:ind w:right="358"/>
        <w:jc w:val="both"/>
        <w:rPr>
          <w:rFonts w:eastAsia="Calibri" w:cs="Arial"/>
          <w:b/>
          <w:sz w:val="20"/>
          <w:szCs w:val="20"/>
        </w:rPr>
      </w:pPr>
    </w:p>
    <w:p w:rsidR="00F80ACD" w:rsidRDefault="00F80ACD" w:rsidP="0090441A">
      <w:pPr>
        <w:widowControl w:val="0"/>
        <w:autoSpaceDE w:val="0"/>
        <w:autoSpaceDN w:val="0"/>
        <w:adjustRightInd w:val="0"/>
        <w:ind w:right="358"/>
        <w:jc w:val="both"/>
        <w:rPr>
          <w:rFonts w:eastAsia="Calibri" w:cs="Arial"/>
          <w:b/>
          <w:sz w:val="20"/>
          <w:szCs w:val="20"/>
        </w:rPr>
      </w:pPr>
    </w:p>
    <w:p w:rsidR="00F80ACD" w:rsidRDefault="00F80ACD" w:rsidP="0090441A">
      <w:pPr>
        <w:widowControl w:val="0"/>
        <w:autoSpaceDE w:val="0"/>
        <w:autoSpaceDN w:val="0"/>
        <w:adjustRightInd w:val="0"/>
        <w:ind w:right="358"/>
        <w:jc w:val="both"/>
        <w:rPr>
          <w:rFonts w:eastAsia="Calibri" w:cs="Arial"/>
          <w:b/>
          <w:sz w:val="20"/>
          <w:szCs w:val="20"/>
        </w:rPr>
      </w:pPr>
    </w:p>
    <w:p w:rsidR="0090441A" w:rsidRDefault="0090441A" w:rsidP="0090441A">
      <w:pPr>
        <w:widowControl w:val="0"/>
        <w:autoSpaceDE w:val="0"/>
        <w:autoSpaceDN w:val="0"/>
        <w:adjustRightInd w:val="0"/>
        <w:ind w:right="358"/>
        <w:jc w:val="both"/>
        <w:rPr>
          <w:rFonts w:eastAsia="Calibri" w:cs="Arial"/>
          <w:b/>
          <w:sz w:val="20"/>
          <w:szCs w:val="20"/>
        </w:rPr>
      </w:pPr>
      <w:r w:rsidRPr="00D84EF8">
        <w:rPr>
          <w:rFonts w:eastAsia="Calibri" w:cs="Arial"/>
          <w:b/>
          <w:sz w:val="20"/>
          <w:szCs w:val="20"/>
        </w:rPr>
        <w:lastRenderedPageBreak/>
        <w:t>Principal actividad.</w:t>
      </w:r>
    </w:p>
    <w:p w:rsidR="00DA1CE9" w:rsidRPr="00DA1CE9" w:rsidRDefault="00DA1CE9" w:rsidP="00DA1CE9">
      <w:pPr>
        <w:widowControl w:val="0"/>
        <w:autoSpaceDE w:val="0"/>
        <w:autoSpaceDN w:val="0"/>
        <w:adjustRightInd w:val="0"/>
        <w:ind w:right="358"/>
        <w:jc w:val="both"/>
        <w:rPr>
          <w:sz w:val="20"/>
          <w:szCs w:val="20"/>
        </w:rPr>
      </w:pPr>
      <w:r>
        <w:rPr>
          <w:sz w:val="20"/>
          <w:szCs w:val="20"/>
        </w:rPr>
        <w:t xml:space="preserve">El </w:t>
      </w:r>
      <w:r w:rsidRPr="00DA1CE9">
        <w:rPr>
          <w:sz w:val="20"/>
          <w:szCs w:val="20"/>
        </w:rPr>
        <w:t>Artículo 2</w:t>
      </w:r>
      <w:r>
        <w:rPr>
          <w:sz w:val="20"/>
          <w:szCs w:val="20"/>
        </w:rPr>
        <w:t xml:space="preserve"> de </w:t>
      </w:r>
      <w:r w:rsidRPr="00DA1CE9">
        <w:rPr>
          <w:sz w:val="20"/>
          <w:szCs w:val="20"/>
        </w:rPr>
        <w:t>la Ley Orgánica del Tribunal de Justicia Administrativa del Estado de Yucatán</w:t>
      </w:r>
      <w:r>
        <w:rPr>
          <w:sz w:val="20"/>
          <w:szCs w:val="20"/>
        </w:rPr>
        <w:t xml:space="preserve">, publicada en el Diario Oficial del Gobierno del Estado el 18 de julio de 2017, señala </w:t>
      </w:r>
      <w:r w:rsidRPr="00DA1CE9">
        <w:rPr>
          <w:sz w:val="20"/>
          <w:szCs w:val="20"/>
        </w:rPr>
        <w:t>entre otras cosas lo siguiente:</w:t>
      </w:r>
    </w:p>
    <w:p w:rsidR="00DA1CE9" w:rsidRPr="00DA1CE9" w:rsidRDefault="00DA1CE9" w:rsidP="00DA1CE9">
      <w:pPr>
        <w:widowControl w:val="0"/>
        <w:autoSpaceDE w:val="0"/>
        <w:autoSpaceDN w:val="0"/>
        <w:adjustRightInd w:val="0"/>
        <w:ind w:right="358"/>
        <w:jc w:val="both"/>
        <w:rPr>
          <w:sz w:val="20"/>
          <w:szCs w:val="20"/>
        </w:rPr>
      </w:pPr>
      <w:r w:rsidRPr="00DA1CE9">
        <w:rPr>
          <w:sz w:val="20"/>
          <w:szCs w:val="20"/>
        </w:rPr>
        <w:t xml:space="preserve">El Tribunal de Justicia Administrativa del Estado de Yucatán es un organismo constitucional autónomo, máxima autoridad en materia contencioso administrativa, fiscal y de responsabilidades administrativas, dotado de plena jurisdicción, autonomía e independencia para dictar sus resoluciones </w:t>
      </w:r>
      <w:r>
        <w:rPr>
          <w:sz w:val="20"/>
          <w:szCs w:val="20"/>
        </w:rPr>
        <w:t xml:space="preserve">e </w:t>
      </w:r>
      <w:r w:rsidRPr="00DA1CE9">
        <w:rPr>
          <w:sz w:val="20"/>
          <w:szCs w:val="20"/>
        </w:rPr>
        <w:t xml:space="preserve">imperio para hacerlas cumplir, que tiene por objeto conocer, resolver y </w:t>
      </w:r>
      <w:r>
        <w:rPr>
          <w:sz w:val="20"/>
          <w:szCs w:val="20"/>
        </w:rPr>
        <w:t>di</w:t>
      </w:r>
      <w:r w:rsidRPr="00DA1CE9">
        <w:rPr>
          <w:sz w:val="20"/>
          <w:szCs w:val="20"/>
        </w:rPr>
        <w:t>rimir las controversias de carácter administrativo y fiscal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w:t>
      </w:r>
    </w:p>
    <w:p w:rsidR="0090441A" w:rsidRPr="00D84EF8" w:rsidRDefault="0090441A" w:rsidP="0090441A">
      <w:pPr>
        <w:widowControl w:val="0"/>
        <w:autoSpaceDE w:val="0"/>
        <w:autoSpaceDN w:val="0"/>
        <w:adjustRightInd w:val="0"/>
        <w:ind w:right="358"/>
        <w:jc w:val="both"/>
        <w:rPr>
          <w:rFonts w:eastAsia="Calibri" w:cs="Arial"/>
          <w:b/>
          <w:sz w:val="20"/>
          <w:szCs w:val="20"/>
        </w:rPr>
      </w:pPr>
      <w:r w:rsidRPr="00D84EF8">
        <w:rPr>
          <w:rFonts w:eastAsia="Calibri" w:cs="Arial"/>
          <w:b/>
          <w:sz w:val="20"/>
          <w:szCs w:val="20"/>
        </w:rPr>
        <w:t>Obligaciones fiscales.</w:t>
      </w:r>
    </w:p>
    <w:p w:rsidR="0090441A" w:rsidRPr="00D84EF8" w:rsidRDefault="0090441A" w:rsidP="0090441A">
      <w:pPr>
        <w:widowControl w:val="0"/>
        <w:autoSpaceDE w:val="0"/>
        <w:autoSpaceDN w:val="0"/>
        <w:adjustRightInd w:val="0"/>
        <w:ind w:right="358"/>
        <w:jc w:val="both"/>
        <w:rPr>
          <w:rFonts w:eastAsia="Calibri" w:cs="Arial"/>
          <w:sz w:val="20"/>
          <w:szCs w:val="20"/>
        </w:rPr>
      </w:pPr>
      <w:r w:rsidRPr="004C2FEB">
        <w:rPr>
          <w:rFonts w:eastAsia="Calibri" w:cs="Arial"/>
          <w:sz w:val="20"/>
          <w:szCs w:val="20"/>
        </w:rPr>
        <w:t>Las obligaciones fiscales</w:t>
      </w:r>
      <w:r w:rsidR="0015701F" w:rsidRPr="004C2FEB">
        <w:rPr>
          <w:rFonts w:eastAsia="Calibri" w:cs="Arial"/>
          <w:sz w:val="20"/>
          <w:szCs w:val="20"/>
        </w:rPr>
        <w:t xml:space="preserve"> del Tribunal de Justicia</w:t>
      </w:r>
      <w:r w:rsidRPr="004C2FEB">
        <w:rPr>
          <w:rFonts w:eastAsia="Calibri" w:cs="Arial"/>
          <w:sz w:val="20"/>
          <w:szCs w:val="20"/>
        </w:rPr>
        <w:t xml:space="preserve"> A</w:t>
      </w:r>
      <w:r w:rsidR="0015701F" w:rsidRPr="004C2FEB">
        <w:rPr>
          <w:rFonts w:eastAsia="Calibri" w:cs="Arial"/>
          <w:sz w:val="20"/>
          <w:szCs w:val="20"/>
        </w:rPr>
        <w:t>dministrativa</w:t>
      </w:r>
      <w:r w:rsidRPr="004C2FEB">
        <w:rPr>
          <w:rFonts w:eastAsia="Calibri" w:cs="Arial"/>
          <w:sz w:val="20"/>
          <w:szCs w:val="20"/>
        </w:rPr>
        <w:t xml:space="preserve"> del Estado de Yucatán son las siguientes:</w:t>
      </w:r>
    </w:p>
    <w:p w:rsidR="0090441A" w:rsidRPr="00D84EF8" w:rsidRDefault="0090441A" w:rsidP="0090441A">
      <w:pPr>
        <w:widowControl w:val="0"/>
        <w:autoSpaceDE w:val="0"/>
        <w:autoSpaceDN w:val="0"/>
        <w:adjustRightInd w:val="0"/>
        <w:ind w:right="358"/>
        <w:jc w:val="both"/>
        <w:rPr>
          <w:rFonts w:eastAsia="Calibri" w:cs="Arial"/>
          <w:sz w:val="20"/>
          <w:szCs w:val="20"/>
        </w:rPr>
      </w:pPr>
      <w:r w:rsidRPr="00D84EF8">
        <w:rPr>
          <w:rFonts w:eastAsia="Calibri" w:cs="Arial"/>
          <w:sz w:val="20"/>
          <w:szCs w:val="20"/>
        </w:rPr>
        <w:t>Estatales</w:t>
      </w:r>
      <w:r>
        <w:rPr>
          <w:rFonts w:eastAsia="Calibri" w:cs="Arial"/>
          <w:sz w:val="20"/>
          <w:szCs w:val="20"/>
        </w:rPr>
        <w:t>:</w:t>
      </w:r>
    </w:p>
    <w:p w:rsidR="0090441A" w:rsidRPr="00D84EF8" w:rsidRDefault="0090441A" w:rsidP="0090441A">
      <w:pPr>
        <w:widowControl w:val="0"/>
        <w:autoSpaceDE w:val="0"/>
        <w:autoSpaceDN w:val="0"/>
        <w:adjustRightInd w:val="0"/>
        <w:ind w:right="358"/>
        <w:jc w:val="both"/>
        <w:rPr>
          <w:rFonts w:cs="Arial"/>
          <w:sz w:val="20"/>
          <w:szCs w:val="20"/>
        </w:rPr>
      </w:pPr>
      <w:r w:rsidRPr="00D84EF8">
        <w:rPr>
          <w:rFonts w:cs="Arial"/>
          <w:sz w:val="20"/>
          <w:szCs w:val="20"/>
        </w:rPr>
        <w:t>4% de impuesto sobre erogaciones por remuneración al trabajo personal.</w:t>
      </w:r>
    </w:p>
    <w:p w:rsidR="0090441A" w:rsidRDefault="0090441A" w:rsidP="0090441A">
      <w:pPr>
        <w:widowControl w:val="0"/>
        <w:autoSpaceDE w:val="0"/>
        <w:autoSpaceDN w:val="0"/>
        <w:adjustRightInd w:val="0"/>
        <w:ind w:right="358"/>
        <w:jc w:val="both"/>
        <w:rPr>
          <w:rFonts w:cs="Arial"/>
          <w:sz w:val="20"/>
          <w:szCs w:val="20"/>
        </w:rPr>
      </w:pPr>
      <w:r w:rsidRPr="00D84EF8">
        <w:rPr>
          <w:rFonts w:cs="Arial"/>
          <w:sz w:val="20"/>
          <w:szCs w:val="20"/>
        </w:rPr>
        <w:t>Pago de cuotas y aportaciones de conformidad a la Ley de Seguridad Social para los servidores públicos del Estado de Yucatán, de sus municipios y de los organismos públicos coordinados y descentralizados de carácter estatal.</w:t>
      </w:r>
    </w:p>
    <w:p w:rsidR="0090441A" w:rsidRPr="00CF2708" w:rsidRDefault="0090441A" w:rsidP="0090441A">
      <w:pPr>
        <w:widowControl w:val="0"/>
        <w:autoSpaceDE w:val="0"/>
        <w:autoSpaceDN w:val="0"/>
        <w:adjustRightInd w:val="0"/>
        <w:ind w:right="358"/>
        <w:jc w:val="both"/>
        <w:rPr>
          <w:rFonts w:cs="Arial"/>
          <w:sz w:val="20"/>
          <w:szCs w:val="20"/>
        </w:rPr>
      </w:pPr>
    </w:p>
    <w:p w:rsidR="0090441A" w:rsidRPr="00D84EF8" w:rsidRDefault="0090441A" w:rsidP="0090441A">
      <w:pPr>
        <w:widowControl w:val="0"/>
        <w:autoSpaceDE w:val="0"/>
        <w:autoSpaceDN w:val="0"/>
        <w:adjustRightInd w:val="0"/>
        <w:ind w:right="358"/>
        <w:jc w:val="both"/>
        <w:rPr>
          <w:rFonts w:eastAsia="Calibri" w:cs="Arial"/>
          <w:sz w:val="20"/>
          <w:szCs w:val="20"/>
        </w:rPr>
      </w:pPr>
      <w:r w:rsidRPr="00D84EF8">
        <w:rPr>
          <w:rFonts w:eastAsia="Calibri" w:cs="Arial"/>
          <w:sz w:val="20"/>
          <w:szCs w:val="20"/>
        </w:rPr>
        <w:t>Federales</w:t>
      </w:r>
      <w:r>
        <w:rPr>
          <w:rFonts w:eastAsia="Calibri" w:cs="Arial"/>
          <w:sz w:val="20"/>
          <w:szCs w:val="20"/>
        </w:rPr>
        <w:t>:</w:t>
      </w:r>
    </w:p>
    <w:p w:rsidR="0090441A" w:rsidRDefault="0090441A" w:rsidP="0090441A">
      <w:pPr>
        <w:widowControl w:val="0"/>
        <w:autoSpaceDE w:val="0"/>
        <w:autoSpaceDN w:val="0"/>
        <w:adjustRightInd w:val="0"/>
        <w:ind w:right="358"/>
        <w:jc w:val="both"/>
        <w:rPr>
          <w:rFonts w:cs="Arial"/>
          <w:sz w:val="20"/>
          <w:szCs w:val="20"/>
        </w:rPr>
      </w:pPr>
      <w:r w:rsidRPr="00D84EF8">
        <w:rPr>
          <w:rFonts w:cs="Arial"/>
          <w:sz w:val="20"/>
          <w:szCs w:val="20"/>
        </w:rPr>
        <w:t xml:space="preserve">Retenciones de Impuesto sobre la renta por sueldos y salarios, </w:t>
      </w:r>
      <w:r w:rsidR="007B71ED">
        <w:rPr>
          <w:rFonts w:cs="Arial"/>
          <w:sz w:val="20"/>
          <w:szCs w:val="20"/>
        </w:rPr>
        <w:t>a</w:t>
      </w:r>
      <w:r w:rsidRPr="00D84EF8">
        <w:rPr>
          <w:rFonts w:cs="Arial"/>
          <w:sz w:val="20"/>
          <w:szCs w:val="20"/>
        </w:rPr>
        <w:t>rrendamiento de bienes inmuebles.</w:t>
      </w:r>
    </w:p>
    <w:p w:rsidR="00F80ACD" w:rsidRDefault="00F80ACD" w:rsidP="0090441A">
      <w:pPr>
        <w:widowControl w:val="0"/>
        <w:autoSpaceDE w:val="0"/>
        <w:autoSpaceDN w:val="0"/>
        <w:adjustRightInd w:val="0"/>
        <w:ind w:right="358"/>
        <w:jc w:val="both"/>
        <w:rPr>
          <w:rFonts w:cs="Arial"/>
          <w:sz w:val="20"/>
          <w:szCs w:val="20"/>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lastRenderedPageBreak/>
        <w:t>Bases de Preparación de los Estados Financieros</w:t>
      </w:r>
    </w:p>
    <w:p w:rsidR="0090441A" w:rsidRPr="00D84EF8" w:rsidRDefault="0090441A" w:rsidP="0090441A">
      <w:pPr>
        <w:pStyle w:val="Texto"/>
        <w:spacing w:after="0" w:line="276" w:lineRule="auto"/>
        <w:ind w:firstLine="0"/>
        <w:rPr>
          <w:rFonts w:asciiTheme="minorHAnsi" w:hAnsiTheme="minorHAnsi"/>
          <w:sz w:val="20"/>
        </w:rPr>
      </w:pPr>
      <w:r w:rsidRPr="00D84EF8">
        <w:rPr>
          <w:rFonts w:asciiTheme="minorHAnsi" w:hAnsiTheme="minorHAnsi"/>
          <w:sz w:val="20"/>
        </w:rPr>
        <w:t xml:space="preserve">Los estados financieros se han preparado en base a la normatividad emitida por el CONAC y las disposiciones legales aplicables. </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Políticas de Contabilidad Significativas</w:t>
      </w:r>
    </w:p>
    <w:p w:rsidR="0090441A" w:rsidRPr="00D84EF8" w:rsidRDefault="0090441A" w:rsidP="0090441A">
      <w:pPr>
        <w:pStyle w:val="Texto"/>
        <w:numPr>
          <w:ilvl w:val="0"/>
          <w:numId w:val="2"/>
        </w:numPr>
        <w:spacing w:after="0" w:line="276" w:lineRule="auto"/>
        <w:ind w:left="0" w:firstLine="0"/>
        <w:rPr>
          <w:rFonts w:asciiTheme="minorHAnsi" w:hAnsiTheme="minorHAnsi"/>
          <w:sz w:val="20"/>
        </w:rPr>
      </w:pPr>
      <w:r w:rsidRPr="00D84EF8">
        <w:rPr>
          <w:rFonts w:asciiTheme="minorHAnsi" w:hAnsiTheme="minorHAnsi"/>
          <w:sz w:val="20"/>
        </w:rPr>
        <w:t>Las operaciones se encuentran registradas a su valor histórico.</w:t>
      </w:r>
    </w:p>
    <w:p w:rsidR="0090441A"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Reporte Analítico del Activo</w:t>
      </w:r>
    </w:p>
    <w:p w:rsidR="0090441A" w:rsidRPr="00D84EF8" w:rsidRDefault="0090441A" w:rsidP="0090441A">
      <w:pPr>
        <w:pStyle w:val="ROMANOS"/>
        <w:spacing w:after="0" w:line="276" w:lineRule="auto"/>
        <w:ind w:left="0" w:firstLine="0"/>
        <w:rPr>
          <w:rFonts w:asciiTheme="minorHAnsi" w:hAnsiTheme="minorHAnsi"/>
          <w:sz w:val="20"/>
          <w:szCs w:val="20"/>
          <w:lang w:val="es-MX"/>
        </w:rPr>
      </w:pPr>
      <w:r w:rsidRPr="00D84EF8">
        <w:rPr>
          <w:rFonts w:asciiTheme="minorHAnsi" w:hAnsiTheme="minorHAnsi"/>
          <w:sz w:val="20"/>
          <w:szCs w:val="20"/>
        </w:rPr>
        <w:t>La Vida útil o porcentajes de depreciación utilizado en los diferentes tipos de activos de es</w:t>
      </w:r>
      <w:r w:rsidR="0015701F">
        <w:rPr>
          <w:rFonts w:asciiTheme="minorHAnsi" w:hAnsiTheme="minorHAnsi"/>
          <w:sz w:val="20"/>
          <w:szCs w:val="20"/>
        </w:rPr>
        <w:t xml:space="preserve">te </w:t>
      </w:r>
      <w:r w:rsidR="0015701F" w:rsidRPr="004C2FEB">
        <w:rPr>
          <w:rFonts w:asciiTheme="minorHAnsi" w:hAnsiTheme="minorHAnsi"/>
          <w:sz w:val="20"/>
          <w:szCs w:val="20"/>
        </w:rPr>
        <w:t>Tribunal de Justicia</w:t>
      </w:r>
      <w:r w:rsidRPr="004C2FEB">
        <w:rPr>
          <w:rFonts w:asciiTheme="minorHAnsi" w:hAnsiTheme="minorHAnsi"/>
          <w:sz w:val="20"/>
          <w:szCs w:val="20"/>
        </w:rPr>
        <w:t xml:space="preserve"> A</w:t>
      </w:r>
      <w:r w:rsidR="0015701F" w:rsidRPr="004C2FEB">
        <w:rPr>
          <w:rFonts w:asciiTheme="minorHAnsi" w:hAnsiTheme="minorHAnsi"/>
          <w:sz w:val="20"/>
          <w:szCs w:val="20"/>
        </w:rPr>
        <w:t>dministrativa</w:t>
      </w:r>
      <w:r w:rsidRPr="004C2FEB">
        <w:rPr>
          <w:rFonts w:asciiTheme="minorHAnsi" w:hAnsiTheme="minorHAnsi"/>
          <w:sz w:val="20"/>
          <w:szCs w:val="20"/>
        </w:rPr>
        <w:t xml:space="preserve"> del Estado de Yucatán</w:t>
      </w:r>
      <w:r w:rsidRPr="00D84EF8">
        <w:rPr>
          <w:rFonts w:asciiTheme="minorHAnsi" w:hAnsiTheme="minorHAnsi"/>
          <w:sz w:val="20"/>
          <w:szCs w:val="20"/>
        </w:rPr>
        <w:t xml:space="preserve">, </w:t>
      </w:r>
      <w:r w:rsidRPr="00D84EF8">
        <w:rPr>
          <w:rFonts w:asciiTheme="minorHAnsi" w:hAnsiTheme="minorHAnsi"/>
          <w:sz w:val="20"/>
          <w:szCs w:val="20"/>
          <w:lang w:val="es-MX"/>
        </w:rPr>
        <w:t>son las recomendadas en el documento denominado "Parámetros de estimación de vida útil", aprobados por el Consejo Nacional de Armonización Contable.</w:t>
      </w:r>
    </w:p>
    <w:p w:rsidR="0090441A" w:rsidRPr="00D84EF8"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Reporte de la Recaudación</w:t>
      </w:r>
    </w:p>
    <w:p w:rsidR="0090441A" w:rsidRPr="00D84EF8" w:rsidRDefault="0090441A" w:rsidP="0090441A">
      <w:pPr>
        <w:pStyle w:val="INCISO"/>
        <w:spacing w:after="0" w:line="276" w:lineRule="auto"/>
        <w:ind w:left="0" w:firstLine="0"/>
        <w:rPr>
          <w:rFonts w:asciiTheme="minorHAnsi" w:hAnsiTheme="minorHAnsi"/>
          <w:sz w:val="20"/>
          <w:szCs w:val="20"/>
        </w:rPr>
      </w:pPr>
      <w:r w:rsidRPr="00D84EF8">
        <w:rPr>
          <w:rFonts w:asciiTheme="minorHAnsi" w:hAnsiTheme="minorHAnsi"/>
          <w:sz w:val="20"/>
          <w:szCs w:val="20"/>
        </w:rPr>
        <w:t>El presupuesto autorizado y ejercido por es</w:t>
      </w:r>
      <w:r w:rsidR="0015701F">
        <w:rPr>
          <w:rFonts w:asciiTheme="minorHAnsi" w:hAnsiTheme="minorHAnsi"/>
          <w:sz w:val="20"/>
          <w:szCs w:val="20"/>
        </w:rPr>
        <w:t xml:space="preserve">te </w:t>
      </w:r>
      <w:r w:rsidR="0015701F" w:rsidRPr="004C2FEB">
        <w:rPr>
          <w:rFonts w:asciiTheme="minorHAnsi" w:hAnsiTheme="minorHAnsi"/>
          <w:sz w:val="20"/>
          <w:szCs w:val="20"/>
        </w:rPr>
        <w:t>Tribunal de Justicia</w:t>
      </w:r>
      <w:r w:rsidRPr="004C2FEB">
        <w:rPr>
          <w:rFonts w:asciiTheme="minorHAnsi" w:hAnsiTheme="minorHAnsi"/>
          <w:sz w:val="20"/>
          <w:szCs w:val="20"/>
        </w:rPr>
        <w:t xml:space="preserve"> A</w:t>
      </w:r>
      <w:r w:rsidR="0015701F" w:rsidRPr="004C2FEB">
        <w:rPr>
          <w:rFonts w:asciiTheme="minorHAnsi" w:hAnsiTheme="minorHAnsi"/>
          <w:sz w:val="20"/>
          <w:szCs w:val="20"/>
        </w:rPr>
        <w:t>dministrativa</w:t>
      </w:r>
      <w:r w:rsidRPr="004C2FEB">
        <w:rPr>
          <w:rFonts w:asciiTheme="minorHAnsi" w:hAnsiTheme="minorHAnsi"/>
          <w:sz w:val="20"/>
          <w:szCs w:val="20"/>
        </w:rPr>
        <w:t xml:space="preserve"> del Estado de Yucatán</w:t>
      </w:r>
      <w:r w:rsidRPr="00D84EF8">
        <w:rPr>
          <w:rFonts w:asciiTheme="minorHAnsi" w:hAnsiTheme="minorHAnsi"/>
          <w:sz w:val="20"/>
          <w:szCs w:val="20"/>
        </w:rPr>
        <w:t xml:space="preserve"> proviene de recursos estatales.</w:t>
      </w:r>
    </w:p>
    <w:p w:rsidR="0090441A" w:rsidRPr="00D84EF8"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Información sobre la Deuda y el Reporte Analítico de la Deuda</w:t>
      </w:r>
    </w:p>
    <w:p w:rsidR="0090441A" w:rsidRPr="00D84EF8" w:rsidRDefault="0090441A" w:rsidP="0090441A">
      <w:pPr>
        <w:pStyle w:val="INCISO"/>
        <w:spacing w:after="0" w:line="276" w:lineRule="auto"/>
        <w:ind w:left="0" w:firstLine="0"/>
        <w:rPr>
          <w:rFonts w:asciiTheme="minorHAnsi" w:hAnsiTheme="minorHAnsi"/>
          <w:sz w:val="20"/>
          <w:szCs w:val="20"/>
        </w:rPr>
      </w:pPr>
      <w:r w:rsidRPr="00D84EF8">
        <w:rPr>
          <w:rFonts w:asciiTheme="minorHAnsi" w:hAnsiTheme="minorHAnsi"/>
          <w:sz w:val="20"/>
          <w:szCs w:val="20"/>
        </w:rPr>
        <w:t>Este Tribunal no tiene ningún tipo de deuda contratada, por lo que no existe información para proporcionar, de acuerdo a los lineamientos establecidos por el CONAC.</w:t>
      </w:r>
    </w:p>
    <w:p w:rsidR="0090441A" w:rsidRPr="00D84EF8" w:rsidRDefault="0090441A" w:rsidP="0090441A">
      <w:pPr>
        <w:pStyle w:val="INCISO"/>
        <w:spacing w:after="0" w:line="276" w:lineRule="auto"/>
        <w:ind w:left="0" w:firstLine="0"/>
        <w:rPr>
          <w:rFonts w:asciiTheme="minorHAnsi" w:hAnsiTheme="minorHAnsi"/>
          <w:sz w:val="20"/>
          <w:szCs w:val="20"/>
          <w:lang w:val="es-MX"/>
        </w:rPr>
      </w:pPr>
    </w:p>
    <w:p w:rsidR="004C2FEB" w:rsidRDefault="004C2FEB"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Partes Relacionadas</w:t>
      </w:r>
    </w:p>
    <w:p w:rsidR="0090441A" w:rsidRPr="00D84EF8" w:rsidRDefault="0090441A" w:rsidP="0090441A">
      <w:pPr>
        <w:pStyle w:val="Texto"/>
        <w:spacing w:after="0" w:line="276" w:lineRule="auto"/>
        <w:ind w:firstLine="0"/>
        <w:rPr>
          <w:rFonts w:asciiTheme="minorHAnsi" w:hAnsiTheme="minorHAnsi"/>
          <w:sz w:val="20"/>
        </w:rPr>
      </w:pPr>
      <w:r w:rsidRPr="00D84EF8">
        <w:rPr>
          <w:rFonts w:asciiTheme="minorHAnsi" w:hAnsiTheme="minorHAnsi"/>
          <w:sz w:val="20"/>
        </w:rPr>
        <w:t>No existen partes relacionadas que pudieran ejercer influencia significativa sobre la toma de decisiones financieras y operativas.</w:t>
      </w:r>
    </w:p>
    <w:p w:rsidR="0090441A" w:rsidRPr="00D84EF8"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Responsabilidad Sobre la Presentación Razonable de la Información Contable</w:t>
      </w:r>
    </w:p>
    <w:p w:rsidR="0090441A" w:rsidRDefault="0090441A" w:rsidP="0090441A">
      <w:pPr>
        <w:pStyle w:val="Texto"/>
        <w:spacing w:after="0" w:line="276" w:lineRule="auto"/>
        <w:ind w:firstLine="0"/>
        <w:rPr>
          <w:rFonts w:asciiTheme="minorHAnsi" w:hAnsiTheme="minorHAnsi"/>
          <w:sz w:val="20"/>
        </w:rPr>
      </w:pPr>
      <w:r w:rsidRPr="00D84EF8">
        <w:rPr>
          <w:rFonts w:asciiTheme="minorHAnsi" w:hAnsiTheme="minorHAnsi"/>
          <w:sz w:val="20"/>
        </w:rPr>
        <w:t xml:space="preserve">La Información Contable se encuentra firmada en cada página de la misma e incluye al final la leyenda: “Bajo protesta de decir verdad declaramos que los Estados Financieros y sus notas, son razonablemente correctos y son responsabilidad del emisor”. </w:t>
      </w:r>
    </w:p>
    <w:p w:rsidR="00F80ACD" w:rsidRDefault="00F80ACD" w:rsidP="0090441A">
      <w:pPr>
        <w:pStyle w:val="Texto"/>
        <w:spacing w:after="0" w:line="276" w:lineRule="auto"/>
        <w:ind w:firstLine="0"/>
        <w:rPr>
          <w:rFonts w:asciiTheme="minorHAnsi" w:hAnsiTheme="minorHAnsi"/>
          <w:sz w:val="20"/>
        </w:rPr>
      </w:pPr>
    </w:p>
    <w:p w:rsidR="00F80ACD" w:rsidRDefault="00F80ACD" w:rsidP="0090441A">
      <w:pPr>
        <w:pStyle w:val="Texto"/>
        <w:spacing w:after="0" w:line="276" w:lineRule="auto"/>
        <w:ind w:firstLine="0"/>
        <w:rPr>
          <w:rFonts w:asciiTheme="minorHAnsi" w:hAnsiTheme="minorHAnsi"/>
          <w:sz w:val="20"/>
        </w:rPr>
      </w:pPr>
    </w:p>
    <w:p w:rsidR="00F80ACD" w:rsidRPr="00D84EF8" w:rsidRDefault="00F80ACD" w:rsidP="0090441A">
      <w:pPr>
        <w:pStyle w:val="Texto"/>
        <w:spacing w:after="0" w:line="276" w:lineRule="auto"/>
        <w:ind w:firstLine="0"/>
        <w:rPr>
          <w:rFonts w:asciiTheme="minorHAnsi" w:hAnsiTheme="minorHAnsi"/>
          <w:sz w:val="20"/>
        </w:rPr>
      </w:pPr>
    </w:p>
    <w:p w:rsidR="0090441A" w:rsidRDefault="0090441A"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lastRenderedPageBreak/>
        <w:t>NOTAS DE DESGLOSE</w:t>
      </w:r>
    </w:p>
    <w:p w:rsidR="0090441A" w:rsidRPr="002718A7" w:rsidRDefault="0090441A" w:rsidP="00864730">
      <w:pPr>
        <w:pStyle w:val="Texto"/>
        <w:numPr>
          <w:ilvl w:val="0"/>
          <w:numId w:val="3"/>
        </w:numPr>
        <w:spacing w:after="80" w:line="276" w:lineRule="auto"/>
        <w:rPr>
          <w:rFonts w:asciiTheme="minorHAnsi" w:hAnsiTheme="minorHAnsi"/>
          <w:b/>
          <w:smallCaps/>
          <w:sz w:val="20"/>
        </w:rPr>
      </w:pPr>
      <w:r w:rsidRPr="002718A7">
        <w:rPr>
          <w:rFonts w:asciiTheme="minorHAnsi" w:hAnsiTheme="minorHAnsi"/>
          <w:b/>
          <w:smallCaps/>
          <w:sz w:val="20"/>
        </w:rPr>
        <w:t>Notas al Estado de Situación Financiera</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Activo</w:t>
      </w:r>
    </w:p>
    <w:p w:rsidR="0090441A" w:rsidRPr="00D84EF8" w:rsidRDefault="0090441A" w:rsidP="0090441A">
      <w:pPr>
        <w:pStyle w:val="Texto"/>
        <w:spacing w:after="0" w:line="276" w:lineRule="auto"/>
        <w:ind w:firstLine="0"/>
        <w:rPr>
          <w:rFonts w:asciiTheme="minorHAnsi" w:hAnsiTheme="minorHAnsi"/>
          <w:b/>
          <w:sz w:val="20"/>
          <w:lang w:val="es-MX"/>
        </w:rPr>
      </w:pP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Efectivo y Equivalentes</w:t>
      </w:r>
    </w:p>
    <w:p w:rsidR="0090441A" w:rsidRPr="00D84EF8" w:rsidRDefault="0015701F" w:rsidP="0090441A">
      <w:pPr>
        <w:pStyle w:val="ROMANOS"/>
        <w:spacing w:after="80" w:line="276" w:lineRule="auto"/>
        <w:ind w:left="0" w:firstLine="0"/>
        <w:rPr>
          <w:rFonts w:asciiTheme="minorHAnsi" w:hAnsiTheme="minorHAnsi"/>
          <w:sz w:val="20"/>
          <w:szCs w:val="20"/>
          <w:lang w:val="es-MX"/>
        </w:rPr>
      </w:pPr>
      <w:r w:rsidRPr="004C2FEB">
        <w:rPr>
          <w:rFonts w:asciiTheme="minorHAnsi" w:hAnsiTheme="minorHAnsi"/>
          <w:sz w:val="20"/>
          <w:szCs w:val="20"/>
          <w:lang w:val="es-MX"/>
        </w:rPr>
        <w:t>El Tribunal de Justicia Administrativa</w:t>
      </w:r>
      <w:r w:rsidR="0090441A" w:rsidRPr="004C2FEB">
        <w:rPr>
          <w:rFonts w:asciiTheme="minorHAnsi" w:hAnsiTheme="minorHAnsi"/>
          <w:sz w:val="20"/>
          <w:szCs w:val="20"/>
          <w:lang w:val="es-MX"/>
        </w:rPr>
        <w:t xml:space="preserve"> del Estado de Yucatán</w:t>
      </w:r>
      <w:r w:rsidR="0090441A" w:rsidRPr="00D84EF8">
        <w:rPr>
          <w:rFonts w:asciiTheme="minorHAnsi" w:hAnsiTheme="minorHAnsi"/>
          <w:sz w:val="20"/>
          <w:szCs w:val="20"/>
          <w:lang w:val="es-MX"/>
        </w:rPr>
        <w:t>, tiene contratado una cuenta bancaria que genera rendimientos.</w:t>
      </w:r>
    </w:p>
    <w:p w:rsidR="0090441A" w:rsidRPr="00D84EF8" w:rsidRDefault="0090441A" w:rsidP="0090441A">
      <w:pPr>
        <w:pStyle w:val="ROMANOS"/>
        <w:spacing w:after="80" w:line="276" w:lineRule="auto"/>
        <w:ind w:left="0" w:firstLine="0"/>
        <w:rPr>
          <w:rFonts w:asciiTheme="minorHAnsi" w:hAnsiTheme="minorHAnsi"/>
          <w:sz w:val="20"/>
          <w:szCs w:val="20"/>
          <w:lang w:val="es-MX"/>
        </w:rPr>
      </w:pPr>
    </w:p>
    <w:p w:rsidR="0090441A" w:rsidRPr="00D84EF8" w:rsidRDefault="0090441A" w:rsidP="0090441A">
      <w:pPr>
        <w:pStyle w:val="ROMANOS"/>
        <w:spacing w:after="80" w:line="276" w:lineRule="auto"/>
        <w:ind w:left="0" w:firstLine="0"/>
        <w:rPr>
          <w:rFonts w:asciiTheme="minorHAnsi" w:hAnsiTheme="minorHAnsi"/>
          <w:b/>
          <w:sz w:val="20"/>
          <w:szCs w:val="20"/>
          <w:lang w:val="es-MX"/>
        </w:rPr>
      </w:pPr>
      <w:r w:rsidRPr="00D84EF8">
        <w:rPr>
          <w:rFonts w:asciiTheme="minorHAnsi" w:hAnsiTheme="minorHAnsi"/>
          <w:b/>
          <w:sz w:val="20"/>
          <w:szCs w:val="20"/>
          <w:lang w:val="es-MX"/>
        </w:rPr>
        <w:t>Derechos a recibir Efectivo y Equivalentes y Bienes o Servicios a Recibir</w:t>
      </w:r>
    </w:p>
    <w:p w:rsidR="0090441A" w:rsidRDefault="0090441A" w:rsidP="0090441A">
      <w:pPr>
        <w:spacing w:before="80"/>
        <w:jc w:val="both"/>
        <w:outlineLvl w:val="1"/>
        <w:rPr>
          <w:rFonts w:cs="Arial"/>
          <w:sz w:val="20"/>
          <w:szCs w:val="20"/>
        </w:rPr>
      </w:pPr>
      <w:r w:rsidRPr="00D84EF8">
        <w:rPr>
          <w:rFonts w:cs="Arial"/>
          <w:sz w:val="20"/>
          <w:szCs w:val="20"/>
        </w:rPr>
        <w:t>Las cuentas por cobrar registradas en los activos circulantes de es</w:t>
      </w:r>
      <w:r w:rsidR="000A11DF">
        <w:rPr>
          <w:rFonts w:cs="Arial"/>
          <w:sz w:val="20"/>
          <w:szCs w:val="20"/>
        </w:rPr>
        <w:t xml:space="preserve">te </w:t>
      </w:r>
      <w:r w:rsidR="000A11DF" w:rsidRPr="00CB0973">
        <w:rPr>
          <w:rFonts w:cs="Arial"/>
          <w:sz w:val="20"/>
          <w:szCs w:val="20"/>
        </w:rPr>
        <w:t xml:space="preserve">Tribunal de Justicia </w:t>
      </w:r>
      <w:r w:rsidRPr="00CB0973">
        <w:rPr>
          <w:rFonts w:cs="Arial"/>
          <w:sz w:val="20"/>
          <w:szCs w:val="20"/>
        </w:rPr>
        <w:t xml:space="preserve"> Ad</w:t>
      </w:r>
      <w:r w:rsidR="000A11DF" w:rsidRPr="00CB0973">
        <w:rPr>
          <w:rFonts w:cs="Arial"/>
          <w:sz w:val="20"/>
          <w:szCs w:val="20"/>
        </w:rPr>
        <w:t xml:space="preserve">ministrativa </w:t>
      </w:r>
      <w:r w:rsidRPr="00CB0973">
        <w:rPr>
          <w:rFonts w:cs="Arial"/>
          <w:sz w:val="20"/>
          <w:szCs w:val="20"/>
        </w:rPr>
        <w:t>del Estado de Yucatán</w:t>
      </w:r>
      <w:r w:rsidRPr="00D84EF8">
        <w:rPr>
          <w:rFonts w:cs="Arial"/>
          <w:sz w:val="20"/>
          <w:szCs w:val="20"/>
        </w:rPr>
        <w:t xml:space="preserve"> al cierre del periodo que se informa, agrupadas por rubro y antigüedad del saldo, son como sigue:</w:t>
      </w:r>
    </w:p>
    <w:p w:rsidR="00E3374C" w:rsidRPr="00D84EF8" w:rsidRDefault="00AF74C7" w:rsidP="0090441A">
      <w:pPr>
        <w:spacing w:before="80"/>
        <w:jc w:val="both"/>
        <w:outlineLvl w:val="1"/>
        <w:rPr>
          <w:rFonts w:cs="Arial"/>
          <w:sz w:val="20"/>
          <w:szCs w:val="20"/>
        </w:rPr>
      </w:pPr>
      <w:r>
        <w:rPr>
          <w:rFonts w:cs="Arial"/>
          <w:noProo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0;margin-top:23.7pt;width:429.3pt;height:115.65pt;z-index:251666432">
            <v:imagedata r:id="rId9" o:title=""/>
            <w10:wrap type="square" side="right"/>
          </v:shape>
          <o:OLEObject Type="Embed" ProgID="Excel.Sheet.12" ShapeID="_x0000_s1043" DrawAspect="Content" ObjectID="_1588588079" r:id="rId10"/>
        </w:pict>
      </w:r>
    </w:p>
    <w:p w:rsidR="0090441A" w:rsidRPr="00D84EF8" w:rsidRDefault="0008767D" w:rsidP="0090441A">
      <w:pPr>
        <w:spacing w:before="80"/>
        <w:jc w:val="both"/>
        <w:outlineLvl w:val="1"/>
        <w:rPr>
          <w:rFonts w:cs="Arial"/>
          <w:sz w:val="20"/>
          <w:szCs w:val="20"/>
        </w:rPr>
      </w:pPr>
      <w:bookmarkStart w:id="1" w:name="_MON_1483338425"/>
      <w:bookmarkEnd w:id="1"/>
      <w:r>
        <w:rPr>
          <w:rFonts w:cs="Arial"/>
          <w:sz w:val="20"/>
          <w:szCs w:val="20"/>
        </w:rPr>
        <w:br w:type="textWrapping" w:clear="all"/>
      </w:r>
    </w:p>
    <w:p w:rsidR="001D2D16" w:rsidRPr="00E3374C" w:rsidRDefault="0090441A" w:rsidP="00E3374C">
      <w:pPr>
        <w:jc w:val="both"/>
        <w:rPr>
          <w:rFonts w:cs="Arial"/>
          <w:sz w:val="20"/>
          <w:szCs w:val="20"/>
        </w:rPr>
      </w:pPr>
      <w:r w:rsidRPr="00D84EF8">
        <w:rPr>
          <w:rFonts w:cs="Arial"/>
          <w:sz w:val="20"/>
          <w:szCs w:val="20"/>
        </w:rPr>
        <w:t xml:space="preserve">El importe de $123,196.00 (ciento veintitrés mil ciento noventa y seis pesos 00/100 M.N) corresponde al saldo de una cuenta por cobrar a cargo de la Secretaría de Administración y Finanzas. Este importe se originó en el mes de Agosto del año 2012 como consecuencia de no haber recibido el importe completo del Presupuesto </w:t>
      </w:r>
      <w:r w:rsidRPr="00D84EF8">
        <w:rPr>
          <w:rFonts w:cs="Arial"/>
          <w:sz w:val="20"/>
          <w:szCs w:val="20"/>
        </w:rPr>
        <w:lastRenderedPageBreak/>
        <w:t>correspondiente al referido mes, ya que la cantidad autorizada para ese mes fue de $1</w:t>
      </w:r>
      <w:proofErr w:type="gramStart"/>
      <w:r w:rsidRPr="00D84EF8">
        <w:rPr>
          <w:rFonts w:cs="Arial"/>
          <w:sz w:val="20"/>
          <w:szCs w:val="20"/>
        </w:rPr>
        <w:t>,881,820.00</w:t>
      </w:r>
      <w:proofErr w:type="gramEnd"/>
      <w:r w:rsidRPr="00D84EF8">
        <w:rPr>
          <w:rFonts w:cs="Arial"/>
          <w:sz w:val="20"/>
          <w:szCs w:val="20"/>
        </w:rPr>
        <w:t xml:space="preserve"> (un millón ochocientos ochenta y un mil ochocientos veinte pesos 00/100 M.N.) y solo se recibió la cantidad de $1,758,624.00 (un millón setecientos cincuenta y ocho mil seiscientos veinticuatro pesos 00/100 M.N).</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Bienes Muebles e Inmuebles</w:t>
      </w:r>
    </w:p>
    <w:p w:rsidR="0090441A" w:rsidRPr="00D84EF8" w:rsidRDefault="0090441A" w:rsidP="0090441A">
      <w:pPr>
        <w:pStyle w:val="ROMANOS"/>
        <w:spacing w:after="0" w:line="276" w:lineRule="auto"/>
        <w:ind w:left="0" w:firstLine="0"/>
        <w:rPr>
          <w:rFonts w:asciiTheme="minorHAnsi" w:hAnsiTheme="minorHAnsi"/>
          <w:sz w:val="20"/>
          <w:szCs w:val="20"/>
          <w:lang w:val="es-MX"/>
        </w:rPr>
      </w:pPr>
    </w:p>
    <w:p w:rsidR="0090441A" w:rsidRPr="00D84EF8" w:rsidRDefault="00AD2091" w:rsidP="0090441A">
      <w:pPr>
        <w:spacing w:before="80"/>
        <w:jc w:val="both"/>
        <w:outlineLvl w:val="1"/>
        <w:rPr>
          <w:rFonts w:cs="Arial"/>
          <w:sz w:val="20"/>
          <w:szCs w:val="20"/>
        </w:rPr>
      </w:pPr>
      <w:r>
        <w:rPr>
          <w:rFonts w:cs="Arial"/>
          <w:sz w:val="20"/>
          <w:szCs w:val="20"/>
        </w:rPr>
        <w:t>Al 31</w:t>
      </w:r>
      <w:r w:rsidR="0090441A" w:rsidRPr="00D84EF8">
        <w:rPr>
          <w:rFonts w:cs="Arial"/>
          <w:sz w:val="20"/>
          <w:szCs w:val="20"/>
        </w:rPr>
        <w:t xml:space="preserve"> de </w:t>
      </w:r>
      <w:r>
        <w:rPr>
          <w:rFonts w:cs="Arial"/>
          <w:sz w:val="20"/>
          <w:szCs w:val="20"/>
        </w:rPr>
        <w:t>Marzo</w:t>
      </w:r>
      <w:r w:rsidR="0090441A" w:rsidRPr="00D84EF8">
        <w:rPr>
          <w:rFonts w:cs="Arial"/>
          <w:sz w:val="20"/>
          <w:szCs w:val="20"/>
        </w:rPr>
        <w:t xml:space="preserve"> de 201</w:t>
      </w:r>
      <w:r w:rsidR="00F663C2">
        <w:rPr>
          <w:rFonts w:cs="Arial"/>
          <w:sz w:val="20"/>
          <w:szCs w:val="20"/>
        </w:rPr>
        <w:t>8</w:t>
      </w:r>
      <w:r w:rsidR="0090441A" w:rsidRPr="00D84EF8">
        <w:rPr>
          <w:rFonts w:cs="Arial"/>
          <w:sz w:val="20"/>
          <w:szCs w:val="20"/>
        </w:rPr>
        <w:t>, los bienes muebles e inmuebles se integran de la siguiente manera:</w:t>
      </w:r>
    </w:p>
    <w:p w:rsidR="0090441A" w:rsidRPr="00D84EF8" w:rsidRDefault="0090441A" w:rsidP="0090441A">
      <w:pPr>
        <w:spacing w:before="80"/>
        <w:jc w:val="both"/>
        <w:outlineLvl w:val="1"/>
        <w:rPr>
          <w:rFonts w:cs="Arial"/>
          <w:sz w:val="20"/>
          <w:szCs w:val="20"/>
        </w:rPr>
      </w:pPr>
      <w:r w:rsidRPr="00D84EF8">
        <w:rPr>
          <w:rFonts w:cs="Arial"/>
          <w:sz w:val="20"/>
          <w:szCs w:val="20"/>
        </w:rPr>
        <w:t>Muebles</w:t>
      </w:r>
    </w:p>
    <w:p w:rsidR="0090441A" w:rsidRPr="00D84EF8" w:rsidRDefault="00AF74C7" w:rsidP="0090441A">
      <w:pPr>
        <w:pStyle w:val="ROMANOS"/>
        <w:spacing w:after="0" w:line="276" w:lineRule="auto"/>
        <w:ind w:left="0" w:firstLine="0"/>
        <w:rPr>
          <w:rFonts w:asciiTheme="minorHAnsi" w:hAnsiTheme="minorHAnsi"/>
          <w:sz w:val="20"/>
          <w:szCs w:val="20"/>
          <w:lang w:val="es-MX"/>
        </w:rPr>
      </w:pPr>
      <w:r>
        <w:rPr>
          <w:rFonts w:asciiTheme="minorHAnsi" w:hAnsiTheme="minorHAnsi" w:cs="Times New Roman"/>
          <w:noProof/>
          <w:sz w:val="20"/>
          <w:szCs w:val="20"/>
        </w:rPr>
        <w:pict>
          <v:shape id="_x0000_s1026" type="#_x0000_t75" style="position:absolute;left:0;text-align:left;margin-left:1.8pt;margin-top:.5pt;width:359.4pt;height:153.1pt;z-index:251660288">
            <v:imagedata r:id="rId11" o:title=""/>
            <w10:wrap type="square" side="right"/>
          </v:shape>
          <o:OLEObject Type="Embed" ProgID="Excel.Sheet.12" ShapeID="_x0000_s1026" DrawAspect="Content" ObjectID="_1588588080" r:id="rId12"/>
        </w:pict>
      </w: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08767D" w:rsidP="0008767D">
      <w:pPr>
        <w:pStyle w:val="ROMANOS"/>
        <w:tabs>
          <w:tab w:val="clear" w:pos="720"/>
          <w:tab w:val="left" w:pos="4710"/>
        </w:tabs>
        <w:spacing w:after="80" w:line="276" w:lineRule="auto"/>
        <w:ind w:left="0" w:firstLine="0"/>
        <w:rPr>
          <w:rFonts w:asciiTheme="minorHAnsi" w:hAnsiTheme="minorHAnsi"/>
          <w:sz w:val="20"/>
          <w:szCs w:val="20"/>
          <w:lang w:val="es-MX"/>
        </w:rPr>
      </w:pPr>
      <w:r>
        <w:rPr>
          <w:rFonts w:asciiTheme="minorHAnsi" w:hAnsiTheme="minorHAnsi"/>
          <w:sz w:val="20"/>
          <w:szCs w:val="20"/>
          <w:lang w:val="es-MX"/>
        </w:rPr>
        <w:tab/>
      </w: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485E0D" w:rsidRDefault="00485E0D" w:rsidP="00B71121">
      <w:pPr>
        <w:pStyle w:val="ROMANOS"/>
        <w:tabs>
          <w:tab w:val="clear" w:pos="720"/>
          <w:tab w:val="left" w:pos="284"/>
        </w:tabs>
        <w:spacing w:after="0" w:line="276" w:lineRule="auto"/>
        <w:ind w:left="0" w:firstLine="0"/>
        <w:rPr>
          <w:rFonts w:asciiTheme="minorHAnsi" w:hAnsiTheme="minorHAnsi"/>
          <w:sz w:val="20"/>
          <w:szCs w:val="20"/>
          <w:lang w:val="es-MX"/>
        </w:rPr>
      </w:pPr>
    </w:p>
    <w:p w:rsidR="0090441A" w:rsidRDefault="00B71121" w:rsidP="00B71121">
      <w:pPr>
        <w:pStyle w:val="ROMANOS"/>
        <w:tabs>
          <w:tab w:val="clear" w:pos="720"/>
          <w:tab w:val="left" w:pos="284"/>
        </w:tabs>
        <w:spacing w:after="0" w:line="276" w:lineRule="auto"/>
        <w:ind w:left="0" w:firstLine="0"/>
        <w:rPr>
          <w:rFonts w:asciiTheme="minorHAnsi" w:hAnsiTheme="minorHAnsi"/>
          <w:sz w:val="20"/>
          <w:szCs w:val="20"/>
          <w:lang w:val="es-MX"/>
        </w:rPr>
      </w:pPr>
      <w:r>
        <w:rPr>
          <w:rFonts w:asciiTheme="minorHAnsi" w:hAnsiTheme="minorHAnsi"/>
          <w:sz w:val="20"/>
          <w:szCs w:val="20"/>
          <w:lang w:val="es-MX"/>
        </w:rPr>
        <w:t>L</w:t>
      </w:r>
      <w:r w:rsidR="0090441A" w:rsidRPr="00D84EF8">
        <w:rPr>
          <w:rFonts w:asciiTheme="minorHAnsi" w:hAnsiTheme="minorHAnsi"/>
          <w:sz w:val="20"/>
          <w:szCs w:val="20"/>
          <w:lang w:val="es-MX"/>
        </w:rPr>
        <w:t>os bienes muebles se registran a su costo de adquisición de conformidad al postulado básico de contabilidad gubernamental "VALUACIÓN". El método de depreciación utilizado es el de línea recta, las tasas aplicadas son las recomendadas en el documento denominado "Parámetros de estimación de vida útil", aprobados por el Consejo Nacional de Armonización Contable.</w:t>
      </w:r>
    </w:p>
    <w:p w:rsidR="0090441A"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p>
    <w:p w:rsidR="007D0F1F" w:rsidRDefault="007D0F1F" w:rsidP="0090441A">
      <w:pPr>
        <w:pStyle w:val="ROMANOS"/>
        <w:spacing w:after="0" w:line="276" w:lineRule="auto"/>
        <w:ind w:left="0" w:firstLine="0"/>
        <w:rPr>
          <w:rFonts w:asciiTheme="minorHAnsi" w:hAnsiTheme="minorHAnsi"/>
          <w:sz w:val="20"/>
          <w:szCs w:val="20"/>
          <w:lang w:val="es-MX"/>
        </w:rPr>
      </w:pPr>
    </w:p>
    <w:p w:rsidR="00B74394" w:rsidRDefault="00B74394" w:rsidP="0090441A">
      <w:pPr>
        <w:pStyle w:val="ROMANOS"/>
        <w:spacing w:after="0" w:line="276" w:lineRule="auto"/>
        <w:ind w:left="0" w:firstLine="0"/>
        <w:rPr>
          <w:rFonts w:asciiTheme="minorHAnsi" w:hAnsiTheme="minorHAnsi"/>
          <w:sz w:val="20"/>
          <w:szCs w:val="20"/>
          <w:lang w:val="es-MX"/>
        </w:rPr>
      </w:pPr>
    </w:p>
    <w:p w:rsidR="00B74394" w:rsidRDefault="00B74394" w:rsidP="0090441A">
      <w:pPr>
        <w:pStyle w:val="ROMANOS"/>
        <w:spacing w:after="0" w:line="276" w:lineRule="auto"/>
        <w:ind w:left="0" w:firstLine="0"/>
        <w:rPr>
          <w:rFonts w:asciiTheme="minorHAnsi" w:hAnsiTheme="minorHAnsi"/>
          <w:sz w:val="20"/>
          <w:szCs w:val="20"/>
          <w:lang w:val="es-MX"/>
        </w:rPr>
      </w:pPr>
    </w:p>
    <w:p w:rsidR="002718A7" w:rsidRDefault="002718A7" w:rsidP="0090441A">
      <w:pPr>
        <w:pStyle w:val="ROMANOS"/>
        <w:spacing w:after="0" w:line="276" w:lineRule="auto"/>
        <w:ind w:left="0" w:firstLine="0"/>
        <w:rPr>
          <w:rFonts w:asciiTheme="minorHAnsi" w:hAnsiTheme="minorHAnsi"/>
          <w:sz w:val="20"/>
          <w:szCs w:val="20"/>
          <w:lang w:val="es-MX"/>
        </w:rPr>
      </w:pPr>
    </w:p>
    <w:p w:rsidR="0090441A" w:rsidRDefault="0090441A" w:rsidP="0090441A">
      <w:pPr>
        <w:pStyle w:val="ROMANOS"/>
        <w:spacing w:after="0" w:line="276" w:lineRule="auto"/>
        <w:ind w:left="0" w:firstLine="0"/>
        <w:rPr>
          <w:rFonts w:asciiTheme="minorHAnsi" w:hAnsiTheme="minorHAnsi"/>
          <w:sz w:val="20"/>
          <w:szCs w:val="20"/>
          <w:lang w:val="es-MX"/>
        </w:rPr>
      </w:pPr>
      <w:r w:rsidRPr="00D84EF8">
        <w:rPr>
          <w:rFonts w:asciiTheme="minorHAnsi" w:hAnsiTheme="minorHAnsi"/>
          <w:sz w:val="20"/>
          <w:szCs w:val="20"/>
          <w:lang w:val="es-MX"/>
        </w:rPr>
        <w:t>Inmuebles</w:t>
      </w:r>
    </w:p>
    <w:p w:rsidR="0008767D" w:rsidRPr="00D84EF8" w:rsidRDefault="0008767D" w:rsidP="0090441A">
      <w:pPr>
        <w:pStyle w:val="ROMANOS"/>
        <w:spacing w:after="0" w:line="276" w:lineRule="auto"/>
        <w:ind w:left="0" w:firstLine="0"/>
        <w:rPr>
          <w:rFonts w:asciiTheme="minorHAnsi" w:hAnsiTheme="minorHAnsi"/>
          <w:sz w:val="20"/>
          <w:szCs w:val="20"/>
          <w:lang w:val="es-MX"/>
        </w:rPr>
      </w:pPr>
    </w:p>
    <w:bookmarkStart w:id="2" w:name="_MON_1483338669"/>
    <w:bookmarkEnd w:id="2"/>
    <w:p w:rsidR="0090441A" w:rsidRDefault="0090441A" w:rsidP="00B71121">
      <w:pPr>
        <w:pStyle w:val="ROMANOS"/>
        <w:spacing w:after="80" w:line="276" w:lineRule="auto"/>
        <w:ind w:left="0" w:firstLine="0"/>
        <w:jc w:val="left"/>
        <w:rPr>
          <w:rFonts w:asciiTheme="minorHAnsi" w:hAnsiTheme="minorHAnsi"/>
          <w:sz w:val="20"/>
          <w:szCs w:val="20"/>
          <w:lang w:val="es-MX"/>
        </w:rPr>
      </w:pPr>
      <w:r w:rsidRPr="00D84EF8">
        <w:rPr>
          <w:rFonts w:asciiTheme="minorHAnsi" w:hAnsiTheme="minorHAnsi"/>
          <w:sz w:val="20"/>
          <w:szCs w:val="20"/>
          <w:lang w:val="es-MX"/>
        </w:rPr>
        <w:object w:dxaOrig="4969" w:dyaOrig="1163">
          <v:shape id="_x0000_i1025" type="#_x0000_t75" style="width:265.5pt;height:57pt" o:ole="">
            <v:imagedata r:id="rId13" o:title=""/>
          </v:shape>
          <o:OLEObject Type="Embed" ProgID="Excel.Sheet.12" ShapeID="_x0000_i1025" DrawAspect="Content" ObjectID="_1588588078" r:id="rId14"/>
        </w:object>
      </w:r>
    </w:p>
    <w:p w:rsidR="00B74394" w:rsidRPr="00D84EF8" w:rsidRDefault="00B74394" w:rsidP="00B71121">
      <w:pPr>
        <w:pStyle w:val="ROMANOS"/>
        <w:spacing w:after="80" w:line="276" w:lineRule="auto"/>
        <w:ind w:left="0" w:firstLine="0"/>
        <w:jc w:val="left"/>
        <w:rPr>
          <w:rFonts w:asciiTheme="minorHAnsi" w:hAnsiTheme="minorHAnsi"/>
          <w:sz w:val="20"/>
          <w:szCs w:val="20"/>
          <w:lang w:val="es-MX"/>
        </w:rPr>
      </w:pPr>
    </w:p>
    <w:p w:rsidR="0090441A" w:rsidRPr="00D84EF8" w:rsidRDefault="0090441A" w:rsidP="0090441A">
      <w:pPr>
        <w:pStyle w:val="ROMANOS"/>
        <w:tabs>
          <w:tab w:val="clear" w:pos="720"/>
          <w:tab w:val="left" w:pos="284"/>
        </w:tabs>
        <w:spacing w:after="80" w:line="276" w:lineRule="auto"/>
        <w:ind w:left="0" w:firstLine="0"/>
        <w:rPr>
          <w:rFonts w:asciiTheme="minorHAnsi" w:hAnsiTheme="minorHAnsi"/>
          <w:sz w:val="20"/>
          <w:szCs w:val="20"/>
          <w:lang w:val="es-MX"/>
        </w:rPr>
      </w:pPr>
      <w:r w:rsidRPr="00D84EF8">
        <w:rPr>
          <w:rFonts w:asciiTheme="minorHAnsi" w:hAnsiTheme="minorHAnsi"/>
          <w:sz w:val="20"/>
          <w:szCs w:val="20"/>
          <w:lang w:val="es-MX"/>
        </w:rPr>
        <w:t>El inmueble se encuentra ocupado por el Centro Estatal de Prevención Social del Delito y Participación Ciudadana de Yucatán (CEPREDEY) desde el mes de marzo de 2013.</w:t>
      </w:r>
    </w:p>
    <w:p w:rsidR="002718A7" w:rsidRDefault="002718A7" w:rsidP="0090441A">
      <w:pPr>
        <w:pStyle w:val="Texto"/>
        <w:spacing w:line="276" w:lineRule="auto"/>
        <w:ind w:firstLine="0"/>
        <w:rPr>
          <w:rFonts w:asciiTheme="minorHAnsi" w:hAnsiTheme="minorHAnsi"/>
          <w:b/>
          <w:sz w:val="20"/>
          <w:lang w:val="es-MX"/>
        </w:rPr>
      </w:pPr>
    </w:p>
    <w:p w:rsidR="0090441A" w:rsidRPr="00D84EF8" w:rsidRDefault="0090441A" w:rsidP="0090441A">
      <w:pPr>
        <w:pStyle w:val="Texto"/>
        <w:spacing w:line="276" w:lineRule="auto"/>
        <w:ind w:firstLine="0"/>
        <w:rPr>
          <w:rFonts w:asciiTheme="minorHAnsi" w:hAnsiTheme="minorHAnsi"/>
          <w:b/>
          <w:sz w:val="20"/>
          <w:lang w:val="es-MX"/>
        </w:rPr>
      </w:pPr>
      <w:r w:rsidRPr="00D84EF8">
        <w:rPr>
          <w:rFonts w:asciiTheme="minorHAnsi" w:hAnsiTheme="minorHAnsi"/>
          <w:b/>
          <w:sz w:val="20"/>
          <w:lang w:val="es-MX"/>
        </w:rPr>
        <w:t>Pasivo</w:t>
      </w:r>
    </w:p>
    <w:p w:rsidR="00DC7E22" w:rsidRDefault="00AD2091" w:rsidP="00DC7E22">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Al 31</w:t>
      </w:r>
      <w:r w:rsidR="0090441A" w:rsidRPr="00D84EF8">
        <w:rPr>
          <w:rFonts w:asciiTheme="minorHAnsi" w:hAnsiTheme="minorHAnsi"/>
          <w:sz w:val="20"/>
          <w:szCs w:val="20"/>
          <w:lang w:val="es-MX"/>
        </w:rPr>
        <w:t xml:space="preserve"> de </w:t>
      </w:r>
      <w:r>
        <w:rPr>
          <w:rFonts w:asciiTheme="minorHAnsi" w:hAnsiTheme="minorHAnsi"/>
          <w:sz w:val="20"/>
          <w:szCs w:val="20"/>
          <w:lang w:val="es-MX"/>
        </w:rPr>
        <w:t>Marzo</w:t>
      </w:r>
      <w:r w:rsidR="0090441A" w:rsidRPr="00D84EF8">
        <w:rPr>
          <w:rFonts w:asciiTheme="minorHAnsi" w:hAnsiTheme="minorHAnsi"/>
          <w:sz w:val="20"/>
          <w:szCs w:val="20"/>
          <w:lang w:val="es-MX"/>
        </w:rPr>
        <w:t xml:space="preserve"> de 201</w:t>
      </w:r>
      <w:r w:rsidR="00487F8B">
        <w:rPr>
          <w:rFonts w:asciiTheme="minorHAnsi" w:hAnsiTheme="minorHAnsi"/>
          <w:sz w:val="20"/>
          <w:szCs w:val="20"/>
          <w:lang w:val="es-MX"/>
        </w:rPr>
        <w:t>8</w:t>
      </w:r>
      <w:r w:rsidR="0090441A" w:rsidRPr="00D84EF8">
        <w:rPr>
          <w:rFonts w:asciiTheme="minorHAnsi" w:hAnsiTheme="minorHAnsi"/>
          <w:sz w:val="20"/>
          <w:szCs w:val="20"/>
          <w:lang w:val="es-MX"/>
        </w:rPr>
        <w:t xml:space="preserve">, este Tribunal tiene </w:t>
      </w:r>
      <w:r w:rsidR="0090441A">
        <w:rPr>
          <w:rFonts w:asciiTheme="minorHAnsi" w:hAnsiTheme="minorHAnsi"/>
          <w:sz w:val="20"/>
          <w:szCs w:val="20"/>
          <w:lang w:val="es-MX"/>
        </w:rPr>
        <w:t>provisionado</w:t>
      </w:r>
      <w:r w:rsidR="0090441A" w:rsidRPr="00D84EF8">
        <w:rPr>
          <w:rFonts w:asciiTheme="minorHAnsi" w:hAnsiTheme="minorHAnsi"/>
          <w:sz w:val="20"/>
          <w:szCs w:val="20"/>
          <w:lang w:val="es-MX"/>
        </w:rPr>
        <w:t xml:space="preserve"> en sus registros </w:t>
      </w:r>
      <w:r w:rsidR="001572BD">
        <w:rPr>
          <w:rFonts w:asciiTheme="minorHAnsi" w:hAnsiTheme="minorHAnsi"/>
          <w:sz w:val="20"/>
          <w:szCs w:val="20"/>
          <w:lang w:val="es-MX"/>
        </w:rPr>
        <w:t>las siguientes cuentas:</w:t>
      </w:r>
    </w:p>
    <w:p w:rsidR="0090441A" w:rsidRDefault="0090441A" w:rsidP="0090441A">
      <w:pPr>
        <w:pStyle w:val="ROMANOS"/>
        <w:tabs>
          <w:tab w:val="clear" w:pos="720"/>
          <w:tab w:val="left" w:pos="284"/>
        </w:tabs>
        <w:spacing w:line="276" w:lineRule="auto"/>
        <w:ind w:left="0" w:firstLine="0"/>
        <w:rPr>
          <w:rFonts w:asciiTheme="minorHAnsi" w:hAnsiTheme="minorHAnsi"/>
          <w:sz w:val="20"/>
          <w:szCs w:val="20"/>
          <w:lang w:val="es-MX"/>
        </w:rPr>
      </w:pPr>
    </w:p>
    <w:tbl>
      <w:tblPr>
        <w:tblStyle w:val="Tablaconcuadrcula"/>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18"/>
        <w:gridCol w:w="1383"/>
      </w:tblGrid>
      <w:tr w:rsidR="0090441A" w:rsidRPr="003711F1" w:rsidTr="00CA7EB8">
        <w:tc>
          <w:tcPr>
            <w:tcW w:w="4077" w:type="dxa"/>
          </w:tcPr>
          <w:p w:rsidR="0090441A" w:rsidRPr="003711F1" w:rsidRDefault="0090441A" w:rsidP="00B71121">
            <w:pPr>
              <w:pStyle w:val="ROMANOS"/>
              <w:tabs>
                <w:tab w:val="clear" w:pos="720"/>
                <w:tab w:val="left" w:pos="284"/>
              </w:tabs>
              <w:spacing w:line="276" w:lineRule="auto"/>
              <w:ind w:left="0" w:firstLine="0"/>
              <w:jc w:val="center"/>
              <w:rPr>
                <w:rFonts w:asciiTheme="minorHAnsi" w:hAnsiTheme="minorHAnsi"/>
                <w:sz w:val="20"/>
                <w:szCs w:val="20"/>
                <w:lang w:val="es-MX"/>
              </w:rPr>
            </w:pPr>
            <w:r w:rsidRPr="003711F1">
              <w:rPr>
                <w:rFonts w:asciiTheme="minorHAnsi" w:hAnsiTheme="minorHAnsi"/>
                <w:sz w:val="20"/>
                <w:szCs w:val="20"/>
                <w:lang w:val="es-MX"/>
              </w:rPr>
              <w:t>CONCEPTO</w:t>
            </w:r>
          </w:p>
        </w:tc>
        <w:tc>
          <w:tcPr>
            <w:tcW w:w="318" w:type="dxa"/>
          </w:tcPr>
          <w:p w:rsidR="0090441A" w:rsidRDefault="0090441A" w:rsidP="00B71121">
            <w:pPr>
              <w:pStyle w:val="ROMANOS"/>
              <w:tabs>
                <w:tab w:val="clear" w:pos="720"/>
                <w:tab w:val="left" w:pos="284"/>
              </w:tabs>
              <w:spacing w:line="276" w:lineRule="auto"/>
              <w:ind w:left="0" w:firstLine="0"/>
              <w:jc w:val="center"/>
              <w:rPr>
                <w:rFonts w:asciiTheme="minorHAnsi" w:hAnsiTheme="minorHAnsi"/>
                <w:sz w:val="20"/>
                <w:szCs w:val="20"/>
                <w:lang w:val="es-MX"/>
              </w:rPr>
            </w:pPr>
          </w:p>
        </w:tc>
        <w:tc>
          <w:tcPr>
            <w:tcW w:w="1383" w:type="dxa"/>
          </w:tcPr>
          <w:p w:rsidR="0090441A" w:rsidRPr="003711F1" w:rsidRDefault="0090441A" w:rsidP="00B71121">
            <w:pPr>
              <w:pStyle w:val="ROMANOS"/>
              <w:tabs>
                <w:tab w:val="clear" w:pos="720"/>
                <w:tab w:val="left" w:pos="284"/>
              </w:tabs>
              <w:spacing w:line="276" w:lineRule="auto"/>
              <w:ind w:left="0" w:firstLine="0"/>
              <w:jc w:val="center"/>
              <w:rPr>
                <w:rFonts w:asciiTheme="minorHAnsi" w:hAnsiTheme="minorHAnsi"/>
                <w:sz w:val="20"/>
                <w:szCs w:val="20"/>
                <w:lang w:val="es-MX"/>
              </w:rPr>
            </w:pPr>
            <w:r w:rsidRPr="003711F1">
              <w:rPr>
                <w:rFonts w:asciiTheme="minorHAnsi" w:hAnsiTheme="minorHAnsi"/>
                <w:sz w:val="20"/>
                <w:szCs w:val="20"/>
                <w:lang w:val="es-MX"/>
              </w:rPr>
              <w:t>IMPORTE</w:t>
            </w:r>
          </w:p>
        </w:tc>
      </w:tr>
      <w:tr w:rsidR="00293F03" w:rsidRPr="003711F1" w:rsidTr="00CA7EB8">
        <w:tc>
          <w:tcPr>
            <w:tcW w:w="4077" w:type="dxa"/>
          </w:tcPr>
          <w:p w:rsidR="00293F03"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Servicios personales por pagar a corto plazo</w:t>
            </w:r>
          </w:p>
        </w:tc>
        <w:tc>
          <w:tcPr>
            <w:tcW w:w="318" w:type="dxa"/>
          </w:tcPr>
          <w:p w:rsidR="00293F03"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 xml:space="preserve">$    </w:t>
            </w:r>
          </w:p>
        </w:tc>
        <w:tc>
          <w:tcPr>
            <w:tcW w:w="1383" w:type="dxa"/>
          </w:tcPr>
          <w:p w:rsidR="00293F03" w:rsidRDefault="008B0C8B" w:rsidP="00293F03">
            <w:pPr>
              <w:pStyle w:val="ROMANOS"/>
              <w:tabs>
                <w:tab w:val="clear" w:pos="720"/>
                <w:tab w:val="left" w:pos="284"/>
              </w:tabs>
              <w:spacing w:line="276" w:lineRule="auto"/>
              <w:ind w:left="0" w:firstLine="0"/>
              <w:jc w:val="right"/>
              <w:rPr>
                <w:rFonts w:asciiTheme="minorHAnsi" w:hAnsiTheme="minorHAnsi"/>
                <w:sz w:val="20"/>
                <w:szCs w:val="20"/>
                <w:lang w:val="es-MX"/>
              </w:rPr>
            </w:pPr>
            <w:r>
              <w:rPr>
                <w:rFonts w:asciiTheme="minorHAnsi" w:hAnsiTheme="minorHAnsi"/>
                <w:sz w:val="20"/>
                <w:szCs w:val="20"/>
                <w:lang w:val="es-MX"/>
              </w:rPr>
              <w:t>646,580.90</w:t>
            </w:r>
          </w:p>
        </w:tc>
      </w:tr>
      <w:tr w:rsidR="00C200B0" w:rsidRPr="003711F1" w:rsidTr="00CA7EB8">
        <w:tc>
          <w:tcPr>
            <w:tcW w:w="4077" w:type="dxa"/>
          </w:tcPr>
          <w:p w:rsidR="00C200B0" w:rsidRPr="003711F1" w:rsidRDefault="00C200B0"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Proveedores por Pagar a Corto Plazo</w:t>
            </w:r>
          </w:p>
        </w:tc>
        <w:tc>
          <w:tcPr>
            <w:tcW w:w="318" w:type="dxa"/>
          </w:tcPr>
          <w:p w:rsidR="00C200B0" w:rsidRDefault="00C200B0" w:rsidP="00293F03">
            <w:pPr>
              <w:pStyle w:val="ROMANOS"/>
              <w:tabs>
                <w:tab w:val="clear" w:pos="720"/>
                <w:tab w:val="left" w:pos="284"/>
              </w:tabs>
              <w:spacing w:line="276" w:lineRule="auto"/>
              <w:ind w:left="0" w:firstLine="0"/>
              <w:jc w:val="right"/>
              <w:rPr>
                <w:rFonts w:asciiTheme="minorHAnsi" w:hAnsiTheme="minorHAnsi"/>
                <w:sz w:val="20"/>
                <w:szCs w:val="20"/>
                <w:lang w:val="es-MX"/>
              </w:rPr>
            </w:pPr>
          </w:p>
        </w:tc>
        <w:tc>
          <w:tcPr>
            <w:tcW w:w="1383" w:type="dxa"/>
          </w:tcPr>
          <w:p w:rsidR="00C200B0" w:rsidRDefault="0025464A" w:rsidP="00293F03">
            <w:pPr>
              <w:pStyle w:val="ROMANOS"/>
              <w:tabs>
                <w:tab w:val="clear" w:pos="720"/>
                <w:tab w:val="left" w:pos="284"/>
              </w:tabs>
              <w:spacing w:line="276" w:lineRule="auto"/>
              <w:ind w:left="0" w:firstLine="0"/>
              <w:jc w:val="right"/>
              <w:rPr>
                <w:rFonts w:asciiTheme="minorHAnsi" w:hAnsiTheme="minorHAnsi"/>
                <w:sz w:val="20"/>
                <w:szCs w:val="20"/>
                <w:lang w:val="es-MX"/>
              </w:rPr>
            </w:pPr>
            <w:r>
              <w:rPr>
                <w:rFonts w:asciiTheme="minorHAnsi" w:hAnsiTheme="minorHAnsi"/>
                <w:sz w:val="20"/>
                <w:szCs w:val="20"/>
                <w:lang w:val="es-MX"/>
              </w:rPr>
              <w:t>0.00</w:t>
            </w:r>
          </w:p>
        </w:tc>
      </w:tr>
      <w:tr w:rsidR="00293F03" w:rsidRPr="003711F1" w:rsidTr="00CA7EB8">
        <w:tc>
          <w:tcPr>
            <w:tcW w:w="4077" w:type="dxa"/>
          </w:tcPr>
          <w:p w:rsidR="00293F03" w:rsidRPr="003711F1"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sidRPr="003711F1">
              <w:rPr>
                <w:rFonts w:asciiTheme="minorHAnsi" w:hAnsiTheme="minorHAnsi"/>
                <w:sz w:val="20"/>
                <w:szCs w:val="20"/>
                <w:lang w:val="es-MX"/>
              </w:rPr>
              <w:t>Retenciones y contribuciones</w:t>
            </w:r>
          </w:p>
        </w:tc>
        <w:tc>
          <w:tcPr>
            <w:tcW w:w="318" w:type="dxa"/>
          </w:tcPr>
          <w:p w:rsidR="00293F03" w:rsidRDefault="00293F03" w:rsidP="00293F03">
            <w:pPr>
              <w:pStyle w:val="ROMANOS"/>
              <w:tabs>
                <w:tab w:val="clear" w:pos="720"/>
                <w:tab w:val="left" w:pos="284"/>
              </w:tabs>
              <w:spacing w:line="276" w:lineRule="auto"/>
              <w:ind w:left="0" w:firstLine="0"/>
              <w:jc w:val="right"/>
              <w:rPr>
                <w:rFonts w:asciiTheme="minorHAnsi" w:hAnsiTheme="minorHAnsi"/>
                <w:sz w:val="20"/>
                <w:szCs w:val="20"/>
                <w:lang w:val="es-MX"/>
              </w:rPr>
            </w:pPr>
          </w:p>
        </w:tc>
        <w:tc>
          <w:tcPr>
            <w:tcW w:w="1383" w:type="dxa"/>
          </w:tcPr>
          <w:p w:rsidR="00293F03" w:rsidRPr="003711F1" w:rsidRDefault="008B0C8B" w:rsidP="00293F03">
            <w:pPr>
              <w:pStyle w:val="ROMANOS"/>
              <w:tabs>
                <w:tab w:val="clear" w:pos="720"/>
                <w:tab w:val="left" w:pos="284"/>
              </w:tabs>
              <w:spacing w:line="276" w:lineRule="auto"/>
              <w:ind w:left="0" w:firstLine="0"/>
              <w:jc w:val="right"/>
              <w:rPr>
                <w:rFonts w:asciiTheme="minorHAnsi" w:hAnsiTheme="minorHAnsi"/>
                <w:sz w:val="20"/>
                <w:szCs w:val="20"/>
                <w:lang w:val="es-MX"/>
              </w:rPr>
            </w:pPr>
            <w:r>
              <w:rPr>
                <w:rFonts w:asciiTheme="minorHAnsi" w:hAnsiTheme="minorHAnsi"/>
                <w:sz w:val="20"/>
                <w:szCs w:val="20"/>
                <w:lang w:val="es-MX"/>
              </w:rPr>
              <w:t>600,275.65</w:t>
            </w:r>
          </w:p>
        </w:tc>
      </w:tr>
      <w:tr w:rsidR="00293F03" w:rsidTr="00CA7EB8">
        <w:tc>
          <w:tcPr>
            <w:tcW w:w="4077" w:type="dxa"/>
          </w:tcPr>
          <w:p w:rsidR="00293F03" w:rsidRPr="003711F1"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sidRPr="003711F1">
              <w:rPr>
                <w:rFonts w:asciiTheme="minorHAnsi" w:hAnsiTheme="minorHAnsi"/>
                <w:sz w:val="20"/>
                <w:szCs w:val="20"/>
                <w:lang w:val="es-MX"/>
              </w:rPr>
              <w:t>Total</w:t>
            </w:r>
          </w:p>
        </w:tc>
        <w:tc>
          <w:tcPr>
            <w:tcW w:w="318" w:type="dxa"/>
          </w:tcPr>
          <w:p w:rsidR="00293F03" w:rsidRDefault="00293F03" w:rsidP="00293F03">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w:t>
            </w:r>
          </w:p>
        </w:tc>
        <w:tc>
          <w:tcPr>
            <w:tcW w:w="1383" w:type="dxa"/>
          </w:tcPr>
          <w:p w:rsidR="00293F03" w:rsidRPr="003711F1" w:rsidRDefault="00CA7EB8" w:rsidP="008B0C8B">
            <w:pPr>
              <w:pStyle w:val="ROMANOS"/>
              <w:tabs>
                <w:tab w:val="clear" w:pos="720"/>
                <w:tab w:val="left" w:pos="284"/>
              </w:tabs>
              <w:spacing w:line="276" w:lineRule="auto"/>
              <w:ind w:left="0" w:firstLine="0"/>
              <w:rPr>
                <w:rFonts w:asciiTheme="minorHAnsi" w:hAnsiTheme="minorHAnsi"/>
                <w:sz w:val="20"/>
                <w:szCs w:val="20"/>
                <w:lang w:val="es-MX"/>
              </w:rPr>
            </w:pPr>
            <w:r>
              <w:rPr>
                <w:rFonts w:asciiTheme="minorHAnsi" w:hAnsiTheme="minorHAnsi"/>
                <w:sz w:val="20"/>
                <w:szCs w:val="20"/>
                <w:lang w:val="es-MX"/>
              </w:rPr>
              <w:t xml:space="preserve">  </w:t>
            </w:r>
            <w:r w:rsidR="008B0C8B">
              <w:rPr>
                <w:rFonts w:asciiTheme="minorHAnsi" w:hAnsiTheme="minorHAnsi"/>
                <w:sz w:val="20"/>
                <w:szCs w:val="20"/>
                <w:lang w:val="es-MX"/>
              </w:rPr>
              <w:fldChar w:fldCharType="begin"/>
            </w:r>
            <w:r w:rsidR="008B0C8B">
              <w:rPr>
                <w:rFonts w:asciiTheme="minorHAnsi" w:hAnsiTheme="minorHAnsi"/>
                <w:sz w:val="20"/>
                <w:szCs w:val="20"/>
                <w:lang w:val="es-MX"/>
              </w:rPr>
              <w:instrText xml:space="preserve"> =SUM(ABOVE) </w:instrText>
            </w:r>
            <w:r w:rsidR="008B0C8B">
              <w:rPr>
                <w:rFonts w:asciiTheme="minorHAnsi" w:hAnsiTheme="minorHAnsi"/>
                <w:sz w:val="20"/>
                <w:szCs w:val="20"/>
                <w:lang w:val="es-MX"/>
              </w:rPr>
              <w:fldChar w:fldCharType="separate"/>
            </w:r>
            <w:r w:rsidR="008B0C8B">
              <w:rPr>
                <w:rFonts w:asciiTheme="minorHAnsi" w:hAnsiTheme="minorHAnsi"/>
                <w:noProof/>
                <w:sz w:val="20"/>
                <w:szCs w:val="20"/>
                <w:lang w:val="es-MX"/>
              </w:rPr>
              <w:t>1,246,856.55</w:t>
            </w:r>
            <w:r w:rsidR="008B0C8B">
              <w:rPr>
                <w:rFonts w:asciiTheme="minorHAnsi" w:hAnsiTheme="minorHAnsi"/>
                <w:sz w:val="20"/>
                <w:szCs w:val="20"/>
                <w:lang w:val="es-MX"/>
              </w:rPr>
              <w:fldChar w:fldCharType="end"/>
            </w:r>
          </w:p>
        </w:tc>
      </w:tr>
    </w:tbl>
    <w:p w:rsidR="00485E0D" w:rsidRDefault="00485E0D" w:rsidP="0090441A">
      <w:pPr>
        <w:pStyle w:val="ROMANOS"/>
        <w:spacing w:line="276" w:lineRule="auto"/>
        <w:ind w:left="0" w:firstLine="0"/>
        <w:rPr>
          <w:rFonts w:asciiTheme="minorHAnsi" w:hAnsiTheme="minorHAnsi"/>
          <w:b/>
          <w:smallCaps/>
          <w:sz w:val="20"/>
          <w:szCs w:val="20"/>
        </w:rPr>
      </w:pPr>
    </w:p>
    <w:p w:rsidR="00BB67CB" w:rsidRDefault="00BB67CB" w:rsidP="0090441A">
      <w:pPr>
        <w:pStyle w:val="ROMANOS"/>
        <w:spacing w:line="276" w:lineRule="auto"/>
        <w:ind w:left="0" w:firstLine="0"/>
        <w:rPr>
          <w:rFonts w:asciiTheme="minorHAnsi" w:hAnsiTheme="minorHAnsi"/>
          <w:b/>
          <w:smallCaps/>
          <w:sz w:val="20"/>
          <w:szCs w:val="20"/>
        </w:rPr>
      </w:pPr>
    </w:p>
    <w:p w:rsidR="00BB67CB" w:rsidRDefault="00BB67CB" w:rsidP="0090441A">
      <w:pPr>
        <w:pStyle w:val="ROMANOS"/>
        <w:spacing w:line="276" w:lineRule="auto"/>
        <w:ind w:left="0" w:firstLine="0"/>
        <w:rPr>
          <w:rFonts w:asciiTheme="minorHAnsi" w:hAnsiTheme="minorHAnsi"/>
          <w:b/>
          <w:smallCaps/>
          <w:sz w:val="20"/>
          <w:szCs w:val="20"/>
        </w:rPr>
      </w:pPr>
    </w:p>
    <w:p w:rsidR="00BB67CB" w:rsidRDefault="00BB67CB" w:rsidP="0090441A">
      <w:pPr>
        <w:pStyle w:val="ROMANOS"/>
        <w:spacing w:line="276" w:lineRule="auto"/>
        <w:ind w:left="0" w:firstLine="0"/>
        <w:rPr>
          <w:rFonts w:asciiTheme="minorHAnsi" w:hAnsiTheme="minorHAnsi"/>
          <w:b/>
          <w:smallCaps/>
          <w:sz w:val="20"/>
          <w:szCs w:val="20"/>
        </w:rPr>
      </w:pPr>
    </w:p>
    <w:p w:rsidR="00BB67CB" w:rsidRDefault="0089372B" w:rsidP="0089372B">
      <w:pPr>
        <w:pStyle w:val="ROMANOS"/>
        <w:tabs>
          <w:tab w:val="clear" w:pos="720"/>
          <w:tab w:val="left" w:pos="2055"/>
        </w:tabs>
        <w:spacing w:line="276" w:lineRule="auto"/>
        <w:ind w:left="0" w:firstLine="0"/>
        <w:rPr>
          <w:rFonts w:asciiTheme="minorHAnsi" w:hAnsiTheme="minorHAnsi"/>
          <w:b/>
          <w:smallCaps/>
          <w:sz w:val="20"/>
          <w:szCs w:val="20"/>
        </w:rPr>
      </w:pPr>
      <w:r>
        <w:rPr>
          <w:rFonts w:asciiTheme="minorHAnsi" w:hAnsiTheme="minorHAnsi"/>
          <w:b/>
          <w:smallCaps/>
          <w:sz w:val="20"/>
          <w:szCs w:val="20"/>
        </w:rPr>
        <w:tab/>
      </w:r>
    </w:p>
    <w:p w:rsidR="00485E0D" w:rsidRDefault="00485E0D" w:rsidP="0090441A">
      <w:pPr>
        <w:pStyle w:val="ROMANOS"/>
        <w:spacing w:line="276" w:lineRule="auto"/>
        <w:ind w:left="0" w:firstLine="0"/>
        <w:rPr>
          <w:rFonts w:asciiTheme="minorHAnsi" w:hAnsiTheme="minorHAnsi"/>
          <w:b/>
          <w:smallCaps/>
          <w:sz w:val="20"/>
          <w:szCs w:val="20"/>
        </w:rPr>
      </w:pPr>
    </w:p>
    <w:p w:rsidR="002C190F" w:rsidRDefault="00CA7EB8" w:rsidP="00CA7EB8">
      <w:pPr>
        <w:pStyle w:val="ROMANOS"/>
        <w:tabs>
          <w:tab w:val="clear" w:pos="720"/>
          <w:tab w:val="left" w:pos="10806"/>
        </w:tabs>
        <w:spacing w:line="276" w:lineRule="auto"/>
        <w:ind w:left="0" w:firstLine="0"/>
        <w:rPr>
          <w:rFonts w:asciiTheme="minorHAnsi" w:hAnsiTheme="minorHAnsi"/>
          <w:b/>
          <w:smallCaps/>
          <w:sz w:val="20"/>
          <w:szCs w:val="20"/>
        </w:rPr>
      </w:pPr>
      <w:r>
        <w:rPr>
          <w:rFonts w:asciiTheme="minorHAnsi" w:hAnsiTheme="minorHAnsi"/>
          <w:b/>
          <w:smallCaps/>
          <w:sz w:val="20"/>
          <w:szCs w:val="20"/>
        </w:rPr>
        <w:tab/>
      </w:r>
    </w:p>
    <w:p w:rsidR="00E3374C" w:rsidRPr="00485E0D" w:rsidRDefault="0090441A" w:rsidP="00485E0D">
      <w:pPr>
        <w:pStyle w:val="ROMANOS"/>
        <w:spacing w:line="276" w:lineRule="auto"/>
        <w:ind w:left="0" w:firstLine="0"/>
        <w:rPr>
          <w:rFonts w:asciiTheme="minorHAnsi" w:hAnsiTheme="minorHAnsi"/>
          <w:b/>
          <w:smallCaps/>
          <w:sz w:val="20"/>
          <w:szCs w:val="20"/>
        </w:rPr>
      </w:pPr>
      <w:r w:rsidRPr="00D84EF8">
        <w:rPr>
          <w:rFonts w:asciiTheme="minorHAnsi" w:hAnsiTheme="minorHAnsi"/>
          <w:b/>
          <w:smallCaps/>
          <w:sz w:val="20"/>
          <w:szCs w:val="20"/>
        </w:rPr>
        <w:lastRenderedPageBreak/>
        <w:t>II)</w:t>
      </w:r>
      <w:r w:rsidRPr="00D84EF8">
        <w:rPr>
          <w:rFonts w:asciiTheme="minorHAnsi" w:hAnsiTheme="minorHAnsi"/>
          <w:b/>
          <w:smallCaps/>
          <w:sz w:val="20"/>
          <w:szCs w:val="20"/>
        </w:rPr>
        <w:tab/>
        <w:t>Notas al Estado de Actividades</w:t>
      </w:r>
    </w:p>
    <w:p w:rsidR="0090441A" w:rsidRPr="00D84EF8" w:rsidRDefault="0090441A" w:rsidP="0090441A">
      <w:pPr>
        <w:pStyle w:val="Texto"/>
        <w:spacing w:after="0" w:line="276" w:lineRule="auto"/>
        <w:ind w:firstLine="0"/>
        <w:rPr>
          <w:rFonts w:asciiTheme="minorHAnsi" w:hAnsiTheme="minorHAnsi"/>
          <w:b/>
          <w:sz w:val="20"/>
          <w:lang w:val="es-MX"/>
        </w:rPr>
      </w:pPr>
      <w:r w:rsidRPr="00D84EF8">
        <w:rPr>
          <w:rFonts w:asciiTheme="minorHAnsi" w:hAnsiTheme="minorHAnsi"/>
          <w:b/>
          <w:sz w:val="20"/>
          <w:lang w:val="es-MX"/>
        </w:rPr>
        <w:t>Ingresos de Gestión</w:t>
      </w:r>
    </w:p>
    <w:p w:rsidR="0090441A" w:rsidRDefault="0090441A" w:rsidP="0090441A">
      <w:pPr>
        <w:pStyle w:val="ROMANOS"/>
        <w:spacing w:after="0" w:line="276" w:lineRule="auto"/>
        <w:ind w:left="0" w:firstLine="0"/>
        <w:rPr>
          <w:rFonts w:asciiTheme="minorHAnsi" w:hAnsiTheme="minorHAnsi"/>
          <w:sz w:val="20"/>
          <w:szCs w:val="20"/>
          <w:lang w:val="es-MX"/>
        </w:rPr>
      </w:pPr>
      <w:r w:rsidRPr="00D84EF8">
        <w:rPr>
          <w:rFonts w:asciiTheme="minorHAnsi" w:hAnsiTheme="minorHAnsi"/>
          <w:sz w:val="20"/>
          <w:szCs w:val="20"/>
          <w:lang w:val="es-MX"/>
        </w:rPr>
        <w:t xml:space="preserve">En el </w:t>
      </w:r>
      <w:r>
        <w:rPr>
          <w:rFonts w:asciiTheme="minorHAnsi" w:hAnsiTheme="minorHAnsi"/>
          <w:sz w:val="20"/>
          <w:szCs w:val="20"/>
          <w:lang w:val="es-MX"/>
        </w:rPr>
        <w:t xml:space="preserve">período </w:t>
      </w:r>
      <w:r w:rsidR="002111AA">
        <w:rPr>
          <w:rFonts w:asciiTheme="minorHAnsi" w:hAnsiTheme="minorHAnsi"/>
          <w:sz w:val="20"/>
          <w:szCs w:val="20"/>
          <w:lang w:val="es-MX"/>
        </w:rPr>
        <w:t>de</w:t>
      </w:r>
      <w:r w:rsidR="00B376BE">
        <w:rPr>
          <w:rFonts w:asciiTheme="minorHAnsi" w:hAnsiTheme="minorHAnsi"/>
          <w:sz w:val="20"/>
          <w:szCs w:val="20"/>
          <w:lang w:val="es-MX"/>
        </w:rPr>
        <w:t xml:space="preserve">l 01 </w:t>
      </w:r>
      <w:r w:rsidR="002D50EC">
        <w:rPr>
          <w:rFonts w:asciiTheme="minorHAnsi" w:hAnsiTheme="minorHAnsi"/>
          <w:sz w:val="20"/>
          <w:szCs w:val="20"/>
          <w:lang w:val="es-MX"/>
        </w:rPr>
        <w:t>de E</w:t>
      </w:r>
      <w:r w:rsidR="00AD2091">
        <w:rPr>
          <w:rFonts w:asciiTheme="minorHAnsi" w:hAnsiTheme="minorHAnsi"/>
          <w:sz w:val="20"/>
          <w:szCs w:val="20"/>
          <w:lang w:val="es-MX"/>
        </w:rPr>
        <w:t>nero al 31</w:t>
      </w:r>
      <w:r w:rsidR="007C1C49">
        <w:rPr>
          <w:rFonts w:asciiTheme="minorHAnsi" w:hAnsiTheme="minorHAnsi"/>
          <w:sz w:val="20"/>
          <w:szCs w:val="20"/>
          <w:lang w:val="es-MX"/>
        </w:rPr>
        <w:t xml:space="preserve"> de </w:t>
      </w:r>
      <w:r w:rsidR="00AD2091">
        <w:rPr>
          <w:rFonts w:asciiTheme="minorHAnsi" w:hAnsiTheme="minorHAnsi"/>
          <w:sz w:val="20"/>
          <w:szCs w:val="20"/>
          <w:lang w:val="es-MX"/>
        </w:rPr>
        <w:t>Marzo</w:t>
      </w:r>
      <w:r w:rsidR="00993904">
        <w:rPr>
          <w:rFonts w:asciiTheme="minorHAnsi" w:hAnsiTheme="minorHAnsi"/>
          <w:sz w:val="20"/>
          <w:szCs w:val="20"/>
          <w:lang w:val="es-MX"/>
        </w:rPr>
        <w:t xml:space="preserve"> de 2018</w:t>
      </w:r>
      <w:r w:rsidRPr="00D84EF8">
        <w:rPr>
          <w:rFonts w:asciiTheme="minorHAnsi" w:hAnsiTheme="minorHAnsi"/>
          <w:sz w:val="20"/>
          <w:szCs w:val="20"/>
          <w:lang w:val="es-MX"/>
        </w:rPr>
        <w:t xml:space="preserve"> se tuvieron los siguientes ingresos:</w:t>
      </w:r>
    </w:p>
    <w:p w:rsidR="00333C39" w:rsidRDefault="00333C39" w:rsidP="0090441A">
      <w:pPr>
        <w:pStyle w:val="ROMANOS"/>
        <w:spacing w:after="0" w:line="276" w:lineRule="auto"/>
        <w:ind w:left="0" w:firstLine="0"/>
        <w:rPr>
          <w:rFonts w:asciiTheme="minorHAnsi" w:hAnsiTheme="minorHAnsi"/>
          <w:sz w:val="20"/>
          <w:szCs w:val="20"/>
          <w:lang w:val="es-MX"/>
        </w:rPr>
      </w:pPr>
    </w:p>
    <w:p w:rsidR="00F80ACD" w:rsidRDefault="00F80ACD" w:rsidP="0090441A">
      <w:pPr>
        <w:pStyle w:val="ROMANOS"/>
        <w:spacing w:after="0" w:line="276" w:lineRule="auto"/>
        <w:ind w:left="0" w:firstLine="0"/>
        <w:rPr>
          <w:rFonts w:asciiTheme="minorHAnsi" w:hAnsiTheme="minorHAnsi"/>
          <w:sz w:val="20"/>
          <w:szCs w:val="20"/>
          <w:lang w:val="es-MX"/>
        </w:rPr>
      </w:pPr>
    </w:p>
    <w:p w:rsidR="00326BDB" w:rsidRDefault="00AF74C7" w:rsidP="00B71121">
      <w:pPr>
        <w:pStyle w:val="ROMANOS"/>
        <w:spacing w:after="0" w:line="276" w:lineRule="auto"/>
        <w:ind w:left="0" w:firstLine="0"/>
        <w:jc w:val="left"/>
        <w:rPr>
          <w:rFonts w:asciiTheme="minorHAnsi" w:hAnsiTheme="minorHAnsi"/>
          <w:sz w:val="20"/>
          <w:szCs w:val="20"/>
          <w:lang w:val="es-MX"/>
        </w:rPr>
      </w:pPr>
      <w:bookmarkStart w:id="3" w:name="_MON_1482846105"/>
      <w:bookmarkEnd w:id="3"/>
      <w:r>
        <w:rPr>
          <w:noProof/>
          <w:sz w:val="20"/>
          <w:szCs w:val="20"/>
        </w:rPr>
        <w:pict>
          <v:shape id="_x0000_s1046" type="#_x0000_t75" style="position:absolute;margin-left:0;margin-top:-.25pt;width:456pt;height:80.7pt;z-index:251668480;mso-position-horizontal:left">
            <v:imagedata r:id="rId15" o:title=""/>
            <w10:wrap type="square" side="right"/>
          </v:shape>
          <o:OLEObject Type="Embed" ProgID="Excel.Sheet.12" ShapeID="_x0000_s1046" DrawAspect="Content" ObjectID="_1588588081" r:id="rId16"/>
        </w:pict>
      </w:r>
    </w:p>
    <w:p w:rsidR="00F80ACD" w:rsidRDefault="00F80ACD" w:rsidP="00F80ACD">
      <w:pPr>
        <w:pStyle w:val="Texto"/>
        <w:spacing w:line="276" w:lineRule="auto"/>
        <w:ind w:left="1080" w:firstLine="0"/>
        <w:rPr>
          <w:rFonts w:asciiTheme="minorHAnsi" w:hAnsiTheme="minorHAnsi" w:cstheme="minorHAnsi"/>
          <w:b/>
          <w:smallCaps/>
          <w:sz w:val="20"/>
        </w:rPr>
      </w:pPr>
    </w:p>
    <w:p w:rsidR="00F80ACD" w:rsidRDefault="00F80ACD" w:rsidP="00F80ACD">
      <w:pPr>
        <w:pStyle w:val="Texto"/>
        <w:spacing w:line="276" w:lineRule="auto"/>
        <w:ind w:left="1080" w:firstLine="0"/>
        <w:rPr>
          <w:rFonts w:asciiTheme="minorHAnsi" w:hAnsiTheme="minorHAnsi" w:cstheme="minorHAnsi"/>
          <w:b/>
          <w:smallCaps/>
          <w:sz w:val="20"/>
        </w:rPr>
      </w:pPr>
    </w:p>
    <w:p w:rsidR="00F80ACD" w:rsidRDefault="00F80ACD" w:rsidP="00F80ACD">
      <w:pPr>
        <w:pStyle w:val="Texto"/>
        <w:spacing w:line="276" w:lineRule="auto"/>
        <w:ind w:left="1080" w:firstLine="0"/>
        <w:rPr>
          <w:rFonts w:asciiTheme="minorHAnsi" w:hAnsiTheme="minorHAnsi" w:cstheme="minorHAnsi"/>
          <w:b/>
          <w:smallCaps/>
          <w:sz w:val="20"/>
        </w:rPr>
      </w:pPr>
    </w:p>
    <w:p w:rsidR="00F80ACD" w:rsidRDefault="00F80ACD" w:rsidP="00F80ACD">
      <w:pPr>
        <w:pStyle w:val="Texto"/>
        <w:spacing w:line="276" w:lineRule="auto"/>
        <w:ind w:left="1080" w:firstLine="0"/>
        <w:rPr>
          <w:rFonts w:asciiTheme="minorHAnsi" w:hAnsiTheme="minorHAnsi" w:cstheme="minorHAnsi"/>
          <w:b/>
          <w:smallCaps/>
          <w:sz w:val="20"/>
        </w:rPr>
      </w:pPr>
    </w:p>
    <w:p w:rsidR="00F80ACD" w:rsidRDefault="00F80ACD" w:rsidP="00F80ACD">
      <w:pPr>
        <w:pStyle w:val="Texto"/>
        <w:spacing w:line="276" w:lineRule="auto"/>
        <w:ind w:left="1080" w:firstLine="0"/>
        <w:rPr>
          <w:rFonts w:asciiTheme="minorHAnsi" w:hAnsiTheme="minorHAnsi" w:cstheme="minorHAnsi"/>
          <w:b/>
          <w:smallCaps/>
          <w:sz w:val="20"/>
        </w:rPr>
      </w:pPr>
    </w:p>
    <w:p w:rsidR="00F80ACD" w:rsidRDefault="00F80ACD" w:rsidP="00F80ACD">
      <w:pPr>
        <w:pStyle w:val="Texto"/>
        <w:spacing w:line="276" w:lineRule="auto"/>
        <w:ind w:left="1080" w:firstLine="0"/>
        <w:rPr>
          <w:rFonts w:asciiTheme="minorHAnsi" w:hAnsiTheme="minorHAnsi" w:cstheme="minorHAnsi"/>
          <w:b/>
          <w:smallCaps/>
          <w:sz w:val="20"/>
        </w:rPr>
      </w:pPr>
    </w:p>
    <w:p w:rsidR="0090441A" w:rsidRDefault="0090441A" w:rsidP="001572BD">
      <w:pPr>
        <w:pStyle w:val="Texto"/>
        <w:numPr>
          <w:ilvl w:val="0"/>
          <w:numId w:val="3"/>
        </w:numPr>
        <w:spacing w:line="276" w:lineRule="auto"/>
        <w:rPr>
          <w:rFonts w:asciiTheme="minorHAnsi" w:hAnsiTheme="minorHAnsi" w:cstheme="minorHAnsi"/>
          <w:b/>
          <w:smallCaps/>
          <w:sz w:val="20"/>
        </w:rPr>
      </w:pPr>
      <w:r w:rsidRPr="005801E3">
        <w:rPr>
          <w:rFonts w:asciiTheme="minorHAnsi" w:hAnsiTheme="minorHAnsi" w:cstheme="minorHAnsi"/>
          <w:b/>
          <w:smallCaps/>
          <w:sz w:val="20"/>
        </w:rPr>
        <w:t>Notas al Estado de Flujos de Efectivo</w:t>
      </w:r>
    </w:p>
    <w:p w:rsidR="001572BD" w:rsidRPr="005801E3" w:rsidRDefault="001572BD" w:rsidP="001572BD">
      <w:pPr>
        <w:pStyle w:val="Texto"/>
        <w:spacing w:line="276" w:lineRule="auto"/>
        <w:ind w:left="1080" w:firstLine="0"/>
        <w:rPr>
          <w:rFonts w:asciiTheme="minorHAnsi" w:hAnsiTheme="minorHAnsi" w:cstheme="minorHAnsi"/>
          <w:b/>
          <w:smallCaps/>
          <w:sz w:val="20"/>
        </w:rPr>
      </w:pPr>
    </w:p>
    <w:p w:rsidR="0090441A" w:rsidRPr="005801E3" w:rsidRDefault="0090441A" w:rsidP="0090441A">
      <w:pPr>
        <w:pStyle w:val="Texto"/>
        <w:spacing w:line="276" w:lineRule="auto"/>
        <w:ind w:left="720" w:firstLine="0"/>
        <w:rPr>
          <w:rFonts w:asciiTheme="minorHAnsi" w:hAnsiTheme="minorHAnsi" w:cstheme="minorHAnsi"/>
          <w:b/>
          <w:sz w:val="20"/>
          <w:lang w:val="es-MX"/>
        </w:rPr>
      </w:pPr>
      <w:r w:rsidRPr="005801E3">
        <w:rPr>
          <w:rFonts w:asciiTheme="minorHAnsi" w:hAnsiTheme="minorHAnsi" w:cstheme="minorHAnsi"/>
          <w:b/>
          <w:sz w:val="20"/>
          <w:lang w:val="es-MX"/>
        </w:rPr>
        <w:t>Efectivo y equivalentes</w:t>
      </w:r>
    </w:p>
    <w:p w:rsidR="0090441A" w:rsidRDefault="0090441A" w:rsidP="0090441A">
      <w:pPr>
        <w:pStyle w:val="ROMANOS"/>
        <w:tabs>
          <w:tab w:val="clear" w:pos="720"/>
          <w:tab w:val="left" w:pos="284"/>
        </w:tabs>
        <w:spacing w:line="276" w:lineRule="auto"/>
        <w:ind w:left="284" w:firstLine="4"/>
        <w:rPr>
          <w:rFonts w:asciiTheme="minorHAnsi" w:hAnsiTheme="minorHAnsi" w:cstheme="minorHAnsi"/>
          <w:sz w:val="20"/>
          <w:szCs w:val="20"/>
          <w:lang w:val="es-MX"/>
        </w:rPr>
      </w:pPr>
      <w:r w:rsidRPr="005801E3">
        <w:rPr>
          <w:rFonts w:asciiTheme="minorHAnsi" w:hAnsiTheme="minorHAnsi" w:cstheme="minorHAnsi"/>
          <w:sz w:val="20"/>
          <w:szCs w:val="20"/>
          <w:lang w:val="es-MX"/>
        </w:rPr>
        <w:t>El análisis de los saldos inicial y final que figuran en la última parte del Estado de Flujo de Efectivo en la cuenta de efectivo y equivalentes es como sigue:</w:t>
      </w:r>
    </w:p>
    <w:p w:rsidR="001572BD" w:rsidRPr="005801E3" w:rsidRDefault="001572BD" w:rsidP="0090441A">
      <w:pPr>
        <w:pStyle w:val="ROMANOS"/>
        <w:tabs>
          <w:tab w:val="clear" w:pos="720"/>
          <w:tab w:val="left" w:pos="284"/>
        </w:tabs>
        <w:spacing w:line="276" w:lineRule="auto"/>
        <w:ind w:left="284" w:firstLine="4"/>
        <w:rPr>
          <w:rFonts w:asciiTheme="minorHAnsi" w:hAnsiTheme="minorHAnsi" w:cstheme="minorHAnsi"/>
          <w:sz w:val="20"/>
          <w:szCs w:val="20"/>
          <w:lang w:val="es-MX"/>
        </w:rPr>
      </w:pPr>
    </w:p>
    <w:tbl>
      <w:tblPr>
        <w:tblW w:w="0" w:type="auto"/>
        <w:tblInd w:w="108" w:type="dxa"/>
        <w:tblLayout w:type="fixed"/>
        <w:tblLook w:val="0000" w:firstRow="0" w:lastRow="0" w:firstColumn="0" w:lastColumn="0" w:noHBand="0" w:noVBand="0"/>
      </w:tblPr>
      <w:tblGrid>
        <w:gridCol w:w="4034"/>
        <w:gridCol w:w="2132"/>
        <w:gridCol w:w="1861"/>
      </w:tblGrid>
      <w:tr w:rsidR="0090441A" w:rsidRPr="005801E3" w:rsidTr="002718A7">
        <w:trPr>
          <w:cantSplit/>
          <w:trHeight w:val="306"/>
        </w:trPr>
        <w:tc>
          <w:tcPr>
            <w:tcW w:w="4034" w:type="dxa"/>
            <w:tcBorders>
              <w:top w:val="single" w:sz="6" w:space="0" w:color="auto"/>
              <w:left w:val="single" w:sz="6" w:space="0" w:color="auto"/>
              <w:bottom w:val="single" w:sz="6" w:space="0" w:color="auto"/>
              <w:right w:val="single" w:sz="6" w:space="0" w:color="auto"/>
            </w:tcBorders>
          </w:tcPr>
          <w:p w:rsidR="0090441A" w:rsidRPr="005801E3" w:rsidRDefault="0090441A" w:rsidP="00EF63CA">
            <w:pPr>
              <w:pStyle w:val="Texto"/>
              <w:spacing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Concepto</w:t>
            </w:r>
          </w:p>
        </w:tc>
        <w:tc>
          <w:tcPr>
            <w:tcW w:w="2132" w:type="dxa"/>
            <w:tcBorders>
              <w:top w:val="single" w:sz="6" w:space="0" w:color="auto"/>
              <w:left w:val="single" w:sz="6" w:space="0" w:color="auto"/>
              <w:bottom w:val="single" w:sz="6" w:space="0" w:color="auto"/>
              <w:right w:val="single" w:sz="6" w:space="0" w:color="auto"/>
            </w:tcBorders>
          </w:tcPr>
          <w:p w:rsidR="0090441A" w:rsidRPr="005801E3" w:rsidRDefault="0090441A" w:rsidP="00EF63CA">
            <w:pPr>
              <w:pStyle w:val="Texto"/>
              <w:spacing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sidR="00993904">
              <w:rPr>
                <w:rFonts w:asciiTheme="minorHAnsi" w:hAnsiTheme="minorHAnsi" w:cstheme="minorHAnsi"/>
                <w:sz w:val="20"/>
                <w:lang w:val="es-MX"/>
              </w:rPr>
              <w:t>8</w:t>
            </w:r>
          </w:p>
        </w:tc>
        <w:tc>
          <w:tcPr>
            <w:tcW w:w="1861" w:type="dxa"/>
            <w:tcBorders>
              <w:top w:val="single" w:sz="6" w:space="0" w:color="auto"/>
              <w:left w:val="single" w:sz="6" w:space="0" w:color="auto"/>
              <w:bottom w:val="single" w:sz="6" w:space="0" w:color="auto"/>
              <w:right w:val="single" w:sz="6" w:space="0" w:color="auto"/>
            </w:tcBorders>
          </w:tcPr>
          <w:p w:rsidR="0090441A" w:rsidRPr="005801E3" w:rsidRDefault="0090441A" w:rsidP="00EF63CA">
            <w:pPr>
              <w:pStyle w:val="Texto"/>
              <w:spacing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sidR="00993904">
              <w:rPr>
                <w:rFonts w:asciiTheme="minorHAnsi" w:hAnsiTheme="minorHAnsi" w:cstheme="minorHAnsi"/>
                <w:sz w:val="20"/>
                <w:lang w:val="es-MX"/>
              </w:rPr>
              <w:t>7</w:t>
            </w:r>
          </w:p>
        </w:tc>
      </w:tr>
      <w:tr w:rsidR="0056620E" w:rsidRPr="005801E3" w:rsidTr="002718A7">
        <w:trPr>
          <w:cantSplit/>
          <w:trHeight w:val="307"/>
        </w:trPr>
        <w:tc>
          <w:tcPr>
            <w:tcW w:w="4034" w:type="dxa"/>
            <w:tcBorders>
              <w:top w:val="single" w:sz="6" w:space="0" w:color="auto"/>
              <w:left w:val="single" w:sz="6" w:space="0" w:color="auto"/>
              <w:bottom w:val="single" w:sz="6" w:space="0" w:color="auto"/>
              <w:right w:val="single" w:sz="6" w:space="0" w:color="auto"/>
            </w:tcBorders>
          </w:tcPr>
          <w:p w:rsidR="0056620E" w:rsidRPr="005801E3" w:rsidRDefault="0056620E" w:rsidP="00EF63CA">
            <w:pPr>
              <w:pStyle w:val="Texto"/>
              <w:spacing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Efectivo y equivalentes al inicio del Ejercicio</w:t>
            </w:r>
          </w:p>
        </w:tc>
        <w:tc>
          <w:tcPr>
            <w:tcW w:w="2132" w:type="dxa"/>
            <w:tcBorders>
              <w:top w:val="single" w:sz="6" w:space="0" w:color="auto"/>
              <w:left w:val="single" w:sz="6" w:space="0" w:color="auto"/>
              <w:bottom w:val="single" w:sz="6" w:space="0" w:color="auto"/>
              <w:right w:val="single" w:sz="6" w:space="0" w:color="auto"/>
            </w:tcBorders>
          </w:tcPr>
          <w:p w:rsidR="0056620E" w:rsidRPr="00394531" w:rsidRDefault="00341C8C" w:rsidP="00AC7D7C">
            <w:pPr>
              <w:jc w:val="center"/>
              <w:rPr>
                <w:rFonts w:cstheme="minorHAnsi"/>
                <w:bCs/>
                <w:sz w:val="20"/>
                <w:szCs w:val="20"/>
              </w:rPr>
            </w:pPr>
            <w:r>
              <w:rPr>
                <w:rFonts w:eastAsia="Times New Roman" w:cstheme="minorHAnsi"/>
                <w:sz w:val="20"/>
                <w:szCs w:val="20"/>
                <w:lang w:eastAsia="es-ES"/>
              </w:rPr>
              <w:t>14,486,425.14</w:t>
            </w:r>
          </w:p>
        </w:tc>
        <w:tc>
          <w:tcPr>
            <w:tcW w:w="1861" w:type="dxa"/>
            <w:tcBorders>
              <w:top w:val="single" w:sz="6" w:space="0" w:color="auto"/>
              <w:left w:val="single" w:sz="6" w:space="0" w:color="auto"/>
              <w:bottom w:val="single" w:sz="6" w:space="0" w:color="auto"/>
              <w:right w:val="single" w:sz="6" w:space="0" w:color="auto"/>
            </w:tcBorders>
          </w:tcPr>
          <w:p w:rsidR="0056620E" w:rsidRPr="00341C8C" w:rsidRDefault="00993904" w:rsidP="00341C8C">
            <w:pPr>
              <w:jc w:val="center"/>
              <w:rPr>
                <w:rFonts w:eastAsia="Times New Roman" w:cstheme="minorHAnsi"/>
                <w:sz w:val="20"/>
                <w:szCs w:val="20"/>
                <w:lang w:eastAsia="es-ES"/>
              </w:rPr>
            </w:pPr>
            <w:r w:rsidRPr="00341C8C">
              <w:rPr>
                <w:rFonts w:eastAsia="Times New Roman" w:cstheme="minorHAnsi"/>
                <w:sz w:val="20"/>
                <w:szCs w:val="20"/>
                <w:lang w:eastAsia="es-ES"/>
              </w:rPr>
              <w:t>9,483,119.51</w:t>
            </w:r>
          </w:p>
        </w:tc>
      </w:tr>
      <w:tr w:rsidR="0056620E" w:rsidRPr="005801E3" w:rsidTr="002718A7">
        <w:trPr>
          <w:cantSplit/>
          <w:trHeight w:val="364"/>
        </w:trPr>
        <w:tc>
          <w:tcPr>
            <w:tcW w:w="4034" w:type="dxa"/>
            <w:tcBorders>
              <w:top w:val="single" w:sz="6" w:space="0" w:color="auto"/>
              <w:left w:val="single" w:sz="6" w:space="0" w:color="auto"/>
              <w:bottom w:val="single" w:sz="6" w:space="0" w:color="auto"/>
              <w:right w:val="single" w:sz="6" w:space="0" w:color="auto"/>
            </w:tcBorders>
          </w:tcPr>
          <w:p w:rsidR="0056620E" w:rsidRPr="005801E3" w:rsidRDefault="0056620E" w:rsidP="00EF63CA">
            <w:pPr>
              <w:pStyle w:val="Texto"/>
              <w:spacing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Efectivo y equivalente al final del Ejercicio</w:t>
            </w:r>
          </w:p>
        </w:tc>
        <w:tc>
          <w:tcPr>
            <w:tcW w:w="2132" w:type="dxa"/>
            <w:tcBorders>
              <w:top w:val="single" w:sz="6" w:space="0" w:color="auto"/>
              <w:left w:val="single" w:sz="6" w:space="0" w:color="auto"/>
              <w:bottom w:val="single" w:sz="6" w:space="0" w:color="auto"/>
              <w:right w:val="single" w:sz="6" w:space="0" w:color="auto"/>
            </w:tcBorders>
          </w:tcPr>
          <w:p w:rsidR="0056620E" w:rsidRPr="00E12D37" w:rsidRDefault="00341C8C" w:rsidP="00E12D37">
            <w:pPr>
              <w:jc w:val="center"/>
              <w:rPr>
                <w:rFonts w:eastAsia="Times New Roman" w:cstheme="minorHAnsi"/>
                <w:sz w:val="20"/>
                <w:szCs w:val="20"/>
                <w:lang w:eastAsia="es-ES"/>
              </w:rPr>
            </w:pPr>
            <w:r>
              <w:rPr>
                <w:rFonts w:eastAsia="Times New Roman" w:cstheme="minorHAnsi"/>
                <w:sz w:val="20"/>
                <w:szCs w:val="20"/>
                <w:lang w:eastAsia="es-ES"/>
              </w:rPr>
              <w:t>1</w:t>
            </w:r>
            <w:r w:rsidR="00996372">
              <w:rPr>
                <w:rFonts w:eastAsia="Times New Roman" w:cstheme="minorHAnsi"/>
                <w:sz w:val="20"/>
                <w:szCs w:val="20"/>
                <w:lang w:eastAsia="es-ES"/>
              </w:rPr>
              <w:t>5,877,970.14</w:t>
            </w:r>
          </w:p>
        </w:tc>
        <w:tc>
          <w:tcPr>
            <w:tcW w:w="1861" w:type="dxa"/>
            <w:tcBorders>
              <w:top w:val="single" w:sz="6" w:space="0" w:color="auto"/>
              <w:left w:val="single" w:sz="6" w:space="0" w:color="auto"/>
              <w:bottom w:val="single" w:sz="6" w:space="0" w:color="auto"/>
              <w:right w:val="single" w:sz="6" w:space="0" w:color="auto"/>
            </w:tcBorders>
          </w:tcPr>
          <w:p w:rsidR="0056620E" w:rsidRPr="00E12D37" w:rsidRDefault="00996372" w:rsidP="00E12D37">
            <w:pPr>
              <w:jc w:val="center"/>
              <w:rPr>
                <w:rFonts w:eastAsia="Times New Roman" w:cstheme="minorHAnsi"/>
                <w:sz w:val="20"/>
                <w:szCs w:val="20"/>
                <w:lang w:eastAsia="es-ES"/>
              </w:rPr>
            </w:pPr>
            <w:r>
              <w:rPr>
                <w:rFonts w:eastAsia="Times New Roman" w:cstheme="minorHAnsi"/>
                <w:sz w:val="20"/>
                <w:szCs w:val="20"/>
                <w:lang w:eastAsia="es-ES"/>
              </w:rPr>
              <w:t>10,613,573.64</w:t>
            </w:r>
          </w:p>
        </w:tc>
      </w:tr>
    </w:tbl>
    <w:p w:rsidR="0090441A" w:rsidRDefault="0090441A" w:rsidP="002D50EC">
      <w:pPr>
        <w:pStyle w:val="Texto"/>
        <w:spacing w:line="276" w:lineRule="auto"/>
        <w:ind w:firstLine="0"/>
        <w:rPr>
          <w:rFonts w:asciiTheme="minorHAnsi" w:hAnsiTheme="minorHAnsi" w:cstheme="minorHAnsi"/>
          <w:sz w:val="20"/>
          <w:lang w:val="es-MX"/>
        </w:rPr>
      </w:pPr>
    </w:p>
    <w:p w:rsidR="001572BD" w:rsidRDefault="001572BD" w:rsidP="002D50EC">
      <w:pPr>
        <w:pStyle w:val="Texto"/>
        <w:spacing w:line="276" w:lineRule="auto"/>
        <w:ind w:firstLine="0"/>
        <w:rPr>
          <w:rFonts w:asciiTheme="minorHAnsi" w:hAnsiTheme="minorHAnsi" w:cstheme="minorHAnsi"/>
          <w:sz w:val="20"/>
          <w:lang w:val="es-MX"/>
        </w:rPr>
      </w:pPr>
    </w:p>
    <w:p w:rsidR="001572BD" w:rsidRDefault="001572BD" w:rsidP="002D50EC">
      <w:pPr>
        <w:pStyle w:val="Texto"/>
        <w:spacing w:line="276" w:lineRule="auto"/>
        <w:ind w:firstLine="0"/>
        <w:rPr>
          <w:rFonts w:asciiTheme="minorHAnsi" w:hAnsiTheme="minorHAnsi" w:cstheme="minorHAnsi"/>
          <w:sz w:val="20"/>
          <w:lang w:val="es-MX"/>
        </w:rPr>
      </w:pPr>
    </w:p>
    <w:p w:rsidR="00B71121" w:rsidRDefault="0090441A" w:rsidP="007D0F1F">
      <w:pPr>
        <w:pStyle w:val="ROMANOS"/>
        <w:tabs>
          <w:tab w:val="clear" w:pos="720"/>
        </w:tabs>
        <w:spacing w:line="276" w:lineRule="auto"/>
        <w:rPr>
          <w:rFonts w:asciiTheme="minorHAnsi" w:hAnsiTheme="minorHAnsi" w:cstheme="minorHAnsi"/>
          <w:sz w:val="20"/>
          <w:szCs w:val="20"/>
          <w:lang w:val="es-MX"/>
        </w:rPr>
      </w:pPr>
      <w:r w:rsidRPr="005801E3">
        <w:rPr>
          <w:rFonts w:asciiTheme="minorHAnsi" w:hAnsiTheme="minorHAnsi" w:cstheme="minorHAnsi"/>
          <w:sz w:val="20"/>
          <w:szCs w:val="20"/>
          <w:lang w:val="es-MX"/>
        </w:rPr>
        <w:t xml:space="preserve">Conciliación de los Flujos de Efectivo Netos de las Actividades de Operación y la cuenta de Ahorro/Desahorro antes de Rubros Extraordinarios. </w:t>
      </w:r>
    </w:p>
    <w:p w:rsidR="001572BD" w:rsidRPr="005801E3" w:rsidRDefault="001572BD" w:rsidP="007D0F1F">
      <w:pPr>
        <w:pStyle w:val="ROMANOS"/>
        <w:tabs>
          <w:tab w:val="clear" w:pos="720"/>
        </w:tabs>
        <w:spacing w:line="276" w:lineRule="auto"/>
        <w:rPr>
          <w:rFonts w:asciiTheme="minorHAnsi" w:hAnsiTheme="minorHAnsi" w:cstheme="minorHAnsi"/>
          <w:sz w:val="20"/>
          <w:szCs w:val="20"/>
          <w:lang w:val="es-MX"/>
        </w:rPr>
      </w:pPr>
    </w:p>
    <w:tbl>
      <w:tblPr>
        <w:tblpPr w:leftFromText="141" w:rightFromText="141" w:vertAnchor="text" w:tblpY="1"/>
        <w:tblOverlap w:val="never"/>
        <w:tblW w:w="0" w:type="auto"/>
        <w:tblLayout w:type="fixed"/>
        <w:tblLook w:val="0000" w:firstRow="0" w:lastRow="0" w:firstColumn="0" w:lastColumn="0" w:noHBand="0" w:noVBand="0"/>
      </w:tblPr>
      <w:tblGrid>
        <w:gridCol w:w="5387"/>
        <w:gridCol w:w="1559"/>
        <w:gridCol w:w="1418"/>
      </w:tblGrid>
      <w:tr w:rsidR="0090441A" w:rsidRPr="005801E3" w:rsidTr="00E12D37">
        <w:trPr>
          <w:trHeight w:val="20"/>
        </w:trPr>
        <w:tc>
          <w:tcPr>
            <w:tcW w:w="5387" w:type="dxa"/>
            <w:tcBorders>
              <w:top w:val="single" w:sz="6" w:space="0" w:color="auto"/>
              <w:left w:val="single" w:sz="6" w:space="0" w:color="auto"/>
              <w:bottom w:val="single" w:sz="6" w:space="0" w:color="auto"/>
              <w:right w:val="single" w:sz="6" w:space="0" w:color="auto"/>
            </w:tcBorders>
          </w:tcPr>
          <w:p w:rsidR="0090441A" w:rsidRPr="005801E3" w:rsidRDefault="0090441A" w:rsidP="002946E9">
            <w:pPr>
              <w:pStyle w:val="Texto"/>
              <w:spacing w:after="80" w:line="276" w:lineRule="auto"/>
              <w:ind w:firstLine="0"/>
              <w:rPr>
                <w:rFonts w:asciiTheme="minorHAnsi" w:hAnsiTheme="minorHAnsi" w:cstheme="minorHAnsi"/>
                <w:sz w:val="20"/>
                <w:lang w:val="es-MX"/>
              </w:rPr>
            </w:pPr>
          </w:p>
        </w:tc>
        <w:tc>
          <w:tcPr>
            <w:tcW w:w="1559" w:type="dxa"/>
            <w:tcBorders>
              <w:top w:val="single" w:sz="6" w:space="0" w:color="auto"/>
              <w:left w:val="single" w:sz="6" w:space="0" w:color="auto"/>
              <w:bottom w:val="single" w:sz="6" w:space="0" w:color="auto"/>
              <w:right w:val="single" w:sz="6" w:space="0" w:color="auto"/>
            </w:tcBorders>
          </w:tcPr>
          <w:p w:rsidR="0090441A" w:rsidRPr="005801E3" w:rsidRDefault="0090441A" w:rsidP="002946E9">
            <w:pPr>
              <w:pStyle w:val="Texto"/>
              <w:spacing w:after="80"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sidR="00341C8C">
              <w:rPr>
                <w:rFonts w:asciiTheme="minorHAnsi" w:hAnsiTheme="minorHAnsi" w:cstheme="minorHAnsi"/>
                <w:sz w:val="20"/>
                <w:lang w:val="es-MX"/>
              </w:rPr>
              <w:t>8</w:t>
            </w:r>
          </w:p>
        </w:tc>
        <w:tc>
          <w:tcPr>
            <w:tcW w:w="1418" w:type="dxa"/>
            <w:tcBorders>
              <w:top w:val="single" w:sz="6" w:space="0" w:color="auto"/>
              <w:left w:val="single" w:sz="6" w:space="0" w:color="auto"/>
              <w:bottom w:val="single" w:sz="6" w:space="0" w:color="auto"/>
              <w:right w:val="single" w:sz="6" w:space="0" w:color="auto"/>
            </w:tcBorders>
          </w:tcPr>
          <w:p w:rsidR="0090441A" w:rsidRPr="005801E3" w:rsidRDefault="0090441A" w:rsidP="002946E9">
            <w:pPr>
              <w:pStyle w:val="Texto"/>
              <w:spacing w:after="80" w:line="276" w:lineRule="auto"/>
              <w:ind w:firstLine="0"/>
              <w:jc w:val="center"/>
              <w:rPr>
                <w:rFonts w:asciiTheme="minorHAnsi" w:hAnsiTheme="minorHAnsi" w:cstheme="minorHAnsi"/>
                <w:sz w:val="20"/>
                <w:lang w:val="es-MX"/>
              </w:rPr>
            </w:pPr>
            <w:r w:rsidRPr="005801E3">
              <w:rPr>
                <w:rFonts w:asciiTheme="minorHAnsi" w:hAnsiTheme="minorHAnsi" w:cstheme="minorHAnsi"/>
                <w:sz w:val="20"/>
                <w:lang w:val="es-MX"/>
              </w:rPr>
              <w:t>201</w:t>
            </w:r>
            <w:r w:rsidR="00341C8C">
              <w:rPr>
                <w:rFonts w:asciiTheme="minorHAnsi" w:hAnsiTheme="minorHAnsi" w:cstheme="minorHAnsi"/>
                <w:sz w:val="20"/>
                <w:lang w:val="es-MX"/>
              </w:rPr>
              <w:t>7</w:t>
            </w:r>
          </w:p>
        </w:tc>
      </w:tr>
      <w:tr w:rsidR="0056620E" w:rsidRPr="005801E3" w:rsidTr="00E12D37">
        <w:trPr>
          <w:trHeight w:val="20"/>
        </w:trPr>
        <w:tc>
          <w:tcPr>
            <w:tcW w:w="5387" w:type="dxa"/>
            <w:tcBorders>
              <w:top w:val="single" w:sz="6" w:space="0" w:color="auto"/>
              <w:left w:val="single" w:sz="6" w:space="0" w:color="auto"/>
              <w:bottom w:val="single" w:sz="6" w:space="0" w:color="auto"/>
              <w:right w:val="single" w:sz="6" w:space="0" w:color="auto"/>
            </w:tcBorders>
          </w:tcPr>
          <w:p w:rsidR="0056620E" w:rsidRPr="005801E3" w:rsidRDefault="0056620E" w:rsidP="0056620E">
            <w:pPr>
              <w:pStyle w:val="Texto"/>
              <w:spacing w:after="80" w:line="276" w:lineRule="auto"/>
              <w:ind w:firstLine="0"/>
              <w:rPr>
                <w:rFonts w:asciiTheme="minorHAnsi" w:hAnsiTheme="minorHAnsi" w:cstheme="minorHAnsi"/>
                <w:b/>
                <w:sz w:val="20"/>
                <w:lang w:val="es-MX"/>
              </w:rPr>
            </w:pPr>
            <w:r w:rsidRPr="005801E3">
              <w:rPr>
                <w:rFonts w:asciiTheme="minorHAnsi" w:hAnsiTheme="minorHAnsi" w:cstheme="minorHAnsi"/>
                <w:b/>
                <w:sz w:val="20"/>
                <w:lang w:val="es-MX"/>
              </w:rPr>
              <w:t>Ahorro/Desahorro antes de rubros Extraordinarios</w:t>
            </w:r>
          </w:p>
        </w:tc>
        <w:tc>
          <w:tcPr>
            <w:tcW w:w="1559" w:type="dxa"/>
            <w:tcBorders>
              <w:top w:val="single" w:sz="6" w:space="0" w:color="auto"/>
              <w:left w:val="single" w:sz="6" w:space="0" w:color="auto"/>
              <w:bottom w:val="single" w:sz="6" w:space="0" w:color="auto"/>
              <w:right w:val="single" w:sz="6" w:space="0" w:color="auto"/>
            </w:tcBorders>
          </w:tcPr>
          <w:p w:rsidR="0056620E" w:rsidRPr="005801E3" w:rsidRDefault="00CB1031" w:rsidP="0056620E">
            <w:pPr>
              <w:pStyle w:val="Texto"/>
              <w:spacing w:after="80" w:line="276" w:lineRule="auto"/>
              <w:ind w:firstLine="0"/>
              <w:jc w:val="center"/>
              <w:rPr>
                <w:rFonts w:asciiTheme="minorHAnsi" w:hAnsiTheme="minorHAnsi" w:cstheme="minorHAnsi"/>
                <w:b/>
                <w:sz w:val="20"/>
                <w:lang w:val="es-MX"/>
              </w:rPr>
            </w:pPr>
            <w:r>
              <w:rPr>
                <w:rFonts w:asciiTheme="minorHAnsi" w:hAnsiTheme="minorHAnsi" w:cstheme="minorHAnsi"/>
                <w:b/>
                <w:sz w:val="20"/>
                <w:lang w:val="es-MX"/>
              </w:rPr>
              <w:t>1,826,080.57</w:t>
            </w:r>
          </w:p>
        </w:tc>
        <w:tc>
          <w:tcPr>
            <w:tcW w:w="1418" w:type="dxa"/>
            <w:tcBorders>
              <w:top w:val="single" w:sz="6" w:space="0" w:color="auto"/>
              <w:left w:val="single" w:sz="6" w:space="0" w:color="auto"/>
              <w:bottom w:val="single" w:sz="6" w:space="0" w:color="auto"/>
              <w:right w:val="single" w:sz="6" w:space="0" w:color="auto"/>
            </w:tcBorders>
          </w:tcPr>
          <w:p w:rsidR="0056620E" w:rsidRPr="005801E3" w:rsidRDefault="00341C8C" w:rsidP="00CB1031">
            <w:pPr>
              <w:pStyle w:val="Texto"/>
              <w:spacing w:after="80" w:line="276" w:lineRule="auto"/>
              <w:ind w:firstLine="0"/>
              <w:rPr>
                <w:rFonts w:asciiTheme="minorHAnsi" w:hAnsiTheme="minorHAnsi" w:cstheme="minorHAnsi"/>
                <w:b/>
                <w:sz w:val="20"/>
                <w:lang w:val="es-MX"/>
              </w:rPr>
            </w:pPr>
            <w:r>
              <w:rPr>
                <w:rFonts w:asciiTheme="minorHAnsi" w:hAnsiTheme="minorHAnsi" w:cstheme="minorHAnsi"/>
                <w:b/>
                <w:sz w:val="20"/>
                <w:lang w:val="es-MX"/>
              </w:rPr>
              <w:t xml:space="preserve">  </w:t>
            </w:r>
            <w:r w:rsidR="00CB1031">
              <w:rPr>
                <w:rFonts w:asciiTheme="minorHAnsi" w:hAnsiTheme="minorHAnsi" w:cstheme="minorHAnsi"/>
                <w:b/>
                <w:sz w:val="20"/>
                <w:lang w:val="es-MX"/>
              </w:rPr>
              <w:t>1,527,617.24</w:t>
            </w:r>
          </w:p>
        </w:tc>
      </w:tr>
      <w:tr w:rsidR="0056620E" w:rsidRPr="005801E3" w:rsidTr="00E12D37">
        <w:trPr>
          <w:trHeight w:val="364"/>
        </w:trPr>
        <w:tc>
          <w:tcPr>
            <w:tcW w:w="5387" w:type="dxa"/>
            <w:tcBorders>
              <w:top w:val="single" w:sz="6" w:space="0" w:color="auto"/>
              <w:left w:val="single" w:sz="6" w:space="0" w:color="auto"/>
              <w:bottom w:val="single" w:sz="6" w:space="0" w:color="auto"/>
              <w:right w:val="single" w:sz="6" w:space="0" w:color="auto"/>
            </w:tcBorders>
          </w:tcPr>
          <w:p w:rsidR="0056620E" w:rsidRPr="005801E3" w:rsidRDefault="0056620E" w:rsidP="0056620E">
            <w:pPr>
              <w:pStyle w:val="Texto"/>
              <w:spacing w:after="80" w:line="276" w:lineRule="auto"/>
              <w:ind w:firstLine="0"/>
              <w:rPr>
                <w:rFonts w:asciiTheme="minorHAnsi" w:hAnsiTheme="minorHAnsi" w:cstheme="minorHAnsi"/>
                <w:i/>
                <w:sz w:val="20"/>
                <w:lang w:val="es-MX"/>
              </w:rPr>
            </w:pPr>
            <w:r w:rsidRPr="005801E3">
              <w:rPr>
                <w:rFonts w:asciiTheme="minorHAnsi" w:hAnsiTheme="minorHAnsi" w:cstheme="minorHAnsi"/>
                <w:i/>
                <w:sz w:val="20"/>
                <w:lang w:val="es-MX"/>
              </w:rPr>
              <w:t>Movimientos de partidas (o rubros) que no afectan al efectivo.</w:t>
            </w:r>
          </w:p>
        </w:tc>
        <w:tc>
          <w:tcPr>
            <w:tcW w:w="1559" w:type="dxa"/>
            <w:tcBorders>
              <w:top w:val="single" w:sz="6" w:space="0" w:color="auto"/>
              <w:left w:val="single" w:sz="6" w:space="0" w:color="auto"/>
              <w:bottom w:val="single" w:sz="6" w:space="0" w:color="auto"/>
              <w:right w:val="single" w:sz="6" w:space="0" w:color="auto"/>
            </w:tcBorders>
          </w:tcPr>
          <w:p w:rsidR="006C3F24" w:rsidRPr="005801E3" w:rsidRDefault="006C3F24" w:rsidP="00E12D37">
            <w:pPr>
              <w:pStyle w:val="Texto"/>
              <w:spacing w:after="80" w:line="276" w:lineRule="auto"/>
              <w:ind w:firstLine="0"/>
              <w:rPr>
                <w:rFonts w:asciiTheme="minorHAnsi" w:hAnsiTheme="minorHAnsi" w:cstheme="minorHAnsi"/>
                <w:sz w:val="20"/>
                <w:lang w:val="es-MX"/>
              </w:rPr>
            </w:pPr>
          </w:p>
        </w:tc>
        <w:tc>
          <w:tcPr>
            <w:tcW w:w="1418" w:type="dxa"/>
            <w:tcBorders>
              <w:top w:val="single" w:sz="6" w:space="0" w:color="auto"/>
              <w:left w:val="single" w:sz="6" w:space="0" w:color="auto"/>
              <w:bottom w:val="single" w:sz="6" w:space="0" w:color="auto"/>
              <w:right w:val="single" w:sz="6" w:space="0" w:color="auto"/>
            </w:tcBorders>
          </w:tcPr>
          <w:p w:rsidR="0056620E" w:rsidRPr="005801E3" w:rsidRDefault="0056620E" w:rsidP="0056620E">
            <w:pPr>
              <w:pStyle w:val="Texto"/>
              <w:spacing w:after="80" w:line="276" w:lineRule="auto"/>
              <w:ind w:firstLine="0"/>
              <w:jc w:val="center"/>
              <w:rPr>
                <w:rFonts w:asciiTheme="minorHAnsi" w:hAnsiTheme="minorHAnsi" w:cstheme="minorHAnsi"/>
                <w:sz w:val="20"/>
                <w:lang w:val="es-MX"/>
              </w:rPr>
            </w:pPr>
          </w:p>
        </w:tc>
      </w:tr>
      <w:tr w:rsidR="0056620E" w:rsidRPr="005801E3" w:rsidTr="00E12D37">
        <w:trPr>
          <w:trHeight w:val="20"/>
        </w:trPr>
        <w:tc>
          <w:tcPr>
            <w:tcW w:w="5387" w:type="dxa"/>
            <w:tcBorders>
              <w:top w:val="single" w:sz="6" w:space="0" w:color="auto"/>
              <w:left w:val="single" w:sz="6" w:space="0" w:color="auto"/>
              <w:bottom w:val="single" w:sz="6" w:space="0" w:color="auto"/>
              <w:right w:val="single" w:sz="6" w:space="0" w:color="auto"/>
            </w:tcBorders>
          </w:tcPr>
          <w:p w:rsidR="0056620E" w:rsidRPr="005801E3" w:rsidRDefault="0056620E" w:rsidP="0056620E">
            <w:pPr>
              <w:pStyle w:val="Texto"/>
              <w:spacing w:after="80"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 xml:space="preserve">Estimaciones, Depreciaciones, Deterioros y Obsolescencias </w:t>
            </w:r>
          </w:p>
        </w:tc>
        <w:tc>
          <w:tcPr>
            <w:tcW w:w="1559" w:type="dxa"/>
            <w:tcBorders>
              <w:top w:val="single" w:sz="6" w:space="0" w:color="auto"/>
              <w:left w:val="single" w:sz="6" w:space="0" w:color="auto"/>
              <w:bottom w:val="single" w:sz="6" w:space="0" w:color="auto"/>
              <w:right w:val="single" w:sz="6" w:space="0" w:color="auto"/>
            </w:tcBorders>
          </w:tcPr>
          <w:p w:rsidR="0056620E" w:rsidRPr="0050437E" w:rsidRDefault="00CB1031" w:rsidP="000A3055">
            <w:pPr>
              <w:jc w:val="center"/>
              <w:rPr>
                <w:rFonts w:cstheme="minorHAnsi"/>
                <w:sz w:val="20"/>
                <w:szCs w:val="20"/>
              </w:rPr>
            </w:pPr>
            <w:r>
              <w:rPr>
                <w:rFonts w:cstheme="minorHAnsi"/>
                <w:sz w:val="20"/>
                <w:szCs w:val="20"/>
              </w:rPr>
              <w:t>52,094.52</w:t>
            </w:r>
          </w:p>
        </w:tc>
        <w:tc>
          <w:tcPr>
            <w:tcW w:w="1418" w:type="dxa"/>
            <w:tcBorders>
              <w:top w:val="single" w:sz="6" w:space="0" w:color="auto"/>
              <w:left w:val="single" w:sz="6" w:space="0" w:color="auto"/>
              <w:bottom w:val="single" w:sz="6" w:space="0" w:color="auto"/>
              <w:right w:val="single" w:sz="6" w:space="0" w:color="auto"/>
            </w:tcBorders>
          </w:tcPr>
          <w:p w:rsidR="0056620E" w:rsidRPr="0050437E" w:rsidRDefault="00864730" w:rsidP="000A3055">
            <w:pPr>
              <w:jc w:val="center"/>
              <w:rPr>
                <w:rFonts w:cstheme="minorHAnsi"/>
                <w:sz w:val="20"/>
                <w:szCs w:val="20"/>
              </w:rPr>
            </w:pPr>
            <w:r>
              <w:rPr>
                <w:rFonts w:cstheme="minorHAnsi"/>
                <w:sz w:val="20"/>
                <w:szCs w:val="20"/>
              </w:rPr>
              <w:t>77,461.32</w:t>
            </w:r>
          </w:p>
        </w:tc>
      </w:tr>
      <w:tr w:rsidR="0056620E" w:rsidRPr="005801E3" w:rsidTr="00E12D37">
        <w:trPr>
          <w:trHeight w:val="20"/>
        </w:trPr>
        <w:tc>
          <w:tcPr>
            <w:tcW w:w="5387" w:type="dxa"/>
            <w:tcBorders>
              <w:top w:val="single" w:sz="6" w:space="0" w:color="auto"/>
              <w:left w:val="single" w:sz="6" w:space="0" w:color="auto"/>
              <w:bottom w:val="single" w:sz="6" w:space="0" w:color="auto"/>
              <w:right w:val="single" w:sz="6" w:space="0" w:color="auto"/>
            </w:tcBorders>
          </w:tcPr>
          <w:p w:rsidR="0056620E" w:rsidRPr="005801E3" w:rsidRDefault="0056620E" w:rsidP="0056620E">
            <w:pPr>
              <w:pStyle w:val="Texto"/>
              <w:spacing w:after="80" w:line="276" w:lineRule="auto"/>
              <w:ind w:firstLine="0"/>
              <w:rPr>
                <w:rFonts w:asciiTheme="minorHAnsi" w:hAnsiTheme="minorHAnsi" w:cstheme="minorHAnsi"/>
                <w:sz w:val="20"/>
                <w:lang w:val="es-MX"/>
              </w:rPr>
            </w:pPr>
            <w:r w:rsidRPr="005801E3">
              <w:rPr>
                <w:rFonts w:asciiTheme="minorHAnsi" w:hAnsiTheme="minorHAnsi" w:cstheme="minorHAnsi"/>
                <w:sz w:val="20"/>
                <w:lang w:val="es-MX"/>
              </w:rPr>
              <w:t xml:space="preserve">Otros gastos </w:t>
            </w:r>
          </w:p>
        </w:tc>
        <w:tc>
          <w:tcPr>
            <w:tcW w:w="1559" w:type="dxa"/>
            <w:tcBorders>
              <w:top w:val="single" w:sz="6" w:space="0" w:color="auto"/>
              <w:left w:val="single" w:sz="6" w:space="0" w:color="auto"/>
              <w:bottom w:val="single" w:sz="6" w:space="0" w:color="auto"/>
              <w:right w:val="single" w:sz="6" w:space="0" w:color="auto"/>
            </w:tcBorders>
          </w:tcPr>
          <w:p w:rsidR="0056620E" w:rsidRPr="005801E3" w:rsidRDefault="0056620E" w:rsidP="0056620E">
            <w:pPr>
              <w:pStyle w:val="Texto"/>
              <w:spacing w:after="80" w:line="276" w:lineRule="auto"/>
              <w:ind w:firstLine="0"/>
              <w:jc w:val="center"/>
              <w:rPr>
                <w:rFonts w:asciiTheme="minorHAnsi" w:hAnsiTheme="minorHAnsi" w:cstheme="minorHAnsi"/>
                <w:sz w:val="20"/>
                <w:lang w:val="es-MX"/>
              </w:rPr>
            </w:pPr>
          </w:p>
        </w:tc>
        <w:tc>
          <w:tcPr>
            <w:tcW w:w="1418" w:type="dxa"/>
            <w:tcBorders>
              <w:top w:val="single" w:sz="6" w:space="0" w:color="auto"/>
              <w:left w:val="single" w:sz="6" w:space="0" w:color="auto"/>
              <w:bottom w:val="single" w:sz="6" w:space="0" w:color="auto"/>
              <w:right w:val="single" w:sz="6" w:space="0" w:color="auto"/>
            </w:tcBorders>
          </w:tcPr>
          <w:p w:rsidR="0056620E" w:rsidRPr="005801E3" w:rsidRDefault="0056620E" w:rsidP="0056620E">
            <w:pPr>
              <w:pStyle w:val="Texto"/>
              <w:spacing w:after="80" w:line="276" w:lineRule="auto"/>
              <w:ind w:firstLine="0"/>
              <w:jc w:val="center"/>
              <w:rPr>
                <w:rFonts w:asciiTheme="minorHAnsi" w:hAnsiTheme="minorHAnsi" w:cstheme="minorHAnsi"/>
                <w:sz w:val="20"/>
                <w:lang w:val="es-MX"/>
              </w:rPr>
            </w:pPr>
          </w:p>
        </w:tc>
      </w:tr>
    </w:tbl>
    <w:p w:rsidR="000A3055" w:rsidRDefault="002946E9" w:rsidP="0090441A">
      <w:pPr>
        <w:pStyle w:val="Texto"/>
        <w:spacing w:after="0" w:line="276" w:lineRule="auto"/>
        <w:rPr>
          <w:rFonts w:asciiTheme="minorHAnsi" w:hAnsiTheme="minorHAnsi" w:cstheme="minorHAnsi"/>
          <w:b/>
          <w:smallCaps/>
          <w:sz w:val="20"/>
        </w:rPr>
      </w:pPr>
      <w:r>
        <w:rPr>
          <w:rFonts w:asciiTheme="minorHAnsi" w:hAnsiTheme="minorHAnsi" w:cstheme="minorHAnsi"/>
          <w:b/>
          <w:smallCaps/>
          <w:sz w:val="20"/>
        </w:rPr>
        <w:br w:type="textWrapping" w:clear="all"/>
      </w:r>
    </w:p>
    <w:p w:rsidR="001572BD" w:rsidRDefault="001572BD" w:rsidP="0090441A">
      <w:pPr>
        <w:pStyle w:val="Texto"/>
        <w:spacing w:after="0" w:line="276" w:lineRule="auto"/>
        <w:rPr>
          <w:rFonts w:asciiTheme="minorHAnsi" w:hAnsiTheme="minorHAnsi" w:cstheme="minorHAnsi"/>
          <w:b/>
          <w:smallCaps/>
          <w:sz w:val="20"/>
        </w:rPr>
      </w:pPr>
    </w:p>
    <w:p w:rsidR="001572BD" w:rsidRDefault="001572BD" w:rsidP="0090441A">
      <w:pPr>
        <w:pStyle w:val="Texto"/>
        <w:spacing w:after="0" w:line="276" w:lineRule="auto"/>
        <w:rPr>
          <w:rFonts w:asciiTheme="minorHAnsi" w:hAnsiTheme="minorHAnsi" w:cstheme="minorHAnsi"/>
          <w:b/>
          <w:smallCaps/>
          <w:sz w:val="20"/>
        </w:rPr>
      </w:pPr>
    </w:p>
    <w:p w:rsidR="001572BD" w:rsidRDefault="001572BD" w:rsidP="0090441A">
      <w:pPr>
        <w:pStyle w:val="Texto"/>
        <w:spacing w:after="0" w:line="276" w:lineRule="auto"/>
        <w:rPr>
          <w:rFonts w:asciiTheme="minorHAnsi" w:hAnsiTheme="minorHAnsi" w:cstheme="minorHAnsi"/>
          <w:b/>
          <w:smallCaps/>
          <w:sz w:val="20"/>
        </w:rPr>
      </w:pPr>
    </w:p>
    <w:p w:rsidR="001572BD" w:rsidRDefault="001572BD" w:rsidP="0090441A">
      <w:pPr>
        <w:pStyle w:val="Texto"/>
        <w:spacing w:after="0" w:line="276" w:lineRule="auto"/>
        <w:rPr>
          <w:rFonts w:asciiTheme="minorHAnsi" w:hAnsiTheme="minorHAnsi" w:cstheme="minorHAnsi"/>
          <w:b/>
          <w:smallCaps/>
          <w:sz w:val="20"/>
        </w:rPr>
      </w:pPr>
    </w:p>
    <w:p w:rsidR="0090441A" w:rsidRPr="005801E3" w:rsidRDefault="003F3DFC" w:rsidP="0090441A">
      <w:pPr>
        <w:pStyle w:val="Texto"/>
        <w:spacing w:after="0" w:line="276" w:lineRule="auto"/>
        <w:rPr>
          <w:rFonts w:asciiTheme="minorHAnsi" w:hAnsiTheme="minorHAnsi" w:cstheme="minorHAnsi"/>
          <w:b/>
          <w:smallCaps/>
          <w:sz w:val="20"/>
        </w:rPr>
      </w:pPr>
      <w:r>
        <w:rPr>
          <w:rFonts w:asciiTheme="minorHAnsi" w:hAnsiTheme="minorHAnsi" w:cstheme="minorHAnsi"/>
          <w:b/>
          <w:smallCaps/>
          <w:sz w:val="20"/>
        </w:rPr>
        <w:t>I</w:t>
      </w:r>
      <w:r w:rsidR="0090441A" w:rsidRPr="005801E3">
        <w:rPr>
          <w:rFonts w:asciiTheme="minorHAnsi" w:hAnsiTheme="minorHAnsi" w:cstheme="minorHAnsi"/>
          <w:b/>
          <w:smallCaps/>
          <w:sz w:val="20"/>
        </w:rPr>
        <w:t>V) Conciliación entre los ingresos presupuestarios y contables, así como entre los egresos presupuestarios y los gastos contables</w:t>
      </w:r>
    </w:p>
    <w:p w:rsidR="00C50AB8" w:rsidRPr="008744AC" w:rsidRDefault="0090441A" w:rsidP="008744AC">
      <w:pPr>
        <w:pStyle w:val="Texto"/>
        <w:spacing w:after="0" w:line="276" w:lineRule="auto"/>
        <w:ind w:left="284" w:firstLine="4"/>
        <w:rPr>
          <w:rFonts w:asciiTheme="minorHAnsi" w:hAnsiTheme="minorHAnsi" w:cstheme="minorHAnsi"/>
          <w:sz w:val="20"/>
          <w:lang w:val="es-MX"/>
        </w:rPr>
      </w:pPr>
      <w:r w:rsidRPr="005801E3">
        <w:rPr>
          <w:rFonts w:asciiTheme="minorHAnsi" w:hAnsiTheme="minorHAnsi" w:cstheme="minorHAnsi"/>
          <w:sz w:val="20"/>
          <w:lang w:val="es-MX"/>
        </w:rPr>
        <w:t>A continuación se presentan los formatos de conciliación entre los ingresos presupuestarios y contables, así como entre los egresos presupuestarios y los gastos contables de este Tribunal correspondientes al período d</w:t>
      </w:r>
      <w:r w:rsidR="0056620E">
        <w:rPr>
          <w:rFonts w:asciiTheme="minorHAnsi" w:hAnsiTheme="minorHAnsi" w:cstheme="minorHAnsi"/>
          <w:sz w:val="20"/>
          <w:lang w:val="es-MX"/>
        </w:rPr>
        <w:t>el 1 de E</w:t>
      </w:r>
      <w:r w:rsidR="000A3055">
        <w:rPr>
          <w:rFonts w:asciiTheme="minorHAnsi" w:hAnsiTheme="minorHAnsi" w:cstheme="minorHAnsi"/>
          <w:sz w:val="20"/>
          <w:lang w:val="es-MX"/>
        </w:rPr>
        <w:t xml:space="preserve">nero al </w:t>
      </w:r>
      <w:r w:rsidR="00DA7181">
        <w:rPr>
          <w:rFonts w:asciiTheme="minorHAnsi" w:hAnsiTheme="minorHAnsi" w:cstheme="minorHAnsi"/>
          <w:sz w:val="20"/>
          <w:lang w:val="es-MX"/>
        </w:rPr>
        <w:t>31</w:t>
      </w:r>
      <w:r w:rsidR="0035373E">
        <w:rPr>
          <w:rFonts w:asciiTheme="minorHAnsi" w:hAnsiTheme="minorHAnsi" w:cstheme="minorHAnsi"/>
          <w:sz w:val="20"/>
          <w:lang w:val="es-MX"/>
        </w:rPr>
        <w:t xml:space="preserve"> de</w:t>
      </w:r>
      <w:r w:rsidR="00864730">
        <w:rPr>
          <w:rFonts w:asciiTheme="minorHAnsi" w:hAnsiTheme="minorHAnsi" w:cstheme="minorHAnsi"/>
          <w:sz w:val="20"/>
          <w:lang w:val="es-MX"/>
        </w:rPr>
        <w:t xml:space="preserve"> Marzo</w:t>
      </w:r>
      <w:r w:rsidR="00F44118">
        <w:rPr>
          <w:rFonts w:asciiTheme="minorHAnsi" w:hAnsiTheme="minorHAnsi" w:cstheme="minorHAnsi"/>
          <w:sz w:val="20"/>
          <w:lang w:val="es-MX"/>
        </w:rPr>
        <w:t xml:space="preserve"> de 2018</w:t>
      </w:r>
      <w:r w:rsidRPr="005801E3">
        <w:rPr>
          <w:rFonts w:asciiTheme="minorHAnsi" w:hAnsiTheme="minorHAnsi" w:cstheme="minorHAnsi"/>
          <w:sz w:val="20"/>
          <w:lang w:val="es-MX"/>
        </w:rPr>
        <w:t>.</w:t>
      </w:r>
    </w:p>
    <w:p w:rsidR="0090441A" w:rsidRPr="00C50AB8" w:rsidRDefault="00AF74C7" w:rsidP="00C50AB8">
      <w:pPr>
        <w:tabs>
          <w:tab w:val="left" w:pos="10290"/>
        </w:tabs>
        <w:rPr>
          <w:lang w:eastAsia="es-ES"/>
        </w:rPr>
      </w:pPr>
      <w:r>
        <w:rPr>
          <w:noProof/>
          <w:sz w:val="24"/>
          <w:szCs w:val="24"/>
          <w:lang w:eastAsia="en-US"/>
        </w:rPr>
        <w:lastRenderedPageBreak/>
        <w:pict>
          <v:shape id="_x0000_s1033" type="#_x0000_t75" style="position:absolute;margin-left:12.3pt;margin-top:18.6pt;width:435.9pt;height:269.2pt;z-index:251662336">
            <v:imagedata r:id="rId17" o:title=""/>
            <w10:wrap type="square" side="right"/>
          </v:shape>
          <o:OLEObject Type="Embed" ProgID="Excel.Sheet.12" ShapeID="_x0000_s1033" DrawAspect="Content" ObjectID="_1588588082" r:id="rId18"/>
        </w:pict>
      </w:r>
      <w:r w:rsidR="00C50AB8">
        <w:rPr>
          <w:lang w:eastAsia="es-ES"/>
        </w:rPr>
        <w:tab/>
      </w:r>
    </w:p>
    <w:p w:rsidR="002320FE" w:rsidRDefault="002320FE" w:rsidP="00CE7CCE">
      <w:pPr>
        <w:pStyle w:val="Texto"/>
        <w:spacing w:line="276" w:lineRule="auto"/>
        <w:ind w:left="284" w:firstLine="4"/>
        <w:rPr>
          <w:sz w:val="24"/>
          <w:szCs w:val="24"/>
          <w:lang w:val="es-MX"/>
        </w:rPr>
      </w:pPr>
      <w:bookmarkStart w:id="4" w:name="_MON_1483267036"/>
      <w:bookmarkStart w:id="5" w:name="_MON_1483267213"/>
      <w:bookmarkEnd w:id="4"/>
      <w:bookmarkEnd w:id="5"/>
    </w:p>
    <w:p w:rsidR="00DA7181" w:rsidRDefault="00DA7181" w:rsidP="00CE7CCE">
      <w:pPr>
        <w:pStyle w:val="Texto"/>
        <w:spacing w:line="276" w:lineRule="auto"/>
        <w:ind w:left="284" w:firstLine="4"/>
        <w:rPr>
          <w:sz w:val="24"/>
          <w:szCs w:val="24"/>
          <w:lang w:val="es-MX"/>
        </w:rPr>
      </w:pPr>
    </w:p>
    <w:p w:rsidR="00DA7181" w:rsidRDefault="00DA7181" w:rsidP="00DA7181">
      <w:pPr>
        <w:rPr>
          <w:lang w:eastAsia="es-ES"/>
        </w:rPr>
      </w:pPr>
    </w:p>
    <w:p w:rsidR="00B36CB2" w:rsidRPr="00DA7181" w:rsidRDefault="00DA7181" w:rsidP="00DA7181">
      <w:pPr>
        <w:tabs>
          <w:tab w:val="left" w:pos="3299"/>
        </w:tabs>
        <w:rPr>
          <w:lang w:eastAsia="es-ES"/>
        </w:rPr>
      </w:pPr>
      <w:r>
        <w:rPr>
          <w:lang w:eastAsia="es-ES"/>
        </w:rPr>
        <w:tab/>
      </w:r>
    </w:p>
    <w:p w:rsidR="001B4825" w:rsidRDefault="00AF74C7" w:rsidP="001B4825">
      <w:pPr>
        <w:pStyle w:val="Texto"/>
        <w:spacing w:line="240" w:lineRule="auto"/>
        <w:ind w:left="284" w:firstLine="4"/>
        <w:jc w:val="left"/>
        <w:rPr>
          <w:sz w:val="24"/>
          <w:szCs w:val="24"/>
          <w:lang w:val="es-MX"/>
        </w:rPr>
      </w:pPr>
      <w:r>
        <w:rPr>
          <w:noProof/>
          <w:sz w:val="24"/>
          <w:szCs w:val="24"/>
        </w:rPr>
        <w:lastRenderedPageBreak/>
        <w:pict>
          <v:shape id="_x0000_s1038" type="#_x0000_t75" style="position:absolute;left:0;text-align:left;margin-left:0;margin-top:16.5pt;width:371.35pt;height:349.5pt;z-index:251664384;mso-position-horizontal:left">
            <v:imagedata r:id="rId19" o:title=""/>
            <w10:wrap type="square" side="right"/>
          </v:shape>
          <o:OLEObject Type="Embed" ProgID="Excel.Sheet.12" ShapeID="_x0000_s1038" DrawAspect="Content" ObjectID="_1588588083" r:id="rId20"/>
        </w:pict>
      </w:r>
    </w:p>
    <w:p w:rsidR="001B4825" w:rsidRPr="001B4825" w:rsidRDefault="001B4825" w:rsidP="001B4825">
      <w:pPr>
        <w:rPr>
          <w:lang w:eastAsia="es-ES"/>
        </w:rPr>
      </w:pPr>
    </w:p>
    <w:p w:rsidR="001B4825" w:rsidRDefault="001B4825" w:rsidP="001B4825">
      <w:pPr>
        <w:pStyle w:val="Texto"/>
        <w:spacing w:line="240" w:lineRule="auto"/>
        <w:ind w:left="284" w:firstLine="4"/>
        <w:jc w:val="left"/>
        <w:rPr>
          <w:sz w:val="24"/>
          <w:szCs w:val="24"/>
          <w:lang w:val="es-MX"/>
        </w:rPr>
      </w:pPr>
    </w:p>
    <w:p w:rsidR="007D0F1F" w:rsidRDefault="001B4825" w:rsidP="001B4825">
      <w:pPr>
        <w:pStyle w:val="Texto"/>
        <w:tabs>
          <w:tab w:val="left" w:pos="4350"/>
        </w:tabs>
        <w:spacing w:line="240" w:lineRule="auto"/>
        <w:ind w:left="284" w:firstLine="4"/>
        <w:jc w:val="left"/>
        <w:rPr>
          <w:b/>
          <w:sz w:val="20"/>
        </w:rPr>
      </w:pPr>
      <w:r>
        <w:rPr>
          <w:sz w:val="24"/>
          <w:szCs w:val="24"/>
          <w:lang w:val="es-MX"/>
        </w:rPr>
        <w:tab/>
      </w:r>
      <w:r w:rsidR="002356B8">
        <w:rPr>
          <w:sz w:val="24"/>
          <w:szCs w:val="24"/>
          <w:lang w:val="es-MX"/>
        </w:rPr>
        <w:br w:type="textWrapping" w:clear="all"/>
      </w:r>
    </w:p>
    <w:p w:rsidR="0009265E" w:rsidRDefault="0009265E" w:rsidP="001B4825">
      <w:pPr>
        <w:pStyle w:val="Texto"/>
        <w:tabs>
          <w:tab w:val="left" w:pos="4350"/>
        </w:tabs>
        <w:spacing w:line="240" w:lineRule="auto"/>
        <w:ind w:left="284" w:firstLine="4"/>
        <w:jc w:val="left"/>
        <w:rPr>
          <w:b/>
          <w:sz w:val="20"/>
        </w:rPr>
      </w:pPr>
    </w:p>
    <w:p w:rsidR="0009265E" w:rsidRDefault="0009265E" w:rsidP="001B4825">
      <w:pPr>
        <w:pStyle w:val="Texto"/>
        <w:tabs>
          <w:tab w:val="left" w:pos="4350"/>
        </w:tabs>
        <w:spacing w:line="240" w:lineRule="auto"/>
        <w:ind w:left="284" w:firstLine="4"/>
        <w:jc w:val="left"/>
        <w:rPr>
          <w:b/>
          <w:sz w:val="20"/>
        </w:rPr>
      </w:pPr>
    </w:p>
    <w:p w:rsidR="0090441A" w:rsidRPr="00D84EF8" w:rsidRDefault="00594617" w:rsidP="001B4825">
      <w:pPr>
        <w:pStyle w:val="Texto"/>
        <w:spacing w:after="0" w:line="240" w:lineRule="auto"/>
        <w:ind w:left="284" w:firstLine="4"/>
        <w:jc w:val="left"/>
        <w:rPr>
          <w:rFonts w:asciiTheme="minorHAnsi" w:hAnsiTheme="minorHAnsi"/>
          <w:b/>
          <w:sz w:val="20"/>
          <w:lang w:val="es-MX"/>
        </w:rPr>
      </w:pPr>
      <w:r>
        <w:rPr>
          <w:b/>
          <w:sz w:val="20"/>
        </w:rPr>
        <w:t>NOTAS DE MEMORIA</w:t>
      </w:r>
      <w:r w:rsidR="0090441A" w:rsidRPr="00D84EF8">
        <w:rPr>
          <w:rFonts w:asciiTheme="minorHAnsi" w:hAnsiTheme="minorHAnsi"/>
          <w:b/>
          <w:sz w:val="20"/>
          <w:lang w:val="es-MX"/>
        </w:rPr>
        <w:t xml:space="preserve"> (CUENTAS DE ORDEN)</w:t>
      </w:r>
    </w:p>
    <w:p w:rsidR="0090441A" w:rsidRPr="00D84EF8" w:rsidRDefault="0090441A" w:rsidP="001B4825">
      <w:pPr>
        <w:pStyle w:val="Texto"/>
        <w:spacing w:after="0" w:line="240" w:lineRule="auto"/>
        <w:ind w:firstLine="0"/>
        <w:rPr>
          <w:rFonts w:asciiTheme="minorHAnsi" w:hAnsiTheme="minorHAnsi"/>
          <w:sz w:val="20"/>
          <w:lang w:val="es-MX"/>
        </w:rPr>
      </w:pPr>
      <w:r w:rsidRPr="00D84EF8">
        <w:rPr>
          <w:rFonts w:asciiTheme="minorHAnsi" w:hAnsiTheme="minorHAnsi"/>
          <w:sz w:val="20"/>
          <w:lang w:val="es-MX"/>
        </w:rPr>
        <w:t>Los lineamientos del CONAC señalan que estas cuentas de orden se utilizan para registrar movimientos de valores que no afecten o modifiquen el balance del ente contable.</w:t>
      </w:r>
    </w:p>
    <w:p w:rsidR="0090441A" w:rsidRDefault="0090441A" w:rsidP="001B4825">
      <w:pPr>
        <w:pStyle w:val="Texto"/>
        <w:tabs>
          <w:tab w:val="left" w:pos="1260"/>
        </w:tabs>
        <w:spacing w:line="240" w:lineRule="auto"/>
        <w:ind w:firstLine="0"/>
        <w:rPr>
          <w:rFonts w:asciiTheme="minorHAnsi" w:hAnsiTheme="minorHAnsi"/>
          <w:sz w:val="20"/>
        </w:rPr>
      </w:pPr>
      <w:r w:rsidRPr="00D84EF8">
        <w:rPr>
          <w:rFonts w:asciiTheme="minorHAnsi" w:hAnsiTheme="minorHAnsi"/>
          <w:sz w:val="20"/>
        </w:rPr>
        <w:t>Bajo estos lineamientos, e</w:t>
      </w:r>
      <w:r w:rsidR="002718A7">
        <w:rPr>
          <w:rFonts w:asciiTheme="minorHAnsi" w:hAnsiTheme="minorHAnsi"/>
          <w:sz w:val="20"/>
        </w:rPr>
        <w:t xml:space="preserve">l </w:t>
      </w:r>
      <w:r w:rsidRPr="00B74394">
        <w:rPr>
          <w:rFonts w:asciiTheme="minorHAnsi" w:hAnsiTheme="minorHAnsi"/>
          <w:sz w:val="20"/>
        </w:rPr>
        <w:t>Tribunal de Justicia Administrativa del Estado de Yucatán</w:t>
      </w:r>
      <w:r w:rsidRPr="00D84EF8">
        <w:rPr>
          <w:rFonts w:asciiTheme="minorHAnsi" w:hAnsiTheme="minorHAnsi"/>
          <w:sz w:val="20"/>
        </w:rPr>
        <w:t xml:space="preserve">, no tiene movimientos en alguna de las cuentas de </w:t>
      </w:r>
      <w:r>
        <w:rPr>
          <w:rFonts w:asciiTheme="minorHAnsi" w:hAnsiTheme="minorHAnsi"/>
          <w:sz w:val="20"/>
        </w:rPr>
        <w:t>orden contables y presupuestario</w:t>
      </w:r>
      <w:r w:rsidRPr="00D84EF8">
        <w:rPr>
          <w:rFonts w:asciiTheme="minorHAnsi" w:hAnsiTheme="minorHAnsi"/>
          <w:sz w:val="20"/>
        </w:rPr>
        <w:t>s que afecten o modifiquen el balance del ente.</w:t>
      </w:r>
    </w:p>
    <w:p w:rsidR="0009265E" w:rsidRDefault="0009265E" w:rsidP="001B4825">
      <w:pPr>
        <w:pStyle w:val="Texto"/>
        <w:tabs>
          <w:tab w:val="left" w:pos="1260"/>
        </w:tabs>
        <w:spacing w:line="240" w:lineRule="auto"/>
        <w:ind w:firstLine="0"/>
        <w:rPr>
          <w:rFonts w:asciiTheme="minorHAnsi" w:hAnsiTheme="minorHAnsi"/>
          <w:sz w:val="20"/>
        </w:rPr>
      </w:pPr>
    </w:p>
    <w:p w:rsidR="0009265E" w:rsidRPr="00D84EF8" w:rsidRDefault="0009265E" w:rsidP="001B4825">
      <w:pPr>
        <w:pStyle w:val="Texto"/>
        <w:tabs>
          <w:tab w:val="left" w:pos="1260"/>
        </w:tabs>
        <w:spacing w:line="240" w:lineRule="auto"/>
        <w:ind w:firstLine="0"/>
        <w:rPr>
          <w:rFonts w:asciiTheme="minorHAnsi" w:hAnsiTheme="minorHAnsi"/>
          <w:sz w:val="20"/>
        </w:rPr>
      </w:pPr>
    </w:p>
    <w:p w:rsidR="002C58EF" w:rsidRPr="0009265E" w:rsidRDefault="0009265E" w:rsidP="006F3019">
      <w:pPr>
        <w:spacing w:line="240" w:lineRule="auto"/>
        <w:rPr>
          <w:rFonts w:cs="Arial"/>
          <w:sz w:val="20"/>
          <w:szCs w:val="20"/>
        </w:rPr>
      </w:pPr>
      <w:r>
        <w:rPr>
          <w:rFonts w:cs="Arial"/>
          <w:sz w:val="20"/>
          <w:szCs w:val="20"/>
        </w:rPr>
        <w:t xml:space="preserve">Bajo protesta de decir </w:t>
      </w:r>
      <w:r w:rsidR="002C58EF" w:rsidRPr="0009265E">
        <w:rPr>
          <w:rFonts w:cs="Arial"/>
          <w:sz w:val="20"/>
          <w:szCs w:val="20"/>
        </w:rPr>
        <w:t>verdad declaramos que</w:t>
      </w:r>
      <w:r>
        <w:rPr>
          <w:rFonts w:cs="Arial"/>
          <w:sz w:val="20"/>
          <w:szCs w:val="20"/>
        </w:rPr>
        <w:t xml:space="preserve"> los Estados Financieros y sus N</w:t>
      </w:r>
      <w:r w:rsidR="002C58EF" w:rsidRPr="0009265E">
        <w:rPr>
          <w:rFonts w:cs="Arial"/>
          <w:sz w:val="20"/>
          <w:szCs w:val="20"/>
        </w:rPr>
        <w:t>otas son razonablemente correctos y responsabilidad del emisor.</w:t>
      </w:r>
    </w:p>
    <w:sectPr w:rsidR="002C58EF" w:rsidRPr="0009265E" w:rsidSect="00F80ACD">
      <w:headerReference w:type="default" r:id="rId2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4C7" w:rsidRDefault="00AF74C7" w:rsidP="0035373E">
      <w:pPr>
        <w:spacing w:after="0" w:line="240" w:lineRule="auto"/>
      </w:pPr>
      <w:r>
        <w:separator/>
      </w:r>
    </w:p>
  </w:endnote>
  <w:endnote w:type="continuationSeparator" w:id="0">
    <w:p w:rsidR="00AF74C7" w:rsidRDefault="00AF74C7" w:rsidP="0035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4C7" w:rsidRDefault="00AF74C7" w:rsidP="0035373E">
      <w:pPr>
        <w:spacing w:after="0" w:line="240" w:lineRule="auto"/>
      </w:pPr>
      <w:r>
        <w:separator/>
      </w:r>
    </w:p>
  </w:footnote>
  <w:footnote w:type="continuationSeparator" w:id="0">
    <w:p w:rsidR="00AF74C7" w:rsidRDefault="00AF74C7" w:rsidP="00353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30" w:rsidRDefault="00864730">
    <w:pPr>
      <w:pStyle w:val="Encabezado"/>
    </w:pPr>
  </w:p>
  <w:p w:rsidR="00864730" w:rsidRDefault="008647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9F80078"/>
    <w:multiLevelType w:val="hybridMultilevel"/>
    <w:tmpl w:val="CAA00AA2"/>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
    <w:nsid w:val="3E4C3147"/>
    <w:multiLevelType w:val="hybridMultilevel"/>
    <w:tmpl w:val="EF7CE816"/>
    <w:lvl w:ilvl="0" w:tplc="D270BE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03BE"/>
    <w:rsid w:val="00010779"/>
    <w:rsid w:val="00013FC2"/>
    <w:rsid w:val="00015A7F"/>
    <w:rsid w:val="00017505"/>
    <w:rsid w:val="00026B2A"/>
    <w:rsid w:val="00027510"/>
    <w:rsid w:val="00033310"/>
    <w:rsid w:val="00037448"/>
    <w:rsid w:val="00052599"/>
    <w:rsid w:val="000576BC"/>
    <w:rsid w:val="0007015D"/>
    <w:rsid w:val="000773CA"/>
    <w:rsid w:val="0008767D"/>
    <w:rsid w:val="0009265E"/>
    <w:rsid w:val="00096A4C"/>
    <w:rsid w:val="000A11DF"/>
    <w:rsid w:val="000A3055"/>
    <w:rsid w:val="000B0C24"/>
    <w:rsid w:val="000B2FCA"/>
    <w:rsid w:val="000B5771"/>
    <w:rsid w:val="000D0391"/>
    <w:rsid w:val="000D1E91"/>
    <w:rsid w:val="000D5F13"/>
    <w:rsid w:val="000E0DED"/>
    <w:rsid w:val="000E1A18"/>
    <w:rsid w:val="000E7360"/>
    <w:rsid w:val="000E7B2B"/>
    <w:rsid w:val="000F10F5"/>
    <w:rsid w:val="00106110"/>
    <w:rsid w:val="001131F3"/>
    <w:rsid w:val="00117105"/>
    <w:rsid w:val="00120B1A"/>
    <w:rsid w:val="00122122"/>
    <w:rsid w:val="00156D86"/>
    <w:rsid w:val="0015701F"/>
    <w:rsid w:val="001572BD"/>
    <w:rsid w:val="0017663C"/>
    <w:rsid w:val="00177446"/>
    <w:rsid w:val="001910A8"/>
    <w:rsid w:val="001932FE"/>
    <w:rsid w:val="00195797"/>
    <w:rsid w:val="00196758"/>
    <w:rsid w:val="00196FD2"/>
    <w:rsid w:val="001A426B"/>
    <w:rsid w:val="001A79E7"/>
    <w:rsid w:val="001B4825"/>
    <w:rsid w:val="001C530C"/>
    <w:rsid w:val="001C6EE6"/>
    <w:rsid w:val="001D2D16"/>
    <w:rsid w:val="001E08CE"/>
    <w:rsid w:val="001E26E1"/>
    <w:rsid w:val="001E5A0E"/>
    <w:rsid w:val="001E7AE2"/>
    <w:rsid w:val="00204BCA"/>
    <w:rsid w:val="002111AA"/>
    <w:rsid w:val="002117A0"/>
    <w:rsid w:val="002320FE"/>
    <w:rsid w:val="0023377B"/>
    <w:rsid w:val="002340F5"/>
    <w:rsid w:val="002356B8"/>
    <w:rsid w:val="002402FB"/>
    <w:rsid w:val="00246C07"/>
    <w:rsid w:val="00250916"/>
    <w:rsid w:val="0025464A"/>
    <w:rsid w:val="00262240"/>
    <w:rsid w:val="00266F5E"/>
    <w:rsid w:val="002718A7"/>
    <w:rsid w:val="00273EA6"/>
    <w:rsid w:val="0028084C"/>
    <w:rsid w:val="00287248"/>
    <w:rsid w:val="00291BD4"/>
    <w:rsid w:val="00293F03"/>
    <w:rsid w:val="002946E9"/>
    <w:rsid w:val="00296FD3"/>
    <w:rsid w:val="00297C5A"/>
    <w:rsid w:val="002B256B"/>
    <w:rsid w:val="002B273B"/>
    <w:rsid w:val="002B5ADD"/>
    <w:rsid w:val="002C190F"/>
    <w:rsid w:val="002C559F"/>
    <w:rsid w:val="002C58EF"/>
    <w:rsid w:val="002C6DC0"/>
    <w:rsid w:val="002C7684"/>
    <w:rsid w:val="002D16DE"/>
    <w:rsid w:val="002D4BE2"/>
    <w:rsid w:val="002D50EC"/>
    <w:rsid w:val="002D7AFD"/>
    <w:rsid w:val="002E536C"/>
    <w:rsid w:val="002E7B01"/>
    <w:rsid w:val="002F48A5"/>
    <w:rsid w:val="002F530F"/>
    <w:rsid w:val="002F69E4"/>
    <w:rsid w:val="0030182E"/>
    <w:rsid w:val="003129FF"/>
    <w:rsid w:val="003202BF"/>
    <w:rsid w:val="00326BDB"/>
    <w:rsid w:val="003334DC"/>
    <w:rsid w:val="00333C39"/>
    <w:rsid w:val="00341C8C"/>
    <w:rsid w:val="0034469E"/>
    <w:rsid w:val="00350665"/>
    <w:rsid w:val="00350CBF"/>
    <w:rsid w:val="0035373E"/>
    <w:rsid w:val="00354A58"/>
    <w:rsid w:val="00356CDD"/>
    <w:rsid w:val="003600D5"/>
    <w:rsid w:val="0036090E"/>
    <w:rsid w:val="003649B5"/>
    <w:rsid w:val="003763AA"/>
    <w:rsid w:val="003774C8"/>
    <w:rsid w:val="003944B7"/>
    <w:rsid w:val="00394523"/>
    <w:rsid w:val="00394531"/>
    <w:rsid w:val="003C56E2"/>
    <w:rsid w:val="003C6212"/>
    <w:rsid w:val="003C7B52"/>
    <w:rsid w:val="003D22FD"/>
    <w:rsid w:val="003E2DC9"/>
    <w:rsid w:val="003E5BEC"/>
    <w:rsid w:val="003F3DFC"/>
    <w:rsid w:val="00411808"/>
    <w:rsid w:val="00430194"/>
    <w:rsid w:val="004449E7"/>
    <w:rsid w:val="00446F89"/>
    <w:rsid w:val="00456D9B"/>
    <w:rsid w:val="00474B14"/>
    <w:rsid w:val="00485E0D"/>
    <w:rsid w:val="00487F8B"/>
    <w:rsid w:val="00490915"/>
    <w:rsid w:val="004C2FEB"/>
    <w:rsid w:val="004C3A04"/>
    <w:rsid w:val="004E25AB"/>
    <w:rsid w:val="004F3EDB"/>
    <w:rsid w:val="004F4C50"/>
    <w:rsid w:val="00502027"/>
    <w:rsid w:val="0050437E"/>
    <w:rsid w:val="005058AD"/>
    <w:rsid w:val="00505DC6"/>
    <w:rsid w:val="005061A8"/>
    <w:rsid w:val="005161B9"/>
    <w:rsid w:val="00516284"/>
    <w:rsid w:val="00532A4C"/>
    <w:rsid w:val="00534CC9"/>
    <w:rsid w:val="005620D4"/>
    <w:rsid w:val="0056620E"/>
    <w:rsid w:val="00594617"/>
    <w:rsid w:val="005C0768"/>
    <w:rsid w:val="005D47C6"/>
    <w:rsid w:val="005D55A5"/>
    <w:rsid w:val="005E5B74"/>
    <w:rsid w:val="00606BE1"/>
    <w:rsid w:val="00626DFB"/>
    <w:rsid w:val="006334A9"/>
    <w:rsid w:val="00635F97"/>
    <w:rsid w:val="00646685"/>
    <w:rsid w:val="00646D31"/>
    <w:rsid w:val="00647268"/>
    <w:rsid w:val="006539FF"/>
    <w:rsid w:val="00657B9A"/>
    <w:rsid w:val="006624D5"/>
    <w:rsid w:val="0066504D"/>
    <w:rsid w:val="0067300E"/>
    <w:rsid w:val="00675EFD"/>
    <w:rsid w:val="006767E4"/>
    <w:rsid w:val="00686AD4"/>
    <w:rsid w:val="00686FE4"/>
    <w:rsid w:val="00692F32"/>
    <w:rsid w:val="00696A06"/>
    <w:rsid w:val="006A0709"/>
    <w:rsid w:val="006C01B8"/>
    <w:rsid w:val="006C0650"/>
    <w:rsid w:val="006C3F24"/>
    <w:rsid w:val="006C5967"/>
    <w:rsid w:val="006F09C4"/>
    <w:rsid w:val="006F0BF0"/>
    <w:rsid w:val="006F3019"/>
    <w:rsid w:val="0070086F"/>
    <w:rsid w:val="00702894"/>
    <w:rsid w:val="00703FF1"/>
    <w:rsid w:val="00710C10"/>
    <w:rsid w:val="00712A00"/>
    <w:rsid w:val="00722E7E"/>
    <w:rsid w:val="00726482"/>
    <w:rsid w:val="00726571"/>
    <w:rsid w:val="00727882"/>
    <w:rsid w:val="00740347"/>
    <w:rsid w:val="007417F4"/>
    <w:rsid w:val="00742710"/>
    <w:rsid w:val="00767DA2"/>
    <w:rsid w:val="00783615"/>
    <w:rsid w:val="00783713"/>
    <w:rsid w:val="00784FD0"/>
    <w:rsid w:val="0078739C"/>
    <w:rsid w:val="007A0CB2"/>
    <w:rsid w:val="007B71ED"/>
    <w:rsid w:val="007C1C49"/>
    <w:rsid w:val="007C2553"/>
    <w:rsid w:val="007D06F4"/>
    <w:rsid w:val="007D0F1F"/>
    <w:rsid w:val="007D5730"/>
    <w:rsid w:val="007E0FB8"/>
    <w:rsid w:val="007E6E3A"/>
    <w:rsid w:val="007E7EAC"/>
    <w:rsid w:val="00803D3B"/>
    <w:rsid w:val="00804FB0"/>
    <w:rsid w:val="00810D49"/>
    <w:rsid w:val="008229C2"/>
    <w:rsid w:val="00827DA8"/>
    <w:rsid w:val="008408FB"/>
    <w:rsid w:val="008511D3"/>
    <w:rsid w:val="00864730"/>
    <w:rsid w:val="008651A3"/>
    <w:rsid w:val="008744AC"/>
    <w:rsid w:val="00875E65"/>
    <w:rsid w:val="0088016D"/>
    <w:rsid w:val="0089372B"/>
    <w:rsid w:val="008942A7"/>
    <w:rsid w:val="008A3101"/>
    <w:rsid w:val="008B0C8B"/>
    <w:rsid w:val="008D195F"/>
    <w:rsid w:val="008D36F9"/>
    <w:rsid w:val="008E048E"/>
    <w:rsid w:val="008E15A6"/>
    <w:rsid w:val="008E172C"/>
    <w:rsid w:val="0090441A"/>
    <w:rsid w:val="00913AA0"/>
    <w:rsid w:val="00915AD7"/>
    <w:rsid w:val="00916EB5"/>
    <w:rsid w:val="0092196D"/>
    <w:rsid w:val="00923A74"/>
    <w:rsid w:val="00931676"/>
    <w:rsid w:val="00936DB2"/>
    <w:rsid w:val="0094144B"/>
    <w:rsid w:val="00960E36"/>
    <w:rsid w:val="00965863"/>
    <w:rsid w:val="00967503"/>
    <w:rsid w:val="00983CAF"/>
    <w:rsid w:val="0099070C"/>
    <w:rsid w:val="00992F0A"/>
    <w:rsid w:val="00993904"/>
    <w:rsid w:val="00996372"/>
    <w:rsid w:val="009D1F51"/>
    <w:rsid w:val="009E574E"/>
    <w:rsid w:val="009F0748"/>
    <w:rsid w:val="009F1E33"/>
    <w:rsid w:val="00A13735"/>
    <w:rsid w:val="00A2776A"/>
    <w:rsid w:val="00A36E7B"/>
    <w:rsid w:val="00A678FD"/>
    <w:rsid w:val="00A71F85"/>
    <w:rsid w:val="00A91651"/>
    <w:rsid w:val="00A94BD0"/>
    <w:rsid w:val="00A96CA1"/>
    <w:rsid w:val="00AA08BE"/>
    <w:rsid w:val="00AC7D7C"/>
    <w:rsid w:val="00AD2091"/>
    <w:rsid w:val="00AE1415"/>
    <w:rsid w:val="00AE2466"/>
    <w:rsid w:val="00AF2AA0"/>
    <w:rsid w:val="00AF74C7"/>
    <w:rsid w:val="00B04E9D"/>
    <w:rsid w:val="00B1297D"/>
    <w:rsid w:val="00B172A9"/>
    <w:rsid w:val="00B1798C"/>
    <w:rsid w:val="00B33A9E"/>
    <w:rsid w:val="00B36CB2"/>
    <w:rsid w:val="00B376BE"/>
    <w:rsid w:val="00B56042"/>
    <w:rsid w:val="00B71121"/>
    <w:rsid w:val="00B74394"/>
    <w:rsid w:val="00B81BA9"/>
    <w:rsid w:val="00B90CF5"/>
    <w:rsid w:val="00BB433B"/>
    <w:rsid w:val="00BB5E35"/>
    <w:rsid w:val="00BB67CB"/>
    <w:rsid w:val="00BC2ABA"/>
    <w:rsid w:val="00BC4476"/>
    <w:rsid w:val="00BC69D8"/>
    <w:rsid w:val="00BE1866"/>
    <w:rsid w:val="00BE4230"/>
    <w:rsid w:val="00BE7D3F"/>
    <w:rsid w:val="00BF0C30"/>
    <w:rsid w:val="00BF6CAF"/>
    <w:rsid w:val="00C037A3"/>
    <w:rsid w:val="00C200B0"/>
    <w:rsid w:val="00C251DB"/>
    <w:rsid w:val="00C36620"/>
    <w:rsid w:val="00C46072"/>
    <w:rsid w:val="00C50AB8"/>
    <w:rsid w:val="00C66C54"/>
    <w:rsid w:val="00C72519"/>
    <w:rsid w:val="00C75FEB"/>
    <w:rsid w:val="00C77FB6"/>
    <w:rsid w:val="00C93F8C"/>
    <w:rsid w:val="00C95FD0"/>
    <w:rsid w:val="00C96A2B"/>
    <w:rsid w:val="00CA197B"/>
    <w:rsid w:val="00CA7EB8"/>
    <w:rsid w:val="00CB0973"/>
    <w:rsid w:val="00CB0EBB"/>
    <w:rsid w:val="00CB1031"/>
    <w:rsid w:val="00CB695B"/>
    <w:rsid w:val="00CD35D7"/>
    <w:rsid w:val="00CD5D8B"/>
    <w:rsid w:val="00CD76E8"/>
    <w:rsid w:val="00CE1A31"/>
    <w:rsid w:val="00CE2DAB"/>
    <w:rsid w:val="00CE7CCE"/>
    <w:rsid w:val="00CF4071"/>
    <w:rsid w:val="00CF7A4D"/>
    <w:rsid w:val="00D132F3"/>
    <w:rsid w:val="00D349B5"/>
    <w:rsid w:val="00D376BE"/>
    <w:rsid w:val="00D4049B"/>
    <w:rsid w:val="00D56E43"/>
    <w:rsid w:val="00D60D59"/>
    <w:rsid w:val="00D625F3"/>
    <w:rsid w:val="00D72F47"/>
    <w:rsid w:val="00D83798"/>
    <w:rsid w:val="00D87C5D"/>
    <w:rsid w:val="00D9252E"/>
    <w:rsid w:val="00DA1CE9"/>
    <w:rsid w:val="00DA574C"/>
    <w:rsid w:val="00DA5C7B"/>
    <w:rsid w:val="00DA7181"/>
    <w:rsid w:val="00DB4CFB"/>
    <w:rsid w:val="00DC0818"/>
    <w:rsid w:val="00DC7E22"/>
    <w:rsid w:val="00DE1643"/>
    <w:rsid w:val="00E03132"/>
    <w:rsid w:val="00E06A6D"/>
    <w:rsid w:val="00E1215C"/>
    <w:rsid w:val="00E12D37"/>
    <w:rsid w:val="00E13BFF"/>
    <w:rsid w:val="00E2512E"/>
    <w:rsid w:val="00E259B2"/>
    <w:rsid w:val="00E31F62"/>
    <w:rsid w:val="00E3374C"/>
    <w:rsid w:val="00E36BBD"/>
    <w:rsid w:val="00E43ABC"/>
    <w:rsid w:val="00E71DD8"/>
    <w:rsid w:val="00E72D41"/>
    <w:rsid w:val="00E74097"/>
    <w:rsid w:val="00E823B2"/>
    <w:rsid w:val="00E90838"/>
    <w:rsid w:val="00E95623"/>
    <w:rsid w:val="00E96C29"/>
    <w:rsid w:val="00EA0809"/>
    <w:rsid w:val="00EB06BC"/>
    <w:rsid w:val="00EC1958"/>
    <w:rsid w:val="00EC6841"/>
    <w:rsid w:val="00EF61EB"/>
    <w:rsid w:val="00EF63CA"/>
    <w:rsid w:val="00F002BF"/>
    <w:rsid w:val="00F21E6C"/>
    <w:rsid w:val="00F33692"/>
    <w:rsid w:val="00F33D15"/>
    <w:rsid w:val="00F36A56"/>
    <w:rsid w:val="00F44118"/>
    <w:rsid w:val="00F459FB"/>
    <w:rsid w:val="00F5761F"/>
    <w:rsid w:val="00F60EFC"/>
    <w:rsid w:val="00F62C65"/>
    <w:rsid w:val="00F65AEB"/>
    <w:rsid w:val="00F663C2"/>
    <w:rsid w:val="00F71656"/>
    <w:rsid w:val="00F728EB"/>
    <w:rsid w:val="00F74208"/>
    <w:rsid w:val="00F80147"/>
    <w:rsid w:val="00F80ACD"/>
    <w:rsid w:val="00F87F6B"/>
    <w:rsid w:val="00F93AB5"/>
    <w:rsid w:val="00FA7DB3"/>
    <w:rsid w:val="00FB1D5E"/>
    <w:rsid w:val="00FB79F5"/>
    <w:rsid w:val="00FC02C1"/>
    <w:rsid w:val="00FE2D8A"/>
    <w:rsid w:val="00FE6B0B"/>
    <w:rsid w:val="00FF39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90441A"/>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90441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90441A"/>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90441A"/>
    <w:rPr>
      <w:rFonts w:ascii="Arial" w:eastAsia="Times New Roman" w:hAnsi="Arial" w:cs="Arial"/>
      <w:sz w:val="18"/>
      <w:szCs w:val="20"/>
      <w:lang w:val="es-ES" w:eastAsia="es-ES"/>
    </w:rPr>
  </w:style>
  <w:style w:type="character" w:customStyle="1" w:styleId="ROMANOSCar">
    <w:name w:val="ROMANOS Car"/>
    <w:link w:val="ROMANOS"/>
    <w:locked/>
    <w:rsid w:val="0090441A"/>
    <w:rPr>
      <w:rFonts w:ascii="Arial" w:eastAsia="Times New Roman" w:hAnsi="Arial" w:cs="Arial"/>
      <w:sz w:val="18"/>
      <w:szCs w:val="18"/>
      <w:lang w:val="es-ES" w:eastAsia="es-ES"/>
    </w:rPr>
  </w:style>
  <w:style w:type="paragraph" w:styleId="Prrafodelista">
    <w:name w:val="List Paragraph"/>
    <w:basedOn w:val="Normal"/>
    <w:uiPriority w:val="34"/>
    <w:qFormat/>
    <w:rsid w:val="0090441A"/>
    <w:pPr>
      <w:ind w:left="720"/>
      <w:contextualSpacing/>
    </w:pPr>
    <w:rPr>
      <w:rFonts w:ascii="Arial" w:eastAsia="Calibri" w:hAnsi="Arial" w:cs="Arial"/>
      <w:sz w:val="24"/>
      <w:szCs w:val="24"/>
      <w:lang w:val="es-ES"/>
    </w:rPr>
  </w:style>
  <w:style w:type="paragraph" w:styleId="Encabezado">
    <w:name w:val="header"/>
    <w:basedOn w:val="Normal"/>
    <w:link w:val="EncabezadoCar"/>
    <w:uiPriority w:val="99"/>
    <w:unhideWhenUsed/>
    <w:rsid w:val="003537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373E"/>
  </w:style>
  <w:style w:type="paragraph" w:styleId="Piedepgina">
    <w:name w:val="footer"/>
    <w:basedOn w:val="Normal"/>
    <w:link w:val="PiedepginaCar"/>
    <w:uiPriority w:val="99"/>
    <w:unhideWhenUsed/>
    <w:rsid w:val="003537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373E"/>
  </w:style>
  <w:style w:type="paragraph" w:styleId="Textodeglobo">
    <w:name w:val="Balloon Text"/>
    <w:basedOn w:val="Normal"/>
    <w:link w:val="TextodegloboCar"/>
    <w:uiPriority w:val="99"/>
    <w:semiHidden/>
    <w:unhideWhenUsed/>
    <w:rsid w:val="00B711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90441A"/>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90441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90441A"/>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90441A"/>
    <w:rPr>
      <w:rFonts w:ascii="Arial" w:eastAsia="Times New Roman" w:hAnsi="Arial" w:cs="Arial"/>
      <w:sz w:val="18"/>
      <w:szCs w:val="20"/>
      <w:lang w:val="es-ES" w:eastAsia="es-ES"/>
    </w:rPr>
  </w:style>
  <w:style w:type="character" w:customStyle="1" w:styleId="ROMANOSCar">
    <w:name w:val="ROMANOS Car"/>
    <w:link w:val="ROMANOS"/>
    <w:locked/>
    <w:rsid w:val="0090441A"/>
    <w:rPr>
      <w:rFonts w:ascii="Arial" w:eastAsia="Times New Roman" w:hAnsi="Arial" w:cs="Arial"/>
      <w:sz w:val="18"/>
      <w:szCs w:val="18"/>
      <w:lang w:val="es-ES" w:eastAsia="es-ES"/>
    </w:rPr>
  </w:style>
  <w:style w:type="paragraph" w:styleId="Prrafodelista">
    <w:name w:val="List Paragraph"/>
    <w:basedOn w:val="Normal"/>
    <w:uiPriority w:val="34"/>
    <w:qFormat/>
    <w:rsid w:val="0090441A"/>
    <w:pPr>
      <w:ind w:left="720"/>
      <w:contextualSpacing/>
    </w:pPr>
    <w:rPr>
      <w:rFonts w:ascii="Arial" w:eastAsia="Calibri" w:hAnsi="Arial" w:cs="Arial"/>
      <w:sz w:val="24"/>
      <w:szCs w:val="24"/>
      <w:lang w:val="es-ES"/>
    </w:rPr>
  </w:style>
  <w:style w:type="paragraph" w:styleId="Encabezado">
    <w:name w:val="header"/>
    <w:basedOn w:val="Normal"/>
    <w:link w:val="EncabezadoCar"/>
    <w:uiPriority w:val="99"/>
    <w:unhideWhenUsed/>
    <w:rsid w:val="003537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373E"/>
  </w:style>
  <w:style w:type="paragraph" w:styleId="Piedepgina">
    <w:name w:val="footer"/>
    <w:basedOn w:val="Normal"/>
    <w:link w:val="PiedepginaCar"/>
    <w:uiPriority w:val="99"/>
    <w:unhideWhenUsed/>
    <w:rsid w:val="003537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373E"/>
  </w:style>
  <w:style w:type="paragraph" w:styleId="Textodeglobo">
    <w:name w:val="Balloon Text"/>
    <w:basedOn w:val="Normal"/>
    <w:link w:val="TextodegloboCar"/>
    <w:uiPriority w:val="99"/>
    <w:semiHidden/>
    <w:unhideWhenUsed/>
    <w:rsid w:val="00B711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005">
      <w:bodyDiv w:val="1"/>
      <w:marLeft w:val="0"/>
      <w:marRight w:val="0"/>
      <w:marTop w:val="0"/>
      <w:marBottom w:val="0"/>
      <w:divBdr>
        <w:top w:val="none" w:sz="0" w:space="0" w:color="auto"/>
        <w:left w:val="none" w:sz="0" w:space="0" w:color="auto"/>
        <w:bottom w:val="none" w:sz="0" w:space="0" w:color="auto"/>
        <w:right w:val="none" w:sz="0" w:space="0" w:color="auto"/>
      </w:divBdr>
    </w:div>
    <w:div w:id="105858680">
      <w:bodyDiv w:val="1"/>
      <w:marLeft w:val="0"/>
      <w:marRight w:val="0"/>
      <w:marTop w:val="0"/>
      <w:marBottom w:val="0"/>
      <w:divBdr>
        <w:top w:val="none" w:sz="0" w:space="0" w:color="auto"/>
        <w:left w:val="none" w:sz="0" w:space="0" w:color="auto"/>
        <w:bottom w:val="none" w:sz="0" w:space="0" w:color="auto"/>
        <w:right w:val="none" w:sz="0" w:space="0" w:color="auto"/>
      </w:divBdr>
    </w:div>
    <w:div w:id="171577808">
      <w:bodyDiv w:val="1"/>
      <w:marLeft w:val="0"/>
      <w:marRight w:val="0"/>
      <w:marTop w:val="0"/>
      <w:marBottom w:val="0"/>
      <w:divBdr>
        <w:top w:val="none" w:sz="0" w:space="0" w:color="auto"/>
        <w:left w:val="none" w:sz="0" w:space="0" w:color="auto"/>
        <w:bottom w:val="none" w:sz="0" w:space="0" w:color="auto"/>
        <w:right w:val="none" w:sz="0" w:space="0" w:color="auto"/>
      </w:divBdr>
    </w:div>
    <w:div w:id="472253952">
      <w:bodyDiv w:val="1"/>
      <w:marLeft w:val="0"/>
      <w:marRight w:val="0"/>
      <w:marTop w:val="0"/>
      <w:marBottom w:val="0"/>
      <w:divBdr>
        <w:top w:val="none" w:sz="0" w:space="0" w:color="auto"/>
        <w:left w:val="none" w:sz="0" w:space="0" w:color="auto"/>
        <w:bottom w:val="none" w:sz="0" w:space="0" w:color="auto"/>
        <w:right w:val="none" w:sz="0" w:space="0" w:color="auto"/>
      </w:divBdr>
    </w:div>
    <w:div w:id="519783917">
      <w:bodyDiv w:val="1"/>
      <w:marLeft w:val="0"/>
      <w:marRight w:val="0"/>
      <w:marTop w:val="0"/>
      <w:marBottom w:val="0"/>
      <w:divBdr>
        <w:top w:val="none" w:sz="0" w:space="0" w:color="auto"/>
        <w:left w:val="none" w:sz="0" w:space="0" w:color="auto"/>
        <w:bottom w:val="none" w:sz="0" w:space="0" w:color="auto"/>
        <w:right w:val="none" w:sz="0" w:space="0" w:color="auto"/>
      </w:divBdr>
    </w:div>
    <w:div w:id="866914132">
      <w:bodyDiv w:val="1"/>
      <w:marLeft w:val="0"/>
      <w:marRight w:val="0"/>
      <w:marTop w:val="0"/>
      <w:marBottom w:val="0"/>
      <w:divBdr>
        <w:top w:val="none" w:sz="0" w:space="0" w:color="auto"/>
        <w:left w:val="none" w:sz="0" w:space="0" w:color="auto"/>
        <w:bottom w:val="none" w:sz="0" w:space="0" w:color="auto"/>
        <w:right w:val="none" w:sz="0" w:space="0" w:color="auto"/>
      </w:divBdr>
    </w:div>
    <w:div w:id="969088804">
      <w:bodyDiv w:val="1"/>
      <w:marLeft w:val="0"/>
      <w:marRight w:val="0"/>
      <w:marTop w:val="0"/>
      <w:marBottom w:val="0"/>
      <w:divBdr>
        <w:top w:val="none" w:sz="0" w:space="0" w:color="auto"/>
        <w:left w:val="none" w:sz="0" w:space="0" w:color="auto"/>
        <w:bottom w:val="none" w:sz="0" w:space="0" w:color="auto"/>
        <w:right w:val="none" w:sz="0" w:space="0" w:color="auto"/>
      </w:divBdr>
    </w:div>
    <w:div w:id="1041317875">
      <w:bodyDiv w:val="1"/>
      <w:marLeft w:val="0"/>
      <w:marRight w:val="0"/>
      <w:marTop w:val="0"/>
      <w:marBottom w:val="0"/>
      <w:divBdr>
        <w:top w:val="none" w:sz="0" w:space="0" w:color="auto"/>
        <w:left w:val="none" w:sz="0" w:space="0" w:color="auto"/>
        <w:bottom w:val="none" w:sz="0" w:space="0" w:color="auto"/>
        <w:right w:val="none" w:sz="0" w:space="0" w:color="auto"/>
      </w:divBdr>
    </w:div>
    <w:div w:id="1286959727">
      <w:bodyDiv w:val="1"/>
      <w:marLeft w:val="0"/>
      <w:marRight w:val="0"/>
      <w:marTop w:val="0"/>
      <w:marBottom w:val="0"/>
      <w:divBdr>
        <w:top w:val="none" w:sz="0" w:space="0" w:color="auto"/>
        <w:left w:val="none" w:sz="0" w:space="0" w:color="auto"/>
        <w:bottom w:val="none" w:sz="0" w:space="0" w:color="auto"/>
        <w:right w:val="none" w:sz="0" w:space="0" w:color="auto"/>
      </w:divBdr>
    </w:div>
    <w:div w:id="1563642227">
      <w:bodyDiv w:val="1"/>
      <w:marLeft w:val="0"/>
      <w:marRight w:val="0"/>
      <w:marTop w:val="0"/>
      <w:marBottom w:val="0"/>
      <w:divBdr>
        <w:top w:val="none" w:sz="0" w:space="0" w:color="auto"/>
        <w:left w:val="none" w:sz="0" w:space="0" w:color="auto"/>
        <w:bottom w:val="none" w:sz="0" w:space="0" w:color="auto"/>
        <w:right w:val="none" w:sz="0" w:space="0" w:color="auto"/>
      </w:divBdr>
    </w:div>
    <w:div w:id="1635254829">
      <w:bodyDiv w:val="1"/>
      <w:marLeft w:val="0"/>
      <w:marRight w:val="0"/>
      <w:marTop w:val="0"/>
      <w:marBottom w:val="0"/>
      <w:divBdr>
        <w:top w:val="none" w:sz="0" w:space="0" w:color="auto"/>
        <w:left w:val="none" w:sz="0" w:space="0" w:color="auto"/>
        <w:bottom w:val="none" w:sz="0" w:space="0" w:color="auto"/>
        <w:right w:val="none" w:sz="0" w:space="0" w:color="auto"/>
      </w:divBdr>
    </w:div>
    <w:div w:id="1735662491">
      <w:bodyDiv w:val="1"/>
      <w:marLeft w:val="0"/>
      <w:marRight w:val="0"/>
      <w:marTop w:val="0"/>
      <w:marBottom w:val="0"/>
      <w:divBdr>
        <w:top w:val="none" w:sz="0" w:space="0" w:color="auto"/>
        <w:left w:val="none" w:sz="0" w:space="0" w:color="auto"/>
        <w:bottom w:val="none" w:sz="0" w:space="0" w:color="auto"/>
        <w:right w:val="none" w:sz="0" w:space="0" w:color="auto"/>
      </w:divBdr>
    </w:div>
    <w:div w:id="1800612955">
      <w:bodyDiv w:val="1"/>
      <w:marLeft w:val="0"/>
      <w:marRight w:val="0"/>
      <w:marTop w:val="0"/>
      <w:marBottom w:val="0"/>
      <w:divBdr>
        <w:top w:val="none" w:sz="0" w:space="0" w:color="auto"/>
        <w:left w:val="none" w:sz="0" w:space="0" w:color="auto"/>
        <w:bottom w:val="none" w:sz="0" w:space="0" w:color="auto"/>
        <w:right w:val="none" w:sz="0" w:space="0" w:color="auto"/>
      </w:divBdr>
    </w:div>
    <w:div w:id="1917937082">
      <w:bodyDiv w:val="1"/>
      <w:marLeft w:val="0"/>
      <w:marRight w:val="0"/>
      <w:marTop w:val="0"/>
      <w:marBottom w:val="0"/>
      <w:divBdr>
        <w:top w:val="none" w:sz="0" w:space="0" w:color="auto"/>
        <w:left w:val="none" w:sz="0" w:space="0" w:color="auto"/>
        <w:bottom w:val="none" w:sz="0" w:space="0" w:color="auto"/>
        <w:right w:val="none" w:sz="0" w:space="0" w:color="auto"/>
      </w:divBdr>
    </w:div>
    <w:div w:id="19947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Hoja_de_c_lculo_de_Microsoft_Excel5.xls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Hoja_de_c_lculo_de_Microsoft_Excel2.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Hoja_de_c_lculo_de_Microsoft_Excel4.xlsx"/><Relationship Id="rId20" Type="http://schemas.openxmlformats.org/officeDocument/2006/relationships/package" Target="embeddings/Hoja_de_c_lculo_de_Microsoft_Excel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Hoja_de_c_lculo_de_Microsoft_Excel1.xlsx"/><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Hoja_de_c_lculo_de_Microsoft_Excel3.xlsx"/><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5491-9AF0-4EE7-8CAC-084935B7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1825</Words>
  <Characters>10040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ADMINISTRACION</dc:creator>
  <cp:lastModifiedBy>Jennifer Estefany Millan Flores</cp:lastModifiedBy>
  <cp:revision>6</cp:revision>
  <cp:lastPrinted>2018-05-23T18:41:00Z</cp:lastPrinted>
  <dcterms:created xsi:type="dcterms:W3CDTF">2018-05-18T17:54:00Z</dcterms:created>
  <dcterms:modified xsi:type="dcterms:W3CDTF">2018-05-23T18:41:00Z</dcterms:modified>
</cp:coreProperties>
</file>