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09" w:type="dxa"/>
        <w:tblCellMar>
          <w:left w:w="70" w:type="dxa"/>
          <w:right w:w="70" w:type="dxa"/>
        </w:tblCellMar>
        <w:tblLook w:val="04A0" w:firstRow="1" w:lastRow="0" w:firstColumn="1" w:lastColumn="0" w:noHBand="0" w:noVBand="1"/>
      </w:tblPr>
      <w:tblGrid>
        <w:gridCol w:w="1170"/>
        <w:gridCol w:w="4113"/>
        <w:gridCol w:w="2979"/>
        <w:gridCol w:w="3013"/>
        <w:gridCol w:w="2715"/>
        <w:gridCol w:w="219"/>
      </w:tblGrid>
      <w:tr w:rsidR="005A6FE7" w:rsidRPr="00426F76" w:rsidTr="00AB219C">
        <w:trPr>
          <w:trHeight w:val="247"/>
        </w:trPr>
        <w:tc>
          <w:tcPr>
            <w:tcW w:w="14209" w:type="dxa"/>
            <w:gridSpan w:val="6"/>
            <w:tcBorders>
              <w:top w:val="nil"/>
              <w:left w:val="nil"/>
              <w:bottom w:val="nil"/>
              <w:right w:val="nil"/>
            </w:tcBorders>
            <w:shd w:val="clear" w:color="auto" w:fill="auto"/>
            <w:noWrap/>
            <w:hideMark/>
          </w:tcPr>
          <w:p w:rsidR="005A6FE7" w:rsidRPr="0008196A" w:rsidRDefault="005A6FE7" w:rsidP="005A6FE7">
            <w:pPr>
              <w:spacing w:line="240" w:lineRule="auto"/>
              <w:jc w:val="center"/>
              <w:rPr>
                <w:rFonts w:cs="Arial"/>
                <w:b/>
                <w:sz w:val="20"/>
                <w:szCs w:val="20"/>
              </w:rPr>
            </w:pPr>
            <w:r>
              <w:rPr>
                <w:rFonts w:cs="Arial"/>
                <w:b/>
                <w:sz w:val="20"/>
                <w:szCs w:val="20"/>
              </w:rPr>
              <w:t>Cuenta Pública 2018</w:t>
            </w:r>
          </w:p>
        </w:tc>
      </w:tr>
      <w:tr w:rsidR="005A6FE7" w:rsidRPr="00426F76" w:rsidTr="00AB219C">
        <w:trPr>
          <w:trHeight w:val="247"/>
        </w:trPr>
        <w:tc>
          <w:tcPr>
            <w:tcW w:w="14209" w:type="dxa"/>
            <w:gridSpan w:val="6"/>
            <w:tcBorders>
              <w:top w:val="nil"/>
              <w:left w:val="nil"/>
              <w:bottom w:val="nil"/>
              <w:right w:val="nil"/>
            </w:tcBorders>
            <w:shd w:val="clear" w:color="auto" w:fill="auto"/>
            <w:noWrap/>
            <w:hideMark/>
          </w:tcPr>
          <w:p w:rsidR="005A6FE7" w:rsidRPr="0008196A" w:rsidRDefault="005A6FE7" w:rsidP="005A6FE7">
            <w:pPr>
              <w:spacing w:line="240" w:lineRule="auto"/>
              <w:jc w:val="center"/>
              <w:rPr>
                <w:rFonts w:cs="Arial"/>
                <w:b/>
                <w:sz w:val="20"/>
                <w:szCs w:val="20"/>
              </w:rPr>
            </w:pPr>
            <w:r w:rsidRPr="0008196A">
              <w:rPr>
                <w:rFonts w:cs="Arial"/>
                <w:b/>
                <w:sz w:val="20"/>
                <w:szCs w:val="20"/>
              </w:rPr>
              <w:t>Notas a los Estados Financieros</w:t>
            </w: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Pr="0008196A" w:rsidRDefault="005A6FE7" w:rsidP="005A6FE7">
            <w:pPr>
              <w:spacing w:line="240" w:lineRule="auto"/>
              <w:jc w:val="center"/>
              <w:rPr>
                <w:rFonts w:cs="Arial"/>
                <w:b/>
                <w:sz w:val="20"/>
                <w:szCs w:val="20"/>
              </w:rPr>
            </w:pPr>
            <w:r>
              <w:rPr>
                <w:rFonts w:cs="Arial"/>
                <w:b/>
                <w:sz w:val="20"/>
                <w:szCs w:val="20"/>
              </w:rPr>
              <w:t>Al  31 de Marzo de 2018</w:t>
            </w: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Pr="0008196A" w:rsidRDefault="005A6FE7" w:rsidP="005A6FE7">
            <w:pPr>
              <w:pStyle w:val="Texto"/>
              <w:jc w:val="center"/>
              <w:rPr>
                <w:b/>
                <w:sz w:val="20"/>
              </w:rPr>
            </w:pPr>
            <w:r w:rsidRPr="0008196A">
              <w:rPr>
                <w:rFonts w:asciiTheme="minorHAnsi" w:hAnsiTheme="minorHAnsi"/>
                <w:b/>
                <w:sz w:val="20"/>
              </w:rPr>
              <w:t>(Pesos)</w:t>
            </w: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Pr="0008196A" w:rsidRDefault="005A6FE7" w:rsidP="005A6FE7">
            <w:pPr>
              <w:tabs>
                <w:tab w:val="left" w:pos="6060"/>
              </w:tabs>
              <w:spacing w:after="0"/>
              <w:jc w:val="both"/>
              <w:rPr>
                <w:b/>
                <w:sz w:val="20"/>
                <w:szCs w:val="20"/>
              </w:rPr>
            </w:pP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Pr="0008196A" w:rsidRDefault="005A6FE7" w:rsidP="005A6FE7">
            <w:pPr>
              <w:spacing w:after="0" w:line="240" w:lineRule="auto"/>
              <w:rPr>
                <w:b/>
                <w:sz w:val="20"/>
                <w:szCs w:val="20"/>
              </w:rPr>
            </w:pP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Default="005A6FE7" w:rsidP="005A6FE7">
            <w:r w:rsidRPr="0008196A">
              <w:rPr>
                <w:b/>
                <w:sz w:val="20"/>
                <w:szCs w:val="20"/>
              </w:rPr>
              <w:t>Ente Público:  UNIVERSIDAD AUTÓNOMA DE YUCATÁN</w:t>
            </w:r>
          </w:p>
        </w:tc>
      </w:tr>
      <w:tr w:rsidR="005A6FE7" w:rsidRPr="00426F76" w:rsidTr="00AB219C">
        <w:trPr>
          <w:trHeight w:val="247"/>
        </w:trPr>
        <w:tc>
          <w:tcPr>
            <w:tcW w:w="14209" w:type="dxa"/>
            <w:gridSpan w:val="6"/>
            <w:tcBorders>
              <w:top w:val="nil"/>
              <w:left w:val="nil"/>
              <w:bottom w:val="nil"/>
              <w:right w:val="nil"/>
            </w:tcBorders>
            <w:shd w:val="clear" w:color="auto" w:fill="auto"/>
            <w:noWrap/>
          </w:tcPr>
          <w:p w:rsidR="005A6FE7" w:rsidRPr="00031412" w:rsidRDefault="005A6FE7" w:rsidP="005A6FE7">
            <w:pPr>
              <w:spacing w:line="240" w:lineRule="auto"/>
              <w:jc w:val="center"/>
              <w:rPr>
                <w:rFonts w:cs="Arial"/>
                <w:b/>
                <w:sz w:val="20"/>
                <w:szCs w:val="20"/>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i/>
                <w:iCs/>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 NOTAS DE GESTION ADMINISTRATIVA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Introducción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624"/>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Los estados financieros de la Universidad Autónoma de Yucatán, proveen información financiera a los principales usuarios de la misma,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mayor comprensión de los mismos y 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tc>
      </w:tr>
      <w:tr w:rsidR="00426F76" w:rsidRPr="00426F76" w:rsidTr="00AB219C">
        <w:trPr>
          <w:trHeight w:val="290"/>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1.1 Autorización e Historia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799"/>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En septiembre de 1984, siendo Rector de la Universidad el Ing. Alvaro J. Mimenza Cuevas, el Gobernador del estado, Sr. Víctor Cervera Pacheco, promulgó una nueva Ley Orgánica y el nombre de Universidad Autónoma de Yucatán rige a la Casa de Altos Estudios hasta la fecha.</w:t>
            </w:r>
          </w:p>
        </w:tc>
      </w:tr>
      <w:tr w:rsidR="00426F76" w:rsidRPr="00426F76" w:rsidTr="00AB219C">
        <w:trPr>
          <w:trHeight w:val="552"/>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La Universidad Autónoma de Yucatán es una institución de enseñanza superior, Autónoma por Ley, descentralizada del Estado, para organizar, administrar y desarrollar sus fines, con plena capacidad, personalidad jurídica y patrimonio propio.</w:t>
            </w:r>
          </w:p>
        </w:tc>
      </w:tr>
      <w:tr w:rsidR="00426F76" w:rsidRPr="00426F76" w:rsidTr="00AB219C">
        <w:trPr>
          <w:trHeight w:val="639"/>
        </w:trPr>
        <w:tc>
          <w:tcPr>
            <w:tcW w:w="14209" w:type="dxa"/>
            <w:gridSpan w:val="6"/>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Universidad Autónoma de Yucatán tiene por finalidades: Educar, generar el conocimiento y difundir la cultura en beneficio de la sociedad, para lo cual debe:</w:t>
            </w:r>
          </w:p>
        </w:tc>
      </w:tr>
      <w:tr w:rsidR="00426F76" w:rsidRPr="00426F76" w:rsidTr="00AB219C">
        <w:trPr>
          <w:trHeight w:val="523"/>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 Formar profesionales, Investigadores y maestros universitarios de acuerdo a las necesidades económicas, sociales y políticas de la entidad, de la región y de la Nación.</w:t>
            </w:r>
          </w:p>
        </w:tc>
      </w:tr>
      <w:tr w:rsidR="00426F76" w:rsidRPr="00426F76" w:rsidTr="00AB219C">
        <w:trPr>
          <w:trHeight w:val="407"/>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II.- Fomentar y realizar investigación científica y humanística.</w:t>
            </w:r>
          </w:p>
        </w:tc>
      </w:tr>
      <w:tr w:rsidR="00426F76" w:rsidRPr="00426F76" w:rsidTr="00AB219C">
        <w:trPr>
          <w:trHeight w:val="392"/>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III.- Extender los beneficios de la cultura a la sociedad.</w:t>
            </w:r>
          </w:p>
        </w:tc>
      </w:tr>
      <w:tr w:rsidR="00426F76" w:rsidRPr="00426F76" w:rsidTr="00AB219C">
        <w:trPr>
          <w:trHeight w:val="421"/>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Para realizar sus fines, la Universidad Autónoma de Yucatán se fundamenta en los principios de la libertad de cátedra e investigación y de libre examen y discusión de las ideas, conforme a lo establecido en la fracción VIII del Artículo 3° constitucional.</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5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Para el logro de sus fines, La Universidad Autónoma de Yucatán, ejercerá las siguientes funciones:</w:t>
            </w:r>
          </w:p>
        </w:tc>
      </w:tr>
      <w:tr w:rsidR="00426F76" w:rsidRPr="00426F76" w:rsidTr="00AB219C">
        <w:trPr>
          <w:trHeight w:val="45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I.- La docente, que consiste en la transmisión y avance del conocimiento. </w:t>
            </w:r>
          </w:p>
        </w:tc>
      </w:tr>
      <w:tr w:rsidR="00426F76" w:rsidRPr="00426F76" w:rsidTr="00AB219C">
        <w:trPr>
          <w:trHeight w:val="465"/>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II.- La investigadora, que consiste en la generación y avance del conocimiento.</w:t>
            </w:r>
          </w:p>
        </w:tc>
      </w:tr>
      <w:tr w:rsidR="00426F76" w:rsidRPr="00426F76" w:rsidTr="00AB219C">
        <w:trPr>
          <w:trHeight w:val="421"/>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III.- La difusora, que consiste en la divulgación del conocimiento y la cultura a la sociedad; y</w:t>
            </w:r>
          </w:p>
        </w:tc>
      </w:tr>
      <w:tr w:rsidR="00426F76" w:rsidRPr="00426F76" w:rsidTr="00AB219C">
        <w:trPr>
          <w:trHeight w:val="508"/>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IV.- La de servicio, que comprende aquellas actividades con las que la Universidad directamente promueve el desarrollo y el bienestar de su comunidad.</w:t>
            </w:r>
          </w:p>
        </w:tc>
      </w:tr>
      <w:tr w:rsidR="00426F76" w:rsidRPr="00426F76" w:rsidTr="00AB219C">
        <w:trPr>
          <w:trHeight w:val="37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639"/>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Universidad Autónoma de Yucatán imparte educación superior de licenciatura, maestría y doctorado, cursos de actualización y especialización, en sus modalidades escolar y extraescolar, así como la de bachillerato o su equivalente.</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624"/>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A partir del 2007 se inicia la integración de las áreas del conocimiento mediante su agrupamiento físico en campus agrupando las dependencias universitarias como sigue:</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Campus de Ingeniería y Ciencias Exactas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Ingeniería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Ingeniería Química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Matemáticas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Campus de Ciencias Biológicas y Agropecuarias</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Medicina Veterinaria y Zootecnia</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Campus de Ciencias de la Salud</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Enfermería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Medicina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Facultad de Odontología </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Química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 xml:space="preserve">Campus de Ciencias Sociales </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Ciencias Antropológicas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Contaduría  y Administración</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Educación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Derecho</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Economía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Psicología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lastRenderedPageBreak/>
              <w:t>Campus de Arquitectura, Arte y Diseño</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Facultad de Arquitectura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Campus Tizimín</w:t>
            </w:r>
            <w:r w:rsidRPr="00426F76">
              <w:rPr>
                <w:rFonts w:ascii="Calibri" w:eastAsia="Times New Roman" w:hAnsi="Calibri" w:cs="Calibri"/>
                <w:color w:val="000000"/>
                <w:sz w:val="20"/>
                <w:szCs w:val="20"/>
                <w:lang w:eastAsia="es-ES"/>
              </w:rPr>
              <w:t xml:space="preserve"> y un </w:t>
            </w:r>
            <w:r w:rsidRPr="00426F76">
              <w:rPr>
                <w:rFonts w:ascii="Calibri" w:eastAsia="Times New Roman" w:hAnsi="Calibri" w:cs="Calibri"/>
                <w:b/>
                <w:bCs/>
                <w:color w:val="000000"/>
                <w:sz w:val="20"/>
                <w:szCs w:val="20"/>
                <w:lang w:eastAsia="es-ES"/>
              </w:rPr>
              <w:t>Centro de Investigaciones Regionales</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893D44" w:rsidRDefault="00893D44" w:rsidP="00426F76">
            <w:pPr>
              <w:spacing w:after="0" w:line="240" w:lineRule="auto"/>
              <w:rPr>
                <w:rFonts w:ascii="Calibri" w:eastAsia="Times New Roman" w:hAnsi="Calibri" w:cs="Calibri"/>
                <w:b/>
                <w:bCs/>
                <w:color w:val="000000"/>
                <w:sz w:val="20"/>
                <w:szCs w:val="20"/>
                <w:lang w:eastAsia="es-ES"/>
              </w:rPr>
            </w:pPr>
          </w:p>
          <w:p w:rsidR="00893D44" w:rsidRDefault="00893D44" w:rsidP="00426F76">
            <w:pPr>
              <w:spacing w:after="0" w:line="240" w:lineRule="auto"/>
              <w:rPr>
                <w:rFonts w:ascii="Calibri" w:eastAsia="Times New Roman" w:hAnsi="Calibri" w:cs="Calibri"/>
                <w:b/>
                <w:bCs/>
                <w:color w:val="000000"/>
                <w:sz w:val="20"/>
                <w:szCs w:val="20"/>
                <w:lang w:eastAsia="es-ES"/>
              </w:rPr>
            </w:pPr>
          </w:p>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1.2 Fuentes de financiamiento.</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3990" w:type="dxa"/>
            <w:gridSpan w:val="5"/>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En el aspecto económico la Universidad Autónoma de Yucatán cuenta con los siguientes ingresos:</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Aportaciones del gobierno federal.</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Aportaciones del gobierno estatal.</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Ingresos propios.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65"/>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Aportaciones de diversas instituciones y fundaciones para programas de investigación, programas específicos de acuerdo a los convenios que se celebren con estos organismos.</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36"/>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1.3 Bases de preparación de los estados financieros</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508"/>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i/>
                <w:iCs/>
                <w:color w:val="000000"/>
                <w:sz w:val="20"/>
                <w:szCs w:val="20"/>
                <w:lang w:eastAsia="es-ES"/>
              </w:rPr>
            </w:pPr>
            <w:r w:rsidRPr="00426F76">
              <w:rPr>
                <w:rFonts w:ascii="Calibri" w:eastAsia="Times New Roman" w:hAnsi="Calibri" w:cs="Calibri"/>
                <w:i/>
                <w:iCs/>
                <w:color w:val="000000"/>
                <w:sz w:val="20"/>
                <w:szCs w:val="20"/>
                <w:lang w:eastAsia="es-ES"/>
              </w:rPr>
              <w:t>Unidad monetaria.</w:t>
            </w:r>
            <w:r w:rsidRPr="00426F76">
              <w:rPr>
                <w:rFonts w:ascii="Calibri" w:eastAsia="Times New Roman" w:hAnsi="Calibri" w:cs="Calibri"/>
                <w:color w:val="000000"/>
                <w:sz w:val="20"/>
                <w:szCs w:val="20"/>
                <w:lang w:eastAsia="es-ES"/>
              </w:rPr>
              <w:t xml:space="preserve"> Los estados financieros están presentados en pesos,  unidad monetaria vigente en nuestro país y expresados en miles de pesos.</w:t>
            </w:r>
          </w:p>
        </w:tc>
      </w:tr>
      <w:tr w:rsidR="00426F76" w:rsidRPr="00426F76" w:rsidTr="00AB219C">
        <w:trPr>
          <w:trHeight w:val="106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i/>
                <w:iCs/>
                <w:color w:val="000000"/>
                <w:sz w:val="20"/>
                <w:szCs w:val="20"/>
                <w:lang w:eastAsia="es-ES"/>
              </w:rPr>
            </w:pPr>
            <w:r w:rsidRPr="00426F76">
              <w:rPr>
                <w:rFonts w:ascii="Calibri" w:eastAsia="Times New Roman" w:hAnsi="Calibri" w:cs="Calibri"/>
                <w:i/>
                <w:iCs/>
                <w:color w:val="000000"/>
                <w:sz w:val="20"/>
                <w:szCs w:val="20"/>
                <w:lang w:eastAsia="es-ES"/>
              </w:rPr>
              <w:t xml:space="preserve">Sistema de registro. </w:t>
            </w:r>
            <w:r w:rsidRPr="00426F76">
              <w:rPr>
                <w:rFonts w:ascii="Calibri" w:eastAsia="Times New Roman" w:hAnsi="Calibri" w:cs="Calibri"/>
                <w:color w:val="000000"/>
                <w:sz w:val="20"/>
                <w:szCs w:val="20"/>
                <w:lang w:eastAsia="es-ES"/>
              </w:rPr>
              <w:t>En el año del 2000 la Universidad Autónoma de Yucatán adopta el “Sistema de Contabilidad de Fondos” que consiste en registrar los recursos financieros clasificándolos para propósitos contables y de reporte, de acuerdo a su utilización y en concordancia con las leyes, normas, restricciones o limitaciones impuestas por las fuentes externas de la institución.</w:t>
            </w:r>
          </w:p>
        </w:tc>
      </w:tr>
      <w:tr w:rsidR="00426F76" w:rsidRPr="00426F76" w:rsidTr="00AB219C">
        <w:trPr>
          <w:trHeight w:val="653"/>
        </w:trPr>
        <w:tc>
          <w:tcPr>
            <w:tcW w:w="14209" w:type="dxa"/>
            <w:gridSpan w:val="6"/>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El criterio esencial para la clasificación de los fondos es el destino o aplicación de los recursos que lo componen. La contabilidad consolidada de la Institución consiste en la suma de estos fondos.</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639"/>
        </w:trPr>
        <w:tc>
          <w:tcPr>
            <w:tcW w:w="11275" w:type="dxa"/>
            <w:gridSpan w:val="4"/>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1.4 Cambios contables, Ley General de Contabilidad Gubernamental:</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11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 partir del ejercicio 2013 entran en vigor las disposiciones de la Ley General de Con</w:t>
            </w:r>
            <w:r w:rsidR="00893D44">
              <w:rPr>
                <w:rFonts w:ascii="Calibri" w:eastAsia="Times New Roman" w:hAnsi="Calibri" w:cs="Calibri"/>
                <w:color w:val="000000"/>
                <w:sz w:val="20"/>
                <w:szCs w:val="20"/>
                <w:lang w:eastAsia="es-ES"/>
              </w:rPr>
              <w:t xml:space="preserve">tabilidad Gubernamental, misma </w:t>
            </w:r>
            <w:r w:rsidRPr="00426F76">
              <w:rPr>
                <w:rFonts w:ascii="Calibri" w:eastAsia="Times New Roman" w:hAnsi="Calibri" w:cs="Calibri"/>
                <w:color w:val="000000"/>
                <w:sz w:val="20"/>
                <w:szCs w:val="20"/>
                <w:lang w:eastAsia="es-ES"/>
              </w:rPr>
              <w:t>que se publicó en Diciembre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realizado al 31 de diciembre de 2016. Los valores que se tomarán en consideración serán los campos de valor histórico, importe de revaluación y depreciación acumulada, la diferencia resultante de esta comparación, se afectará en el patrimonio.  Respecto de los bienes inmuebles la 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334"/>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1.5 Políticas de Contabilidad Significativas</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566"/>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Reconocimiento de la inflación en la información financiera.</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06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tc>
      </w:tr>
      <w:tr w:rsidR="00426F76" w:rsidRPr="00426F76" w:rsidTr="00AB219C">
        <w:trPr>
          <w:trHeight w:val="1945"/>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La inflación anualizada del trienio que concluyó en 2016 y 2014,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que se vuelva a estar en un entorno inflacionario, se deben reconocer los efectos acumulados de la inflación no reconocidos en los períodos en los que el entorno fue calificado como no inflacionario, de manera retrospectiva.</w:t>
            </w: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4209" w:type="dxa"/>
            <w:gridSpan w:val="6"/>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Los índices que se utilizaron para efectos de determinar un entorno económico no inflacionario fueron los siguientes:</w:t>
            </w: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31 de diciembre</w:t>
            </w: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INPC</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Inflación</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2017</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130.813</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6.77%</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2016</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116.059</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3.36%</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2015</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118.532</w:t>
            </w: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2.13%</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Almacén.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769"/>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 xml:space="preserve"> Activos fijos. Registro y depreciación.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828"/>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tc>
      </w:tr>
      <w:tr w:rsidR="00426F76" w:rsidRPr="00426F76" w:rsidTr="00AB219C">
        <w:trPr>
          <w:trHeight w:val="711"/>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El mobiliario y equipo fue inicialmente controlado mediante un inventario físico realizado en 1985 y valuado en base a precios de mercado de ese año. A partir de esa fecha se han venido registrando las adiciones a su valor de adquisición.</w:t>
            </w:r>
          </w:p>
        </w:tc>
      </w:tr>
      <w:tr w:rsidR="00426F76" w:rsidRPr="00426F76" w:rsidTr="00AB219C">
        <w:trPr>
          <w:trHeight w:val="1016"/>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registro original fueron  actualizados a pesos de poder adquisitivo a la fecha del balance al 31 de diciembre de 2007 por el método de cambios en el nivel general de precios.</w:t>
            </w: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Las tasas de depreciación utilizadas son: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Edificios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3%</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Mobiliario</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5%</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Maquinaria y equipo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10%</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Equipo de transporte y de cómputo</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1.6 Fideicomisos</w:t>
            </w: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552"/>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universidad crea los fideicomisos sin estructura orgánica con la finalidad de administrar los recursos otorgados para fines específicos. Cuyos importes a la fecha se relacionan a continuación</w:t>
            </w: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 xml:space="preserve">Fideicomiso 2000991 PFCE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 xml:space="preserve">                8,346,840.77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Fideicomiso 160425-0 UADY PRODEP</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 xml:space="preserve">             19,152,688.25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Fideicomiso 175445 Jóvenes de excelencia Banamex</w:t>
            </w:r>
          </w:p>
        </w:tc>
        <w:tc>
          <w:tcPr>
            <w:tcW w:w="3013"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 xml:space="preserve">                   150,800.77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b/>
                <w:bCs/>
                <w:sz w:val="20"/>
                <w:szCs w:val="20"/>
                <w:lang w:eastAsia="es-ES"/>
              </w:rPr>
            </w:pPr>
            <w:r w:rsidRPr="00426F76">
              <w:rPr>
                <w:rFonts w:ascii="Calibri" w:eastAsia="Times New Roman" w:hAnsi="Calibri" w:cs="Calibri"/>
                <w:b/>
                <w:bCs/>
                <w:sz w:val="20"/>
                <w:szCs w:val="20"/>
                <w:lang w:eastAsia="es-ES"/>
              </w:rPr>
              <w:t xml:space="preserve">             27,650,329.79 </w:t>
            </w: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b/>
                <w:bCs/>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1.7 Beneficios a empleados (Obligaciones laborales)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466"/>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2017  es de un pasivo total en concepto de pensiones y jubilaciones de $31,270,471,773.68 ($23,456,454,006.41 en 2016 de acuerdo a la valuación realizada por Valuaciones Actuariales del Norte, S.C.)</w:t>
            </w:r>
          </w:p>
        </w:tc>
      </w:tr>
      <w:tr w:rsidR="00426F76" w:rsidRPr="00426F76" w:rsidTr="00AB219C">
        <w:trPr>
          <w:trHeight w:val="305"/>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031"/>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tc>
      </w:tr>
      <w:tr w:rsidR="00426F76" w:rsidRPr="00426F76" w:rsidTr="00AB219C">
        <w:trPr>
          <w:trHeight w:val="377"/>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089"/>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p>
        </w:tc>
      </w:tr>
      <w:tr w:rsidR="00426F76" w:rsidRPr="00426F76" w:rsidTr="00AB219C">
        <w:trPr>
          <w:trHeight w:val="247"/>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334"/>
        </w:trPr>
        <w:tc>
          <w:tcPr>
            <w:tcW w:w="14209" w:type="dxa"/>
            <w:gridSpan w:val="6"/>
            <w:tcBorders>
              <w:top w:val="nil"/>
              <w:left w:val="nil"/>
              <w:bottom w:val="nil"/>
              <w:right w:val="nil"/>
            </w:tcBorders>
            <w:shd w:val="clear" w:color="auto" w:fill="auto"/>
            <w:noWrap/>
            <w:vAlign w:val="bottom"/>
            <w:hideMark/>
          </w:tcPr>
          <w:p w:rsid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universidad optó por una reforma integral al sistema, misma que puede resumirse  de la siguiente manera:</w:t>
            </w: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Default="00AB219C" w:rsidP="00426F76">
            <w:pPr>
              <w:spacing w:after="0" w:line="240" w:lineRule="auto"/>
              <w:rPr>
                <w:rFonts w:ascii="Calibri" w:eastAsia="Times New Roman" w:hAnsi="Calibri" w:cs="Calibri"/>
                <w:color w:val="000000"/>
                <w:sz w:val="20"/>
                <w:szCs w:val="20"/>
                <w:lang w:eastAsia="es-ES"/>
              </w:rPr>
            </w:pPr>
          </w:p>
          <w:p w:rsidR="00AB219C" w:rsidRPr="00426F76" w:rsidRDefault="00AB219C"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Default="00426F76" w:rsidP="00426F76">
            <w:pPr>
              <w:spacing w:after="0" w:line="240" w:lineRule="auto"/>
              <w:rPr>
                <w:rFonts w:ascii="Times New Roman" w:eastAsia="Times New Roman" w:hAnsi="Times New Roman" w:cs="Times New Roman"/>
                <w:sz w:val="20"/>
                <w:szCs w:val="20"/>
                <w:lang w:eastAsia="es-ES"/>
              </w:rPr>
            </w:pPr>
          </w:p>
          <w:p w:rsidR="009128EF" w:rsidRDefault="009128EF" w:rsidP="00426F76">
            <w:pPr>
              <w:spacing w:after="0" w:line="240" w:lineRule="auto"/>
              <w:rPr>
                <w:rFonts w:ascii="Times New Roman" w:eastAsia="Times New Roman" w:hAnsi="Times New Roman" w:cs="Times New Roman"/>
                <w:sz w:val="20"/>
                <w:szCs w:val="20"/>
                <w:lang w:eastAsia="es-ES"/>
              </w:rPr>
            </w:pPr>
          </w:p>
          <w:p w:rsidR="009128EF" w:rsidRPr="00426F76" w:rsidRDefault="009128EF"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lastRenderedPageBreak/>
              <w:t>PERSONAL ACADEMICO</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Personal actual</w:t>
            </w:r>
          </w:p>
        </w:tc>
        <w:tc>
          <w:tcPr>
            <w:tcW w:w="59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Futuras generaciones</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Personal Jubilado</w:t>
            </w:r>
          </w:p>
        </w:tc>
      </w:tr>
      <w:tr w:rsidR="00426F76" w:rsidRPr="00426F76" w:rsidTr="00AB219C">
        <w:trPr>
          <w:trHeight w:val="1205"/>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Se elimina la prestación de pensionarse con 15 años de servicios, sin importar la edad.       </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establece que como requisito para jubilarse la suma de  la edad más la antigüedad deberá ser de 95 años, con un mínimo de 65 años de edad</w:t>
            </w:r>
          </w:p>
        </w:tc>
        <w:tc>
          <w:tcPr>
            <w:tcW w:w="2934"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1103"/>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conserva y mantiene el fondo de jubilación con aportación bipartita de un 10% quincenal.</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crea un nuevo sistema de pensiones y jubilaciones con beneficio definido, conformado por el salario regulador</w:t>
            </w:r>
          </w:p>
        </w:tc>
        <w:tc>
          <w:tcPr>
            <w:tcW w:w="2934"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acuerda que todo el personal jubilado deberá aportar al fondo de jubilaciones en los mismos montos y condiciones que el personal activo</w:t>
            </w:r>
          </w:p>
        </w:tc>
      </w:tr>
      <w:tr w:rsidR="00426F76" w:rsidRPr="00426F76" w:rsidTr="00AB219C">
        <w:trPr>
          <w:trHeight w:val="1132"/>
        </w:trPr>
        <w:tc>
          <w:tcPr>
            <w:tcW w:w="5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estimula</w:t>
            </w:r>
            <w:r w:rsidR="00893D44">
              <w:rPr>
                <w:rFonts w:ascii="Calibri" w:eastAsia="Times New Roman" w:hAnsi="Calibri" w:cs="Calibri"/>
                <w:color w:val="000000"/>
                <w:sz w:val="20"/>
                <w:szCs w:val="20"/>
                <w:lang w:eastAsia="es-ES"/>
              </w:rPr>
              <w:t xml:space="preserve"> la permanencia del trabajador </w:t>
            </w:r>
            <w:r w:rsidRPr="00426F76">
              <w:rPr>
                <w:rFonts w:ascii="Calibri" w:eastAsia="Times New Roman" w:hAnsi="Calibri" w:cs="Calibri"/>
                <w:color w:val="000000"/>
                <w:sz w:val="20"/>
                <w:szCs w:val="20"/>
                <w:lang w:eastAsia="es-ES"/>
              </w:rPr>
              <w:t>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599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9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639"/>
        </w:trPr>
        <w:tc>
          <w:tcPr>
            <w:tcW w:w="5283"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5992"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934"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871"/>
        </w:trPr>
        <w:tc>
          <w:tcPr>
            <w:tcW w:w="5283"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5992"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934" w:type="dxa"/>
            <w:gridSpan w:val="2"/>
            <w:vMerge/>
            <w:tcBorders>
              <w:top w:val="single" w:sz="4" w:space="0" w:color="auto"/>
              <w:left w:val="single" w:sz="4" w:space="0" w:color="auto"/>
              <w:bottom w:val="single" w:sz="4" w:space="0" w:color="000000"/>
              <w:right w:val="single" w:sz="4" w:space="0" w:color="000000"/>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784"/>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Se adecuan las prestaciones de aguinaldo, prima vacacional y prima de antigüedad </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noWrap/>
            <w:vAlign w:val="bottom"/>
            <w:hideMark/>
          </w:tcPr>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893D44" w:rsidRDefault="00893D44" w:rsidP="00426F76">
            <w:pPr>
              <w:spacing w:after="0" w:line="240" w:lineRule="auto"/>
              <w:rPr>
                <w:rFonts w:ascii="Calibri" w:eastAsia="Times New Roman" w:hAnsi="Calibri" w:cs="Calibri"/>
                <w:b/>
                <w:bCs/>
                <w:color w:val="000000"/>
                <w:sz w:val="20"/>
                <w:szCs w:val="20"/>
                <w:u w:val="single"/>
                <w:lang w:eastAsia="es-ES"/>
              </w:rPr>
            </w:pPr>
          </w:p>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PERSONAL ADMINISTRATIVO Y MANUAL</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Personal actual</w:t>
            </w:r>
          </w:p>
        </w:tc>
        <w:tc>
          <w:tcPr>
            <w:tcW w:w="59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Futuras generaciones</w:t>
            </w:r>
          </w:p>
        </w:tc>
        <w:tc>
          <w:tcPr>
            <w:tcW w:w="29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Personal Jubilado</w:t>
            </w:r>
          </w:p>
        </w:tc>
      </w:tr>
      <w:tr w:rsidR="00426F76" w:rsidRPr="00426F76" w:rsidTr="00AB219C">
        <w:trPr>
          <w:trHeight w:val="1016"/>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Se establece que como requisito para jubilarse </w:t>
            </w:r>
            <w:r w:rsidR="00893D44">
              <w:rPr>
                <w:rFonts w:ascii="Calibri" w:eastAsia="Times New Roman" w:hAnsi="Calibri" w:cs="Calibri"/>
                <w:color w:val="000000"/>
                <w:sz w:val="20"/>
                <w:szCs w:val="20"/>
                <w:lang w:eastAsia="es-ES"/>
              </w:rPr>
              <w:t xml:space="preserve">la suma de </w:t>
            </w:r>
            <w:r w:rsidRPr="00426F76">
              <w:rPr>
                <w:rFonts w:ascii="Calibri" w:eastAsia="Times New Roman" w:hAnsi="Calibri" w:cs="Calibri"/>
                <w:color w:val="000000"/>
                <w:sz w:val="20"/>
                <w:szCs w:val="20"/>
                <w:lang w:eastAsia="es-ES"/>
              </w:rPr>
              <w:t>la edad más la antigüedad deberá ser de 95 años. Con mínimo 60 años de edad.</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1191"/>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aumenta la aportación bipartita al fondo en un 1% adicional cada año, hasta llegar un 10 % por cada parte, al término de 8 años, a partir del 2008</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Se crea un nuevo sistema de pensiones y jubilaciones con beneficio definido, conformado por el salario regulador </w:t>
            </w:r>
          </w:p>
        </w:tc>
        <w:tc>
          <w:tcPr>
            <w:tcW w:w="2934"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acuerda que todo el personal jubilado deberá aportar al fondo de jubilaciones en los mismos montos y condiciones que el personal activo</w:t>
            </w:r>
          </w:p>
        </w:tc>
      </w:tr>
      <w:tr w:rsidR="00426F76" w:rsidRPr="00426F76" w:rsidTr="00AB219C">
        <w:trPr>
          <w:trHeight w:val="1103"/>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Se estimula la permanencia del trabajador  que ha cumplido 30 años de servicio con un estímulo como sigue:</w:t>
            </w:r>
          </w:p>
        </w:tc>
        <w:tc>
          <w:tcPr>
            <w:tcW w:w="59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1103"/>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A partir de 30 años un 30% de su salario tabulado que se irá incrementando en un 2% anual hasta llegar a los 40 años de servicio.</w:t>
            </w:r>
          </w:p>
        </w:tc>
        <w:tc>
          <w:tcPr>
            <w:tcW w:w="59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915"/>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Esta prestación procederá durante el tiempo que el trabajador permanezca laborando ininterrumpidamente</w:t>
            </w:r>
          </w:p>
        </w:tc>
        <w:tc>
          <w:tcPr>
            <w:tcW w:w="59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9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639"/>
        </w:trPr>
        <w:tc>
          <w:tcPr>
            <w:tcW w:w="5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5992"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Se adecuan las prestaciones de aguinaldo, prima vacacional y prima de antigüedad </w:t>
            </w:r>
          </w:p>
        </w:tc>
        <w:tc>
          <w:tcPr>
            <w:tcW w:w="2934" w:type="dxa"/>
            <w:gridSpan w:val="2"/>
            <w:tcBorders>
              <w:top w:val="single" w:sz="4" w:space="0" w:color="auto"/>
              <w:left w:val="nil"/>
              <w:bottom w:val="single" w:sz="4" w:space="0" w:color="auto"/>
              <w:right w:val="single" w:sz="4" w:space="0" w:color="000000"/>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089"/>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Con el propósito de cuantificar el impacto financiero inherente a la reforma se presenta un resumen de los resultados de la valuación actuarial estandarizada practicada al 31 de diciembre del 2017 y 2016, expresado en miles de pesos, con una tasa del 2% y 3% como supuestos, en donde se incluye el monto del pasivo por concepto de pensiones por jubilación, invalidez y viudez, el saldo del Fondo existente y el déficit determinado.</w:t>
            </w: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Tasa del 2%</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2017</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2016</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Pensiones determinadas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31,270,471,773.68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23,456,454,066.41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Importe del Fondo </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1,763,352,371.89 </w:t>
            </w:r>
          </w:p>
        </w:tc>
        <w:tc>
          <w:tcPr>
            <w:tcW w:w="3013"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1,551,301,686.69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Déficit</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29,507,119,401.79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21,905,152,379.72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BF6039" w:rsidRDefault="00BF6039" w:rsidP="00426F76">
            <w:pPr>
              <w:spacing w:after="0" w:line="240" w:lineRule="auto"/>
              <w:jc w:val="center"/>
              <w:rPr>
                <w:rFonts w:ascii="Calibri" w:eastAsia="Times New Roman" w:hAnsi="Calibri" w:cs="Calibri"/>
                <w:b/>
                <w:bCs/>
                <w:color w:val="000000"/>
                <w:sz w:val="20"/>
                <w:szCs w:val="20"/>
                <w:lang w:eastAsia="es-ES"/>
              </w:rPr>
            </w:pPr>
          </w:p>
          <w:p w:rsidR="00BF6039" w:rsidRDefault="00BF6039" w:rsidP="00426F76">
            <w:pPr>
              <w:spacing w:after="0" w:line="240" w:lineRule="auto"/>
              <w:jc w:val="center"/>
              <w:rPr>
                <w:rFonts w:ascii="Calibri" w:eastAsia="Times New Roman" w:hAnsi="Calibri" w:cs="Calibri"/>
                <w:b/>
                <w:bCs/>
                <w:color w:val="000000"/>
                <w:sz w:val="20"/>
                <w:szCs w:val="20"/>
                <w:lang w:eastAsia="es-ES"/>
              </w:rPr>
            </w:pPr>
          </w:p>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Tasa del 3%</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2017</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2016</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Pensiones determinadas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21,265,177,769.04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14,368,620,926.02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Importe del Fondo </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1,763,352,371.89 </w:t>
            </w:r>
          </w:p>
        </w:tc>
        <w:tc>
          <w:tcPr>
            <w:tcW w:w="3013"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1,551,301,686.69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Déficit</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19,501,825,397.15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12,817,319,239.33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Default="00426F76" w:rsidP="00426F76">
            <w:pPr>
              <w:spacing w:after="0" w:line="240" w:lineRule="auto"/>
              <w:rPr>
                <w:rFonts w:ascii="Times New Roman" w:eastAsia="Times New Roman" w:hAnsi="Times New Roman" w:cs="Times New Roman"/>
                <w:sz w:val="20"/>
                <w:szCs w:val="20"/>
                <w:lang w:eastAsia="es-ES"/>
              </w:rPr>
            </w:pPr>
          </w:p>
          <w:p w:rsidR="00AB219C" w:rsidRDefault="00AB219C" w:rsidP="00426F76">
            <w:pPr>
              <w:spacing w:after="0" w:line="240" w:lineRule="auto"/>
              <w:rPr>
                <w:rFonts w:ascii="Times New Roman" w:eastAsia="Times New Roman" w:hAnsi="Times New Roman" w:cs="Times New Roman"/>
                <w:sz w:val="20"/>
                <w:szCs w:val="20"/>
                <w:lang w:eastAsia="es-ES"/>
              </w:rPr>
            </w:pPr>
          </w:p>
          <w:p w:rsidR="009128EF" w:rsidRDefault="009128EF" w:rsidP="00426F76">
            <w:pPr>
              <w:spacing w:after="0" w:line="240" w:lineRule="auto"/>
              <w:rPr>
                <w:rFonts w:ascii="Times New Roman" w:eastAsia="Times New Roman" w:hAnsi="Times New Roman" w:cs="Times New Roman"/>
                <w:sz w:val="20"/>
                <w:szCs w:val="20"/>
                <w:lang w:eastAsia="es-ES"/>
              </w:rPr>
            </w:pPr>
          </w:p>
          <w:p w:rsidR="00AB219C" w:rsidRPr="00426F76" w:rsidRDefault="00AB219C"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1.8 Procesos de Mejora</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518"/>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Universidad Autónoma de Yucatán (UADY) juega un papel preponderante en la educación superior en el Estado. Y es por ello que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tc>
      </w:tr>
      <w:tr w:rsidR="00426F76" w:rsidRPr="00426F76" w:rsidTr="00AB219C">
        <w:trPr>
          <w:trHeight w:val="160"/>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348"/>
        </w:trPr>
        <w:tc>
          <w:tcPr>
            <w:tcW w:w="14209" w:type="dxa"/>
            <w:gridSpan w:val="6"/>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Actualmente la Universidad cuenta con el certificado en ISO 9001-2008 de los siguientes procesos:</w:t>
            </w:r>
          </w:p>
        </w:tc>
      </w:tr>
      <w:tr w:rsidR="00426F76" w:rsidRPr="00426F76" w:rsidTr="00AB219C">
        <w:trPr>
          <w:trHeight w:val="232"/>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Selección de aspirantes</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noWrap/>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Diseño y provisión de servicios de tecnologías de la información y comunicaciones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Provisión de servicios bibliotecarios</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Provisión de servicios financieros, materiales y humanos</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Provisión de servicios de salud</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Administración del sistema de gestión de la calidad</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Provisión y gestión de servicios escolares y servicio social</w:t>
            </w: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32"/>
        </w:trPr>
        <w:tc>
          <w:tcPr>
            <w:tcW w:w="1170"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 NOTAS DE DESGLOSE</w:t>
            </w: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(2.1.1)Efectivo y equivalentes</w:t>
            </w:r>
          </w:p>
        </w:tc>
      </w:tr>
      <w:tr w:rsidR="00426F76" w:rsidRPr="00426F76" w:rsidTr="00AB219C">
        <w:trPr>
          <w:trHeight w:val="1553"/>
        </w:trPr>
        <w:tc>
          <w:tcPr>
            <w:tcW w:w="14209" w:type="dxa"/>
            <w:gridSpan w:val="6"/>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Los saldos de efectivo y equivalentes que se presentan en este rubro del Estado de situación financiera, por $790,091,102.90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tc>
      </w:tr>
      <w:tr w:rsidR="00426F76" w:rsidRPr="00426F76" w:rsidTr="00AB219C">
        <w:trPr>
          <w:trHeight w:val="508"/>
        </w:trPr>
        <w:tc>
          <w:tcPr>
            <w:tcW w:w="5283" w:type="dxa"/>
            <w:gridSpan w:val="2"/>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Efectivo y equivalentes de recursos propios generados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355,561,083.14 </w:t>
            </w: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132"/>
        </w:trPr>
        <w:tc>
          <w:tcPr>
            <w:tcW w:w="5283" w:type="dxa"/>
            <w:gridSpan w:val="2"/>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Efectivo y equivalentes de recursos transferidos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165,516,392.94 </w:t>
            </w: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Efectivo y equivalentes restringidos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166,307,372.08 </w:t>
            </w: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vMerge w:val="restart"/>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Aportado por fuentes de financiamiento para programas específicos</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BF6039">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vMerge/>
            <w:tcBorders>
              <w:top w:val="nil"/>
              <w:left w:val="nil"/>
              <w:bottom w:val="nil"/>
              <w:right w:val="nil"/>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979" w:type="dxa"/>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138,657,042.29 </w:t>
            </w:r>
          </w:p>
        </w:tc>
        <w:tc>
          <w:tcPr>
            <w:tcW w:w="3013" w:type="dxa"/>
            <w:tcBorders>
              <w:top w:val="nil"/>
              <w:left w:val="nil"/>
              <w:bottom w:val="nil"/>
              <w:right w:val="nil"/>
            </w:tcBorders>
            <w:shd w:val="clear" w:color="auto" w:fill="auto"/>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Fideicomisos</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27,650,329.79 </w:t>
            </w:r>
          </w:p>
        </w:tc>
        <w:tc>
          <w:tcPr>
            <w:tcW w:w="3013" w:type="dxa"/>
            <w:tcBorders>
              <w:top w:val="nil"/>
              <w:left w:val="nil"/>
              <w:bottom w:val="single" w:sz="4" w:space="0" w:color="auto"/>
              <w:right w:val="nil"/>
            </w:tcBorders>
            <w:shd w:val="clear" w:color="auto" w:fill="auto"/>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BF6039">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687,384,848.16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79"/>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(2.1.2) Derechos a Recibir Efectivo y Equivalentes </w:t>
            </w: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4209" w:type="dxa"/>
            <w:gridSpan w:val="6"/>
            <w:tcBorders>
              <w:top w:val="nil"/>
              <w:left w:val="nil"/>
              <w:bottom w:val="nil"/>
              <w:right w:val="nil"/>
            </w:tcBorders>
            <w:shd w:val="clear" w:color="auto" w:fill="auto"/>
            <w:noWrap/>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El saldo de esta cuenta a la fecha que se presentan los estados financieros está integrado por las siguientes partidas:</w:t>
            </w: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494"/>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Vencimiento menor a 90 días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494"/>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Provisiones de cuentas por cobrar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1,811,714.31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Servicio Médico Jubilados </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6,981,902.84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Deudores Diversos </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1,509,076.14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Préstamo entre fondos </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135,971.08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Funcionarios y Empleados </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33,853.82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94"/>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Otros derechos a recibir efectivo </w:t>
            </w:r>
          </w:p>
        </w:tc>
        <w:tc>
          <w:tcPr>
            <w:tcW w:w="2979" w:type="dxa"/>
            <w:tcBorders>
              <w:top w:val="nil"/>
              <w:left w:val="nil"/>
              <w:bottom w:val="single" w:sz="4" w:space="0" w:color="auto"/>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57,354.41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10,529,872.60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Default="00426F76" w:rsidP="00426F76">
            <w:pPr>
              <w:spacing w:after="0" w:line="240" w:lineRule="auto"/>
              <w:jc w:val="both"/>
              <w:rPr>
                <w:rFonts w:ascii="Times New Roman" w:eastAsia="Times New Roman" w:hAnsi="Times New Roman" w:cs="Times New Roman"/>
                <w:sz w:val="20"/>
                <w:szCs w:val="20"/>
                <w:lang w:eastAsia="es-ES"/>
              </w:rPr>
            </w:pPr>
          </w:p>
          <w:p w:rsidR="00AB219C" w:rsidRDefault="00AB219C" w:rsidP="00426F76">
            <w:pPr>
              <w:spacing w:after="0" w:line="240" w:lineRule="auto"/>
              <w:jc w:val="both"/>
              <w:rPr>
                <w:rFonts w:ascii="Times New Roman" w:eastAsia="Times New Roman" w:hAnsi="Times New Roman" w:cs="Times New Roman"/>
                <w:sz w:val="20"/>
                <w:szCs w:val="20"/>
                <w:lang w:eastAsia="es-ES"/>
              </w:rPr>
            </w:pPr>
          </w:p>
          <w:p w:rsidR="009128EF" w:rsidRPr="00426F76" w:rsidRDefault="009128EF"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552"/>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 xml:space="preserve"> (2.1.3) Derechos a recibir bienes o Servicios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Gastos por Comprobar </w:t>
            </w: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9,315,139.21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single" w:sz="4" w:space="0" w:color="auto"/>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9,315,139.21 </w:t>
            </w:r>
          </w:p>
        </w:tc>
        <w:tc>
          <w:tcPr>
            <w:tcW w:w="3013" w:type="dxa"/>
            <w:tcBorders>
              <w:top w:val="nil"/>
              <w:left w:val="nil"/>
              <w:bottom w:val="nil"/>
              <w:right w:val="nil"/>
            </w:tcBorders>
            <w:shd w:val="clear" w:color="auto" w:fill="auto"/>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(2.1.4) Inventarios</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Almacén.</w:t>
            </w: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755"/>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3990" w:type="dxa"/>
            <w:gridSpan w:val="5"/>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integración de este rubro a la fecha que se presentan los estados financieros  es la siguiente:</w:t>
            </w: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Libros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5,845,674.67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Materiales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1,175,147.52</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Insignias universitarias</w:t>
            </w:r>
          </w:p>
        </w:tc>
        <w:tc>
          <w:tcPr>
            <w:tcW w:w="2979" w:type="dxa"/>
            <w:tcBorders>
              <w:top w:val="nil"/>
              <w:left w:val="nil"/>
              <w:bottom w:val="single" w:sz="4"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187,381.95</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7,208,204.14</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(2.1.5) Otros Activos Circulantes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4209" w:type="dxa"/>
            <w:gridSpan w:val="6"/>
            <w:tcBorders>
              <w:top w:val="nil"/>
              <w:left w:val="nil"/>
              <w:bottom w:val="nil"/>
              <w:right w:val="nil"/>
            </w:tcBorders>
            <w:shd w:val="clear" w:color="auto" w:fill="auto"/>
            <w:vAlign w:val="bottom"/>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Este rubro está integrado por depósitos en garantía a Comisión Federal de Electricidad por un importe de  $10,000.00 pesos.</w:t>
            </w:r>
          </w:p>
        </w:tc>
      </w:tr>
      <w:tr w:rsidR="00426F76" w:rsidRPr="00426F76" w:rsidTr="00AB219C">
        <w:trPr>
          <w:trHeight w:val="508"/>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(2.1.6) Propiedades y Equipo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Su integración es la siguiente:</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94"/>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Saldo al 31 de marzo de 2018</w:t>
            </w:r>
          </w:p>
        </w:tc>
        <w:tc>
          <w:tcPr>
            <w:tcW w:w="2979" w:type="dxa"/>
            <w:tcBorders>
              <w:top w:val="single" w:sz="4" w:space="0" w:color="auto"/>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Inversión</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Depreciación acumulada</w:t>
            </w:r>
          </w:p>
        </w:tc>
        <w:tc>
          <w:tcPr>
            <w:tcW w:w="2715" w:type="dxa"/>
            <w:tcBorders>
              <w:top w:val="single" w:sz="4" w:space="0" w:color="auto"/>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Neto</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47"/>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Bienes inmuebles                                                                                    </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1,919,722,825.18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537,030,128.87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1,382,692,696.31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Mobiliario y equipo administración</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249,618,853.13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175,642,206.21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73,976,646.92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523"/>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Mobiliario y equipo educacional y recreativo</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54,725,515.86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38,303,068.20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16,422,447.66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479"/>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Equipo e Instrumental médico y de laboratorio</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134,451,958.30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59,797,120.41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74,654,837.89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465"/>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Maquinaria, otros equipos y herramientas</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545,700,380.60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279,018,685.58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266,681,695.02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Equipo de transporte</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45,947,273.41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40,648,892.84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5,298,380.57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494"/>
        </w:trPr>
        <w:tc>
          <w:tcPr>
            <w:tcW w:w="5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Colecciones, Obras de arte y objetos valiosos</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93,796,155.04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78,719.41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93,717,435.63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4" w:space="0" w:color="auto"/>
              <w:bottom w:val="single" w:sz="4" w:space="0" w:color="auto"/>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41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979"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3,043,962,961.52 </w:t>
            </w:r>
          </w:p>
        </w:tc>
        <w:tc>
          <w:tcPr>
            <w:tcW w:w="3013"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1,130,518,821.52 </w:t>
            </w:r>
          </w:p>
        </w:tc>
        <w:tc>
          <w:tcPr>
            <w:tcW w:w="2715" w:type="dxa"/>
            <w:tcBorders>
              <w:top w:val="nil"/>
              <w:left w:val="nil"/>
              <w:bottom w:val="single" w:sz="4" w:space="0" w:color="auto"/>
              <w:right w:val="single" w:sz="4" w:space="0" w:color="auto"/>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1,913,444,140.00 </w:t>
            </w: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BF6039" w:rsidRDefault="00BF6039" w:rsidP="00426F76">
            <w:pPr>
              <w:spacing w:after="0" w:line="240" w:lineRule="auto"/>
              <w:jc w:val="center"/>
              <w:rPr>
                <w:rFonts w:ascii="Calibri" w:eastAsia="Times New Roman" w:hAnsi="Calibri" w:cs="Calibri"/>
                <w:b/>
                <w:bCs/>
                <w:color w:val="000000"/>
                <w:sz w:val="20"/>
                <w:szCs w:val="20"/>
                <w:lang w:eastAsia="es-ES"/>
              </w:rPr>
            </w:pPr>
          </w:p>
          <w:p w:rsidR="00BF6039" w:rsidRDefault="00BF6039" w:rsidP="00426F76">
            <w:pPr>
              <w:spacing w:after="0" w:line="240" w:lineRule="auto"/>
              <w:jc w:val="center"/>
              <w:rPr>
                <w:rFonts w:ascii="Calibri" w:eastAsia="Times New Roman" w:hAnsi="Calibri" w:cs="Calibri"/>
                <w:b/>
                <w:bCs/>
                <w:color w:val="000000"/>
                <w:sz w:val="20"/>
                <w:szCs w:val="20"/>
                <w:lang w:eastAsia="es-ES"/>
              </w:rPr>
            </w:pPr>
          </w:p>
          <w:p w:rsidR="00AB219C" w:rsidRDefault="00AB219C" w:rsidP="00426F76">
            <w:pPr>
              <w:spacing w:after="0" w:line="240" w:lineRule="auto"/>
              <w:jc w:val="center"/>
              <w:rPr>
                <w:rFonts w:ascii="Calibri" w:eastAsia="Times New Roman" w:hAnsi="Calibri" w:cs="Calibri"/>
                <w:b/>
                <w:bCs/>
                <w:color w:val="000000"/>
                <w:sz w:val="20"/>
                <w:szCs w:val="20"/>
                <w:lang w:eastAsia="es-ES"/>
              </w:rPr>
            </w:pPr>
          </w:p>
          <w:p w:rsidR="00AB219C" w:rsidRDefault="00AB219C" w:rsidP="00426F76">
            <w:pPr>
              <w:spacing w:after="0" w:line="240" w:lineRule="auto"/>
              <w:jc w:val="center"/>
              <w:rPr>
                <w:rFonts w:ascii="Calibri" w:eastAsia="Times New Roman" w:hAnsi="Calibri" w:cs="Calibri"/>
                <w:b/>
                <w:bCs/>
                <w:color w:val="000000"/>
                <w:sz w:val="20"/>
                <w:szCs w:val="20"/>
                <w:lang w:eastAsia="es-ES"/>
              </w:rPr>
            </w:pPr>
          </w:p>
          <w:p w:rsidR="00AB219C" w:rsidRDefault="00AB219C" w:rsidP="00426F76">
            <w:pPr>
              <w:spacing w:after="0" w:line="240" w:lineRule="auto"/>
              <w:jc w:val="center"/>
              <w:rPr>
                <w:rFonts w:ascii="Calibri" w:eastAsia="Times New Roman" w:hAnsi="Calibri" w:cs="Calibri"/>
                <w:b/>
                <w:bCs/>
                <w:color w:val="000000"/>
                <w:sz w:val="20"/>
                <w:szCs w:val="20"/>
                <w:lang w:eastAsia="es-ES"/>
              </w:rPr>
            </w:pPr>
          </w:p>
          <w:p w:rsidR="009128EF" w:rsidRDefault="009128EF" w:rsidP="00426F76">
            <w:pPr>
              <w:spacing w:after="0" w:line="240" w:lineRule="auto"/>
              <w:jc w:val="center"/>
              <w:rPr>
                <w:rFonts w:ascii="Calibri" w:eastAsia="Times New Roman" w:hAnsi="Calibri" w:cs="Calibri"/>
                <w:b/>
                <w:bCs/>
                <w:color w:val="000000"/>
                <w:sz w:val="20"/>
                <w:szCs w:val="20"/>
                <w:lang w:eastAsia="es-ES"/>
              </w:rPr>
            </w:pPr>
          </w:p>
          <w:p w:rsidR="009128EF" w:rsidRDefault="009128EF" w:rsidP="00426F76">
            <w:pPr>
              <w:spacing w:after="0" w:line="240" w:lineRule="auto"/>
              <w:jc w:val="center"/>
              <w:rPr>
                <w:rFonts w:ascii="Calibri" w:eastAsia="Times New Roman" w:hAnsi="Calibri" w:cs="Calibri"/>
                <w:b/>
                <w:bCs/>
                <w:color w:val="000000"/>
                <w:sz w:val="20"/>
                <w:szCs w:val="20"/>
                <w:lang w:eastAsia="es-ES"/>
              </w:rPr>
            </w:pPr>
          </w:p>
          <w:p w:rsidR="009128EF" w:rsidRDefault="009128EF" w:rsidP="00426F76">
            <w:pPr>
              <w:spacing w:after="0" w:line="240" w:lineRule="auto"/>
              <w:jc w:val="center"/>
              <w:rPr>
                <w:rFonts w:ascii="Calibri" w:eastAsia="Times New Roman" w:hAnsi="Calibri" w:cs="Calibri"/>
                <w:b/>
                <w:bCs/>
                <w:color w:val="000000"/>
                <w:sz w:val="20"/>
                <w:szCs w:val="20"/>
                <w:lang w:eastAsia="es-ES"/>
              </w:rPr>
            </w:pPr>
          </w:p>
          <w:p w:rsidR="009128EF" w:rsidRDefault="009128EF" w:rsidP="00426F76">
            <w:pPr>
              <w:spacing w:after="0" w:line="240" w:lineRule="auto"/>
              <w:jc w:val="center"/>
              <w:rPr>
                <w:rFonts w:ascii="Calibri" w:eastAsia="Times New Roman" w:hAnsi="Calibri" w:cs="Calibri"/>
                <w:b/>
                <w:bCs/>
                <w:color w:val="000000"/>
                <w:sz w:val="20"/>
                <w:szCs w:val="20"/>
                <w:lang w:eastAsia="es-ES"/>
              </w:rPr>
            </w:pPr>
          </w:p>
          <w:p w:rsidR="00AB219C" w:rsidRDefault="00AB219C" w:rsidP="00426F76">
            <w:pPr>
              <w:spacing w:after="0" w:line="240" w:lineRule="auto"/>
              <w:jc w:val="center"/>
              <w:rPr>
                <w:rFonts w:ascii="Calibri" w:eastAsia="Times New Roman" w:hAnsi="Calibri" w:cs="Calibri"/>
                <w:b/>
                <w:bCs/>
                <w:color w:val="000000"/>
                <w:sz w:val="20"/>
                <w:szCs w:val="20"/>
                <w:lang w:eastAsia="es-ES"/>
              </w:rPr>
            </w:pPr>
          </w:p>
          <w:p w:rsidR="00AB219C" w:rsidRDefault="00AB219C" w:rsidP="00426F76">
            <w:pPr>
              <w:spacing w:after="0" w:line="240" w:lineRule="auto"/>
              <w:jc w:val="center"/>
              <w:rPr>
                <w:rFonts w:ascii="Calibri" w:eastAsia="Times New Roman" w:hAnsi="Calibri" w:cs="Calibri"/>
                <w:b/>
                <w:bCs/>
                <w:color w:val="000000"/>
                <w:sz w:val="20"/>
                <w:szCs w:val="20"/>
                <w:lang w:eastAsia="es-ES"/>
              </w:rPr>
            </w:pPr>
          </w:p>
          <w:p w:rsidR="00BF6039" w:rsidRDefault="00BF6039" w:rsidP="00426F76">
            <w:pPr>
              <w:spacing w:after="0" w:line="240" w:lineRule="auto"/>
              <w:jc w:val="center"/>
              <w:rPr>
                <w:rFonts w:ascii="Calibri" w:eastAsia="Times New Roman" w:hAnsi="Calibri" w:cs="Calibri"/>
                <w:b/>
                <w:bCs/>
                <w:color w:val="000000"/>
                <w:sz w:val="20"/>
                <w:szCs w:val="20"/>
                <w:lang w:eastAsia="es-ES"/>
              </w:rPr>
            </w:pPr>
          </w:p>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(2.1.7) Cuentas por pagar</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Retenciones y contribuciones por pagar</w:t>
            </w:r>
          </w:p>
        </w:tc>
        <w:tc>
          <w:tcPr>
            <w:tcW w:w="3013"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18,579,684.86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Proveedores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5,859,462.07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Otras cuentas por pagar</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single" w:sz="4" w:space="0" w:color="auto"/>
              <w:right w:val="nil"/>
            </w:tcBorders>
            <w:shd w:val="clear" w:color="auto" w:fill="auto"/>
            <w:vAlign w:val="bottom"/>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85,947,614.60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319"/>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110,386,761.53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center"/>
            <w:hideMark/>
          </w:tcPr>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BF6039" w:rsidRDefault="00BF6039" w:rsidP="00426F76">
            <w:pPr>
              <w:spacing w:after="0" w:line="240" w:lineRule="auto"/>
              <w:rPr>
                <w:rFonts w:ascii="Calibri" w:eastAsia="Times New Roman" w:hAnsi="Calibri" w:cs="Calibri"/>
                <w:b/>
                <w:bCs/>
                <w:color w:val="000000"/>
                <w:sz w:val="20"/>
                <w:szCs w:val="20"/>
                <w:lang w:eastAsia="es-ES"/>
              </w:rPr>
            </w:pPr>
          </w:p>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(2.1.7.1) Otras cuentas por pagar</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Las principales partidas agrupadas en este rubro, con vencimiento de 30 a 60 días son las siguientes:</w:t>
            </w: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Programas especiales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79,001,289.08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Cuentas por pagar a dependencias</w:t>
            </w: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2,344,320.61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Recuperación de becas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4,788.90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76"/>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Fondo de ahorro para el retiro</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346,725.12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Aportación Servicio médico</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198,414.73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cuotas y aportaciones por recuperar</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2,150,847.96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Préstamo entre fondos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391,765.84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Diversos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single" w:sz="4" w:space="0" w:color="auto"/>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1,509,462.36 </w:t>
            </w:r>
          </w:p>
        </w:tc>
        <w:tc>
          <w:tcPr>
            <w:tcW w:w="2715" w:type="dxa"/>
            <w:tcBorders>
              <w:top w:val="nil"/>
              <w:left w:val="nil"/>
              <w:bottom w:val="nil"/>
              <w:right w:val="nil"/>
            </w:tcBorders>
            <w:shd w:val="clear" w:color="000000" w:fill="FFFFFF"/>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7092"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85,947,614.60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(2.1.7.2)  Retenciones y contribuciones.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32"/>
        </w:trPr>
        <w:tc>
          <w:tcPr>
            <w:tcW w:w="13990" w:type="dxa"/>
            <w:gridSpan w:val="5"/>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 integración de este renglón, a la fecha que se presentan los estados financieros es la siguiente:</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I.S.R</w:t>
            </w:r>
          </w:p>
        </w:tc>
        <w:tc>
          <w:tcPr>
            <w:tcW w:w="2979" w:type="dxa"/>
            <w:tcBorders>
              <w:top w:val="nil"/>
              <w:left w:val="nil"/>
              <w:bottom w:val="nil"/>
              <w:right w:val="nil"/>
            </w:tcBorders>
            <w:shd w:val="clear" w:color="auto" w:fill="auto"/>
            <w:noWrap/>
            <w:vAlign w:val="bottom"/>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6,320,300.07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IVA por pagar</w:t>
            </w:r>
          </w:p>
        </w:tc>
        <w:tc>
          <w:tcPr>
            <w:tcW w:w="2979" w:type="dxa"/>
            <w:tcBorders>
              <w:top w:val="nil"/>
              <w:left w:val="nil"/>
              <w:bottom w:val="nil"/>
              <w:right w:val="nil"/>
            </w:tcBorders>
            <w:shd w:val="clear" w:color="auto" w:fill="auto"/>
            <w:noWrap/>
            <w:vAlign w:val="bottom"/>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220,565.37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Impuesto sobre nóminas</w:t>
            </w:r>
          </w:p>
        </w:tc>
        <w:tc>
          <w:tcPr>
            <w:tcW w:w="2979" w:type="dxa"/>
            <w:tcBorders>
              <w:top w:val="nil"/>
              <w:left w:val="nil"/>
              <w:bottom w:val="nil"/>
              <w:right w:val="nil"/>
            </w:tcBorders>
            <w:shd w:val="clear" w:color="auto" w:fill="auto"/>
            <w:noWrap/>
            <w:vAlign w:val="bottom"/>
            <w:hideMark/>
          </w:tcPr>
          <w:p w:rsidR="00426F76" w:rsidRPr="00426F76" w:rsidRDefault="00426F76" w:rsidP="00BF6039">
            <w:pPr>
              <w:spacing w:after="0" w:line="240" w:lineRule="auto"/>
              <w:jc w:val="right"/>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lang w:eastAsia="es-ES"/>
              </w:rPr>
              <w:t xml:space="preserve">             </w:t>
            </w:r>
            <w:r w:rsidRPr="00426F76">
              <w:rPr>
                <w:rFonts w:ascii="Calibri" w:eastAsia="Times New Roman" w:hAnsi="Calibri" w:cs="Calibri"/>
                <w:color w:val="000000"/>
                <w:sz w:val="20"/>
                <w:szCs w:val="20"/>
                <w:u w:val="single"/>
                <w:lang w:eastAsia="es-ES"/>
              </w:rPr>
              <w:t xml:space="preserve">12,038,819.42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18,579,684.86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2.2 Notas al estado de actividades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275" w:type="dxa"/>
            <w:gridSpan w:val="4"/>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(2.2.1)Principales conceptos que integran la cuenta de otros ingresos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Ingresos de fuentes de financiamiento externas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16,416,885.83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convenios y aportaciones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3,351,066.67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Cuotas de recuperación por uso de espacios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1,014,150.25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Ventas(libros, cds, insignias, didácticos)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1,302,639.85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Donativos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19,214.60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Diferencia en cambios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217,105.25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Ingresos por servicios de dependencias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129,599.72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Congresos y simposiums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72,290.44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Devoluciones y bonificaciones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1,250.00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Ingresos eventuales de administración central</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1,533,790.60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18"/>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Ingresos de ejercicios anteriores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308,123.17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18"/>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Recuperaciones y resarcimientos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single" w:sz="4"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20,358.00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122"/>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7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24,386,474.38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275" w:type="dxa"/>
            <w:gridSpan w:val="4"/>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(2.2.2)Principales conceptos que integran la cuenta de otros gastos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Concepto</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Bonificaciones y descuentos otorgados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968,139.31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Gastos de ejercicios anteriores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260,500.00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Gastos diversos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276.94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Diferencia cambiaria</w:t>
            </w:r>
          </w:p>
        </w:tc>
        <w:tc>
          <w:tcPr>
            <w:tcW w:w="2979" w:type="dxa"/>
            <w:tcBorders>
              <w:top w:val="nil"/>
              <w:left w:val="nil"/>
              <w:bottom w:val="single" w:sz="4"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4,508.59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1,233,424.84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2.3 Notas al estado de variaciones en el patrimonio</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ind w:firstLineChars="500" w:firstLine="1000"/>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33"/>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(2.3.1)</w:t>
            </w:r>
            <w:r w:rsidRPr="00426F76">
              <w:rPr>
                <w:rFonts w:ascii="Calibri" w:eastAsia="Times New Roman" w:hAnsi="Calibri" w:cs="Calibri"/>
                <w:color w:val="000000"/>
                <w:sz w:val="20"/>
                <w:szCs w:val="20"/>
                <w:lang w:eastAsia="es-ES"/>
              </w:rPr>
              <w:t xml:space="preserve">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 </w:t>
            </w:r>
          </w:p>
        </w:tc>
      </w:tr>
      <w:tr w:rsidR="00426F76" w:rsidRPr="00426F76" w:rsidTr="00AB219C">
        <w:trPr>
          <w:trHeight w:val="110"/>
        </w:trPr>
        <w:tc>
          <w:tcPr>
            <w:tcW w:w="1170"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b/>
                <w:bCs/>
                <w:color w:val="000000"/>
                <w:sz w:val="20"/>
                <w:szCs w:val="20"/>
                <w:lang w:eastAsia="es-ES"/>
              </w:rPr>
            </w:pPr>
          </w:p>
        </w:tc>
        <w:tc>
          <w:tcPr>
            <w:tcW w:w="41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2.3.1.1 Aportaciones de capital contribuido </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Patrimonio contribuido al 31 de diciembre de 2017</w:t>
            </w:r>
          </w:p>
        </w:tc>
        <w:tc>
          <w:tcPr>
            <w:tcW w:w="3013"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1,561,275,963.96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aportaciones o disposición de recursos en el ejercicio</w:t>
            </w:r>
          </w:p>
        </w:tc>
        <w:tc>
          <w:tcPr>
            <w:tcW w:w="3013" w:type="dxa"/>
            <w:tcBorders>
              <w:top w:val="nil"/>
              <w:left w:val="nil"/>
              <w:bottom w:val="single" w:sz="4" w:space="0" w:color="auto"/>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13,364,713.00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566"/>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saldo Neto al 31 de marzo 2018</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1,547,911,250.96 </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vAlign w:val="center"/>
            <w:hideMark/>
          </w:tcPr>
          <w:p w:rsidR="00AB219C" w:rsidRDefault="00AB219C" w:rsidP="00426F76">
            <w:pPr>
              <w:spacing w:after="0" w:line="240" w:lineRule="auto"/>
              <w:rPr>
                <w:rFonts w:ascii="Times New Roman" w:eastAsia="Times New Roman" w:hAnsi="Times New Roman" w:cs="Times New Roman"/>
                <w:sz w:val="20"/>
                <w:szCs w:val="20"/>
                <w:lang w:eastAsia="es-ES"/>
              </w:rPr>
            </w:pPr>
          </w:p>
          <w:p w:rsidR="00AB219C" w:rsidRPr="00426F76" w:rsidRDefault="00AB219C"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BF6039">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2.4 Notas al estado de flujos de efectivo</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(2.4.1)Efectivo y equivalentes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Inversiones temporales</w:t>
            </w:r>
          </w:p>
        </w:tc>
        <w:tc>
          <w:tcPr>
            <w:tcW w:w="2979" w:type="dxa"/>
            <w:tcBorders>
              <w:top w:val="nil"/>
              <w:left w:val="nil"/>
              <w:bottom w:val="nil"/>
              <w:right w:val="nil"/>
            </w:tcBorders>
            <w:shd w:val="clear" w:color="auto" w:fill="auto"/>
            <w:noWrap/>
            <w:vAlign w:val="bottom"/>
            <w:hideMark/>
          </w:tcPr>
          <w:p w:rsidR="00426F76" w:rsidRPr="00426F76" w:rsidRDefault="00426F76" w:rsidP="00B42F02">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242,920,894.97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Efectivo en bancos tesorería</w:t>
            </w:r>
          </w:p>
        </w:tc>
        <w:tc>
          <w:tcPr>
            <w:tcW w:w="2979" w:type="dxa"/>
            <w:tcBorders>
              <w:top w:val="nil"/>
              <w:left w:val="nil"/>
              <w:bottom w:val="nil"/>
              <w:right w:val="nil"/>
            </w:tcBorders>
            <w:shd w:val="clear" w:color="auto" w:fill="auto"/>
            <w:noWrap/>
            <w:vAlign w:val="bottom"/>
            <w:hideMark/>
          </w:tcPr>
          <w:p w:rsidR="00426F76" w:rsidRPr="00426F76" w:rsidRDefault="00426F76" w:rsidP="00B42F02">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329,677,535.52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Fideicomisos</w:t>
            </w:r>
          </w:p>
        </w:tc>
        <w:tc>
          <w:tcPr>
            <w:tcW w:w="2979" w:type="dxa"/>
            <w:tcBorders>
              <w:top w:val="nil"/>
              <w:left w:val="nil"/>
              <w:bottom w:val="nil"/>
              <w:right w:val="nil"/>
            </w:tcBorders>
            <w:shd w:val="clear" w:color="auto" w:fill="auto"/>
            <w:noWrap/>
            <w:vAlign w:val="bottom"/>
            <w:hideMark/>
          </w:tcPr>
          <w:p w:rsidR="00426F76" w:rsidRPr="00426F76" w:rsidRDefault="00426F76" w:rsidP="00B42F02">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27,650,329.79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Efectivo en bancos dependencias</w:t>
            </w:r>
          </w:p>
        </w:tc>
        <w:tc>
          <w:tcPr>
            <w:tcW w:w="2979" w:type="dxa"/>
            <w:tcBorders>
              <w:top w:val="nil"/>
              <w:left w:val="nil"/>
              <w:bottom w:val="nil"/>
              <w:right w:val="nil"/>
            </w:tcBorders>
            <w:shd w:val="clear" w:color="auto" w:fill="auto"/>
            <w:noWrap/>
            <w:vAlign w:val="bottom"/>
            <w:hideMark/>
          </w:tcPr>
          <w:p w:rsidR="00426F76" w:rsidRPr="00426F76" w:rsidRDefault="00426F76" w:rsidP="00B42F02">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80,061,404.15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Fondo fijo</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B42F02">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7,074,683.73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B42F02">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687,384,848.16 </w:t>
            </w: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Adquisiciones </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57"/>
        </w:trPr>
        <w:tc>
          <w:tcPr>
            <w:tcW w:w="14209" w:type="dxa"/>
            <w:gridSpan w:val="6"/>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Las adquisiciones se efectuaron con recursos de las distintas fuentes de financiamiento de la Institución, y fueron liquidadas en su totalidad en el ejercicio que se informa</w:t>
            </w: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Bienes Muebles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4,082,379.54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Bienes Inmuebles</w:t>
            </w:r>
          </w:p>
        </w:tc>
        <w:tc>
          <w:tcPr>
            <w:tcW w:w="2979" w:type="dxa"/>
            <w:tcBorders>
              <w:top w:val="nil"/>
              <w:left w:val="nil"/>
              <w:bottom w:val="single" w:sz="4"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381,802.42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4,464,181.96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275" w:type="dxa"/>
            <w:gridSpan w:val="4"/>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Conciliación de flujos de operación y cuenta de ahorro/desahorro</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Ahorro/desahorro de operación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13,734,067.65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Partidas que no afectan efectivo</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Depreciaciones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Baja de artículos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Reclasificación de artículos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single" w:sz="4" w:space="0" w:color="auto"/>
              <w:left w:val="nil"/>
              <w:bottom w:val="single" w:sz="4" w:space="0" w:color="auto"/>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w:t>
            </w: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ahorro /desahorro neto</w:t>
            </w:r>
          </w:p>
        </w:tc>
        <w:tc>
          <w:tcPr>
            <w:tcW w:w="2979" w:type="dxa"/>
            <w:tcBorders>
              <w:top w:val="nil"/>
              <w:left w:val="nil"/>
              <w:bottom w:val="nil"/>
              <w:right w:val="nil"/>
            </w:tcBorders>
            <w:shd w:val="clear" w:color="auto" w:fill="auto"/>
            <w:noWrap/>
            <w:vAlign w:val="center"/>
            <w:hideMark/>
          </w:tcPr>
          <w:p w:rsidR="00426F76" w:rsidRPr="00426F76" w:rsidRDefault="00426F76" w:rsidP="009F2627">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          13,734,067.65 </w:t>
            </w: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Default="00426F76" w:rsidP="00426F76">
            <w:pPr>
              <w:spacing w:after="0" w:line="240" w:lineRule="auto"/>
              <w:rPr>
                <w:rFonts w:ascii="Times New Roman" w:eastAsia="Times New Roman" w:hAnsi="Times New Roman" w:cs="Times New Roman"/>
                <w:sz w:val="20"/>
                <w:szCs w:val="20"/>
                <w:lang w:eastAsia="es-ES"/>
              </w:rPr>
            </w:pPr>
          </w:p>
          <w:p w:rsidR="009128EF" w:rsidRDefault="009128EF" w:rsidP="00426F76">
            <w:pPr>
              <w:spacing w:after="0" w:line="240" w:lineRule="auto"/>
              <w:rPr>
                <w:rFonts w:ascii="Times New Roman" w:eastAsia="Times New Roman" w:hAnsi="Times New Roman" w:cs="Times New Roman"/>
                <w:sz w:val="20"/>
                <w:szCs w:val="20"/>
                <w:lang w:eastAsia="es-ES"/>
              </w:rPr>
            </w:pPr>
          </w:p>
          <w:p w:rsidR="009128EF" w:rsidRDefault="009128EF" w:rsidP="00426F76">
            <w:pPr>
              <w:spacing w:after="0" w:line="240" w:lineRule="auto"/>
              <w:rPr>
                <w:rFonts w:ascii="Times New Roman" w:eastAsia="Times New Roman" w:hAnsi="Times New Roman" w:cs="Times New Roman"/>
                <w:sz w:val="20"/>
                <w:szCs w:val="20"/>
                <w:lang w:eastAsia="es-ES"/>
              </w:rPr>
            </w:pPr>
          </w:p>
          <w:p w:rsidR="009128EF" w:rsidRDefault="009128EF" w:rsidP="00426F76">
            <w:pPr>
              <w:spacing w:after="0" w:line="240" w:lineRule="auto"/>
              <w:rPr>
                <w:rFonts w:ascii="Times New Roman" w:eastAsia="Times New Roman" w:hAnsi="Times New Roman" w:cs="Times New Roman"/>
                <w:sz w:val="20"/>
                <w:szCs w:val="20"/>
                <w:lang w:eastAsia="es-ES"/>
              </w:rPr>
            </w:pPr>
          </w:p>
          <w:p w:rsidR="009128EF" w:rsidRPr="00426F76" w:rsidRDefault="009128EF"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697"/>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lastRenderedPageBreak/>
              <w:t>2.5 Conciliación entre los ingresos presupuestarios y contables, así como entre los egresos presupuestarios y los gastos contables</w:t>
            </w:r>
          </w:p>
        </w:tc>
      </w:tr>
      <w:tr w:rsidR="00426F76" w:rsidRPr="00426F76" w:rsidTr="00AB219C">
        <w:trPr>
          <w:trHeight w:val="261"/>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399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UNIVERSIDAD AUTONOMA DE YUCATAN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47"/>
        </w:trPr>
        <w:tc>
          <w:tcPr>
            <w:tcW w:w="13990" w:type="dxa"/>
            <w:gridSpan w:val="5"/>
            <w:tcBorders>
              <w:top w:val="nil"/>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CONCILIACION ENTRE LOS INGRESOS PRESUPUESTARIOS Y CONTABLES</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76"/>
        </w:trPr>
        <w:tc>
          <w:tcPr>
            <w:tcW w:w="13990" w:type="dxa"/>
            <w:gridSpan w:val="5"/>
            <w:tcBorders>
              <w:top w:val="nil"/>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CORRESPONDIENTE DEL 1°  DE ENERO AL 31 DE MARZO DE 2018</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61"/>
        </w:trPr>
        <w:tc>
          <w:tcPr>
            <w:tcW w:w="1399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(CIFRAS EN PESOS)</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305"/>
        </w:trPr>
        <w:tc>
          <w:tcPr>
            <w:tcW w:w="5283" w:type="dxa"/>
            <w:gridSpan w:val="2"/>
            <w:tcBorders>
              <w:top w:val="nil"/>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Ingresos Presupuestarios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693,273,240.58</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305"/>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Ingresos Contables no Presupuestarios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0.00</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90"/>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8"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Incremento por variación de inventarios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639"/>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Disminución del exceso de estimaciones por pérdida o deterioro u obsolescencia</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Disminución del exceso de provisiones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ingresos y beneficios varios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305"/>
        </w:trPr>
        <w:tc>
          <w:tcPr>
            <w:tcW w:w="8262" w:type="dxa"/>
            <w:gridSpan w:val="3"/>
            <w:tcBorders>
              <w:top w:val="single" w:sz="4"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Ingresos contables no presupuestarios</w:t>
            </w:r>
          </w:p>
        </w:tc>
        <w:tc>
          <w:tcPr>
            <w:tcW w:w="3013" w:type="dxa"/>
            <w:tcBorders>
              <w:top w:val="nil"/>
              <w:left w:val="single" w:sz="8" w:space="0" w:color="auto"/>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305"/>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Ingresos Presupuestarios no Contables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single" w:sz="8" w:space="0" w:color="auto"/>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0.00</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90"/>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8"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Productos de Capital</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Aprovechamientos Capital</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Ingresos derivados de financiamientos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305"/>
        </w:trPr>
        <w:tc>
          <w:tcPr>
            <w:tcW w:w="8262" w:type="dxa"/>
            <w:gridSpan w:val="3"/>
            <w:tcBorders>
              <w:top w:val="single" w:sz="4"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Ingresos presupuestarios no contables</w:t>
            </w:r>
          </w:p>
        </w:tc>
        <w:tc>
          <w:tcPr>
            <w:tcW w:w="3013" w:type="dxa"/>
            <w:tcBorders>
              <w:top w:val="nil"/>
              <w:left w:val="single" w:sz="8" w:space="0" w:color="auto"/>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305"/>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Ingresos Contables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single" w:sz="8" w:space="0" w:color="auto"/>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693,273,240.58</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Default="00426F76" w:rsidP="00426F76">
            <w:pPr>
              <w:spacing w:after="0" w:line="240" w:lineRule="auto"/>
              <w:rPr>
                <w:rFonts w:ascii="Times New Roman" w:eastAsia="Times New Roman" w:hAnsi="Times New Roman" w:cs="Times New Roman"/>
                <w:sz w:val="20"/>
                <w:szCs w:val="20"/>
                <w:lang w:eastAsia="es-ES"/>
              </w:rPr>
            </w:pPr>
          </w:p>
          <w:p w:rsidR="009F2627" w:rsidRDefault="009F2627" w:rsidP="00426F76">
            <w:pPr>
              <w:spacing w:after="0" w:line="240" w:lineRule="auto"/>
              <w:rPr>
                <w:rFonts w:ascii="Times New Roman" w:eastAsia="Times New Roman" w:hAnsi="Times New Roman" w:cs="Times New Roman"/>
                <w:sz w:val="20"/>
                <w:szCs w:val="20"/>
                <w:lang w:eastAsia="es-ES"/>
              </w:rPr>
            </w:pPr>
          </w:p>
          <w:p w:rsidR="009F2627" w:rsidRDefault="009F2627" w:rsidP="00426F76">
            <w:pPr>
              <w:spacing w:after="0" w:line="240" w:lineRule="auto"/>
              <w:rPr>
                <w:rFonts w:ascii="Times New Roman" w:eastAsia="Times New Roman" w:hAnsi="Times New Roman" w:cs="Times New Roman"/>
                <w:sz w:val="20"/>
                <w:szCs w:val="20"/>
                <w:lang w:eastAsia="es-ES"/>
              </w:rPr>
            </w:pPr>
          </w:p>
          <w:p w:rsidR="009F2627" w:rsidRDefault="009F2627" w:rsidP="00426F76">
            <w:pPr>
              <w:spacing w:after="0" w:line="240" w:lineRule="auto"/>
              <w:rPr>
                <w:rFonts w:ascii="Times New Roman" w:eastAsia="Times New Roman" w:hAnsi="Times New Roman" w:cs="Times New Roman"/>
                <w:sz w:val="20"/>
                <w:szCs w:val="20"/>
                <w:lang w:eastAsia="es-ES"/>
              </w:rPr>
            </w:pPr>
          </w:p>
          <w:p w:rsidR="009F2627" w:rsidRPr="00426F76" w:rsidRDefault="009F2627"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61"/>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399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UNIVERSIDAD AUTONOMA DE YUCATAN</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47"/>
        </w:trPr>
        <w:tc>
          <w:tcPr>
            <w:tcW w:w="13990" w:type="dxa"/>
            <w:gridSpan w:val="5"/>
            <w:tcBorders>
              <w:top w:val="nil"/>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CONCILIACION ENTRE LOS EGRESOS PRESUPUESTARIOS Y LOS GASTOS CONTABLES</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47"/>
        </w:trPr>
        <w:tc>
          <w:tcPr>
            <w:tcW w:w="13990" w:type="dxa"/>
            <w:gridSpan w:val="5"/>
            <w:tcBorders>
              <w:top w:val="nil"/>
              <w:left w:val="single" w:sz="8" w:space="0" w:color="auto"/>
              <w:bottom w:val="nil"/>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CORRESPONDIENTE DEL 1° DE ENERO AL 31 DE MARZO DE 2018</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61"/>
        </w:trPr>
        <w:tc>
          <w:tcPr>
            <w:tcW w:w="13990" w:type="dxa"/>
            <w:gridSpan w:val="5"/>
            <w:tcBorders>
              <w:top w:val="nil"/>
              <w:left w:val="single" w:sz="8" w:space="0" w:color="auto"/>
              <w:bottom w:val="single" w:sz="8" w:space="0" w:color="auto"/>
              <w:right w:val="single" w:sz="8" w:space="0" w:color="000000"/>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(CIFRAS EN PESOS)</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r>
      <w:tr w:rsidR="00426F76" w:rsidRPr="00426F76" w:rsidTr="00AB219C">
        <w:trPr>
          <w:trHeight w:val="261"/>
        </w:trPr>
        <w:tc>
          <w:tcPr>
            <w:tcW w:w="5283" w:type="dxa"/>
            <w:gridSpan w:val="2"/>
            <w:tcBorders>
              <w:top w:val="nil"/>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 de Egresos (Presupuestarios)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539,702,233.94</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61"/>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Egresos Presupuestarios no Contables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7,716,535.66</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Mobiliario y equipo de administración</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2,313,173.47</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Mobiliario y equipo educacional y recreativo</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100,209.81</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Equipo e instrumental médico y de laboratorio</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76,529.21</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Vehículos y equipo de transporte</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480,000.00</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Equipo de defensa y seguridad</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Maquinaria, otros equipos y herramientas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3,679,532.65</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Activos biológicos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Bienes inmuebles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Activos Intangibles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Obra pública en bienes propios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1,067,090.52</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Acciones y participaciones de capital</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Compra de títulos y valores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479"/>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Inversiones en fideicomisos, mandatos y otros análogos</w:t>
            </w:r>
          </w:p>
        </w:tc>
        <w:tc>
          <w:tcPr>
            <w:tcW w:w="3013" w:type="dxa"/>
            <w:tcBorders>
              <w:top w:val="nil"/>
              <w:left w:val="nil"/>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465"/>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Provisiones para contingencias y otras erogaciones especiales</w:t>
            </w:r>
          </w:p>
        </w:tc>
        <w:tc>
          <w:tcPr>
            <w:tcW w:w="3013" w:type="dxa"/>
            <w:tcBorders>
              <w:top w:val="nil"/>
              <w:left w:val="nil"/>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Amortización de la deuda pública</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Adeudos de ejercicios fiscales anteriores (ADEFAS)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single" w:sz="4"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Egresos Presupuestales No Contables</w:t>
            </w:r>
          </w:p>
        </w:tc>
        <w:tc>
          <w:tcPr>
            <w:tcW w:w="3013" w:type="dxa"/>
            <w:tcBorders>
              <w:top w:val="nil"/>
              <w:left w:val="single" w:sz="8" w:space="0" w:color="auto"/>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61"/>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Gastos Contables No Presupuestales</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single" w:sz="8" w:space="0" w:color="auto"/>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1,233,424.84</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653"/>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 </w:t>
            </w:r>
          </w:p>
        </w:tc>
        <w:tc>
          <w:tcPr>
            <w:tcW w:w="7092" w:type="dxa"/>
            <w:gridSpan w:val="2"/>
            <w:tcBorders>
              <w:top w:val="single" w:sz="8" w:space="0" w:color="auto"/>
              <w:left w:val="single" w:sz="4" w:space="0" w:color="auto"/>
              <w:bottom w:val="single" w:sz="4" w:space="0" w:color="auto"/>
              <w:right w:val="single" w:sz="8" w:space="0" w:color="000000"/>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Estimaciones, depreciaciones, deterioros, obsolescencia y amortizaciones</w:t>
            </w:r>
          </w:p>
        </w:tc>
        <w:tc>
          <w:tcPr>
            <w:tcW w:w="3013" w:type="dxa"/>
            <w:tcBorders>
              <w:top w:val="nil"/>
              <w:left w:val="nil"/>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Provisiones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Disminución de inventarios</w:t>
            </w:r>
          </w:p>
        </w:tc>
        <w:tc>
          <w:tcPr>
            <w:tcW w:w="2979" w:type="dxa"/>
            <w:tcBorders>
              <w:top w:val="nil"/>
              <w:left w:val="nil"/>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69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single" w:sz="4" w:space="0" w:color="auto"/>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Aumento por insuficiencia de estimaciones por pérdida o deterioro u obsolescencia</w:t>
            </w:r>
          </w:p>
        </w:tc>
        <w:tc>
          <w:tcPr>
            <w:tcW w:w="2979" w:type="dxa"/>
            <w:tcBorders>
              <w:top w:val="nil"/>
              <w:left w:val="nil"/>
              <w:bottom w:val="single" w:sz="4" w:space="0" w:color="auto"/>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7092" w:type="dxa"/>
            <w:gridSpan w:val="2"/>
            <w:tcBorders>
              <w:top w:val="single" w:sz="4" w:space="0" w:color="auto"/>
              <w:left w:val="single" w:sz="4" w:space="0" w:color="auto"/>
              <w:bottom w:val="single" w:sz="4"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Aumento por insuficiencia de provisiones</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single" w:sz="8"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4113" w:type="dxa"/>
            <w:tcBorders>
              <w:top w:val="nil"/>
              <w:left w:val="single" w:sz="4" w:space="0" w:color="auto"/>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gastos</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3013" w:type="dxa"/>
            <w:tcBorders>
              <w:top w:val="nil"/>
              <w:left w:val="single" w:sz="8" w:space="0" w:color="auto"/>
              <w:bottom w:val="single" w:sz="4" w:space="0" w:color="auto"/>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single" w:sz="4"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Otros Gastos Contables No Presupuestales</w:t>
            </w:r>
          </w:p>
        </w:tc>
        <w:tc>
          <w:tcPr>
            <w:tcW w:w="3013" w:type="dxa"/>
            <w:tcBorders>
              <w:top w:val="nil"/>
              <w:left w:val="single" w:sz="8" w:space="0" w:color="auto"/>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1,233,424.84</w:t>
            </w:r>
          </w:p>
        </w:tc>
        <w:tc>
          <w:tcPr>
            <w:tcW w:w="2715" w:type="dxa"/>
            <w:tcBorders>
              <w:top w:val="nil"/>
              <w:left w:val="nil"/>
              <w:bottom w:val="nil"/>
              <w:right w:val="single" w:sz="8" w:space="0" w:color="auto"/>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r>
      <w:tr w:rsidR="00426F76" w:rsidRPr="00426F76" w:rsidTr="00AB219C">
        <w:trPr>
          <w:trHeight w:val="261"/>
        </w:trPr>
        <w:tc>
          <w:tcPr>
            <w:tcW w:w="5283" w:type="dxa"/>
            <w:gridSpan w:val="2"/>
            <w:tcBorders>
              <w:top w:val="single" w:sz="8" w:space="0" w:color="auto"/>
              <w:left w:val="single" w:sz="8" w:space="0" w:color="auto"/>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 de Gasto Contable</w:t>
            </w:r>
          </w:p>
        </w:tc>
        <w:tc>
          <w:tcPr>
            <w:tcW w:w="2979"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3013" w:type="dxa"/>
            <w:tcBorders>
              <w:top w:val="nil"/>
              <w:left w:val="nil"/>
              <w:bottom w:val="single" w:sz="8" w:space="0" w:color="auto"/>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w:t>
            </w:r>
          </w:p>
        </w:tc>
        <w:tc>
          <w:tcPr>
            <w:tcW w:w="2715" w:type="dxa"/>
            <w:tcBorders>
              <w:top w:val="single" w:sz="8" w:space="0" w:color="auto"/>
              <w:left w:val="nil"/>
              <w:bottom w:val="single" w:sz="8" w:space="0" w:color="auto"/>
              <w:right w:val="single" w:sz="8" w:space="0" w:color="auto"/>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533,219,123.12</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9F2627" w:rsidRDefault="009F2627" w:rsidP="00426F76">
            <w:pPr>
              <w:spacing w:after="0" w:line="240" w:lineRule="auto"/>
              <w:rPr>
                <w:rFonts w:ascii="Calibri" w:eastAsia="Times New Roman" w:hAnsi="Calibri" w:cs="Calibri"/>
                <w:b/>
                <w:bCs/>
                <w:color w:val="000000"/>
                <w:sz w:val="20"/>
                <w:szCs w:val="20"/>
                <w:lang w:eastAsia="es-ES"/>
              </w:rPr>
            </w:pPr>
          </w:p>
          <w:p w:rsidR="009F2627" w:rsidRDefault="009F2627" w:rsidP="00426F76">
            <w:pPr>
              <w:spacing w:after="0" w:line="240" w:lineRule="auto"/>
              <w:rPr>
                <w:rFonts w:ascii="Calibri" w:eastAsia="Times New Roman" w:hAnsi="Calibri" w:cs="Calibri"/>
                <w:b/>
                <w:bCs/>
                <w:color w:val="000000"/>
                <w:sz w:val="20"/>
                <w:szCs w:val="20"/>
                <w:lang w:eastAsia="es-ES"/>
              </w:rPr>
            </w:pPr>
          </w:p>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3. NOTAS DE MEMORIA</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r w:rsidRPr="00426F76">
              <w:rPr>
                <w:rFonts w:ascii="Calibri" w:eastAsia="Times New Roman" w:hAnsi="Calibri" w:cs="Calibri"/>
                <w:b/>
                <w:bCs/>
                <w:color w:val="000000"/>
                <w:sz w:val="20"/>
                <w:szCs w:val="20"/>
                <w:u w:val="single"/>
                <w:lang w:eastAsia="es-ES"/>
              </w:rPr>
              <w:t>Cuentas de orden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En estas cuentas de orden  se registran las siguientes situaciones:</w:t>
            </w: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Aportaciones a fondos</w:t>
            </w:r>
            <w:r w:rsidRPr="00426F76">
              <w:rPr>
                <w:rFonts w:ascii="Calibri" w:eastAsia="Times New Roman" w:hAnsi="Calibri" w:cs="Calibri"/>
                <w:color w:val="000000"/>
                <w:sz w:val="20"/>
                <w:szCs w:val="20"/>
                <w:lang w:eastAsia="es-ES"/>
              </w:rPr>
              <w:t>.</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1365"/>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Mediante las aportaciones efectuadas, tanto por la Universidad como por los empleados y personal académico, se constituyen los fondos de Vivienda, de Préstamos, Jubilaciones y de Aportaciones al Retiro, que son administrados por la Universidad. Al ser valores ajenos a la Institución, el control contable de los mismos se realiza en “Cuentas de Orden”. El patrimonio de estos Fondos al 31 de marzo de 2018 es de  $2,788,237,222.68 ($2,711,239,624.42 a diciembre 2017) y su integración es la siguiente:</w:t>
            </w:r>
          </w:p>
        </w:tc>
      </w:tr>
      <w:tr w:rsidR="00426F76" w:rsidRPr="00426F76" w:rsidTr="00AB219C">
        <w:trPr>
          <w:trHeight w:val="247"/>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lastRenderedPageBreak/>
              <w:t xml:space="preserve">Fondos de jubilaciones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1,816,951,961.52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Fondos para el retiro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236,934,575.37</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Fondos para préstamos personales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19,270,068.42</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90"/>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Fondos para vivienda</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703,454,266.74</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305"/>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Fondo de ahorro empleados</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11,626,350.63</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305"/>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Total                                            </w:t>
            </w:r>
          </w:p>
        </w:tc>
        <w:tc>
          <w:tcPr>
            <w:tcW w:w="2979" w:type="dxa"/>
            <w:tcBorders>
              <w:top w:val="single" w:sz="8" w:space="0" w:color="auto"/>
              <w:left w:val="nil"/>
              <w:bottom w:val="double" w:sz="6"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2,788,237,222.68</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 xml:space="preserve"> Fondo de jubilaciones, integración:</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Aportación Federal </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    1,339,790,855.42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Aportación UADY y Personal UADY</w:t>
            </w:r>
          </w:p>
        </w:tc>
        <w:tc>
          <w:tcPr>
            <w:tcW w:w="297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272,996,332.54</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61"/>
        </w:trPr>
        <w:tc>
          <w:tcPr>
            <w:tcW w:w="5283" w:type="dxa"/>
            <w:gridSpan w:val="2"/>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Intereses</w:t>
            </w:r>
          </w:p>
        </w:tc>
        <w:tc>
          <w:tcPr>
            <w:tcW w:w="2979" w:type="dxa"/>
            <w:tcBorders>
              <w:top w:val="nil"/>
              <w:left w:val="nil"/>
              <w:bottom w:val="single" w:sz="8"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204,164,773.56</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61"/>
        </w:trPr>
        <w:tc>
          <w:tcPr>
            <w:tcW w:w="5283" w:type="dxa"/>
            <w:gridSpan w:val="2"/>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Total</w:t>
            </w:r>
          </w:p>
        </w:tc>
        <w:tc>
          <w:tcPr>
            <w:tcW w:w="2979" w:type="dxa"/>
            <w:tcBorders>
              <w:top w:val="nil"/>
              <w:left w:val="nil"/>
              <w:bottom w:val="double" w:sz="6"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1,816,951,961.52</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61"/>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5283" w:type="dxa"/>
            <w:gridSpan w:val="2"/>
            <w:tcBorders>
              <w:top w:val="nil"/>
              <w:left w:val="nil"/>
              <w:bottom w:val="nil"/>
              <w:right w:val="nil"/>
            </w:tcBorders>
            <w:shd w:val="clear" w:color="auto" w:fill="auto"/>
            <w:noWrap/>
            <w:vAlign w:val="center"/>
            <w:hideMark/>
          </w:tcPr>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9128EF" w:rsidRDefault="009128EF" w:rsidP="00426F76">
            <w:pPr>
              <w:spacing w:after="0" w:line="240" w:lineRule="auto"/>
              <w:rPr>
                <w:rFonts w:ascii="Calibri" w:eastAsia="Times New Roman" w:hAnsi="Calibri" w:cs="Calibri"/>
                <w:b/>
                <w:bCs/>
                <w:color w:val="000000"/>
                <w:sz w:val="20"/>
                <w:szCs w:val="20"/>
                <w:lang w:eastAsia="es-ES"/>
              </w:rPr>
            </w:pPr>
          </w:p>
          <w:p w:rsidR="009128EF" w:rsidRDefault="009128EF" w:rsidP="00426F76">
            <w:pPr>
              <w:spacing w:after="0" w:line="240" w:lineRule="auto"/>
              <w:rPr>
                <w:rFonts w:ascii="Calibri" w:eastAsia="Times New Roman" w:hAnsi="Calibri" w:cs="Calibri"/>
                <w:b/>
                <w:bCs/>
                <w:color w:val="000000"/>
                <w:sz w:val="20"/>
                <w:szCs w:val="20"/>
                <w:lang w:eastAsia="es-ES"/>
              </w:rPr>
            </w:pPr>
          </w:p>
          <w:p w:rsidR="009128EF" w:rsidRDefault="009128EF" w:rsidP="00426F76">
            <w:pPr>
              <w:spacing w:after="0" w:line="240" w:lineRule="auto"/>
              <w:rPr>
                <w:rFonts w:ascii="Calibri" w:eastAsia="Times New Roman" w:hAnsi="Calibri" w:cs="Calibri"/>
                <w:b/>
                <w:bCs/>
                <w:color w:val="000000"/>
                <w:sz w:val="20"/>
                <w:szCs w:val="20"/>
                <w:lang w:eastAsia="es-ES"/>
              </w:rPr>
            </w:pPr>
          </w:p>
          <w:p w:rsidR="009128EF" w:rsidRDefault="009128EF"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010626" w:rsidRDefault="00010626" w:rsidP="00426F76">
            <w:pPr>
              <w:spacing w:after="0" w:line="240" w:lineRule="auto"/>
              <w:rPr>
                <w:rFonts w:ascii="Calibri" w:eastAsia="Times New Roman" w:hAnsi="Calibri" w:cs="Calibri"/>
                <w:b/>
                <w:bCs/>
                <w:color w:val="000000"/>
                <w:sz w:val="20"/>
                <w:szCs w:val="20"/>
                <w:lang w:eastAsia="es-ES"/>
              </w:rPr>
            </w:pPr>
          </w:p>
          <w:p w:rsidR="00426F76" w:rsidRPr="00426F76" w:rsidRDefault="00426F76" w:rsidP="00426F76">
            <w:pPr>
              <w:spacing w:after="0" w:line="240" w:lineRule="auto"/>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lastRenderedPageBreak/>
              <w:t xml:space="preserve">Litigios en proceso.  </w:t>
            </w: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Calibri" w:eastAsia="Times New Roman" w:hAnsi="Calibri" w:cs="Calibri"/>
                <w:b/>
                <w:bCs/>
                <w:color w:val="000000"/>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653"/>
        </w:trPr>
        <w:tc>
          <w:tcPr>
            <w:tcW w:w="14209" w:type="dxa"/>
            <w:gridSpan w:val="6"/>
            <w:tcBorders>
              <w:top w:val="nil"/>
              <w:left w:val="nil"/>
              <w:bottom w:val="nil"/>
              <w:right w:val="nil"/>
            </w:tcBorders>
            <w:shd w:val="clear" w:color="auto" w:fill="auto"/>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Conforme a la información proporcionada por el departamento de asuntos jurídicos de la oficina del abogado general de la Universidad, la Institución al cierre de año, tiene los siguientes litigios en proceso</w:t>
            </w:r>
          </w:p>
        </w:tc>
      </w:tr>
      <w:tr w:rsidR="00426F76" w:rsidRPr="00426F76" w:rsidTr="00AB219C">
        <w:trPr>
          <w:trHeight w:val="247"/>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both"/>
              <w:rPr>
                <w:rFonts w:ascii="Calibri" w:eastAsia="Times New Roman" w:hAnsi="Calibri" w:cs="Calibri"/>
                <w:color w:val="000000"/>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both"/>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465"/>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Vigentes al 31 de diciembre de 2017</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Probable repercusión económica</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39 asuntos laborales en los que la Institución es demandada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$11,088,345.52</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5 asuntos laborales de designación de beneficiarios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606,949.25</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7 asuntos de recuperación. Mercantiles, penales y civiles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-4,310,666.48</w:t>
            </w: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Times New Roman" w:eastAsia="Times New Roman" w:hAnsi="Times New Roman" w:cs="Times New Roman"/>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Estimación del pasivo contingente por litigios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2715" w:type="dxa"/>
            <w:tcBorders>
              <w:top w:val="single" w:sz="8" w:space="0" w:color="auto"/>
              <w:left w:val="nil"/>
              <w:bottom w:val="double" w:sz="6"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$11,695,294.77</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r>
      <w:tr w:rsidR="00426F76" w:rsidRPr="00426F76" w:rsidTr="00AB219C">
        <w:trPr>
          <w:trHeight w:val="261"/>
        </w:trPr>
        <w:tc>
          <w:tcPr>
            <w:tcW w:w="13990" w:type="dxa"/>
            <w:gridSpan w:val="5"/>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90"/>
        </w:trPr>
        <w:tc>
          <w:tcPr>
            <w:tcW w:w="11275" w:type="dxa"/>
            <w:gridSpan w:val="4"/>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vMerge w:val="restart"/>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Repercusión económica</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Calibri" w:eastAsia="Times New Roman" w:hAnsi="Calibri" w:cs="Calibri"/>
                <w:color w:val="000000"/>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r w:rsidRPr="00426F76">
              <w:rPr>
                <w:rFonts w:ascii="Calibri" w:eastAsia="Times New Roman" w:hAnsi="Calibri" w:cs="Calibri"/>
                <w:color w:val="000000"/>
                <w:sz w:val="20"/>
                <w:szCs w:val="20"/>
                <w:u w:val="single"/>
                <w:lang w:eastAsia="es-ES"/>
              </w:rPr>
              <w:t>Terminados al 31 de diciembre de 2017</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color w:val="000000"/>
                <w:sz w:val="20"/>
                <w:szCs w:val="20"/>
                <w:u w:val="single"/>
                <w:lang w:eastAsia="es-ES"/>
              </w:rPr>
            </w:pPr>
          </w:p>
        </w:tc>
        <w:tc>
          <w:tcPr>
            <w:tcW w:w="2715" w:type="dxa"/>
            <w:vMerge/>
            <w:tcBorders>
              <w:top w:val="nil"/>
              <w:left w:val="nil"/>
              <w:bottom w:val="nil"/>
              <w:right w:val="nil"/>
            </w:tcBorders>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center"/>
              <w:rPr>
                <w:rFonts w:ascii="Times New Roman" w:eastAsia="Times New Roman" w:hAnsi="Times New Roman" w:cs="Times New Roman"/>
                <w:sz w:val="20"/>
                <w:szCs w:val="20"/>
                <w:lang w:eastAsia="es-ES"/>
              </w:rPr>
            </w:pPr>
          </w:p>
        </w:tc>
      </w:tr>
      <w:tr w:rsidR="00426F76" w:rsidRPr="00426F76" w:rsidTr="00AB219C">
        <w:trPr>
          <w:trHeight w:val="247"/>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5 asuntos laborales en los que la Institución es demandada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               1,337,745.70 </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13 asuntos de designación de beneficiarios</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2,011,057.00</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vAlign w:val="bottom"/>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 xml:space="preserve">3 asuntos contenciosos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rPr>
                <w:rFonts w:ascii="Calibri" w:eastAsia="Times New Roman" w:hAnsi="Calibri" w:cs="Calibri"/>
                <w:color w:val="000000"/>
                <w:sz w:val="20"/>
                <w:szCs w:val="20"/>
                <w:lang w:eastAsia="es-ES"/>
              </w:rPr>
            </w:pPr>
          </w:p>
        </w:tc>
        <w:tc>
          <w:tcPr>
            <w:tcW w:w="2715"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r w:rsidRPr="00426F76">
              <w:rPr>
                <w:rFonts w:ascii="Calibri" w:eastAsia="Times New Roman" w:hAnsi="Calibri" w:cs="Calibri"/>
                <w:color w:val="000000"/>
                <w:sz w:val="20"/>
                <w:szCs w:val="20"/>
                <w:lang w:eastAsia="es-ES"/>
              </w:rPr>
              <w:t>817,369.76</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color w:val="000000"/>
                <w:sz w:val="20"/>
                <w:szCs w:val="20"/>
                <w:lang w:eastAsia="es-ES"/>
              </w:rPr>
            </w:pPr>
          </w:p>
        </w:tc>
      </w:tr>
      <w:tr w:rsidR="00426F76" w:rsidRPr="00426F76" w:rsidTr="00AB219C">
        <w:trPr>
          <w:trHeight w:val="261"/>
        </w:trPr>
        <w:tc>
          <w:tcPr>
            <w:tcW w:w="8262" w:type="dxa"/>
            <w:gridSpan w:val="3"/>
            <w:tcBorders>
              <w:top w:val="nil"/>
              <w:left w:val="nil"/>
              <w:bottom w:val="nil"/>
              <w:right w:val="nil"/>
            </w:tcBorders>
            <w:shd w:val="clear" w:color="auto" w:fill="auto"/>
            <w:noWrap/>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 xml:space="preserve">  Estimación del pasivo contingente por litigios </w:t>
            </w:r>
          </w:p>
        </w:tc>
        <w:tc>
          <w:tcPr>
            <w:tcW w:w="3013" w:type="dxa"/>
            <w:tcBorders>
              <w:top w:val="nil"/>
              <w:left w:val="nil"/>
              <w:bottom w:val="nil"/>
              <w:right w:val="nil"/>
            </w:tcBorders>
            <w:shd w:val="clear" w:color="auto" w:fill="auto"/>
            <w:vAlign w:val="center"/>
            <w:hideMark/>
          </w:tcPr>
          <w:p w:rsidR="00426F76" w:rsidRPr="00426F76" w:rsidRDefault="00426F76" w:rsidP="00426F76">
            <w:pPr>
              <w:spacing w:after="0" w:line="240" w:lineRule="auto"/>
              <w:jc w:val="center"/>
              <w:rPr>
                <w:rFonts w:ascii="Calibri" w:eastAsia="Times New Roman" w:hAnsi="Calibri" w:cs="Calibri"/>
                <w:b/>
                <w:bCs/>
                <w:color w:val="000000"/>
                <w:sz w:val="20"/>
                <w:szCs w:val="20"/>
                <w:lang w:eastAsia="es-ES"/>
              </w:rPr>
            </w:pPr>
          </w:p>
        </w:tc>
        <w:tc>
          <w:tcPr>
            <w:tcW w:w="2715" w:type="dxa"/>
            <w:tcBorders>
              <w:top w:val="single" w:sz="8" w:space="0" w:color="auto"/>
              <w:left w:val="nil"/>
              <w:bottom w:val="double" w:sz="6" w:space="0" w:color="auto"/>
              <w:right w:val="nil"/>
            </w:tcBorders>
            <w:shd w:val="clear" w:color="auto" w:fill="auto"/>
            <w:vAlign w:val="center"/>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r w:rsidRPr="00426F76">
              <w:rPr>
                <w:rFonts w:ascii="Calibri" w:eastAsia="Times New Roman" w:hAnsi="Calibri" w:cs="Calibri"/>
                <w:b/>
                <w:bCs/>
                <w:color w:val="000000"/>
                <w:sz w:val="20"/>
                <w:szCs w:val="20"/>
                <w:lang w:eastAsia="es-ES"/>
              </w:rPr>
              <w:t>$4,166,172.46</w:t>
            </w: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jc w:val="right"/>
              <w:rPr>
                <w:rFonts w:ascii="Calibri" w:eastAsia="Times New Roman" w:hAnsi="Calibri" w:cs="Calibri"/>
                <w:b/>
                <w:bCs/>
                <w:color w:val="000000"/>
                <w:sz w:val="20"/>
                <w:szCs w:val="20"/>
                <w:lang w:eastAsia="es-ES"/>
              </w:rPr>
            </w:pPr>
          </w:p>
        </w:tc>
      </w:tr>
      <w:tr w:rsidR="00426F76" w:rsidRPr="00426F76" w:rsidTr="00AB219C">
        <w:trPr>
          <w:trHeight w:val="261"/>
        </w:trPr>
        <w:tc>
          <w:tcPr>
            <w:tcW w:w="1170" w:type="dxa"/>
            <w:tcBorders>
              <w:top w:val="nil"/>
              <w:left w:val="nil"/>
              <w:bottom w:val="nil"/>
              <w:right w:val="nil"/>
            </w:tcBorders>
            <w:shd w:val="clear" w:color="auto" w:fill="auto"/>
            <w:noWrap/>
            <w:vAlign w:val="center"/>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247"/>
        </w:trPr>
        <w:tc>
          <w:tcPr>
            <w:tcW w:w="1170"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41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97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3013"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715"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c>
          <w:tcPr>
            <w:tcW w:w="219" w:type="dxa"/>
            <w:tcBorders>
              <w:top w:val="nil"/>
              <w:left w:val="nil"/>
              <w:bottom w:val="nil"/>
              <w:right w:val="nil"/>
            </w:tcBorders>
            <w:shd w:val="clear" w:color="auto" w:fill="auto"/>
            <w:noWrap/>
            <w:vAlign w:val="bottom"/>
            <w:hideMark/>
          </w:tcPr>
          <w:p w:rsidR="00426F76" w:rsidRPr="00426F76" w:rsidRDefault="00426F76" w:rsidP="00426F76">
            <w:pPr>
              <w:spacing w:after="0" w:line="240" w:lineRule="auto"/>
              <w:rPr>
                <w:rFonts w:ascii="Times New Roman" w:eastAsia="Times New Roman" w:hAnsi="Times New Roman" w:cs="Times New Roman"/>
                <w:sz w:val="20"/>
                <w:szCs w:val="20"/>
                <w:lang w:eastAsia="es-ES"/>
              </w:rPr>
            </w:pPr>
          </w:p>
        </w:tc>
      </w:tr>
      <w:tr w:rsidR="00426F76" w:rsidRPr="00426F76" w:rsidTr="00AB219C">
        <w:trPr>
          <w:trHeight w:val="537"/>
        </w:trPr>
        <w:tc>
          <w:tcPr>
            <w:tcW w:w="14209" w:type="dxa"/>
            <w:gridSpan w:val="6"/>
            <w:tcBorders>
              <w:top w:val="nil"/>
              <w:left w:val="nil"/>
              <w:bottom w:val="nil"/>
              <w:right w:val="nil"/>
            </w:tcBorders>
            <w:shd w:val="clear" w:color="auto" w:fill="auto"/>
            <w:noWrap/>
            <w:hideMark/>
          </w:tcPr>
          <w:p w:rsidR="00426F76" w:rsidRPr="00426F76" w:rsidRDefault="00426F76" w:rsidP="00426F76">
            <w:pPr>
              <w:spacing w:after="0" w:line="240" w:lineRule="auto"/>
              <w:jc w:val="both"/>
              <w:rPr>
                <w:rFonts w:ascii="Calibri" w:eastAsia="Times New Roman" w:hAnsi="Calibri" w:cs="Calibri"/>
                <w:sz w:val="20"/>
                <w:szCs w:val="20"/>
                <w:lang w:eastAsia="es-ES"/>
              </w:rPr>
            </w:pPr>
            <w:r w:rsidRPr="00426F76">
              <w:rPr>
                <w:rFonts w:ascii="Calibri" w:eastAsia="Times New Roman" w:hAnsi="Calibri" w:cs="Calibri"/>
                <w:sz w:val="20"/>
                <w:szCs w:val="20"/>
                <w:lang w:eastAsia="es-ES"/>
              </w:rPr>
              <w:t>Bajo protesta de decir verdad declaramos que los Estados Financieros y sus Notas son razonablemente correctos y responsabilidad del emisor.</w:t>
            </w:r>
          </w:p>
        </w:tc>
      </w:tr>
    </w:tbl>
    <w:p w:rsidR="005A6FE7" w:rsidRDefault="005A6FE7">
      <w:bookmarkStart w:id="0" w:name="_GoBack"/>
      <w:bookmarkEnd w:id="0"/>
    </w:p>
    <w:sectPr w:rsidR="005A6FE7" w:rsidSect="005A6FE7">
      <w:pgSz w:w="16838" w:h="11906"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85" w:rsidRDefault="003E7F85" w:rsidP="005A6FE7">
      <w:pPr>
        <w:spacing w:after="0" w:line="240" w:lineRule="auto"/>
      </w:pPr>
      <w:r>
        <w:separator/>
      </w:r>
    </w:p>
  </w:endnote>
  <w:endnote w:type="continuationSeparator" w:id="0">
    <w:p w:rsidR="003E7F85" w:rsidRDefault="003E7F85" w:rsidP="005A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85" w:rsidRDefault="003E7F85" w:rsidP="005A6FE7">
      <w:pPr>
        <w:spacing w:after="0" w:line="240" w:lineRule="auto"/>
      </w:pPr>
      <w:r>
        <w:separator/>
      </w:r>
    </w:p>
  </w:footnote>
  <w:footnote w:type="continuationSeparator" w:id="0">
    <w:p w:rsidR="003E7F85" w:rsidRDefault="003E7F85" w:rsidP="005A6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76"/>
    <w:rsid w:val="00010626"/>
    <w:rsid w:val="003E7F85"/>
    <w:rsid w:val="00426F76"/>
    <w:rsid w:val="00585462"/>
    <w:rsid w:val="005A6FE7"/>
    <w:rsid w:val="006626D8"/>
    <w:rsid w:val="00893D44"/>
    <w:rsid w:val="009128EF"/>
    <w:rsid w:val="009F2627"/>
    <w:rsid w:val="00AB219C"/>
    <w:rsid w:val="00B42F02"/>
    <w:rsid w:val="00BF6039"/>
    <w:rsid w:val="00D31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26F76"/>
    <w:rPr>
      <w:color w:val="0563C1"/>
      <w:u w:val="single"/>
    </w:rPr>
  </w:style>
  <w:style w:type="character" w:styleId="Hipervnculovisitado">
    <w:name w:val="FollowedHyperlink"/>
    <w:basedOn w:val="Fuentedeprrafopredeter"/>
    <w:uiPriority w:val="99"/>
    <w:semiHidden/>
    <w:unhideWhenUsed/>
    <w:rsid w:val="00426F76"/>
    <w:rPr>
      <w:color w:val="954F72"/>
      <w:u w:val="single"/>
    </w:rPr>
  </w:style>
  <w:style w:type="paragraph" w:customStyle="1" w:styleId="msonormal0">
    <w:name w:val="msonormal"/>
    <w:basedOn w:val="Normal"/>
    <w:rsid w:val="00426F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426F76"/>
    <w:pPr>
      <w:spacing w:before="100" w:beforeAutospacing="1" w:after="100" w:afterAutospacing="1" w:line="240" w:lineRule="auto"/>
    </w:pPr>
    <w:rPr>
      <w:rFonts w:ascii="Calibri" w:eastAsia="Times New Roman" w:hAnsi="Calibri" w:cs="Calibri"/>
      <w:color w:val="000000"/>
      <w:sz w:val="20"/>
      <w:szCs w:val="20"/>
      <w:lang w:eastAsia="es-ES"/>
    </w:rPr>
  </w:style>
  <w:style w:type="paragraph" w:customStyle="1" w:styleId="font6">
    <w:name w:val="font6"/>
    <w:basedOn w:val="Normal"/>
    <w:rsid w:val="00426F76"/>
    <w:pPr>
      <w:spacing w:before="100" w:beforeAutospacing="1" w:after="100" w:afterAutospacing="1" w:line="240" w:lineRule="auto"/>
    </w:pPr>
    <w:rPr>
      <w:rFonts w:ascii="Calibri" w:eastAsia="Times New Roman" w:hAnsi="Calibri" w:cs="Calibri"/>
      <w:b/>
      <w:bCs/>
      <w:color w:val="000000"/>
      <w:sz w:val="20"/>
      <w:szCs w:val="20"/>
      <w:lang w:eastAsia="es-ES"/>
    </w:rPr>
  </w:style>
  <w:style w:type="paragraph" w:customStyle="1" w:styleId="font7">
    <w:name w:val="font7"/>
    <w:basedOn w:val="Normal"/>
    <w:rsid w:val="00426F76"/>
    <w:pPr>
      <w:spacing w:before="100" w:beforeAutospacing="1" w:after="100" w:afterAutospacing="1" w:line="240" w:lineRule="auto"/>
    </w:pPr>
    <w:rPr>
      <w:rFonts w:ascii="Tahoma" w:eastAsia="Times New Roman" w:hAnsi="Tahoma" w:cs="Tahoma"/>
      <w:b/>
      <w:bCs/>
      <w:color w:val="000000"/>
      <w:sz w:val="16"/>
      <w:szCs w:val="16"/>
      <w:lang w:eastAsia="es-ES"/>
    </w:rPr>
  </w:style>
  <w:style w:type="paragraph" w:customStyle="1" w:styleId="font8">
    <w:name w:val="font8"/>
    <w:basedOn w:val="Normal"/>
    <w:rsid w:val="00426F76"/>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9">
    <w:name w:val="font9"/>
    <w:basedOn w:val="Normal"/>
    <w:rsid w:val="00426F76"/>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xl65">
    <w:name w:val="xl65"/>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6">
    <w:name w:val="xl66"/>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7">
    <w:name w:val="xl67"/>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8">
    <w:name w:val="xl68"/>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69">
    <w:name w:val="xl69"/>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0">
    <w:name w:val="xl70"/>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71">
    <w:name w:val="xl71"/>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2">
    <w:name w:val="xl7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3">
    <w:name w:val="xl7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4">
    <w:name w:val="xl74"/>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5">
    <w:name w:val="xl75"/>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6">
    <w:name w:val="xl7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7">
    <w:name w:val="xl7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8">
    <w:name w:val="xl7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9">
    <w:name w:val="xl7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80">
    <w:name w:val="xl80"/>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u w:val="single"/>
      <w:lang w:eastAsia="es-ES"/>
    </w:rPr>
  </w:style>
  <w:style w:type="paragraph" w:customStyle="1" w:styleId="xl81">
    <w:name w:val="xl8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82">
    <w:name w:val="xl8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83">
    <w:name w:val="xl83"/>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84">
    <w:name w:val="xl84"/>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5">
    <w:name w:val="xl85"/>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6">
    <w:name w:val="xl86"/>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7">
    <w:name w:val="xl87"/>
    <w:basedOn w:val="Normal"/>
    <w:rsid w:val="00426F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8">
    <w:name w:val="xl88"/>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89">
    <w:name w:val="xl89"/>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90">
    <w:name w:val="xl90"/>
    <w:basedOn w:val="Normal"/>
    <w:rsid w:val="00426F7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91">
    <w:name w:val="xl91"/>
    <w:basedOn w:val="Normal"/>
    <w:rsid w:val="00426F76"/>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2">
    <w:name w:val="xl92"/>
    <w:basedOn w:val="Normal"/>
    <w:rsid w:val="00426F7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3">
    <w:name w:val="xl93"/>
    <w:basedOn w:val="Normal"/>
    <w:rsid w:val="00426F7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4">
    <w:name w:val="xl94"/>
    <w:basedOn w:val="Normal"/>
    <w:rsid w:val="00426F7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5">
    <w:name w:val="xl95"/>
    <w:basedOn w:val="Normal"/>
    <w:rsid w:val="00426F7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6">
    <w:name w:val="xl96"/>
    <w:basedOn w:val="Normal"/>
    <w:rsid w:val="00426F76"/>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7">
    <w:name w:val="xl97"/>
    <w:basedOn w:val="Normal"/>
    <w:rsid w:val="00426F7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8">
    <w:name w:val="xl98"/>
    <w:basedOn w:val="Normal"/>
    <w:rsid w:val="00426F76"/>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9">
    <w:name w:val="xl99"/>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0">
    <w:name w:val="xl100"/>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1">
    <w:name w:val="xl101"/>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2">
    <w:name w:val="xl102"/>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3">
    <w:name w:val="xl103"/>
    <w:basedOn w:val="Normal"/>
    <w:rsid w:val="00426F7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4">
    <w:name w:val="xl104"/>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5">
    <w:name w:val="xl105"/>
    <w:basedOn w:val="Normal"/>
    <w:rsid w:val="00426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6">
    <w:name w:val="xl106"/>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7">
    <w:name w:val="xl107"/>
    <w:basedOn w:val="Normal"/>
    <w:rsid w:val="00426F7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8">
    <w:name w:val="xl108"/>
    <w:basedOn w:val="Normal"/>
    <w:rsid w:val="00426F76"/>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9">
    <w:name w:val="xl109"/>
    <w:basedOn w:val="Normal"/>
    <w:rsid w:val="00426F76"/>
    <w:pPr>
      <w:pBdr>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0">
    <w:name w:val="xl110"/>
    <w:basedOn w:val="Normal"/>
    <w:rsid w:val="00426F76"/>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1">
    <w:name w:val="xl111"/>
    <w:basedOn w:val="Normal"/>
    <w:rsid w:val="00426F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2">
    <w:name w:val="xl112"/>
    <w:basedOn w:val="Normal"/>
    <w:rsid w:val="00426F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3">
    <w:name w:val="xl113"/>
    <w:basedOn w:val="Normal"/>
    <w:rsid w:val="00426F7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4">
    <w:name w:val="xl114"/>
    <w:basedOn w:val="Normal"/>
    <w:rsid w:val="00426F7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5">
    <w:name w:val="xl115"/>
    <w:basedOn w:val="Normal"/>
    <w:rsid w:val="00426F7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6">
    <w:name w:val="xl116"/>
    <w:basedOn w:val="Normal"/>
    <w:rsid w:val="00426F7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7">
    <w:name w:val="xl117"/>
    <w:basedOn w:val="Normal"/>
    <w:rsid w:val="00426F7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8">
    <w:name w:val="xl118"/>
    <w:basedOn w:val="Normal"/>
    <w:rsid w:val="00426F7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9">
    <w:name w:val="xl119"/>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20">
    <w:name w:val="xl120"/>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21">
    <w:name w:val="xl121"/>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2">
    <w:name w:val="xl122"/>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3">
    <w:name w:val="xl12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124">
    <w:name w:val="xl124"/>
    <w:basedOn w:val="Normal"/>
    <w:rsid w:val="00426F76"/>
    <w:pPr>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0"/>
      <w:szCs w:val="20"/>
      <w:lang w:eastAsia="es-ES"/>
    </w:rPr>
  </w:style>
  <w:style w:type="paragraph" w:customStyle="1" w:styleId="xl125">
    <w:name w:val="xl125"/>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i/>
      <w:iCs/>
      <w:sz w:val="20"/>
      <w:szCs w:val="20"/>
      <w:lang w:eastAsia="es-ES"/>
    </w:rPr>
  </w:style>
  <w:style w:type="paragraph" w:customStyle="1" w:styleId="xl126">
    <w:name w:val="xl12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27">
    <w:name w:val="xl127"/>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128">
    <w:name w:val="xl128"/>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9">
    <w:name w:val="xl129"/>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30">
    <w:name w:val="xl130"/>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1">
    <w:name w:val="xl131"/>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32">
    <w:name w:val="xl13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133">
    <w:name w:val="xl13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34">
    <w:name w:val="xl134"/>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5">
    <w:name w:val="xl135"/>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136">
    <w:name w:val="xl13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i/>
      <w:iCs/>
      <w:sz w:val="20"/>
      <w:szCs w:val="20"/>
      <w:u w:val="single"/>
      <w:lang w:eastAsia="es-ES"/>
    </w:rPr>
  </w:style>
  <w:style w:type="paragraph" w:customStyle="1" w:styleId="xl137">
    <w:name w:val="xl137"/>
    <w:basedOn w:val="Normal"/>
    <w:rsid w:val="00426F76"/>
    <w:pPr>
      <w:spacing w:before="100" w:beforeAutospacing="1" w:after="100" w:afterAutospacing="1" w:line="240" w:lineRule="auto"/>
      <w:textAlignment w:val="center"/>
    </w:pPr>
    <w:rPr>
      <w:rFonts w:ascii="Times New Roman" w:eastAsia="Times New Roman" w:hAnsi="Times New Roman" w:cs="Times New Roman"/>
      <w:i/>
      <w:iCs/>
      <w:sz w:val="20"/>
      <w:szCs w:val="20"/>
      <w:lang w:eastAsia="es-ES"/>
    </w:rPr>
  </w:style>
  <w:style w:type="paragraph" w:customStyle="1" w:styleId="xl138">
    <w:name w:val="xl13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9">
    <w:name w:val="xl139"/>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40">
    <w:name w:val="xl140"/>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41">
    <w:name w:val="xl14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42">
    <w:name w:val="xl142"/>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43">
    <w:name w:val="xl14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144">
    <w:name w:val="xl144"/>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145">
    <w:name w:val="xl145"/>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46">
    <w:name w:val="xl146"/>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47">
    <w:name w:val="xl147"/>
    <w:basedOn w:val="Normal"/>
    <w:rsid w:val="00426F76"/>
    <w:pPr>
      <w:spacing w:before="100" w:beforeAutospacing="1" w:after="100" w:afterAutospacing="1" w:line="240" w:lineRule="auto"/>
    </w:pPr>
    <w:rPr>
      <w:rFonts w:ascii="Times New Roman" w:eastAsia="Times New Roman" w:hAnsi="Times New Roman" w:cs="Times New Roman"/>
      <w:b/>
      <w:bCs/>
      <w:sz w:val="20"/>
      <w:szCs w:val="20"/>
      <w:u w:val="single"/>
      <w:lang w:eastAsia="es-ES"/>
    </w:rPr>
  </w:style>
  <w:style w:type="paragraph" w:customStyle="1" w:styleId="xl148">
    <w:name w:val="xl14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49">
    <w:name w:val="xl14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150">
    <w:name w:val="xl150"/>
    <w:basedOn w:val="Normal"/>
    <w:rsid w:val="00426F76"/>
    <w:pP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151">
    <w:name w:val="xl151"/>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152">
    <w:name w:val="xl152"/>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53">
    <w:name w:val="xl153"/>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154">
    <w:name w:val="xl154"/>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155">
    <w:name w:val="xl155"/>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56">
    <w:name w:val="xl156"/>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57">
    <w:name w:val="xl15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58">
    <w:name w:val="xl15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59">
    <w:name w:val="xl15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0">
    <w:name w:val="xl160"/>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61">
    <w:name w:val="xl16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62">
    <w:name w:val="xl16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3">
    <w:name w:val="xl163"/>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64">
    <w:name w:val="xl164"/>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65">
    <w:name w:val="xl165"/>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6">
    <w:name w:val="xl16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67">
    <w:name w:val="xl16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68">
    <w:name w:val="xl16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69">
    <w:name w:val="xl16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70">
    <w:name w:val="xl170"/>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71">
    <w:name w:val="xl17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72">
    <w:name w:val="xl172"/>
    <w:basedOn w:val="Normal"/>
    <w:rsid w:val="00426F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3">
    <w:name w:val="xl173"/>
    <w:basedOn w:val="Normal"/>
    <w:rsid w:val="00426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4">
    <w:name w:val="xl174"/>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75">
    <w:name w:val="xl175"/>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176">
    <w:name w:val="xl176"/>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77">
    <w:name w:val="xl177"/>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78">
    <w:name w:val="xl17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9">
    <w:name w:val="xl179"/>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0">
    <w:name w:val="xl180"/>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1">
    <w:name w:val="xl181"/>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2">
    <w:name w:val="xl182"/>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83">
    <w:name w:val="xl183"/>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4">
    <w:name w:val="xl184"/>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5">
    <w:name w:val="xl185"/>
    <w:basedOn w:val="Normal"/>
    <w:rsid w:val="00426F76"/>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6">
    <w:name w:val="xl186"/>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87">
    <w:name w:val="xl187"/>
    <w:basedOn w:val="Normal"/>
    <w:rsid w:val="00426F76"/>
    <w:pPr>
      <w:spacing w:before="100" w:beforeAutospacing="1" w:after="100" w:afterAutospacing="1" w:line="240" w:lineRule="auto"/>
      <w:jc w:val="both"/>
    </w:pPr>
    <w:rPr>
      <w:rFonts w:ascii="Times New Roman" w:eastAsia="Times New Roman" w:hAnsi="Times New Roman" w:cs="Times New Roman"/>
      <w:b/>
      <w:bCs/>
      <w:sz w:val="20"/>
      <w:szCs w:val="20"/>
      <w:lang w:eastAsia="es-ES"/>
    </w:rPr>
  </w:style>
  <w:style w:type="paragraph" w:customStyle="1" w:styleId="xl188">
    <w:name w:val="xl188"/>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189">
    <w:name w:val="xl189"/>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90">
    <w:name w:val="xl190"/>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91">
    <w:name w:val="xl191"/>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2">
    <w:name w:val="xl192"/>
    <w:basedOn w:val="Normal"/>
    <w:rsid w:val="00426F7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3">
    <w:name w:val="xl193"/>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4">
    <w:name w:val="xl194"/>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5">
    <w:name w:val="xl195"/>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96">
    <w:name w:val="xl196"/>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97">
    <w:name w:val="xl197"/>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98">
    <w:name w:val="xl198"/>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99">
    <w:name w:val="xl199"/>
    <w:basedOn w:val="Normal"/>
    <w:rsid w:val="00426F76"/>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200">
    <w:name w:val="xl200"/>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01">
    <w:name w:val="xl201"/>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2">
    <w:name w:val="xl202"/>
    <w:basedOn w:val="Normal"/>
    <w:rsid w:val="00426F7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03">
    <w:name w:val="xl20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4">
    <w:name w:val="xl204"/>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05">
    <w:name w:val="xl205"/>
    <w:basedOn w:val="Normal"/>
    <w:rsid w:val="00426F76"/>
    <w:pPr>
      <w:pBdr>
        <w:top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06">
    <w:name w:val="xl206"/>
    <w:basedOn w:val="Normal"/>
    <w:rsid w:val="00426F76"/>
    <w:pPr>
      <w:pBdr>
        <w:top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07">
    <w:name w:val="xl20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8">
    <w:name w:val="xl208"/>
    <w:basedOn w:val="Normal"/>
    <w:rsid w:val="00426F76"/>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09">
    <w:name w:val="xl209"/>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10">
    <w:name w:val="xl210"/>
    <w:basedOn w:val="Normal"/>
    <w:rsid w:val="00426F76"/>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211">
    <w:name w:val="xl21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212">
    <w:name w:val="xl21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3">
    <w:name w:val="xl213"/>
    <w:basedOn w:val="Normal"/>
    <w:rsid w:val="00426F7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4">
    <w:name w:val="xl214"/>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15">
    <w:name w:val="xl215"/>
    <w:basedOn w:val="Normal"/>
    <w:rsid w:val="00426F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6">
    <w:name w:val="xl216"/>
    <w:basedOn w:val="Normal"/>
    <w:rsid w:val="00426F76"/>
    <w:pPr>
      <w:pBdr>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17">
    <w:name w:val="xl217"/>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18">
    <w:name w:val="xl218"/>
    <w:basedOn w:val="Normal"/>
    <w:rsid w:val="00426F76"/>
    <w:pPr>
      <w:spacing w:before="100" w:beforeAutospacing="1" w:after="100" w:afterAutospacing="1" w:line="240" w:lineRule="auto"/>
      <w:jc w:val="both"/>
    </w:pPr>
    <w:rPr>
      <w:rFonts w:ascii="Times New Roman" w:eastAsia="Times New Roman" w:hAnsi="Times New Roman" w:cs="Times New Roman"/>
      <w:b/>
      <w:bCs/>
      <w:sz w:val="20"/>
      <w:szCs w:val="20"/>
      <w:lang w:eastAsia="es-ES"/>
    </w:rPr>
  </w:style>
  <w:style w:type="paragraph" w:customStyle="1" w:styleId="xl219">
    <w:name w:val="xl219"/>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20">
    <w:name w:val="xl220"/>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1">
    <w:name w:val="xl22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22">
    <w:name w:val="xl222"/>
    <w:basedOn w:val="Normal"/>
    <w:rsid w:val="00426F7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223">
    <w:name w:val="xl223"/>
    <w:basedOn w:val="Normal"/>
    <w:rsid w:val="00426F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24">
    <w:name w:val="xl224"/>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5">
    <w:name w:val="xl225"/>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6">
    <w:name w:val="xl226"/>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27">
    <w:name w:val="xl227"/>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28">
    <w:name w:val="xl228"/>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29">
    <w:name w:val="xl229"/>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30">
    <w:name w:val="xl230"/>
    <w:basedOn w:val="Normal"/>
    <w:rsid w:val="00426F76"/>
    <w:pP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31">
    <w:name w:val="xl231"/>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32">
    <w:name w:val="xl232"/>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33">
    <w:name w:val="xl23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34">
    <w:name w:val="xl234"/>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235">
    <w:name w:val="xl235"/>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36">
    <w:name w:val="xl236"/>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u w:val="single"/>
      <w:lang w:eastAsia="es-ES"/>
    </w:rPr>
  </w:style>
  <w:style w:type="paragraph" w:customStyle="1" w:styleId="xl237">
    <w:name w:val="xl237"/>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238">
    <w:name w:val="xl238"/>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39">
    <w:name w:val="xl23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es-ES"/>
    </w:rPr>
  </w:style>
  <w:style w:type="paragraph" w:customStyle="1" w:styleId="xl240">
    <w:name w:val="xl240"/>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41">
    <w:name w:val="xl241"/>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2">
    <w:name w:val="xl24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i/>
      <w:iCs/>
      <w:sz w:val="20"/>
      <w:szCs w:val="20"/>
      <w:lang w:eastAsia="es-ES"/>
    </w:rPr>
  </w:style>
  <w:style w:type="paragraph" w:customStyle="1" w:styleId="xl243">
    <w:name w:val="xl243"/>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44">
    <w:name w:val="xl244"/>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45">
    <w:name w:val="xl245"/>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246">
    <w:name w:val="xl246"/>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47">
    <w:name w:val="xl247"/>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8">
    <w:name w:val="xl248"/>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9">
    <w:name w:val="xl249"/>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0">
    <w:name w:val="xl250"/>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1">
    <w:name w:val="xl251"/>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52">
    <w:name w:val="xl252"/>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53">
    <w:name w:val="xl253"/>
    <w:basedOn w:val="Normal"/>
    <w:rsid w:val="00426F76"/>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4">
    <w:name w:val="xl254"/>
    <w:basedOn w:val="Normal"/>
    <w:rsid w:val="00426F7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5">
    <w:name w:val="xl255"/>
    <w:basedOn w:val="Normal"/>
    <w:rsid w:val="00426F76"/>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6">
    <w:name w:val="xl256"/>
    <w:basedOn w:val="Normal"/>
    <w:rsid w:val="00426F76"/>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7">
    <w:name w:val="xl257"/>
    <w:basedOn w:val="Normal"/>
    <w:rsid w:val="00426F76"/>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8">
    <w:name w:val="xl258"/>
    <w:basedOn w:val="Normal"/>
    <w:rsid w:val="00426F7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9">
    <w:name w:val="xl259"/>
    <w:basedOn w:val="Normal"/>
    <w:rsid w:val="00426F76"/>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0">
    <w:name w:val="xl260"/>
    <w:basedOn w:val="Normal"/>
    <w:rsid w:val="00426F7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1">
    <w:name w:val="xl261"/>
    <w:basedOn w:val="Normal"/>
    <w:rsid w:val="00426F76"/>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2">
    <w:name w:val="xl262"/>
    <w:basedOn w:val="Normal"/>
    <w:rsid w:val="00426F76"/>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3">
    <w:name w:val="xl263"/>
    <w:basedOn w:val="Normal"/>
    <w:rsid w:val="00426F76"/>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4">
    <w:name w:val="xl264"/>
    <w:basedOn w:val="Normal"/>
    <w:rsid w:val="00426F7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5">
    <w:name w:val="xl265"/>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6">
    <w:name w:val="xl266"/>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7">
    <w:name w:val="xl267"/>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68">
    <w:name w:val="xl268"/>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69">
    <w:name w:val="xl269"/>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70">
    <w:name w:val="xl270"/>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71">
    <w:name w:val="xl271"/>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72">
    <w:name w:val="xl272"/>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73">
    <w:name w:val="xl273"/>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74">
    <w:name w:val="xl274"/>
    <w:basedOn w:val="Normal"/>
    <w:rsid w:val="00426F76"/>
    <w:pP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275">
    <w:name w:val="xl275"/>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76">
    <w:name w:val="xl276"/>
    <w:basedOn w:val="Normal"/>
    <w:rsid w:val="00426F76"/>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es-ES"/>
    </w:rPr>
  </w:style>
  <w:style w:type="paragraph" w:customStyle="1" w:styleId="xl277">
    <w:name w:val="xl277"/>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78">
    <w:name w:val="xl278"/>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79">
    <w:name w:val="xl27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80">
    <w:name w:val="xl280"/>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281">
    <w:name w:val="xl281"/>
    <w:basedOn w:val="Normal"/>
    <w:rsid w:val="00426F7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2">
    <w:name w:val="xl282"/>
    <w:basedOn w:val="Normal"/>
    <w:rsid w:val="00426F76"/>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3">
    <w:name w:val="xl283"/>
    <w:basedOn w:val="Normal"/>
    <w:rsid w:val="00426F7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4">
    <w:name w:val="xl284"/>
    <w:basedOn w:val="Normal"/>
    <w:rsid w:val="00426F76"/>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5">
    <w:name w:val="xl285"/>
    <w:basedOn w:val="Normal"/>
    <w:rsid w:val="00426F76"/>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6">
    <w:name w:val="xl286"/>
    <w:basedOn w:val="Normal"/>
    <w:rsid w:val="00426F7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7">
    <w:name w:val="xl287"/>
    <w:basedOn w:val="Normal"/>
    <w:rsid w:val="00426F7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8">
    <w:name w:val="xl288"/>
    <w:basedOn w:val="Normal"/>
    <w:rsid w:val="00426F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9">
    <w:name w:val="xl289"/>
    <w:basedOn w:val="Normal"/>
    <w:rsid w:val="00426F76"/>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0">
    <w:name w:val="xl290"/>
    <w:basedOn w:val="Normal"/>
    <w:rsid w:val="00426F76"/>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1">
    <w:name w:val="xl291"/>
    <w:basedOn w:val="Normal"/>
    <w:rsid w:val="00426F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92">
    <w:name w:val="xl292"/>
    <w:basedOn w:val="Normal"/>
    <w:rsid w:val="00426F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93">
    <w:name w:val="xl293"/>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4">
    <w:name w:val="xl294"/>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5">
    <w:name w:val="xl295"/>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6">
    <w:name w:val="xl296"/>
    <w:basedOn w:val="Normal"/>
    <w:rsid w:val="00426F76"/>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7">
    <w:name w:val="xl297"/>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s-ES"/>
    </w:rPr>
  </w:style>
  <w:style w:type="paragraph" w:customStyle="1" w:styleId="xl298">
    <w:name w:val="xl298"/>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99">
    <w:name w:val="xl299"/>
    <w:basedOn w:val="Normal"/>
    <w:rsid w:val="00426F76"/>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300">
    <w:name w:val="xl300"/>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301">
    <w:name w:val="xl30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302">
    <w:name w:val="xl302"/>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303">
    <w:name w:val="xl303"/>
    <w:basedOn w:val="Normal"/>
    <w:rsid w:val="00426F76"/>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304">
    <w:name w:val="xl304"/>
    <w:basedOn w:val="Normal"/>
    <w:rsid w:val="00426F76"/>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5A6F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FE7"/>
  </w:style>
  <w:style w:type="paragraph" w:styleId="Piedepgina">
    <w:name w:val="footer"/>
    <w:basedOn w:val="Normal"/>
    <w:link w:val="PiedepginaCar"/>
    <w:uiPriority w:val="99"/>
    <w:unhideWhenUsed/>
    <w:rsid w:val="005A6F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FE7"/>
  </w:style>
  <w:style w:type="paragraph" w:customStyle="1" w:styleId="Texto">
    <w:name w:val="Texto"/>
    <w:basedOn w:val="Normal"/>
    <w:link w:val="TextoCar"/>
    <w:qFormat/>
    <w:rsid w:val="005A6FE7"/>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A6FE7"/>
    <w:rPr>
      <w:rFonts w:ascii="Arial" w:eastAsia="Times New Roman" w:hAnsi="Arial" w:cs="Arial"/>
      <w:sz w:val="1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26F76"/>
    <w:rPr>
      <w:color w:val="0563C1"/>
      <w:u w:val="single"/>
    </w:rPr>
  </w:style>
  <w:style w:type="character" w:styleId="Hipervnculovisitado">
    <w:name w:val="FollowedHyperlink"/>
    <w:basedOn w:val="Fuentedeprrafopredeter"/>
    <w:uiPriority w:val="99"/>
    <w:semiHidden/>
    <w:unhideWhenUsed/>
    <w:rsid w:val="00426F76"/>
    <w:rPr>
      <w:color w:val="954F72"/>
      <w:u w:val="single"/>
    </w:rPr>
  </w:style>
  <w:style w:type="paragraph" w:customStyle="1" w:styleId="msonormal0">
    <w:name w:val="msonormal"/>
    <w:basedOn w:val="Normal"/>
    <w:rsid w:val="00426F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426F76"/>
    <w:pPr>
      <w:spacing w:before="100" w:beforeAutospacing="1" w:after="100" w:afterAutospacing="1" w:line="240" w:lineRule="auto"/>
    </w:pPr>
    <w:rPr>
      <w:rFonts w:ascii="Calibri" w:eastAsia="Times New Roman" w:hAnsi="Calibri" w:cs="Calibri"/>
      <w:color w:val="000000"/>
      <w:sz w:val="20"/>
      <w:szCs w:val="20"/>
      <w:lang w:eastAsia="es-ES"/>
    </w:rPr>
  </w:style>
  <w:style w:type="paragraph" w:customStyle="1" w:styleId="font6">
    <w:name w:val="font6"/>
    <w:basedOn w:val="Normal"/>
    <w:rsid w:val="00426F76"/>
    <w:pPr>
      <w:spacing w:before="100" w:beforeAutospacing="1" w:after="100" w:afterAutospacing="1" w:line="240" w:lineRule="auto"/>
    </w:pPr>
    <w:rPr>
      <w:rFonts w:ascii="Calibri" w:eastAsia="Times New Roman" w:hAnsi="Calibri" w:cs="Calibri"/>
      <w:b/>
      <w:bCs/>
      <w:color w:val="000000"/>
      <w:sz w:val="20"/>
      <w:szCs w:val="20"/>
      <w:lang w:eastAsia="es-ES"/>
    </w:rPr>
  </w:style>
  <w:style w:type="paragraph" w:customStyle="1" w:styleId="font7">
    <w:name w:val="font7"/>
    <w:basedOn w:val="Normal"/>
    <w:rsid w:val="00426F76"/>
    <w:pPr>
      <w:spacing w:before="100" w:beforeAutospacing="1" w:after="100" w:afterAutospacing="1" w:line="240" w:lineRule="auto"/>
    </w:pPr>
    <w:rPr>
      <w:rFonts w:ascii="Tahoma" w:eastAsia="Times New Roman" w:hAnsi="Tahoma" w:cs="Tahoma"/>
      <w:b/>
      <w:bCs/>
      <w:color w:val="000000"/>
      <w:sz w:val="16"/>
      <w:szCs w:val="16"/>
      <w:lang w:eastAsia="es-ES"/>
    </w:rPr>
  </w:style>
  <w:style w:type="paragraph" w:customStyle="1" w:styleId="font8">
    <w:name w:val="font8"/>
    <w:basedOn w:val="Normal"/>
    <w:rsid w:val="00426F76"/>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9">
    <w:name w:val="font9"/>
    <w:basedOn w:val="Normal"/>
    <w:rsid w:val="00426F76"/>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xl65">
    <w:name w:val="xl65"/>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6">
    <w:name w:val="xl66"/>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7">
    <w:name w:val="xl67"/>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68">
    <w:name w:val="xl68"/>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69">
    <w:name w:val="xl69"/>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0">
    <w:name w:val="xl70"/>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71">
    <w:name w:val="xl71"/>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72">
    <w:name w:val="xl7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3">
    <w:name w:val="xl7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4">
    <w:name w:val="xl74"/>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5">
    <w:name w:val="xl75"/>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76">
    <w:name w:val="xl7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7">
    <w:name w:val="xl7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8">
    <w:name w:val="xl7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79">
    <w:name w:val="xl7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80">
    <w:name w:val="xl80"/>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u w:val="single"/>
      <w:lang w:eastAsia="es-ES"/>
    </w:rPr>
  </w:style>
  <w:style w:type="paragraph" w:customStyle="1" w:styleId="xl81">
    <w:name w:val="xl8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82">
    <w:name w:val="xl8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83">
    <w:name w:val="xl83"/>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84">
    <w:name w:val="xl84"/>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5">
    <w:name w:val="xl85"/>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6">
    <w:name w:val="xl86"/>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87">
    <w:name w:val="xl87"/>
    <w:basedOn w:val="Normal"/>
    <w:rsid w:val="00426F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8">
    <w:name w:val="xl88"/>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89">
    <w:name w:val="xl89"/>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90">
    <w:name w:val="xl90"/>
    <w:basedOn w:val="Normal"/>
    <w:rsid w:val="00426F7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91">
    <w:name w:val="xl91"/>
    <w:basedOn w:val="Normal"/>
    <w:rsid w:val="00426F76"/>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2">
    <w:name w:val="xl92"/>
    <w:basedOn w:val="Normal"/>
    <w:rsid w:val="00426F7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3">
    <w:name w:val="xl93"/>
    <w:basedOn w:val="Normal"/>
    <w:rsid w:val="00426F7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4">
    <w:name w:val="xl94"/>
    <w:basedOn w:val="Normal"/>
    <w:rsid w:val="00426F7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5">
    <w:name w:val="xl95"/>
    <w:basedOn w:val="Normal"/>
    <w:rsid w:val="00426F7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6">
    <w:name w:val="xl96"/>
    <w:basedOn w:val="Normal"/>
    <w:rsid w:val="00426F76"/>
    <w:pPr>
      <w:pBdr>
        <w:top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7">
    <w:name w:val="xl97"/>
    <w:basedOn w:val="Normal"/>
    <w:rsid w:val="00426F7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8">
    <w:name w:val="xl98"/>
    <w:basedOn w:val="Normal"/>
    <w:rsid w:val="00426F76"/>
    <w:pPr>
      <w:pBdr>
        <w:lef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99">
    <w:name w:val="xl99"/>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0">
    <w:name w:val="xl100"/>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1">
    <w:name w:val="xl101"/>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2">
    <w:name w:val="xl102"/>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3">
    <w:name w:val="xl103"/>
    <w:basedOn w:val="Normal"/>
    <w:rsid w:val="00426F7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4">
    <w:name w:val="xl104"/>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5">
    <w:name w:val="xl105"/>
    <w:basedOn w:val="Normal"/>
    <w:rsid w:val="00426F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6">
    <w:name w:val="xl106"/>
    <w:basedOn w:val="Normal"/>
    <w:rsid w:val="00426F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7">
    <w:name w:val="xl107"/>
    <w:basedOn w:val="Normal"/>
    <w:rsid w:val="00426F7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8">
    <w:name w:val="xl108"/>
    <w:basedOn w:val="Normal"/>
    <w:rsid w:val="00426F76"/>
    <w:pPr>
      <w:pBdr>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09">
    <w:name w:val="xl109"/>
    <w:basedOn w:val="Normal"/>
    <w:rsid w:val="00426F76"/>
    <w:pPr>
      <w:pBdr>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0">
    <w:name w:val="xl110"/>
    <w:basedOn w:val="Normal"/>
    <w:rsid w:val="00426F76"/>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1">
    <w:name w:val="xl111"/>
    <w:basedOn w:val="Normal"/>
    <w:rsid w:val="00426F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2">
    <w:name w:val="xl112"/>
    <w:basedOn w:val="Normal"/>
    <w:rsid w:val="00426F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13">
    <w:name w:val="xl113"/>
    <w:basedOn w:val="Normal"/>
    <w:rsid w:val="00426F7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4">
    <w:name w:val="xl114"/>
    <w:basedOn w:val="Normal"/>
    <w:rsid w:val="00426F7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5">
    <w:name w:val="xl115"/>
    <w:basedOn w:val="Normal"/>
    <w:rsid w:val="00426F7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6">
    <w:name w:val="xl116"/>
    <w:basedOn w:val="Normal"/>
    <w:rsid w:val="00426F7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7">
    <w:name w:val="xl117"/>
    <w:basedOn w:val="Normal"/>
    <w:rsid w:val="00426F7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8">
    <w:name w:val="xl118"/>
    <w:basedOn w:val="Normal"/>
    <w:rsid w:val="00426F7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19">
    <w:name w:val="xl119"/>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20">
    <w:name w:val="xl120"/>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21">
    <w:name w:val="xl121"/>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2">
    <w:name w:val="xl122"/>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3">
    <w:name w:val="xl12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124">
    <w:name w:val="xl124"/>
    <w:basedOn w:val="Normal"/>
    <w:rsid w:val="00426F76"/>
    <w:pPr>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0"/>
      <w:szCs w:val="20"/>
      <w:lang w:eastAsia="es-ES"/>
    </w:rPr>
  </w:style>
  <w:style w:type="paragraph" w:customStyle="1" w:styleId="xl125">
    <w:name w:val="xl125"/>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i/>
      <w:iCs/>
      <w:sz w:val="20"/>
      <w:szCs w:val="20"/>
      <w:lang w:eastAsia="es-ES"/>
    </w:rPr>
  </w:style>
  <w:style w:type="paragraph" w:customStyle="1" w:styleId="xl126">
    <w:name w:val="xl12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27">
    <w:name w:val="xl127"/>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128">
    <w:name w:val="xl128"/>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29">
    <w:name w:val="xl129"/>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30">
    <w:name w:val="xl130"/>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1">
    <w:name w:val="xl131"/>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32">
    <w:name w:val="xl13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133">
    <w:name w:val="xl13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34">
    <w:name w:val="xl134"/>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5">
    <w:name w:val="xl135"/>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136">
    <w:name w:val="xl13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i/>
      <w:iCs/>
      <w:sz w:val="20"/>
      <w:szCs w:val="20"/>
      <w:u w:val="single"/>
      <w:lang w:eastAsia="es-ES"/>
    </w:rPr>
  </w:style>
  <w:style w:type="paragraph" w:customStyle="1" w:styleId="xl137">
    <w:name w:val="xl137"/>
    <w:basedOn w:val="Normal"/>
    <w:rsid w:val="00426F76"/>
    <w:pPr>
      <w:spacing w:before="100" w:beforeAutospacing="1" w:after="100" w:afterAutospacing="1" w:line="240" w:lineRule="auto"/>
      <w:textAlignment w:val="center"/>
    </w:pPr>
    <w:rPr>
      <w:rFonts w:ascii="Times New Roman" w:eastAsia="Times New Roman" w:hAnsi="Times New Roman" w:cs="Times New Roman"/>
      <w:i/>
      <w:iCs/>
      <w:sz w:val="20"/>
      <w:szCs w:val="20"/>
      <w:lang w:eastAsia="es-ES"/>
    </w:rPr>
  </w:style>
  <w:style w:type="paragraph" w:customStyle="1" w:styleId="xl138">
    <w:name w:val="xl13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39">
    <w:name w:val="xl139"/>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40">
    <w:name w:val="xl140"/>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41">
    <w:name w:val="xl14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42">
    <w:name w:val="xl142"/>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43">
    <w:name w:val="xl14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144">
    <w:name w:val="xl144"/>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145">
    <w:name w:val="xl145"/>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46">
    <w:name w:val="xl146"/>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47">
    <w:name w:val="xl147"/>
    <w:basedOn w:val="Normal"/>
    <w:rsid w:val="00426F76"/>
    <w:pPr>
      <w:spacing w:before="100" w:beforeAutospacing="1" w:after="100" w:afterAutospacing="1" w:line="240" w:lineRule="auto"/>
    </w:pPr>
    <w:rPr>
      <w:rFonts w:ascii="Times New Roman" w:eastAsia="Times New Roman" w:hAnsi="Times New Roman" w:cs="Times New Roman"/>
      <w:b/>
      <w:bCs/>
      <w:sz w:val="20"/>
      <w:szCs w:val="20"/>
      <w:u w:val="single"/>
      <w:lang w:eastAsia="es-ES"/>
    </w:rPr>
  </w:style>
  <w:style w:type="paragraph" w:customStyle="1" w:styleId="xl148">
    <w:name w:val="xl14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49">
    <w:name w:val="xl14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150">
    <w:name w:val="xl150"/>
    <w:basedOn w:val="Normal"/>
    <w:rsid w:val="00426F76"/>
    <w:pP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151">
    <w:name w:val="xl151"/>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152">
    <w:name w:val="xl152"/>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53">
    <w:name w:val="xl153"/>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154">
    <w:name w:val="xl154"/>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155">
    <w:name w:val="xl155"/>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56">
    <w:name w:val="xl156"/>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57">
    <w:name w:val="xl15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58">
    <w:name w:val="xl158"/>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59">
    <w:name w:val="xl15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0">
    <w:name w:val="xl160"/>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61">
    <w:name w:val="xl16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62">
    <w:name w:val="xl16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3">
    <w:name w:val="xl163"/>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64">
    <w:name w:val="xl164"/>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65">
    <w:name w:val="xl165"/>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66">
    <w:name w:val="xl166"/>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67">
    <w:name w:val="xl16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68">
    <w:name w:val="xl16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69">
    <w:name w:val="xl169"/>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70">
    <w:name w:val="xl170"/>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71">
    <w:name w:val="xl17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172">
    <w:name w:val="xl172"/>
    <w:basedOn w:val="Normal"/>
    <w:rsid w:val="00426F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3">
    <w:name w:val="xl173"/>
    <w:basedOn w:val="Normal"/>
    <w:rsid w:val="00426F7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4">
    <w:name w:val="xl174"/>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75">
    <w:name w:val="xl175"/>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176">
    <w:name w:val="xl176"/>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77">
    <w:name w:val="xl177"/>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178">
    <w:name w:val="xl178"/>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79">
    <w:name w:val="xl179"/>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0">
    <w:name w:val="xl180"/>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1">
    <w:name w:val="xl181"/>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182">
    <w:name w:val="xl182"/>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83">
    <w:name w:val="xl183"/>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4">
    <w:name w:val="xl184"/>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5">
    <w:name w:val="xl185"/>
    <w:basedOn w:val="Normal"/>
    <w:rsid w:val="00426F76"/>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86">
    <w:name w:val="xl186"/>
    <w:basedOn w:val="Normal"/>
    <w:rsid w:val="00426F76"/>
    <w:pPr>
      <w:spacing w:before="100" w:beforeAutospacing="1" w:after="100" w:afterAutospacing="1" w:line="240" w:lineRule="auto"/>
    </w:pPr>
    <w:rPr>
      <w:rFonts w:ascii="Times New Roman" w:eastAsia="Times New Roman" w:hAnsi="Times New Roman" w:cs="Times New Roman"/>
      <w:b/>
      <w:bCs/>
      <w:sz w:val="20"/>
      <w:szCs w:val="20"/>
      <w:lang w:eastAsia="es-ES"/>
    </w:rPr>
  </w:style>
  <w:style w:type="paragraph" w:customStyle="1" w:styleId="xl187">
    <w:name w:val="xl187"/>
    <w:basedOn w:val="Normal"/>
    <w:rsid w:val="00426F76"/>
    <w:pPr>
      <w:spacing w:before="100" w:beforeAutospacing="1" w:after="100" w:afterAutospacing="1" w:line="240" w:lineRule="auto"/>
      <w:jc w:val="both"/>
    </w:pPr>
    <w:rPr>
      <w:rFonts w:ascii="Times New Roman" w:eastAsia="Times New Roman" w:hAnsi="Times New Roman" w:cs="Times New Roman"/>
      <w:b/>
      <w:bCs/>
      <w:sz w:val="20"/>
      <w:szCs w:val="20"/>
      <w:lang w:eastAsia="es-ES"/>
    </w:rPr>
  </w:style>
  <w:style w:type="paragraph" w:customStyle="1" w:styleId="xl188">
    <w:name w:val="xl188"/>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189">
    <w:name w:val="xl189"/>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190">
    <w:name w:val="xl190"/>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191">
    <w:name w:val="xl191"/>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2">
    <w:name w:val="xl192"/>
    <w:basedOn w:val="Normal"/>
    <w:rsid w:val="00426F7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3">
    <w:name w:val="xl193"/>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4">
    <w:name w:val="xl194"/>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195">
    <w:name w:val="xl195"/>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196">
    <w:name w:val="xl196"/>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197">
    <w:name w:val="xl197"/>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98">
    <w:name w:val="xl198"/>
    <w:basedOn w:val="Normal"/>
    <w:rsid w:val="00426F76"/>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199">
    <w:name w:val="xl199"/>
    <w:basedOn w:val="Normal"/>
    <w:rsid w:val="00426F76"/>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es-ES"/>
    </w:rPr>
  </w:style>
  <w:style w:type="paragraph" w:customStyle="1" w:styleId="xl200">
    <w:name w:val="xl200"/>
    <w:basedOn w:val="Normal"/>
    <w:rsid w:val="00426F76"/>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01">
    <w:name w:val="xl201"/>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2">
    <w:name w:val="xl202"/>
    <w:basedOn w:val="Normal"/>
    <w:rsid w:val="00426F7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03">
    <w:name w:val="xl203"/>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4">
    <w:name w:val="xl204"/>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05">
    <w:name w:val="xl205"/>
    <w:basedOn w:val="Normal"/>
    <w:rsid w:val="00426F76"/>
    <w:pPr>
      <w:pBdr>
        <w:top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06">
    <w:name w:val="xl206"/>
    <w:basedOn w:val="Normal"/>
    <w:rsid w:val="00426F76"/>
    <w:pPr>
      <w:pBdr>
        <w:top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07">
    <w:name w:val="xl207"/>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08">
    <w:name w:val="xl208"/>
    <w:basedOn w:val="Normal"/>
    <w:rsid w:val="00426F76"/>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09">
    <w:name w:val="xl209"/>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10">
    <w:name w:val="xl210"/>
    <w:basedOn w:val="Normal"/>
    <w:rsid w:val="00426F76"/>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211">
    <w:name w:val="xl21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es-ES"/>
    </w:rPr>
  </w:style>
  <w:style w:type="paragraph" w:customStyle="1" w:styleId="xl212">
    <w:name w:val="xl212"/>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3">
    <w:name w:val="xl213"/>
    <w:basedOn w:val="Normal"/>
    <w:rsid w:val="00426F76"/>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4">
    <w:name w:val="xl214"/>
    <w:basedOn w:val="Normal"/>
    <w:rsid w:val="00426F76"/>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15">
    <w:name w:val="xl215"/>
    <w:basedOn w:val="Normal"/>
    <w:rsid w:val="00426F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ES"/>
    </w:rPr>
  </w:style>
  <w:style w:type="paragraph" w:customStyle="1" w:styleId="xl216">
    <w:name w:val="xl216"/>
    <w:basedOn w:val="Normal"/>
    <w:rsid w:val="00426F76"/>
    <w:pPr>
      <w:pBdr>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ES"/>
    </w:rPr>
  </w:style>
  <w:style w:type="paragraph" w:customStyle="1" w:styleId="xl217">
    <w:name w:val="xl217"/>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18">
    <w:name w:val="xl218"/>
    <w:basedOn w:val="Normal"/>
    <w:rsid w:val="00426F76"/>
    <w:pPr>
      <w:spacing w:before="100" w:beforeAutospacing="1" w:after="100" w:afterAutospacing="1" w:line="240" w:lineRule="auto"/>
      <w:jc w:val="both"/>
    </w:pPr>
    <w:rPr>
      <w:rFonts w:ascii="Times New Roman" w:eastAsia="Times New Roman" w:hAnsi="Times New Roman" w:cs="Times New Roman"/>
      <w:b/>
      <w:bCs/>
      <w:sz w:val="20"/>
      <w:szCs w:val="20"/>
      <w:lang w:eastAsia="es-ES"/>
    </w:rPr>
  </w:style>
  <w:style w:type="paragraph" w:customStyle="1" w:styleId="xl219">
    <w:name w:val="xl219"/>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20">
    <w:name w:val="xl220"/>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1">
    <w:name w:val="xl221"/>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22">
    <w:name w:val="xl222"/>
    <w:basedOn w:val="Normal"/>
    <w:rsid w:val="00426F7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223">
    <w:name w:val="xl223"/>
    <w:basedOn w:val="Normal"/>
    <w:rsid w:val="00426F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24">
    <w:name w:val="xl224"/>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5">
    <w:name w:val="xl225"/>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26">
    <w:name w:val="xl226"/>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27">
    <w:name w:val="xl227"/>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28">
    <w:name w:val="xl228"/>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29">
    <w:name w:val="xl229"/>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30">
    <w:name w:val="xl230"/>
    <w:basedOn w:val="Normal"/>
    <w:rsid w:val="00426F76"/>
    <w:pP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31">
    <w:name w:val="xl231"/>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32">
    <w:name w:val="xl232"/>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33">
    <w:name w:val="xl233"/>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34">
    <w:name w:val="xl234"/>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ES"/>
    </w:rPr>
  </w:style>
  <w:style w:type="paragraph" w:customStyle="1" w:styleId="xl235">
    <w:name w:val="xl235"/>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36">
    <w:name w:val="xl236"/>
    <w:basedOn w:val="Normal"/>
    <w:rsid w:val="00426F76"/>
    <w:pPr>
      <w:spacing w:before="100" w:beforeAutospacing="1" w:after="100" w:afterAutospacing="1" w:line="240" w:lineRule="auto"/>
      <w:textAlignment w:val="center"/>
    </w:pPr>
    <w:rPr>
      <w:rFonts w:ascii="Times New Roman" w:eastAsia="Times New Roman" w:hAnsi="Times New Roman" w:cs="Times New Roman"/>
      <w:sz w:val="20"/>
      <w:szCs w:val="20"/>
      <w:u w:val="single"/>
      <w:lang w:eastAsia="es-ES"/>
    </w:rPr>
  </w:style>
  <w:style w:type="paragraph" w:customStyle="1" w:styleId="xl237">
    <w:name w:val="xl237"/>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238">
    <w:name w:val="xl238"/>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39">
    <w:name w:val="xl23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es-ES"/>
    </w:rPr>
  </w:style>
  <w:style w:type="paragraph" w:customStyle="1" w:styleId="xl240">
    <w:name w:val="xl240"/>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41">
    <w:name w:val="xl241"/>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2">
    <w:name w:val="xl242"/>
    <w:basedOn w:val="Normal"/>
    <w:rsid w:val="00426F76"/>
    <w:pPr>
      <w:spacing w:before="100" w:beforeAutospacing="1" w:after="100" w:afterAutospacing="1" w:line="240" w:lineRule="auto"/>
      <w:jc w:val="both"/>
      <w:textAlignment w:val="center"/>
    </w:pPr>
    <w:rPr>
      <w:rFonts w:ascii="Times New Roman" w:eastAsia="Times New Roman" w:hAnsi="Times New Roman" w:cs="Times New Roman"/>
      <w:i/>
      <w:iCs/>
      <w:sz w:val="20"/>
      <w:szCs w:val="20"/>
      <w:lang w:eastAsia="es-ES"/>
    </w:rPr>
  </w:style>
  <w:style w:type="paragraph" w:customStyle="1" w:styleId="xl243">
    <w:name w:val="xl243"/>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44">
    <w:name w:val="xl244"/>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45">
    <w:name w:val="xl245"/>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246">
    <w:name w:val="xl246"/>
    <w:basedOn w:val="Normal"/>
    <w:rsid w:val="00426F76"/>
    <w:pPr>
      <w:spacing w:before="100" w:beforeAutospacing="1" w:after="100" w:afterAutospacing="1" w:line="240" w:lineRule="auto"/>
      <w:jc w:val="both"/>
    </w:pPr>
    <w:rPr>
      <w:rFonts w:ascii="Times New Roman" w:eastAsia="Times New Roman" w:hAnsi="Times New Roman" w:cs="Times New Roman"/>
      <w:sz w:val="20"/>
      <w:szCs w:val="20"/>
      <w:lang w:eastAsia="es-ES"/>
    </w:rPr>
  </w:style>
  <w:style w:type="paragraph" w:customStyle="1" w:styleId="xl247">
    <w:name w:val="xl247"/>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8">
    <w:name w:val="xl248"/>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ES"/>
    </w:rPr>
  </w:style>
  <w:style w:type="paragraph" w:customStyle="1" w:styleId="xl249">
    <w:name w:val="xl249"/>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0">
    <w:name w:val="xl250"/>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1">
    <w:name w:val="xl251"/>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52">
    <w:name w:val="xl252"/>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53">
    <w:name w:val="xl253"/>
    <w:basedOn w:val="Normal"/>
    <w:rsid w:val="00426F76"/>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4">
    <w:name w:val="xl254"/>
    <w:basedOn w:val="Normal"/>
    <w:rsid w:val="00426F7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5">
    <w:name w:val="xl255"/>
    <w:basedOn w:val="Normal"/>
    <w:rsid w:val="00426F76"/>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6">
    <w:name w:val="xl256"/>
    <w:basedOn w:val="Normal"/>
    <w:rsid w:val="00426F76"/>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7">
    <w:name w:val="xl257"/>
    <w:basedOn w:val="Normal"/>
    <w:rsid w:val="00426F76"/>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8">
    <w:name w:val="xl258"/>
    <w:basedOn w:val="Normal"/>
    <w:rsid w:val="00426F7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59">
    <w:name w:val="xl259"/>
    <w:basedOn w:val="Normal"/>
    <w:rsid w:val="00426F76"/>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0">
    <w:name w:val="xl260"/>
    <w:basedOn w:val="Normal"/>
    <w:rsid w:val="00426F76"/>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1">
    <w:name w:val="xl261"/>
    <w:basedOn w:val="Normal"/>
    <w:rsid w:val="00426F76"/>
    <w:pPr>
      <w:pBdr>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2">
    <w:name w:val="xl262"/>
    <w:basedOn w:val="Normal"/>
    <w:rsid w:val="00426F76"/>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3">
    <w:name w:val="xl263"/>
    <w:basedOn w:val="Normal"/>
    <w:rsid w:val="00426F76"/>
    <w:pPr>
      <w:pBdr>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4">
    <w:name w:val="xl264"/>
    <w:basedOn w:val="Normal"/>
    <w:rsid w:val="00426F76"/>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5">
    <w:name w:val="xl265"/>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6">
    <w:name w:val="xl266"/>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ES"/>
    </w:rPr>
  </w:style>
  <w:style w:type="paragraph" w:customStyle="1" w:styleId="xl267">
    <w:name w:val="xl267"/>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68">
    <w:name w:val="xl268"/>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69">
    <w:name w:val="xl269"/>
    <w:basedOn w:val="Normal"/>
    <w:rsid w:val="00426F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70">
    <w:name w:val="xl270"/>
    <w:basedOn w:val="Normal"/>
    <w:rsid w:val="00426F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71">
    <w:name w:val="xl271"/>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72">
    <w:name w:val="xl272"/>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73">
    <w:name w:val="xl273"/>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74">
    <w:name w:val="xl274"/>
    <w:basedOn w:val="Normal"/>
    <w:rsid w:val="00426F76"/>
    <w:pPr>
      <w:spacing w:before="100" w:beforeAutospacing="1" w:after="100" w:afterAutospacing="1" w:line="240" w:lineRule="auto"/>
      <w:textAlignment w:val="top"/>
    </w:pPr>
    <w:rPr>
      <w:rFonts w:ascii="Times New Roman" w:eastAsia="Times New Roman" w:hAnsi="Times New Roman" w:cs="Times New Roman"/>
      <w:b/>
      <w:bCs/>
      <w:sz w:val="20"/>
      <w:szCs w:val="20"/>
      <w:lang w:eastAsia="es-ES"/>
    </w:rPr>
  </w:style>
  <w:style w:type="paragraph" w:customStyle="1" w:styleId="xl275">
    <w:name w:val="xl275"/>
    <w:basedOn w:val="Normal"/>
    <w:rsid w:val="00426F76"/>
    <w:pPr>
      <w:spacing w:before="100" w:beforeAutospacing="1" w:after="100" w:afterAutospacing="1" w:line="240" w:lineRule="auto"/>
      <w:textAlignment w:val="top"/>
    </w:pPr>
    <w:rPr>
      <w:rFonts w:ascii="Times New Roman" w:eastAsia="Times New Roman" w:hAnsi="Times New Roman" w:cs="Times New Roman"/>
      <w:sz w:val="20"/>
      <w:szCs w:val="20"/>
      <w:lang w:eastAsia="es-ES"/>
    </w:rPr>
  </w:style>
  <w:style w:type="paragraph" w:customStyle="1" w:styleId="xl276">
    <w:name w:val="xl276"/>
    <w:basedOn w:val="Normal"/>
    <w:rsid w:val="00426F76"/>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es-ES"/>
    </w:rPr>
  </w:style>
  <w:style w:type="paragraph" w:customStyle="1" w:styleId="xl277">
    <w:name w:val="xl277"/>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es-ES"/>
    </w:rPr>
  </w:style>
  <w:style w:type="paragraph" w:customStyle="1" w:styleId="xl278">
    <w:name w:val="xl278"/>
    <w:basedOn w:val="Normal"/>
    <w:rsid w:val="0042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79">
    <w:name w:val="xl279"/>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80">
    <w:name w:val="xl280"/>
    <w:basedOn w:val="Normal"/>
    <w:rsid w:val="00426F76"/>
    <w:pP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es-ES"/>
    </w:rPr>
  </w:style>
  <w:style w:type="paragraph" w:customStyle="1" w:styleId="xl281">
    <w:name w:val="xl281"/>
    <w:basedOn w:val="Normal"/>
    <w:rsid w:val="00426F7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2">
    <w:name w:val="xl282"/>
    <w:basedOn w:val="Normal"/>
    <w:rsid w:val="00426F76"/>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3">
    <w:name w:val="xl283"/>
    <w:basedOn w:val="Normal"/>
    <w:rsid w:val="00426F7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4">
    <w:name w:val="xl284"/>
    <w:basedOn w:val="Normal"/>
    <w:rsid w:val="00426F76"/>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5">
    <w:name w:val="xl285"/>
    <w:basedOn w:val="Normal"/>
    <w:rsid w:val="00426F76"/>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6">
    <w:name w:val="xl286"/>
    <w:basedOn w:val="Normal"/>
    <w:rsid w:val="00426F7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7">
    <w:name w:val="xl287"/>
    <w:basedOn w:val="Normal"/>
    <w:rsid w:val="00426F7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8">
    <w:name w:val="xl288"/>
    <w:basedOn w:val="Normal"/>
    <w:rsid w:val="00426F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ES"/>
    </w:rPr>
  </w:style>
  <w:style w:type="paragraph" w:customStyle="1" w:styleId="xl289">
    <w:name w:val="xl289"/>
    <w:basedOn w:val="Normal"/>
    <w:rsid w:val="00426F76"/>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0">
    <w:name w:val="xl290"/>
    <w:basedOn w:val="Normal"/>
    <w:rsid w:val="00426F76"/>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1">
    <w:name w:val="xl291"/>
    <w:basedOn w:val="Normal"/>
    <w:rsid w:val="00426F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92">
    <w:name w:val="xl292"/>
    <w:basedOn w:val="Normal"/>
    <w:rsid w:val="00426F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ES"/>
    </w:rPr>
  </w:style>
  <w:style w:type="paragraph" w:customStyle="1" w:styleId="xl293">
    <w:name w:val="xl293"/>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4">
    <w:name w:val="xl294"/>
    <w:basedOn w:val="Normal"/>
    <w:rsid w:val="00426F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5">
    <w:name w:val="xl295"/>
    <w:basedOn w:val="Normal"/>
    <w:rsid w:val="00426F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6">
    <w:name w:val="xl296"/>
    <w:basedOn w:val="Normal"/>
    <w:rsid w:val="00426F76"/>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297">
    <w:name w:val="xl297"/>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u w:val="single"/>
      <w:lang w:eastAsia="es-ES"/>
    </w:rPr>
  </w:style>
  <w:style w:type="paragraph" w:customStyle="1" w:styleId="xl298">
    <w:name w:val="xl298"/>
    <w:basedOn w:val="Normal"/>
    <w:rsid w:val="00426F76"/>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S"/>
    </w:rPr>
  </w:style>
  <w:style w:type="paragraph" w:customStyle="1" w:styleId="xl299">
    <w:name w:val="xl299"/>
    <w:basedOn w:val="Normal"/>
    <w:rsid w:val="00426F76"/>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es-ES"/>
    </w:rPr>
  </w:style>
  <w:style w:type="paragraph" w:customStyle="1" w:styleId="xl300">
    <w:name w:val="xl300"/>
    <w:basedOn w:val="Normal"/>
    <w:rsid w:val="00426F76"/>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301">
    <w:name w:val="xl301"/>
    <w:basedOn w:val="Normal"/>
    <w:rsid w:val="00426F76"/>
    <w:pPr>
      <w:spacing w:before="100" w:beforeAutospacing="1" w:after="100" w:afterAutospacing="1" w:line="240" w:lineRule="auto"/>
      <w:jc w:val="both"/>
      <w:textAlignment w:val="top"/>
    </w:pPr>
    <w:rPr>
      <w:rFonts w:ascii="Times New Roman" w:eastAsia="Times New Roman" w:hAnsi="Times New Roman" w:cs="Times New Roman"/>
      <w:sz w:val="20"/>
      <w:szCs w:val="20"/>
      <w:lang w:eastAsia="es-ES"/>
    </w:rPr>
  </w:style>
  <w:style w:type="paragraph" w:customStyle="1" w:styleId="xl302">
    <w:name w:val="xl302"/>
    <w:basedOn w:val="Normal"/>
    <w:rsid w:val="00426F76"/>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303">
    <w:name w:val="xl303"/>
    <w:basedOn w:val="Normal"/>
    <w:rsid w:val="00426F76"/>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304">
    <w:name w:val="xl304"/>
    <w:basedOn w:val="Normal"/>
    <w:rsid w:val="00426F76"/>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5A6F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FE7"/>
  </w:style>
  <w:style w:type="paragraph" w:styleId="Piedepgina">
    <w:name w:val="footer"/>
    <w:basedOn w:val="Normal"/>
    <w:link w:val="PiedepginaCar"/>
    <w:uiPriority w:val="99"/>
    <w:unhideWhenUsed/>
    <w:rsid w:val="005A6F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FE7"/>
  </w:style>
  <w:style w:type="paragraph" w:customStyle="1" w:styleId="Texto">
    <w:name w:val="Texto"/>
    <w:basedOn w:val="Normal"/>
    <w:link w:val="TextoCar"/>
    <w:qFormat/>
    <w:rsid w:val="005A6FE7"/>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A6FE7"/>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 Ruby M. Soberanis Domínguez</dc:creator>
  <cp:lastModifiedBy>Jennifer Estefany Millan Flores</cp:lastModifiedBy>
  <cp:revision>3</cp:revision>
  <dcterms:created xsi:type="dcterms:W3CDTF">2018-05-18T16:58:00Z</dcterms:created>
  <dcterms:modified xsi:type="dcterms:W3CDTF">2018-05-18T17:03:00Z</dcterms:modified>
</cp:coreProperties>
</file>