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EDE" w:rsidRPr="00F52107" w:rsidRDefault="0036094C" w:rsidP="006F3019">
      <w:pPr>
        <w:spacing w:line="240" w:lineRule="auto"/>
        <w:jc w:val="center"/>
        <w:rPr>
          <w:rFonts w:cs="Arial"/>
          <w:b/>
          <w:sz w:val="20"/>
          <w:szCs w:val="20"/>
        </w:rPr>
      </w:pPr>
      <w:r>
        <w:rPr>
          <w:rFonts w:cs="Arial"/>
          <w:b/>
          <w:sz w:val="20"/>
          <w:szCs w:val="20"/>
        </w:rPr>
        <w:t>Cuenta Pública 2018</w:t>
      </w:r>
    </w:p>
    <w:p w:rsidR="00253EDE" w:rsidRPr="00F52107" w:rsidRDefault="00253EDE" w:rsidP="006F3019">
      <w:pPr>
        <w:spacing w:line="240" w:lineRule="auto"/>
        <w:jc w:val="center"/>
        <w:rPr>
          <w:rFonts w:cs="Arial"/>
          <w:b/>
          <w:sz w:val="20"/>
          <w:szCs w:val="20"/>
        </w:rPr>
      </w:pPr>
      <w:r w:rsidRPr="00F52107">
        <w:rPr>
          <w:rFonts w:cs="Arial"/>
          <w:b/>
          <w:sz w:val="20"/>
          <w:szCs w:val="20"/>
        </w:rPr>
        <w:t>Notas a los Estados Financieros</w:t>
      </w:r>
    </w:p>
    <w:p w:rsidR="00253EDE" w:rsidRPr="00F52107" w:rsidRDefault="008D6CEA" w:rsidP="00F82F7B">
      <w:pPr>
        <w:spacing w:line="240" w:lineRule="auto"/>
        <w:jc w:val="center"/>
        <w:rPr>
          <w:rFonts w:cs="Arial"/>
          <w:b/>
          <w:sz w:val="20"/>
          <w:szCs w:val="20"/>
        </w:rPr>
      </w:pPr>
      <w:r w:rsidRPr="00F52107">
        <w:rPr>
          <w:rFonts w:cs="Arial"/>
          <w:b/>
          <w:sz w:val="20"/>
          <w:szCs w:val="20"/>
        </w:rPr>
        <w:t>Al 3</w:t>
      </w:r>
      <w:r w:rsidR="00D23B68">
        <w:rPr>
          <w:rFonts w:cs="Arial"/>
          <w:b/>
          <w:sz w:val="20"/>
          <w:szCs w:val="20"/>
        </w:rPr>
        <w:t xml:space="preserve">1 de </w:t>
      </w:r>
      <w:r w:rsidR="0036094C">
        <w:rPr>
          <w:rFonts w:cs="Arial"/>
          <w:b/>
          <w:sz w:val="20"/>
          <w:szCs w:val="20"/>
        </w:rPr>
        <w:t>Marzo de 2018</w:t>
      </w:r>
    </w:p>
    <w:p w:rsidR="00253EDE" w:rsidRPr="00F52107" w:rsidRDefault="00253EDE" w:rsidP="006F3019">
      <w:pPr>
        <w:spacing w:line="240" w:lineRule="auto"/>
        <w:jc w:val="center"/>
        <w:rPr>
          <w:rFonts w:cs="Arial"/>
          <w:b/>
          <w:sz w:val="20"/>
          <w:szCs w:val="20"/>
        </w:rPr>
      </w:pPr>
      <w:r w:rsidRPr="00F52107">
        <w:rPr>
          <w:rFonts w:cs="Arial"/>
          <w:b/>
          <w:sz w:val="20"/>
          <w:szCs w:val="20"/>
        </w:rPr>
        <w:t>(Pesos)</w:t>
      </w:r>
    </w:p>
    <w:p w:rsidR="00253EDE" w:rsidRPr="00F52107" w:rsidRDefault="00253EDE" w:rsidP="006F3019">
      <w:pPr>
        <w:spacing w:line="240" w:lineRule="auto"/>
        <w:jc w:val="center"/>
        <w:rPr>
          <w:rFonts w:cs="Arial"/>
          <w:b/>
          <w:sz w:val="20"/>
          <w:szCs w:val="20"/>
        </w:rPr>
      </w:pPr>
    </w:p>
    <w:p w:rsidR="00253EDE" w:rsidRPr="0036094C" w:rsidRDefault="00FA3603" w:rsidP="006F3019">
      <w:pPr>
        <w:spacing w:line="240" w:lineRule="auto"/>
        <w:rPr>
          <w:rFonts w:cs="Arial"/>
          <w:b/>
          <w:sz w:val="20"/>
          <w:szCs w:val="20"/>
        </w:rPr>
      </w:pPr>
      <w:r>
        <w:rPr>
          <w:rFonts w:cs="Arial"/>
          <w:b/>
          <w:sz w:val="20"/>
          <w:szCs w:val="20"/>
        </w:rPr>
        <w:t>Ente Público</w:t>
      </w:r>
      <w:proofErr w:type="gramStart"/>
      <w:r>
        <w:rPr>
          <w:rFonts w:cs="Arial"/>
          <w:b/>
          <w:sz w:val="20"/>
          <w:szCs w:val="20"/>
        </w:rPr>
        <w:t xml:space="preserve">:  </w:t>
      </w:r>
      <w:r w:rsidR="00253EDE" w:rsidRPr="00F52107">
        <w:rPr>
          <w:rFonts w:cs="Arial"/>
          <w:b/>
          <w:sz w:val="20"/>
          <w:szCs w:val="20"/>
        </w:rPr>
        <w:t>COMISIÓN</w:t>
      </w:r>
      <w:proofErr w:type="gramEnd"/>
      <w:r w:rsidR="00253EDE" w:rsidRPr="00F52107">
        <w:rPr>
          <w:rFonts w:cs="Arial"/>
          <w:b/>
          <w:sz w:val="20"/>
          <w:szCs w:val="20"/>
        </w:rPr>
        <w:t xml:space="preserve"> DE LOS DERECHOS HUMANOS DEL ESTADO DE YUCATÁN</w:t>
      </w:r>
    </w:p>
    <w:p w:rsidR="0036094C" w:rsidRPr="0036094C" w:rsidRDefault="0036094C" w:rsidP="0036094C">
      <w:pPr>
        <w:spacing w:line="240" w:lineRule="auto"/>
        <w:rPr>
          <w:rFonts w:cs="Arial"/>
          <w:b/>
          <w:sz w:val="20"/>
          <w:szCs w:val="20"/>
        </w:rPr>
      </w:pPr>
      <w:r w:rsidRPr="0036094C">
        <w:rPr>
          <w:rFonts w:cs="Arial"/>
          <w:b/>
          <w:sz w:val="20"/>
          <w:szCs w:val="20"/>
        </w:rPr>
        <w:t>NOTAS DE GESTIÓN ADMINISTRATIVO</w:t>
      </w:r>
    </w:p>
    <w:p w:rsidR="0036094C" w:rsidRPr="0036094C" w:rsidRDefault="0036094C" w:rsidP="0036094C">
      <w:pPr>
        <w:spacing w:after="0" w:line="240" w:lineRule="auto"/>
        <w:jc w:val="both"/>
        <w:rPr>
          <w:rFonts w:cs="Arial"/>
          <w:sz w:val="20"/>
          <w:szCs w:val="20"/>
        </w:rPr>
      </w:pPr>
      <w:r w:rsidRPr="0036094C">
        <w:rPr>
          <w:rFonts w:cs="Arial"/>
          <w:sz w:val="20"/>
          <w:szCs w:val="20"/>
        </w:rPr>
        <w:t>Los Estados Financieros de la Comisión de Derechos Humanos del estado de Yucatán, proveen de información financiera a los principales usuarios de la misma, al Congreso y a los ciudadanos.</w:t>
      </w:r>
    </w:p>
    <w:p w:rsidR="0036094C" w:rsidRPr="0036094C" w:rsidRDefault="0036094C" w:rsidP="0036094C">
      <w:pPr>
        <w:spacing w:after="0" w:line="240" w:lineRule="auto"/>
        <w:jc w:val="both"/>
        <w:rPr>
          <w:rFonts w:cs="Arial"/>
          <w:sz w:val="20"/>
          <w:szCs w:val="20"/>
        </w:rPr>
      </w:pPr>
      <w:r w:rsidRPr="0036094C">
        <w:rPr>
          <w:rFonts w:cs="Arial"/>
          <w:sz w:val="20"/>
          <w:szCs w:val="20"/>
        </w:rPr>
        <w:t xml:space="preserve"> La comisión tiene su domicilio en la ciudad de Mérida, Yucatán, México sin embargo, para la atención de los asuntos de su competencia podrá establecer oficinas regionales o municipales, así como unidades itinerantes, en los términos de su reglamento interno.</w:t>
      </w:r>
    </w:p>
    <w:p w:rsidR="0036094C" w:rsidRPr="0036094C" w:rsidRDefault="0036094C" w:rsidP="0036094C">
      <w:pPr>
        <w:spacing w:after="0" w:line="240" w:lineRule="auto"/>
        <w:jc w:val="both"/>
        <w:rPr>
          <w:rFonts w:cs="Arial"/>
          <w:sz w:val="20"/>
          <w:szCs w:val="20"/>
        </w:rPr>
      </w:pPr>
      <w:r w:rsidRPr="0036094C">
        <w:rPr>
          <w:rFonts w:cs="Arial"/>
          <w:sz w:val="20"/>
          <w:szCs w:val="20"/>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 todo esto en el territorio del estado de Yucatán, en términos de lo dispuesto por los artículos 102, apartado B, de la Constitución Política de los Estados Unidos Mexicanos y 74 de la  Constitución Política del Estado de Yucatán.</w:t>
      </w:r>
    </w:p>
    <w:p w:rsidR="0036094C" w:rsidRPr="0036094C" w:rsidRDefault="0036094C" w:rsidP="0036094C">
      <w:pPr>
        <w:spacing w:after="0" w:line="240" w:lineRule="auto"/>
        <w:jc w:val="both"/>
        <w:rPr>
          <w:rFonts w:cs="Arial"/>
          <w:sz w:val="20"/>
          <w:szCs w:val="20"/>
        </w:rPr>
      </w:pPr>
      <w:r w:rsidRPr="0036094C">
        <w:rPr>
          <w:rFonts w:cs="Arial"/>
          <w:sz w:val="20"/>
          <w:szCs w:val="20"/>
        </w:rPr>
        <w:t>La comisión es un organismo público autónomo, con personalidad jurídica y patrimonio propio que tiene por objeto proteger, defender, estudiar, investigar, promover y divulgar los derechos humanos en el estado de Yucatán.</w:t>
      </w:r>
    </w:p>
    <w:p w:rsidR="0036094C" w:rsidRPr="0036094C" w:rsidRDefault="0036094C" w:rsidP="0036094C">
      <w:pPr>
        <w:spacing w:after="0" w:line="240" w:lineRule="auto"/>
        <w:jc w:val="both"/>
        <w:rPr>
          <w:rFonts w:cs="Arial"/>
          <w:sz w:val="20"/>
          <w:szCs w:val="20"/>
        </w:rPr>
      </w:pPr>
      <w:r w:rsidRPr="0036094C">
        <w:rPr>
          <w:rFonts w:cs="Arial"/>
          <w:sz w:val="20"/>
          <w:szCs w:val="20"/>
        </w:rPr>
        <w:t>La comisión, para el cumplimiento de su objeto, deberá de apegarse a las atribuciones estipuladas en el artículo 10 de la ley de la Comisión de Derechos Humanos del Estado de Yucatán.</w:t>
      </w:r>
    </w:p>
    <w:p w:rsidR="0036094C" w:rsidRPr="0036094C" w:rsidRDefault="0036094C" w:rsidP="0036094C">
      <w:pPr>
        <w:shd w:val="clear" w:color="auto" w:fill="FFFFFF"/>
        <w:spacing w:after="0" w:line="240" w:lineRule="auto"/>
        <w:jc w:val="both"/>
        <w:textAlignment w:val="baseline"/>
        <w:outlineLvl w:val="3"/>
        <w:rPr>
          <w:rFonts w:cs="Arial"/>
          <w:b/>
          <w:bCs/>
          <w:color w:val="333333"/>
          <w:sz w:val="20"/>
          <w:szCs w:val="20"/>
          <w:lang w:val="es-ES" w:eastAsia="es-ES"/>
        </w:rPr>
      </w:pPr>
      <w:r w:rsidRPr="0036094C">
        <w:rPr>
          <w:rFonts w:cs="Arial"/>
          <w:b/>
          <w:bCs/>
          <w:color w:val="333333"/>
          <w:sz w:val="20"/>
          <w:szCs w:val="20"/>
          <w:lang w:val="es-ES" w:eastAsia="es-ES"/>
        </w:rPr>
        <w:t>Misión</w:t>
      </w:r>
    </w:p>
    <w:p w:rsidR="0036094C" w:rsidRPr="0036094C" w:rsidRDefault="0036094C" w:rsidP="0036094C">
      <w:pPr>
        <w:spacing w:after="0" w:line="240" w:lineRule="auto"/>
        <w:jc w:val="both"/>
        <w:rPr>
          <w:rFonts w:cs="Arial"/>
          <w:sz w:val="20"/>
          <w:szCs w:val="20"/>
        </w:rPr>
      </w:pPr>
      <w:r w:rsidRPr="0036094C">
        <w:rPr>
          <w:rFonts w:cs="Arial"/>
          <w:sz w:val="20"/>
          <w:szCs w:val="20"/>
        </w:rPr>
        <w:t>Proteger, defender, promover y estudiar los Derechos Humanos en todo el territorio del Estado de Yucatán, mediante un servicio integral, permanente y sensible a los ciudadanos y organizaciones.</w:t>
      </w:r>
    </w:p>
    <w:p w:rsidR="0036094C" w:rsidRPr="0036094C" w:rsidRDefault="0036094C" w:rsidP="0036094C">
      <w:pPr>
        <w:pStyle w:val="Ttulo4"/>
        <w:shd w:val="clear" w:color="auto" w:fill="FFFFFF"/>
        <w:spacing w:before="0"/>
        <w:jc w:val="both"/>
        <w:textAlignment w:val="baseline"/>
        <w:rPr>
          <w:rFonts w:ascii="Calibri" w:hAnsi="Calibri" w:cs="Arial"/>
          <w:color w:val="333333"/>
          <w:sz w:val="20"/>
          <w:szCs w:val="20"/>
        </w:rPr>
      </w:pPr>
      <w:r w:rsidRPr="0036094C">
        <w:rPr>
          <w:rFonts w:ascii="Calibri" w:hAnsi="Calibri" w:cs="Arial"/>
          <w:color w:val="333333"/>
          <w:sz w:val="20"/>
          <w:szCs w:val="20"/>
        </w:rPr>
        <w:t>Visión</w:t>
      </w:r>
    </w:p>
    <w:p w:rsidR="0036094C" w:rsidRPr="0036094C" w:rsidRDefault="0036094C" w:rsidP="0036094C">
      <w:pPr>
        <w:spacing w:after="0" w:line="240" w:lineRule="auto"/>
        <w:jc w:val="both"/>
        <w:rPr>
          <w:rFonts w:cs="Arial"/>
          <w:sz w:val="20"/>
          <w:szCs w:val="20"/>
        </w:rPr>
      </w:pPr>
      <w:r w:rsidRPr="0036094C">
        <w:rPr>
          <w:rFonts w:cs="Arial"/>
          <w:sz w:val="20"/>
          <w:szCs w:val="20"/>
        </w:rPr>
        <w:t>Ser un organismo sensible y efectivo, capaz de generar la confianza y acción conjunta de los ciudadanos y sus organizaciones, para garantizaren todo el Estado de Yucatán el respeto a los Derechos Humanos.</w:t>
      </w:r>
    </w:p>
    <w:p w:rsidR="0036094C" w:rsidRPr="0036094C" w:rsidRDefault="0036094C" w:rsidP="0036094C">
      <w:pPr>
        <w:spacing w:after="0" w:line="240" w:lineRule="auto"/>
        <w:jc w:val="both"/>
        <w:rPr>
          <w:rFonts w:cs="Arial"/>
          <w:sz w:val="20"/>
          <w:szCs w:val="20"/>
        </w:rPr>
      </w:pPr>
      <w:r w:rsidRPr="0036094C">
        <w:rPr>
          <w:rFonts w:cs="Arial"/>
          <w:sz w:val="20"/>
          <w:szCs w:val="20"/>
        </w:rPr>
        <w:lastRenderedPageBreak/>
        <w:t>Con el propósito de fortalecer la autonomía de la Comisión, también se previó determinar los rubros que integrarán su patrimonio y su organización presupuestaria, esto acorde con la nueva naturaleza autónoma de la Comisión y en cumplimiento de sus atribuciones, para efectos de asegurar la funcionabilidad y eficacia del cometido constitucional a su cargo.</w:t>
      </w:r>
    </w:p>
    <w:p w:rsidR="0036094C" w:rsidRPr="0036094C" w:rsidRDefault="0036094C" w:rsidP="0036094C">
      <w:pPr>
        <w:spacing w:line="240" w:lineRule="auto"/>
        <w:rPr>
          <w:rFonts w:cs="Arial"/>
          <w:b/>
          <w:sz w:val="20"/>
          <w:szCs w:val="20"/>
        </w:rPr>
      </w:pPr>
    </w:p>
    <w:p w:rsidR="0036094C" w:rsidRPr="0036094C" w:rsidRDefault="0036094C" w:rsidP="0036094C">
      <w:pPr>
        <w:spacing w:after="0" w:line="240" w:lineRule="auto"/>
        <w:jc w:val="both"/>
        <w:rPr>
          <w:rFonts w:cs="Arial"/>
          <w:sz w:val="20"/>
          <w:szCs w:val="20"/>
        </w:rPr>
      </w:pPr>
      <w:r w:rsidRPr="0036094C">
        <w:rPr>
          <w:rFonts w:cs="Arial"/>
          <w:sz w:val="20"/>
          <w:szCs w:val="20"/>
        </w:rPr>
        <w:t>Es así, que en cumplimiento a los decretos constitucionales de reforma tanto a la Constitución Federal, como a la Constitución Local, la ley que se sometió a consideración, tiene como finalidad cubrir en sus términos y de manera armónica, todos aquellos aspectos previstos en las citadas reformas constitucionales y con ello garantizar la plena vigencia de los derechos humanos en el Estado.</w:t>
      </w:r>
      <w:bookmarkStart w:id="0" w:name="_GoBack"/>
      <w:bookmarkEnd w:id="0"/>
    </w:p>
    <w:p w:rsidR="0036094C" w:rsidRPr="0036094C" w:rsidRDefault="0036094C" w:rsidP="0036094C">
      <w:pPr>
        <w:spacing w:after="0" w:line="240" w:lineRule="auto"/>
        <w:jc w:val="both"/>
        <w:rPr>
          <w:rFonts w:cs="Arial"/>
          <w:b/>
          <w:sz w:val="20"/>
          <w:szCs w:val="20"/>
        </w:rPr>
      </w:pPr>
    </w:p>
    <w:p w:rsidR="0036094C" w:rsidRPr="0036094C" w:rsidRDefault="0036094C" w:rsidP="0036094C">
      <w:pPr>
        <w:spacing w:after="0" w:line="240" w:lineRule="auto"/>
        <w:jc w:val="both"/>
        <w:rPr>
          <w:rFonts w:cs="Arial"/>
          <w:b/>
          <w:sz w:val="20"/>
          <w:szCs w:val="20"/>
        </w:rPr>
      </w:pPr>
      <w:r w:rsidRPr="0036094C">
        <w:rPr>
          <w:rFonts w:cs="Arial"/>
          <w:b/>
          <w:sz w:val="20"/>
          <w:szCs w:val="20"/>
        </w:rPr>
        <w:t>El tipo de contribuciones obligado a pagar o retener.</w:t>
      </w:r>
    </w:p>
    <w:p w:rsidR="0036094C" w:rsidRPr="0036094C" w:rsidRDefault="0036094C" w:rsidP="0036094C">
      <w:pPr>
        <w:spacing w:after="0" w:line="240" w:lineRule="auto"/>
        <w:jc w:val="both"/>
        <w:rPr>
          <w:rFonts w:cs="Arial"/>
          <w:sz w:val="20"/>
          <w:szCs w:val="20"/>
        </w:rPr>
      </w:pPr>
      <w:r w:rsidRPr="0036094C">
        <w:rPr>
          <w:rFonts w:cs="Arial"/>
          <w:sz w:val="20"/>
          <w:szCs w:val="20"/>
        </w:rPr>
        <w:t>Presentar la declaración y pago provisional mensual de retenciones de Impuesto Sobre la Renta (ISR) por sueldos y salarios.</w:t>
      </w:r>
    </w:p>
    <w:p w:rsidR="0036094C" w:rsidRPr="0036094C" w:rsidRDefault="0036094C" w:rsidP="0036094C">
      <w:pPr>
        <w:spacing w:after="0" w:line="240" w:lineRule="auto"/>
        <w:jc w:val="both"/>
        <w:rPr>
          <w:rFonts w:cs="Arial"/>
          <w:sz w:val="20"/>
          <w:szCs w:val="20"/>
        </w:rPr>
      </w:pPr>
      <w:r w:rsidRPr="0036094C">
        <w:rPr>
          <w:rFonts w:cs="Arial"/>
          <w:sz w:val="20"/>
          <w:szCs w:val="20"/>
        </w:rPr>
        <w:t>Presentar la declaración anual de Impuesto Sobre la Renta (ISR) donde se informe sobre las retenciones efectuadas por pagos de rentas de bienes inmuebles.</w:t>
      </w:r>
    </w:p>
    <w:p w:rsidR="0036094C" w:rsidRPr="0036094C" w:rsidRDefault="0036094C" w:rsidP="0036094C">
      <w:pPr>
        <w:spacing w:after="0" w:line="240" w:lineRule="auto"/>
        <w:jc w:val="both"/>
        <w:rPr>
          <w:rFonts w:cs="Arial"/>
          <w:sz w:val="20"/>
          <w:szCs w:val="20"/>
        </w:rPr>
      </w:pPr>
      <w:r w:rsidRPr="0036094C">
        <w:rPr>
          <w:rFonts w:cs="Arial"/>
          <w:sz w:val="20"/>
          <w:szCs w:val="20"/>
        </w:rPr>
        <w:t>Presentar la declaración anual donde se informe sobre las retenciones de los trabajadores que recibieron sueldos y salarios y trabajadores asimilados a salarios.</w:t>
      </w:r>
    </w:p>
    <w:p w:rsidR="0036094C" w:rsidRPr="0036094C" w:rsidRDefault="0036094C" w:rsidP="0036094C">
      <w:pPr>
        <w:spacing w:after="0" w:line="240" w:lineRule="auto"/>
        <w:jc w:val="both"/>
        <w:rPr>
          <w:rFonts w:cs="Arial"/>
          <w:sz w:val="20"/>
          <w:szCs w:val="20"/>
        </w:rPr>
      </w:pPr>
      <w:r w:rsidRPr="0036094C">
        <w:rPr>
          <w:rFonts w:cs="Arial"/>
          <w:sz w:val="20"/>
          <w:szCs w:val="20"/>
        </w:rPr>
        <w:t>Presentar la declaración y pago provisional mensual de las retenciones de Impuesto Sobre la Renta (ISR) realizadas por el pago de rentas de bienes inmuebles.</w:t>
      </w:r>
    </w:p>
    <w:p w:rsidR="0036094C" w:rsidRPr="0036094C" w:rsidRDefault="0036094C" w:rsidP="0036094C">
      <w:pPr>
        <w:spacing w:after="0" w:line="240" w:lineRule="auto"/>
        <w:jc w:val="both"/>
        <w:rPr>
          <w:rFonts w:cs="Arial"/>
          <w:sz w:val="20"/>
          <w:szCs w:val="20"/>
        </w:rPr>
      </w:pPr>
      <w:r w:rsidRPr="0036094C">
        <w:rPr>
          <w:rFonts w:cs="Arial"/>
          <w:sz w:val="20"/>
          <w:szCs w:val="20"/>
        </w:rPr>
        <w:t>Presentar la declaración anual de Impuesto Sobre la Renta (ISR) donde se informe sobre el remanente distribuible de personas morales con fines no lucrativos.</w:t>
      </w:r>
    </w:p>
    <w:p w:rsidR="0036094C" w:rsidRPr="0036094C" w:rsidRDefault="0036094C" w:rsidP="0036094C">
      <w:pPr>
        <w:spacing w:after="0" w:line="240" w:lineRule="auto"/>
        <w:jc w:val="both"/>
        <w:rPr>
          <w:rFonts w:cs="Arial"/>
          <w:sz w:val="20"/>
          <w:szCs w:val="20"/>
        </w:rPr>
      </w:pPr>
      <w:r w:rsidRPr="0036094C">
        <w:rPr>
          <w:rFonts w:cs="Arial"/>
          <w:sz w:val="20"/>
          <w:szCs w:val="20"/>
        </w:rPr>
        <w:t>Presentar la declaración anual de Impuesto Sobre la Renta (ISR) donde se informe sobre los ingresos obtenidos y los gastos efectuados de personas morales confines no lucrativos.</w:t>
      </w:r>
    </w:p>
    <w:p w:rsidR="0036094C" w:rsidRPr="0036094C" w:rsidRDefault="0036094C" w:rsidP="0036094C">
      <w:pPr>
        <w:spacing w:after="0" w:line="240" w:lineRule="auto"/>
        <w:jc w:val="both"/>
        <w:rPr>
          <w:rFonts w:cs="Arial"/>
          <w:sz w:val="20"/>
          <w:szCs w:val="20"/>
        </w:rPr>
      </w:pPr>
      <w:r w:rsidRPr="0036094C">
        <w:rPr>
          <w:rFonts w:cs="Arial"/>
          <w:sz w:val="20"/>
          <w:szCs w:val="20"/>
        </w:rPr>
        <w:t>Presentar la declaración anual de Impuesto Sobre la Renta (ISR) donde se informe sobre los clientes y proveedores de bienes y servicios.</w:t>
      </w:r>
    </w:p>
    <w:p w:rsidR="0036094C" w:rsidRPr="0036094C" w:rsidRDefault="0036094C" w:rsidP="0036094C">
      <w:pPr>
        <w:spacing w:after="0" w:line="240" w:lineRule="auto"/>
        <w:jc w:val="both"/>
        <w:rPr>
          <w:rFonts w:cs="Arial"/>
          <w:sz w:val="20"/>
          <w:szCs w:val="20"/>
        </w:rPr>
      </w:pPr>
      <w:r w:rsidRPr="0036094C">
        <w:rPr>
          <w:rFonts w:cs="Arial"/>
          <w:sz w:val="20"/>
          <w:szCs w:val="20"/>
        </w:rPr>
        <w:t>Presentar la declaración informativa anual de Subsidio para el Empleo.</w:t>
      </w:r>
    </w:p>
    <w:p w:rsidR="0036094C" w:rsidRPr="0036094C" w:rsidRDefault="0036094C" w:rsidP="0036094C">
      <w:pPr>
        <w:spacing w:after="0" w:line="240" w:lineRule="auto"/>
        <w:jc w:val="both"/>
        <w:rPr>
          <w:rFonts w:cs="Arial"/>
          <w:sz w:val="20"/>
          <w:szCs w:val="20"/>
        </w:rPr>
      </w:pPr>
    </w:p>
    <w:p w:rsidR="0036094C" w:rsidRPr="0036094C" w:rsidRDefault="0036094C" w:rsidP="0036094C">
      <w:pPr>
        <w:spacing w:after="0" w:line="240" w:lineRule="auto"/>
        <w:jc w:val="both"/>
        <w:rPr>
          <w:rFonts w:cs="Arial"/>
          <w:sz w:val="20"/>
          <w:szCs w:val="20"/>
        </w:rPr>
      </w:pPr>
      <w:r w:rsidRPr="0036094C">
        <w:rPr>
          <w:rFonts w:cs="Arial"/>
          <w:sz w:val="20"/>
          <w:szCs w:val="20"/>
        </w:rPr>
        <w:t>Estructura organizacional básica.  Se anexa organigrama de la entidad.</w:t>
      </w:r>
    </w:p>
    <w:p w:rsidR="0036094C" w:rsidRPr="002000F2" w:rsidRDefault="0036094C" w:rsidP="0036094C">
      <w:pPr>
        <w:spacing w:line="240" w:lineRule="auto"/>
        <w:rPr>
          <w:rFonts w:cs="Arial"/>
          <w:b/>
          <w:sz w:val="15"/>
          <w:szCs w:val="15"/>
        </w:rPr>
      </w:pPr>
    </w:p>
    <w:p w:rsidR="0036094C" w:rsidRPr="002000F2" w:rsidRDefault="0036094C" w:rsidP="0036094C">
      <w:pPr>
        <w:outlineLvl w:val="0"/>
        <w:rPr>
          <w:rFonts w:cs="Arial"/>
          <w:b/>
          <w:sz w:val="15"/>
          <w:szCs w:val="15"/>
        </w:rPr>
      </w:pPr>
      <w:r w:rsidRPr="0036094C">
        <w:rPr>
          <w:rFonts w:ascii="Humanst531 Blk BT" w:hAnsi="Humanst531 Blk BT"/>
          <w:noProof/>
          <w:sz w:val="30"/>
          <w:szCs w:val="30"/>
        </w:rPr>
        <w:pict>
          <v:shapetype id="_x0000_t109" coordsize="21600,21600" o:spt="109" path="m,l,21600r21600,l21600,xe">
            <v:stroke joinstyle="miter"/>
            <v:path gradientshapeok="t" o:connecttype="rect"/>
          </v:shapetype>
          <v:shape id="AutoShape 310" o:spid="_x0000_s1035" type="#_x0000_t109" alt="PRESIDENTE, Jorge Alfonso Victoria Maldonado&#10;" style="position:absolute;margin-left:781.9pt;margin-top:12.2pt;width:174pt;height:32.3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" fillcolor="#d8d8d8" strokeweight="3pt">
            <v:stroke linestyle="thinThin"/>
            <v:textbox style="mso-next-textbox:#AutoShape 310" inset="1.5mm,,1.5mm">
              <w:txbxContent>
                <w:p w:rsidR="0036094C" w:rsidRPr="002000F2" w:rsidRDefault="0036094C" w:rsidP="0036094C">
                  <w:pPr>
                    <w:jc w:val="center"/>
                    <w:rPr>
                      <w:rFonts w:ascii="Arial" w:hAnsi="Arial" w:cs="Arial"/>
                      <w:b/>
                      <w:sz w:val="12"/>
                      <w:szCs w:val="12"/>
                    </w:rPr>
                  </w:pPr>
                  <w:r w:rsidRPr="002000F2">
                    <w:rPr>
                      <w:rFonts w:ascii="Arial" w:hAnsi="Arial" w:cs="Arial"/>
                      <w:b/>
                      <w:sz w:val="12"/>
                      <w:szCs w:val="12"/>
                    </w:rPr>
                    <w:t>CONSEJO CONSULTIVO</w:t>
                  </w:r>
                </w:p>
                <w:p w:rsidR="0036094C" w:rsidRPr="002000F2" w:rsidRDefault="0036094C" w:rsidP="0036094C">
                  <w:pPr>
                    <w:spacing w:before="60"/>
                    <w:jc w:val="center"/>
                    <w:rPr>
                      <w:rFonts w:ascii="Arial" w:hAnsi="Arial" w:cs="Arial"/>
                      <w:b/>
                      <w:sz w:val="12"/>
                      <w:szCs w:val="12"/>
                    </w:rPr>
                  </w:pPr>
                </w:p>
              </w:txbxContent>
            </v:textbox>
          </v:shape>
        </w:pict>
      </w:r>
    </w:p>
    <w:p w:rsidR="0036094C" w:rsidRPr="002000F2" w:rsidRDefault="0036094C" w:rsidP="0036094C">
      <w:pPr>
        <w:spacing w:after="0" w:line="240" w:lineRule="auto"/>
        <w:jc w:val="both"/>
        <w:rPr>
          <w:rFonts w:cs="Arial"/>
          <w:b/>
          <w:sz w:val="15"/>
          <w:szCs w:val="15"/>
        </w:rPr>
        <w:sectPr w:rsidR="0036094C" w:rsidRPr="002000F2" w:rsidSect="0036094C">
          <w:pgSz w:w="15840" w:h="12240" w:orient="landscape" w:code="1"/>
          <w:pgMar w:top="2835" w:right="1134" w:bottom="1701" w:left="1134" w:header="709" w:footer="709" w:gutter="0"/>
          <w:cols w:space="708"/>
          <w:docGrid w:linePitch="360"/>
        </w:sectPr>
      </w:pPr>
    </w:p>
    <w:p w:rsidR="0036094C" w:rsidRPr="006267A3" w:rsidRDefault="0036094C" w:rsidP="0036094C">
      <w:r w:rsidRPr="00791EB3">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i1025" type="#_x0000_t75" style="width:655.5pt;height:439.5pt;visibility:visible;mso-wrap-style:square">
            <v:imagedata r:id="rId7" o:title=""/>
          </v:shape>
        </w:pict>
      </w:r>
    </w:p>
    <w:p w:rsidR="0036094C" w:rsidRPr="0036094C" w:rsidRDefault="0036094C" w:rsidP="0036094C">
      <w:pPr>
        <w:spacing w:after="0" w:line="240" w:lineRule="auto"/>
        <w:jc w:val="both"/>
        <w:rPr>
          <w:rFonts w:cs="Arial"/>
          <w:b/>
          <w:sz w:val="20"/>
          <w:szCs w:val="20"/>
        </w:rPr>
      </w:pPr>
      <w:r w:rsidRPr="0036094C">
        <w:rPr>
          <w:rFonts w:cs="Arial"/>
          <w:b/>
          <w:sz w:val="20"/>
          <w:szCs w:val="20"/>
        </w:rPr>
        <w:lastRenderedPageBreak/>
        <w:t>Bases de Preparación de los Estados Financieros:</w:t>
      </w:r>
    </w:p>
    <w:p w:rsidR="0036094C" w:rsidRPr="0036094C" w:rsidRDefault="0036094C" w:rsidP="0036094C">
      <w:pPr>
        <w:spacing w:after="0" w:line="240" w:lineRule="auto"/>
        <w:jc w:val="both"/>
        <w:rPr>
          <w:rFonts w:cs="Arial"/>
          <w:sz w:val="20"/>
          <w:szCs w:val="20"/>
        </w:rPr>
      </w:pPr>
    </w:p>
    <w:p w:rsidR="0036094C" w:rsidRPr="0036094C" w:rsidRDefault="0036094C" w:rsidP="0036094C">
      <w:pPr>
        <w:spacing w:after="0" w:line="240" w:lineRule="auto"/>
        <w:jc w:val="both"/>
        <w:rPr>
          <w:rFonts w:cs="Arial"/>
          <w:sz w:val="20"/>
          <w:szCs w:val="20"/>
        </w:rPr>
      </w:pPr>
      <w:r w:rsidRPr="0036094C">
        <w:rPr>
          <w:rFonts w:cs="Arial"/>
          <w:sz w:val="20"/>
          <w:szCs w:val="20"/>
        </w:rPr>
        <w:t>Se ha observado la normatividad emitida por el CONAC y las disposiciones legales aplicables</w:t>
      </w:r>
    </w:p>
    <w:p w:rsidR="0036094C" w:rsidRPr="0036094C" w:rsidRDefault="0036094C" w:rsidP="0036094C">
      <w:pPr>
        <w:spacing w:after="0" w:line="240" w:lineRule="auto"/>
        <w:jc w:val="both"/>
        <w:rPr>
          <w:rFonts w:cs="Arial"/>
          <w:sz w:val="20"/>
          <w:szCs w:val="20"/>
        </w:rPr>
      </w:pPr>
      <w:r w:rsidRPr="0036094C">
        <w:rPr>
          <w:rFonts w:cs="Arial"/>
          <w:sz w:val="20"/>
          <w:szCs w:val="20"/>
        </w:rPr>
        <w:t>Se ha observado en cierta medida la normatividad emitida por el CONAC y la Ley General de Contabilidad Gubernamental (LGCG) para la emisión de los estados financieros contables.</w:t>
      </w:r>
    </w:p>
    <w:p w:rsidR="0036094C" w:rsidRPr="0036094C" w:rsidRDefault="0036094C" w:rsidP="0036094C">
      <w:pPr>
        <w:spacing w:after="0" w:line="240" w:lineRule="auto"/>
        <w:jc w:val="both"/>
        <w:rPr>
          <w:rFonts w:cs="Arial"/>
          <w:sz w:val="20"/>
          <w:szCs w:val="20"/>
        </w:rPr>
      </w:pPr>
      <w:r w:rsidRPr="0036094C">
        <w:rPr>
          <w:rFonts w:cs="Arial"/>
          <w:sz w:val="20"/>
          <w:szCs w:val="20"/>
        </w:rPr>
        <w:t>La normatividad aplicada para el reconocimiento, valuación y revelación de los diferentes rubros de la información financiera, así como las bases de medición utilizadas para la elaboración de los estados financieros; por ejemplo: costo histórico, valor de realización o cualquier otro método empleado y los criterios de aplicación de los mismos</w:t>
      </w:r>
    </w:p>
    <w:p w:rsidR="0036094C" w:rsidRPr="0036094C" w:rsidRDefault="0036094C" w:rsidP="0036094C">
      <w:pPr>
        <w:spacing w:after="0" w:line="240" w:lineRule="auto"/>
        <w:jc w:val="both"/>
        <w:rPr>
          <w:rFonts w:cs="Arial"/>
          <w:sz w:val="20"/>
          <w:szCs w:val="20"/>
        </w:rPr>
      </w:pPr>
      <w:r w:rsidRPr="0036094C">
        <w:rPr>
          <w:rFonts w:cs="Arial"/>
          <w:sz w:val="20"/>
          <w:szCs w:val="20"/>
        </w:rPr>
        <w:t xml:space="preserve">Todos los eventos que afectan económicamente a la Comisión de Derechos Humanos del Estado de Yucatán, están cuantificados en términos monetarios y se registran al costo histórico. El costo histórico de las operaciones corresponde al monto erogado para su adquisición conforme a la documentación contable original justificativa y comprobatoria, o bien a su valor estimado o de avalúo. </w:t>
      </w:r>
    </w:p>
    <w:p w:rsidR="0036094C" w:rsidRPr="0036094C" w:rsidRDefault="0036094C" w:rsidP="0036094C">
      <w:pPr>
        <w:spacing w:after="0" w:line="240" w:lineRule="auto"/>
        <w:jc w:val="both"/>
        <w:rPr>
          <w:rFonts w:cs="Arial"/>
          <w:sz w:val="20"/>
          <w:szCs w:val="20"/>
        </w:rPr>
      </w:pPr>
      <w:r w:rsidRPr="0036094C">
        <w:rPr>
          <w:rFonts w:cs="Arial"/>
          <w:sz w:val="20"/>
          <w:szCs w:val="20"/>
        </w:rPr>
        <w:t>Las bases de preparación de los Estados Financieros de la Comisión de Derechos Humanos del Estado de Yucatán, aplican los Postulados Básicos de sustancia económica, entes públicos, revelación suficiente, importancia relativa, registro e integración presupuestaria, devengo contable del ingreso, valuación, dualidad económica y consistencia. Sin embargo, aún se encuentran en fase de desarrollo de los diferentes rubros de la información financiera.</w:t>
      </w:r>
    </w:p>
    <w:p w:rsidR="0036094C" w:rsidRPr="0036094C" w:rsidRDefault="0036094C" w:rsidP="0036094C">
      <w:pPr>
        <w:spacing w:after="0" w:line="240" w:lineRule="auto"/>
        <w:jc w:val="both"/>
        <w:rPr>
          <w:rFonts w:cs="Arial"/>
          <w:sz w:val="20"/>
          <w:szCs w:val="20"/>
        </w:rPr>
      </w:pPr>
    </w:p>
    <w:p w:rsidR="0036094C" w:rsidRPr="0036094C" w:rsidRDefault="0036094C" w:rsidP="0036094C">
      <w:pPr>
        <w:spacing w:after="0" w:line="240" w:lineRule="auto"/>
        <w:jc w:val="both"/>
        <w:rPr>
          <w:rFonts w:cs="Arial"/>
          <w:sz w:val="20"/>
          <w:szCs w:val="20"/>
        </w:rPr>
      </w:pPr>
      <w:r w:rsidRPr="0036094C">
        <w:rPr>
          <w:rFonts w:cs="Arial"/>
          <w:b/>
          <w:sz w:val="20"/>
          <w:szCs w:val="20"/>
        </w:rPr>
        <w:t>Ingresos</w:t>
      </w:r>
      <w:r w:rsidRPr="0036094C">
        <w:rPr>
          <w:rFonts w:cs="Arial"/>
          <w:sz w:val="20"/>
          <w:szCs w:val="20"/>
        </w:rPr>
        <w:t>: Los ingresos se reconocen cuando se tiene el derecho de cobro o se devengan de acuerdo a los lineamientos emitidos por el CONAC.</w:t>
      </w:r>
    </w:p>
    <w:p w:rsidR="0036094C" w:rsidRPr="0036094C" w:rsidRDefault="0036094C" w:rsidP="0036094C">
      <w:pPr>
        <w:spacing w:after="0" w:line="240" w:lineRule="auto"/>
        <w:jc w:val="both"/>
        <w:rPr>
          <w:rFonts w:cs="Arial"/>
          <w:sz w:val="20"/>
          <w:szCs w:val="20"/>
        </w:rPr>
      </w:pPr>
      <w:r w:rsidRPr="0036094C">
        <w:rPr>
          <w:rFonts w:cs="Arial"/>
          <w:sz w:val="20"/>
          <w:szCs w:val="20"/>
        </w:rPr>
        <w:t xml:space="preserve">El momento contable del </w:t>
      </w:r>
      <w:r w:rsidRPr="0036094C">
        <w:rPr>
          <w:rFonts w:cs="Arial"/>
          <w:i/>
          <w:sz w:val="20"/>
          <w:szCs w:val="20"/>
        </w:rPr>
        <w:t>ingreso estimado</w:t>
      </w:r>
      <w:r w:rsidRPr="0036094C">
        <w:rPr>
          <w:rFonts w:cs="Arial"/>
          <w:sz w:val="20"/>
          <w:szCs w:val="20"/>
        </w:rPr>
        <w:t xml:space="preserve"> es el que se aprueba anualmente por la Presidencia de la Comisión de Derechos Humanos del Estado de Yucatán  a través del presupuesto Anual.</w:t>
      </w:r>
    </w:p>
    <w:p w:rsidR="0036094C" w:rsidRPr="0036094C" w:rsidRDefault="0036094C" w:rsidP="0036094C">
      <w:pPr>
        <w:spacing w:after="0" w:line="240" w:lineRule="auto"/>
        <w:jc w:val="both"/>
        <w:rPr>
          <w:rFonts w:cs="Arial"/>
          <w:sz w:val="20"/>
          <w:szCs w:val="20"/>
        </w:rPr>
      </w:pPr>
      <w:r w:rsidRPr="0036094C">
        <w:rPr>
          <w:rFonts w:cs="Arial"/>
          <w:i/>
          <w:sz w:val="20"/>
          <w:szCs w:val="20"/>
        </w:rPr>
        <w:t>El ingreso modificado</w:t>
      </w:r>
      <w:r w:rsidRPr="0036094C">
        <w:rPr>
          <w:rFonts w:cs="Arial"/>
          <w:sz w:val="20"/>
          <w:szCs w:val="20"/>
        </w:rPr>
        <w:t xml:space="preserve"> consiste en incorporar en su caso, las modificaciones al ingreso aprobado.</w:t>
      </w:r>
    </w:p>
    <w:p w:rsidR="0036094C" w:rsidRPr="0036094C" w:rsidRDefault="0036094C" w:rsidP="0036094C">
      <w:pPr>
        <w:spacing w:after="0" w:line="240" w:lineRule="auto"/>
        <w:jc w:val="both"/>
        <w:rPr>
          <w:rFonts w:cs="Arial"/>
          <w:sz w:val="20"/>
          <w:szCs w:val="20"/>
        </w:rPr>
      </w:pPr>
      <w:r w:rsidRPr="0036094C">
        <w:rPr>
          <w:rFonts w:cs="Arial"/>
          <w:i/>
          <w:sz w:val="20"/>
          <w:szCs w:val="20"/>
        </w:rPr>
        <w:t xml:space="preserve">El ingreso devengado: </w:t>
      </w:r>
      <w:r w:rsidRPr="0036094C">
        <w:rPr>
          <w:rFonts w:cs="Arial"/>
          <w:sz w:val="20"/>
          <w:szCs w:val="20"/>
        </w:rPr>
        <w:t>no se cuenta con los elementos que identifiquen el hecho imponible al deudor y que pueda establecer un importe, ya que nuestros servicios son gratuitos.</w:t>
      </w:r>
    </w:p>
    <w:p w:rsidR="0036094C" w:rsidRPr="0036094C" w:rsidRDefault="0036094C" w:rsidP="0036094C">
      <w:pPr>
        <w:spacing w:after="0" w:line="240" w:lineRule="auto"/>
        <w:jc w:val="both"/>
        <w:rPr>
          <w:rFonts w:cs="Arial"/>
          <w:sz w:val="20"/>
          <w:szCs w:val="20"/>
        </w:rPr>
      </w:pPr>
      <w:r w:rsidRPr="0036094C">
        <w:rPr>
          <w:rFonts w:cs="Arial"/>
          <w:i/>
          <w:sz w:val="20"/>
          <w:szCs w:val="20"/>
        </w:rPr>
        <w:t>Ingreso recaudado</w:t>
      </w:r>
      <w:r w:rsidRPr="0036094C">
        <w:rPr>
          <w:rFonts w:cs="Arial"/>
          <w:sz w:val="20"/>
          <w:szCs w:val="20"/>
        </w:rPr>
        <w:t>: no se cuenta con los elementos que identifiquen el hecho imponible, ya que nuestros servicios son gratuitos.</w:t>
      </w:r>
    </w:p>
    <w:p w:rsidR="0036094C" w:rsidRPr="0036094C" w:rsidRDefault="0036094C" w:rsidP="0036094C">
      <w:pPr>
        <w:spacing w:after="0" w:line="240" w:lineRule="auto"/>
        <w:jc w:val="both"/>
        <w:rPr>
          <w:rFonts w:cs="Arial"/>
          <w:sz w:val="20"/>
          <w:szCs w:val="20"/>
        </w:rPr>
      </w:pPr>
    </w:p>
    <w:p w:rsidR="0036094C" w:rsidRPr="0036094C" w:rsidRDefault="0036094C" w:rsidP="0036094C">
      <w:pPr>
        <w:spacing w:after="0" w:line="240" w:lineRule="auto"/>
        <w:jc w:val="both"/>
        <w:rPr>
          <w:rFonts w:cs="Arial"/>
          <w:sz w:val="20"/>
          <w:szCs w:val="20"/>
        </w:rPr>
      </w:pPr>
      <w:r w:rsidRPr="0036094C">
        <w:rPr>
          <w:rFonts w:cs="Arial"/>
          <w:b/>
          <w:sz w:val="20"/>
          <w:szCs w:val="20"/>
        </w:rPr>
        <w:t>Egresos</w:t>
      </w:r>
      <w:r w:rsidRPr="0036094C">
        <w:rPr>
          <w:rFonts w:cs="Arial"/>
          <w:sz w:val="20"/>
          <w:szCs w:val="20"/>
        </w:rPr>
        <w:t>: Los egresos se encuentran reconocidos al costo histórico en el momento en que se devengan.</w:t>
      </w:r>
    </w:p>
    <w:p w:rsidR="0036094C" w:rsidRPr="0036094C" w:rsidRDefault="0036094C" w:rsidP="0036094C">
      <w:pPr>
        <w:spacing w:after="0" w:line="240" w:lineRule="auto"/>
        <w:jc w:val="both"/>
        <w:rPr>
          <w:rFonts w:cs="Arial"/>
          <w:sz w:val="20"/>
          <w:szCs w:val="20"/>
        </w:rPr>
      </w:pPr>
      <w:r w:rsidRPr="0036094C">
        <w:rPr>
          <w:rFonts w:cs="Arial"/>
          <w:i/>
          <w:sz w:val="20"/>
          <w:szCs w:val="20"/>
        </w:rPr>
        <w:t>El gasto comprometido</w:t>
      </w:r>
      <w:r w:rsidRPr="0036094C">
        <w:rPr>
          <w:rFonts w:cs="Arial"/>
          <w:sz w:val="20"/>
          <w:szCs w:val="20"/>
        </w:rPr>
        <w:t xml:space="preserve"> refleja la aprobación por autoridad competente de un acto administrativo, u otro instrumento jurídico que formaliza una relación jurídica con terceros, para la adquisición de bienes y servicios </w:t>
      </w:r>
    </w:p>
    <w:p w:rsidR="0036094C" w:rsidRPr="0036094C" w:rsidRDefault="0036094C" w:rsidP="0036094C">
      <w:pPr>
        <w:spacing w:after="0" w:line="240" w:lineRule="auto"/>
        <w:jc w:val="both"/>
        <w:rPr>
          <w:rFonts w:cs="Arial"/>
          <w:sz w:val="20"/>
          <w:szCs w:val="20"/>
        </w:rPr>
      </w:pPr>
      <w:r w:rsidRPr="0036094C">
        <w:rPr>
          <w:rFonts w:cs="Arial"/>
          <w:i/>
          <w:sz w:val="20"/>
          <w:szCs w:val="20"/>
        </w:rPr>
        <w:t>El gasto devengado</w:t>
      </w:r>
      <w:r w:rsidRPr="0036094C">
        <w:rPr>
          <w:rFonts w:cs="Arial"/>
          <w:sz w:val="20"/>
          <w:szCs w:val="20"/>
        </w:rPr>
        <w:t>, refleja el reconocimiento de obligaciones de pago a favor de terceros por la recepción de conformidad de bienes y servicios  oportunamente contratados.</w:t>
      </w:r>
    </w:p>
    <w:p w:rsidR="0036094C" w:rsidRPr="0036094C" w:rsidRDefault="0036094C" w:rsidP="0036094C">
      <w:pPr>
        <w:spacing w:after="0" w:line="240" w:lineRule="auto"/>
        <w:jc w:val="both"/>
        <w:rPr>
          <w:rFonts w:cs="Arial"/>
          <w:sz w:val="20"/>
          <w:szCs w:val="20"/>
        </w:rPr>
      </w:pPr>
      <w:r w:rsidRPr="0036094C">
        <w:rPr>
          <w:rFonts w:cs="Arial"/>
          <w:i/>
          <w:sz w:val="20"/>
          <w:szCs w:val="20"/>
        </w:rPr>
        <w:t>El gasto pagado</w:t>
      </w:r>
      <w:r w:rsidRPr="0036094C">
        <w:rPr>
          <w:rFonts w:cs="Arial"/>
          <w:sz w:val="20"/>
          <w:szCs w:val="20"/>
        </w:rPr>
        <w:t>, refleja la cancelación total o parcial de las obligaciones de pago, que se concreta mediante el desembolso de efectivo o cualquier otro medio de pago</w:t>
      </w:r>
    </w:p>
    <w:p w:rsidR="0036094C" w:rsidRPr="0036094C" w:rsidRDefault="0036094C" w:rsidP="0036094C">
      <w:pPr>
        <w:spacing w:after="0" w:line="240" w:lineRule="auto"/>
        <w:jc w:val="both"/>
        <w:rPr>
          <w:rFonts w:cs="Arial"/>
          <w:sz w:val="20"/>
          <w:szCs w:val="20"/>
        </w:rPr>
      </w:pPr>
      <w:r w:rsidRPr="0036094C">
        <w:rPr>
          <w:rFonts w:cs="Arial"/>
          <w:sz w:val="20"/>
          <w:szCs w:val="20"/>
        </w:rPr>
        <w:t>El sistema y método de Valuación de Bienes Muebles que integran el Patrimonio de la Comisión es a  Valor Histórico.</w:t>
      </w:r>
    </w:p>
    <w:p w:rsidR="0036094C" w:rsidRPr="0036094C" w:rsidRDefault="0036094C" w:rsidP="0036094C">
      <w:pPr>
        <w:spacing w:after="0" w:line="240" w:lineRule="auto"/>
        <w:jc w:val="both"/>
        <w:rPr>
          <w:rFonts w:cs="Arial"/>
          <w:sz w:val="20"/>
          <w:szCs w:val="20"/>
        </w:rPr>
      </w:pPr>
      <w:r w:rsidRPr="0036094C">
        <w:rPr>
          <w:rFonts w:cs="Arial"/>
          <w:sz w:val="20"/>
          <w:szCs w:val="20"/>
        </w:rPr>
        <w:lastRenderedPageBreak/>
        <w:t xml:space="preserve">Se continua trabajando en el cambio transcendental que es el proceso de armonización contable, para atender en tiempo y forma el nuevo esquema de la contabilidad gubernamental y generando así los beneficios en materia de información financiera, transparencia y rendición </w:t>
      </w:r>
    </w:p>
    <w:p w:rsidR="0036094C" w:rsidRPr="0036094C" w:rsidRDefault="0036094C" w:rsidP="0036094C">
      <w:pPr>
        <w:spacing w:line="240" w:lineRule="auto"/>
        <w:rPr>
          <w:rFonts w:cs="Arial"/>
          <w:b/>
          <w:sz w:val="20"/>
          <w:szCs w:val="20"/>
        </w:rPr>
      </w:pPr>
    </w:p>
    <w:p w:rsidR="0036094C" w:rsidRPr="0036094C" w:rsidRDefault="0036094C" w:rsidP="0036094C">
      <w:pPr>
        <w:spacing w:line="240" w:lineRule="auto"/>
        <w:rPr>
          <w:rFonts w:cs="Arial"/>
          <w:b/>
          <w:sz w:val="20"/>
          <w:szCs w:val="20"/>
        </w:rPr>
      </w:pPr>
      <w:r w:rsidRPr="0036094C">
        <w:rPr>
          <w:rFonts w:cs="Arial"/>
          <w:b/>
          <w:sz w:val="20"/>
          <w:szCs w:val="20"/>
        </w:rPr>
        <w:t>NOTAS DE DESGLOSE</w:t>
      </w:r>
    </w:p>
    <w:p w:rsidR="0036094C" w:rsidRPr="0036094C" w:rsidRDefault="0036094C" w:rsidP="0036094C">
      <w:pPr>
        <w:spacing w:after="0" w:line="240" w:lineRule="auto"/>
        <w:jc w:val="both"/>
        <w:rPr>
          <w:rFonts w:cs="Calibri"/>
          <w:b/>
          <w:bCs/>
          <w:color w:val="000000"/>
          <w:sz w:val="20"/>
          <w:szCs w:val="20"/>
        </w:rPr>
      </w:pPr>
      <w:r w:rsidRPr="0036094C">
        <w:rPr>
          <w:rFonts w:cs="Calibri"/>
          <w:b/>
          <w:bCs/>
          <w:color w:val="000000"/>
          <w:sz w:val="20"/>
          <w:szCs w:val="20"/>
        </w:rPr>
        <w:t>I) NOTAS AL ESTADO DE SITUACION FINANCIERA</w:t>
      </w:r>
    </w:p>
    <w:p w:rsidR="0036094C" w:rsidRPr="0036094C" w:rsidRDefault="0036094C" w:rsidP="0036094C">
      <w:pPr>
        <w:spacing w:after="0" w:line="240" w:lineRule="auto"/>
        <w:jc w:val="both"/>
        <w:rPr>
          <w:rFonts w:cs="Calibri"/>
          <w:color w:val="000000"/>
          <w:sz w:val="20"/>
          <w:szCs w:val="20"/>
        </w:rPr>
      </w:pPr>
    </w:p>
    <w:p w:rsidR="0036094C" w:rsidRPr="0036094C" w:rsidRDefault="0036094C" w:rsidP="0036094C">
      <w:pPr>
        <w:spacing w:after="0" w:line="240" w:lineRule="auto"/>
        <w:jc w:val="both"/>
        <w:rPr>
          <w:rFonts w:cs="Calibri"/>
          <w:b/>
          <w:bCs/>
          <w:color w:val="000000"/>
          <w:sz w:val="20"/>
          <w:szCs w:val="20"/>
          <w:u w:val="single"/>
        </w:rPr>
      </w:pPr>
      <w:r w:rsidRPr="0036094C">
        <w:rPr>
          <w:rFonts w:cs="Calibri"/>
          <w:b/>
          <w:bCs/>
          <w:color w:val="000000"/>
          <w:sz w:val="20"/>
          <w:szCs w:val="20"/>
          <w:u w:val="single"/>
        </w:rPr>
        <w:t>ACTIVO</w:t>
      </w:r>
    </w:p>
    <w:p w:rsidR="0036094C" w:rsidRPr="0036094C" w:rsidRDefault="0036094C" w:rsidP="0036094C">
      <w:pPr>
        <w:spacing w:after="0" w:line="240" w:lineRule="auto"/>
        <w:jc w:val="both"/>
        <w:rPr>
          <w:rFonts w:cs="Calibri"/>
          <w:color w:val="000000"/>
          <w:sz w:val="20"/>
          <w:szCs w:val="20"/>
        </w:rPr>
      </w:pPr>
    </w:p>
    <w:p w:rsidR="0036094C" w:rsidRPr="0036094C" w:rsidRDefault="0036094C" w:rsidP="0036094C">
      <w:pPr>
        <w:spacing w:after="0" w:line="240" w:lineRule="auto"/>
        <w:jc w:val="both"/>
        <w:rPr>
          <w:rFonts w:cs="Calibri"/>
          <w:color w:val="000000"/>
          <w:sz w:val="20"/>
          <w:szCs w:val="20"/>
        </w:rPr>
      </w:pPr>
      <w:r w:rsidRPr="0036094C">
        <w:rPr>
          <w:rFonts w:cs="Calibri"/>
          <w:color w:val="000000"/>
          <w:sz w:val="20"/>
          <w:szCs w:val="20"/>
        </w:rPr>
        <w:t>2.- DERECHOS A RECIBIR EFECTIVO Y EQUIVALENTES Y BIENES O SERVICIOS A RECIBIR</w:t>
      </w:r>
    </w:p>
    <w:p w:rsidR="0036094C" w:rsidRPr="0036094C" w:rsidRDefault="0036094C" w:rsidP="0036094C">
      <w:pPr>
        <w:spacing w:after="0" w:line="240" w:lineRule="auto"/>
        <w:jc w:val="both"/>
        <w:rPr>
          <w:rFonts w:cs="Calibri"/>
          <w:color w:val="000000"/>
          <w:sz w:val="20"/>
          <w:szCs w:val="20"/>
        </w:rPr>
      </w:pPr>
    </w:p>
    <w:p w:rsidR="0036094C" w:rsidRPr="0036094C" w:rsidRDefault="0036094C" w:rsidP="0036094C">
      <w:pPr>
        <w:spacing w:after="0" w:line="240" w:lineRule="auto"/>
        <w:jc w:val="both"/>
        <w:rPr>
          <w:rFonts w:cs="Calibri"/>
          <w:color w:val="000000"/>
          <w:sz w:val="20"/>
          <w:szCs w:val="20"/>
          <w:u w:val="single"/>
        </w:rPr>
      </w:pPr>
      <w:r w:rsidRPr="0036094C">
        <w:rPr>
          <w:rFonts w:cs="Calibri"/>
          <w:color w:val="000000"/>
          <w:sz w:val="20"/>
          <w:szCs w:val="20"/>
          <w:u w:val="single"/>
        </w:rPr>
        <w:t xml:space="preserve"> MONTO PENDIENTE DE RECUPERAR EN MENOS DE UN AÑO </w:t>
      </w:r>
    </w:p>
    <w:p w:rsidR="0036094C" w:rsidRPr="0036094C" w:rsidRDefault="0036094C" w:rsidP="0036094C">
      <w:pPr>
        <w:spacing w:after="0" w:line="240" w:lineRule="auto"/>
        <w:jc w:val="both"/>
        <w:rPr>
          <w:rFonts w:cs="Calibri"/>
          <w:color w:val="000000"/>
          <w:sz w:val="20"/>
          <w:szCs w:val="20"/>
        </w:rPr>
      </w:pPr>
    </w:p>
    <w:p w:rsidR="0036094C" w:rsidRPr="0036094C" w:rsidRDefault="0036094C" w:rsidP="0036094C">
      <w:pPr>
        <w:spacing w:after="0" w:line="240" w:lineRule="auto"/>
        <w:jc w:val="both"/>
        <w:rPr>
          <w:rFonts w:cs="Calibri"/>
          <w:color w:val="000000"/>
          <w:sz w:val="20"/>
          <w:szCs w:val="20"/>
        </w:rPr>
      </w:pPr>
      <w:r w:rsidRPr="0036094C">
        <w:rPr>
          <w:rFonts w:cs="Calibri"/>
          <w:color w:val="000000"/>
          <w:sz w:val="20"/>
          <w:szCs w:val="20"/>
        </w:rPr>
        <w:t>DEUDORES DIV X COB                                                                    $ 275,194.40</w:t>
      </w:r>
    </w:p>
    <w:p w:rsidR="0036094C" w:rsidRPr="0036094C" w:rsidRDefault="0036094C" w:rsidP="0036094C">
      <w:pPr>
        <w:spacing w:after="0" w:line="240" w:lineRule="auto"/>
        <w:jc w:val="both"/>
        <w:rPr>
          <w:rFonts w:cs="Calibri"/>
          <w:color w:val="000000"/>
          <w:sz w:val="20"/>
          <w:szCs w:val="20"/>
        </w:rPr>
      </w:pPr>
    </w:p>
    <w:p w:rsidR="0036094C" w:rsidRPr="0036094C" w:rsidRDefault="0036094C" w:rsidP="0036094C">
      <w:pPr>
        <w:spacing w:after="0" w:line="240" w:lineRule="auto"/>
        <w:jc w:val="both"/>
        <w:rPr>
          <w:rFonts w:cs="Calibri"/>
          <w:color w:val="000000"/>
          <w:sz w:val="20"/>
          <w:szCs w:val="20"/>
        </w:rPr>
      </w:pPr>
      <w:proofErr w:type="gramStart"/>
      <w:r w:rsidRPr="0036094C">
        <w:rPr>
          <w:rFonts w:cs="Calibri"/>
          <w:color w:val="000000"/>
          <w:sz w:val="20"/>
          <w:szCs w:val="20"/>
        </w:rPr>
        <w:t>( DE</w:t>
      </w:r>
      <w:proofErr w:type="gramEnd"/>
      <w:r w:rsidRPr="0036094C">
        <w:rPr>
          <w:rFonts w:cs="Calibri"/>
          <w:color w:val="000000"/>
          <w:sz w:val="20"/>
          <w:szCs w:val="20"/>
        </w:rPr>
        <w:t xml:space="preserve"> LOS CUALES $ 255,878.50 SON DE LA SECRETARIA DE ADMINISTRACION Y </w:t>
      </w:r>
    </w:p>
    <w:p w:rsidR="0036094C" w:rsidRPr="0036094C" w:rsidRDefault="0036094C" w:rsidP="0036094C">
      <w:pPr>
        <w:spacing w:after="0" w:line="240" w:lineRule="auto"/>
        <w:jc w:val="both"/>
        <w:rPr>
          <w:rFonts w:cs="Calibri"/>
          <w:color w:val="000000"/>
          <w:sz w:val="20"/>
          <w:szCs w:val="20"/>
        </w:rPr>
      </w:pPr>
      <w:r w:rsidRPr="0036094C">
        <w:rPr>
          <w:rFonts w:cs="Calibri"/>
          <w:color w:val="000000"/>
          <w:sz w:val="20"/>
          <w:szCs w:val="20"/>
        </w:rPr>
        <w:t>FINANZAS PENDIENTE DE DEPOSITAR CORRESPONDIENTE AL EJERCICIO FISCAL 2012.)</w:t>
      </w:r>
    </w:p>
    <w:p w:rsidR="0036094C" w:rsidRPr="0036094C" w:rsidRDefault="0036094C" w:rsidP="0036094C">
      <w:pPr>
        <w:spacing w:after="0" w:line="240" w:lineRule="auto"/>
        <w:jc w:val="both"/>
        <w:rPr>
          <w:rFonts w:cs="Calibri"/>
          <w:color w:val="000000"/>
          <w:sz w:val="20"/>
          <w:szCs w:val="20"/>
          <w:u w:val="single"/>
        </w:rPr>
      </w:pPr>
      <w:r w:rsidRPr="0036094C">
        <w:rPr>
          <w:rFonts w:cs="Calibri"/>
          <w:color w:val="000000"/>
          <w:sz w:val="20"/>
          <w:szCs w:val="20"/>
          <w:u w:val="single"/>
        </w:rPr>
        <w:t xml:space="preserve"> </w:t>
      </w:r>
    </w:p>
    <w:p w:rsidR="0036094C" w:rsidRPr="0036094C" w:rsidRDefault="0036094C" w:rsidP="0036094C">
      <w:pPr>
        <w:spacing w:after="0" w:line="240" w:lineRule="auto"/>
        <w:jc w:val="both"/>
        <w:rPr>
          <w:rFonts w:cs="Calibri"/>
          <w:color w:val="000000"/>
          <w:sz w:val="20"/>
          <w:szCs w:val="20"/>
        </w:rPr>
      </w:pPr>
      <w:r w:rsidRPr="0036094C">
        <w:rPr>
          <w:rFonts w:cs="Calibri"/>
          <w:color w:val="000000"/>
          <w:sz w:val="20"/>
          <w:szCs w:val="20"/>
        </w:rPr>
        <w:t>PRESTAMOS OTORGADOS A CORTO PLAZO                              $ 62,018.33</w:t>
      </w:r>
    </w:p>
    <w:p w:rsidR="0036094C" w:rsidRPr="0036094C" w:rsidRDefault="0036094C" w:rsidP="0036094C">
      <w:pPr>
        <w:spacing w:after="0" w:line="240" w:lineRule="auto"/>
        <w:jc w:val="both"/>
        <w:rPr>
          <w:rFonts w:cs="Calibri"/>
          <w:color w:val="000000"/>
          <w:sz w:val="20"/>
          <w:szCs w:val="20"/>
        </w:rPr>
      </w:pPr>
    </w:p>
    <w:p w:rsidR="0036094C" w:rsidRPr="0036094C" w:rsidRDefault="0036094C" w:rsidP="0036094C">
      <w:pPr>
        <w:spacing w:after="0" w:line="240" w:lineRule="auto"/>
        <w:jc w:val="both"/>
        <w:rPr>
          <w:rFonts w:cs="Calibri"/>
          <w:color w:val="000000"/>
          <w:sz w:val="20"/>
          <w:szCs w:val="20"/>
        </w:rPr>
      </w:pPr>
    </w:p>
    <w:p w:rsidR="0036094C" w:rsidRPr="0036094C" w:rsidRDefault="0036094C" w:rsidP="0036094C">
      <w:pPr>
        <w:spacing w:after="0" w:line="240" w:lineRule="auto"/>
        <w:jc w:val="both"/>
        <w:rPr>
          <w:rFonts w:cs="Calibri"/>
          <w:color w:val="000000"/>
          <w:sz w:val="20"/>
          <w:szCs w:val="20"/>
        </w:rPr>
      </w:pPr>
    </w:p>
    <w:p w:rsidR="0036094C" w:rsidRPr="0036094C" w:rsidRDefault="0036094C" w:rsidP="0036094C">
      <w:pPr>
        <w:spacing w:after="0" w:line="240" w:lineRule="auto"/>
        <w:jc w:val="both"/>
        <w:rPr>
          <w:rFonts w:cs="Calibri"/>
          <w:color w:val="000000"/>
          <w:sz w:val="20"/>
          <w:szCs w:val="20"/>
          <w:u w:val="single"/>
        </w:rPr>
      </w:pPr>
      <w:r w:rsidRPr="0036094C">
        <w:rPr>
          <w:rFonts w:cs="Calibri"/>
          <w:color w:val="000000"/>
          <w:sz w:val="20"/>
          <w:szCs w:val="20"/>
          <w:u w:val="single"/>
        </w:rPr>
        <w:t>MONTO PENDIENTE POR RECUPERAR MAS DE UN AÑO</w:t>
      </w:r>
    </w:p>
    <w:p w:rsidR="0036094C" w:rsidRPr="0036094C" w:rsidRDefault="0036094C" w:rsidP="0036094C">
      <w:pPr>
        <w:spacing w:after="0" w:line="240" w:lineRule="auto"/>
        <w:jc w:val="both"/>
        <w:rPr>
          <w:rFonts w:cs="Calibri"/>
          <w:color w:val="000000"/>
          <w:sz w:val="20"/>
          <w:szCs w:val="20"/>
        </w:rPr>
      </w:pPr>
    </w:p>
    <w:p w:rsidR="0036094C" w:rsidRPr="0036094C" w:rsidRDefault="0036094C" w:rsidP="0036094C">
      <w:pPr>
        <w:spacing w:after="0" w:line="240" w:lineRule="auto"/>
        <w:jc w:val="both"/>
        <w:rPr>
          <w:rFonts w:cs="Calibri"/>
          <w:color w:val="000000"/>
          <w:sz w:val="20"/>
          <w:szCs w:val="20"/>
        </w:rPr>
      </w:pPr>
      <w:r w:rsidRPr="0036094C">
        <w:rPr>
          <w:rFonts w:cs="Calibri"/>
          <w:color w:val="000000"/>
          <w:sz w:val="20"/>
          <w:szCs w:val="20"/>
        </w:rPr>
        <w:t>PRESTAMOS OTORGADOS A LARGO PLAZO                               $ 78,678.77</w:t>
      </w:r>
    </w:p>
    <w:p w:rsidR="0036094C" w:rsidRPr="0036094C" w:rsidRDefault="0036094C" w:rsidP="0036094C">
      <w:pPr>
        <w:spacing w:after="0" w:line="240" w:lineRule="auto"/>
        <w:jc w:val="both"/>
        <w:rPr>
          <w:rFonts w:cs="Calibri"/>
          <w:color w:val="000000"/>
          <w:sz w:val="20"/>
          <w:szCs w:val="20"/>
        </w:rPr>
      </w:pPr>
    </w:p>
    <w:p w:rsidR="0036094C" w:rsidRPr="0036094C" w:rsidRDefault="0036094C" w:rsidP="0036094C">
      <w:pPr>
        <w:spacing w:after="0" w:line="240" w:lineRule="auto"/>
        <w:jc w:val="both"/>
        <w:rPr>
          <w:rFonts w:cs="Calibri"/>
          <w:color w:val="000000"/>
          <w:sz w:val="20"/>
          <w:szCs w:val="20"/>
        </w:rPr>
      </w:pPr>
      <w:r w:rsidRPr="0036094C">
        <w:rPr>
          <w:rFonts w:cs="Calibri"/>
          <w:color w:val="000000"/>
          <w:sz w:val="20"/>
          <w:szCs w:val="20"/>
        </w:rPr>
        <w:t>3.- EN LA NOTA 2 SE AGRUPAN LAS CUENTAS DE DERECHOS A RECIBIR EFECTIVO</w:t>
      </w:r>
    </w:p>
    <w:p w:rsidR="0036094C" w:rsidRPr="0036094C" w:rsidRDefault="0036094C" w:rsidP="0036094C">
      <w:pPr>
        <w:spacing w:after="0" w:line="240" w:lineRule="auto"/>
        <w:jc w:val="both"/>
        <w:rPr>
          <w:rFonts w:cs="Calibri"/>
          <w:color w:val="000000"/>
          <w:sz w:val="20"/>
          <w:szCs w:val="20"/>
        </w:rPr>
      </w:pPr>
    </w:p>
    <w:p w:rsidR="0036094C" w:rsidRPr="0036094C" w:rsidRDefault="0036094C" w:rsidP="0036094C">
      <w:pPr>
        <w:spacing w:after="0" w:line="240" w:lineRule="auto"/>
        <w:jc w:val="both"/>
        <w:rPr>
          <w:rFonts w:cs="Calibri"/>
          <w:color w:val="000000"/>
          <w:sz w:val="20"/>
          <w:szCs w:val="20"/>
        </w:rPr>
      </w:pPr>
      <w:r w:rsidRPr="0036094C">
        <w:rPr>
          <w:rFonts w:cs="Calibri"/>
          <w:color w:val="000000"/>
          <w:sz w:val="20"/>
          <w:szCs w:val="20"/>
        </w:rPr>
        <w:t>4.- NO APLICA</w:t>
      </w:r>
    </w:p>
    <w:p w:rsidR="0036094C" w:rsidRPr="0036094C" w:rsidRDefault="0036094C" w:rsidP="0036094C">
      <w:pPr>
        <w:spacing w:after="0" w:line="240" w:lineRule="auto"/>
        <w:jc w:val="both"/>
        <w:rPr>
          <w:rFonts w:cs="Calibri"/>
          <w:color w:val="000000"/>
          <w:sz w:val="20"/>
          <w:szCs w:val="20"/>
        </w:rPr>
      </w:pPr>
    </w:p>
    <w:p w:rsidR="0036094C" w:rsidRPr="0036094C" w:rsidRDefault="0036094C" w:rsidP="0036094C">
      <w:pPr>
        <w:spacing w:after="0" w:line="240" w:lineRule="auto"/>
        <w:jc w:val="both"/>
        <w:rPr>
          <w:rFonts w:cs="Calibri"/>
          <w:color w:val="000000"/>
          <w:sz w:val="20"/>
          <w:szCs w:val="20"/>
        </w:rPr>
      </w:pPr>
      <w:r w:rsidRPr="0036094C">
        <w:rPr>
          <w:rFonts w:cs="Calibri"/>
          <w:color w:val="000000"/>
          <w:sz w:val="20"/>
          <w:szCs w:val="20"/>
        </w:rPr>
        <w:lastRenderedPageBreak/>
        <w:t>5.-NO APLICA</w:t>
      </w:r>
    </w:p>
    <w:p w:rsidR="0036094C" w:rsidRPr="0036094C" w:rsidRDefault="0036094C" w:rsidP="0036094C">
      <w:pPr>
        <w:spacing w:after="0" w:line="240" w:lineRule="auto"/>
        <w:jc w:val="both"/>
        <w:rPr>
          <w:rFonts w:cs="Calibri"/>
          <w:color w:val="000000"/>
          <w:sz w:val="20"/>
          <w:szCs w:val="20"/>
        </w:rPr>
      </w:pPr>
    </w:p>
    <w:p w:rsidR="0036094C" w:rsidRPr="0036094C" w:rsidRDefault="0036094C" w:rsidP="0036094C">
      <w:pPr>
        <w:spacing w:after="0" w:line="240" w:lineRule="auto"/>
        <w:jc w:val="both"/>
        <w:rPr>
          <w:rFonts w:cs="Calibri"/>
          <w:color w:val="000000"/>
          <w:sz w:val="20"/>
          <w:szCs w:val="20"/>
        </w:rPr>
      </w:pPr>
      <w:r w:rsidRPr="0036094C">
        <w:rPr>
          <w:rFonts w:cs="Calibri"/>
          <w:color w:val="000000"/>
          <w:sz w:val="20"/>
          <w:szCs w:val="20"/>
        </w:rPr>
        <w:t>6.-NO APLICA</w:t>
      </w:r>
    </w:p>
    <w:p w:rsidR="0036094C" w:rsidRPr="0036094C" w:rsidRDefault="0036094C" w:rsidP="0036094C">
      <w:pPr>
        <w:spacing w:after="0" w:line="240" w:lineRule="auto"/>
        <w:jc w:val="both"/>
        <w:rPr>
          <w:rFonts w:cs="Calibri"/>
          <w:color w:val="000000"/>
          <w:sz w:val="20"/>
          <w:szCs w:val="20"/>
        </w:rPr>
      </w:pPr>
    </w:p>
    <w:p w:rsidR="0036094C" w:rsidRPr="0036094C" w:rsidRDefault="0036094C" w:rsidP="0036094C">
      <w:pPr>
        <w:spacing w:after="0" w:line="240" w:lineRule="auto"/>
        <w:jc w:val="both"/>
        <w:rPr>
          <w:rFonts w:cs="Calibri"/>
          <w:color w:val="000000"/>
          <w:sz w:val="20"/>
          <w:szCs w:val="20"/>
        </w:rPr>
      </w:pPr>
      <w:r w:rsidRPr="0036094C">
        <w:rPr>
          <w:rFonts w:cs="Calibri"/>
          <w:color w:val="000000"/>
          <w:sz w:val="20"/>
          <w:szCs w:val="20"/>
        </w:rPr>
        <w:t>7.-NO APLICA</w:t>
      </w:r>
    </w:p>
    <w:p w:rsidR="0036094C" w:rsidRPr="0036094C" w:rsidRDefault="0036094C" w:rsidP="0036094C">
      <w:pPr>
        <w:spacing w:after="0" w:line="240" w:lineRule="auto"/>
        <w:jc w:val="both"/>
        <w:rPr>
          <w:rFonts w:cs="Calibri"/>
          <w:color w:val="000000"/>
          <w:sz w:val="20"/>
          <w:szCs w:val="20"/>
          <w:u w:val="single"/>
        </w:rPr>
      </w:pPr>
    </w:p>
    <w:p w:rsidR="0036094C" w:rsidRPr="0036094C" w:rsidRDefault="0036094C" w:rsidP="0036094C">
      <w:pPr>
        <w:spacing w:after="0" w:line="240" w:lineRule="auto"/>
        <w:jc w:val="both"/>
        <w:rPr>
          <w:rFonts w:cs="Calibri"/>
          <w:color w:val="000000"/>
          <w:sz w:val="20"/>
          <w:szCs w:val="20"/>
          <w:u w:val="single"/>
        </w:rPr>
      </w:pPr>
      <w:r w:rsidRPr="0036094C">
        <w:rPr>
          <w:rFonts w:cs="Calibri"/>
          <w:color w:val="000000"/>
          <w:sz w:val="20"/>
          <w:szCs w:val="20"/>
          <w:u w:val="single"/>
        </w:rPr>
        <w:t>8.-EL DESGLOSE DE LOS BIENES MUEBLES, ASI COMO SU DEPRECIACIÓN ACUMULADA, METODOS Y TASAS APLICADAS SON:</w:t>
      </w:r>
    </w:p>
    <w:p w:rsidR="0036094C" w:rsidRPr="0036094C" w:rsidRDefault="0036094C" w:rsidP="0036094C">
      <w:pPr>
        <w:spacing w:after="0" w:line="240" w:lineRule="auto"/>
        <w:jc w:val="both"/>
        <w:rPr>
          <w:rFonts w:cs="Calibri"/>
          <w:color w:val="000000"/>
          <w:sz w:val="20"/>
          <w:szCs w:val="20"/>
        </w:rPr>
      </w:pPr>
    </w:p>
    <w:p w:rsidR="0036094C" w:rsidRPr="0036094C" w:rsidRDefault="0036094C" w:rsidP="0036094C">
      <w:pPr>
        <w:spacing w:after="0" w:line="240" w:lineRule="auto"/>
        <w:jc w:val="both"/>
        <w:rPr>
          <w:rFonts w:cs="Calibri"/>
          <w:color w:val="000000"/>
          <w:sz w:val="20"/>
          <w:szCs w:val="20"/>
        </w:rPr>
      </w:pPr>
    </w:p>
    <w:tbl>
      <w:tblPr>
        <w:tblW w:w="13096" w:type="dxa"/>
        <w:tblCellMar>
          <w:left w:w="70" w:type="dxa"/>
          <w:right w:w="70" w:type="dxa"/>
        </w:tblCellMar>
        <w:tblLook w:val="04A0" w:firstRow="1" w:lastRow="0" w:firstColumn="1" w:lastColumn="0" w:noHBand="0" w:noVBand="1"/>
      </w:tblPr>
      <w:tblGrid>
        <w:gridCol w:w="3604"/>
        <w:gridCol w:w="2486"/>
        <w:gridCol w:w="2249"/>
        <w:gridCol w:w="1760"/>
        <w:gridCol w:w="1579"/>
        <w:gridCol w:w="817"/>
        <w:gridCol w:w="174"/>
        <w:gridCol w:w="161"/>
        <w:gridCol w:w="266"/>
      </w:tblGrid>
      <w:tr w:rsidR="0036094C" w:rsidRPr="0036094C" w:rsidTr="009100D4">
        <w:trPr>
          <w:trHeight w:val="300"/>
        </w:trPr>
        <w:tc>
          <w:tcPr>
            <w:tcW w:w="36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094C" w:rsidRPr="0036094C" w:rsidRDefault="0036094C" w:rsidP="009100D4">
            <w:pPr>
              <w:spacing w:after="0" w:line="240" w:lineRule="auto"/>
              <w:jc w:val="both"/>
              <w:rPr>
                <w:rFonts w:cs="Calibri"/>
                <w:b/>
                <w:bCs/>
                <w:color w:val="000000"/>
                <w:sz w:val="20"/>
                <w:szCs w:val="20"/>
              </w:rPr>
            </w:pPr>
            <w:r w:rsidRPr="0036094C">
              <w:rPr>
                <w:rFonts w:cs="Calibri"/>
                <w:b/>
                <w:bCs/>
                <w:color w:val="000000"/>
                <w:sz w:val="20"/>
                <w:szCs w:val="20"/>
              </w:rPr>
              <w:t xml:space="preserve">BIENES MUEBLES </w:t>
            </w:r>
          </w:p>
        </w:tc>
        <w:tc>
          <w:tcPr>
            <w:tcW w:w="2486" w:type="dxa"/>
            <w:tcBorders>
              <w:top w:val="single" w:sz="4" w:space="0" w:color="auto"/>
              <w:left w:val="nil"/>
              <w:bottom w:val="single" w:sz="4" w:space="0" w:color="auto"/>
              <w:right w:val="single" w:sz="4" w:space="0" w:color="auto"/>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p w:rsidR="0036094C" w:rsidRPr="0036094C" w:rsidRDefault="0036094C" w:rsidP="009100D4">
            <w:pPr>
              <w:spacing w:after="0" w:line="240" w:lineRule="auto"/>
              <w:jc w:val="both"/>
              <w:rPr>
                <w:rFonts w:cs="Calibri"/>
                <w:color w:val="000000"/>
                <w:sz w:val="20"/>
                <w:szCs w:val="20"/>
              </w:rPr>
            </w:pPr>
            <w:r w:rsidRPr="0036094C">
              <w:rPr>
                <w:rFonts w:cs="Calibri"/>
                <w:b/>
                <w:bCs/>
                <w:color w:val="000000"/>
                <w:sz w:val="20"/>
                <w:szCs w:val="20"/>
              </w:rPr>
              <w:t>MONTO AL 31de Marzo 2018</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094C" w:rsidRPr="0036094C" w:rsidRDefault="0036094C" w:rsidP="009100D4">
            <w:pPr>
              <w:spacing w:after="0" w:line="240" w:lineRule="auto"/>
              <w:jc w:val="both"/>
              <w:rPr>
                <w:rFonts w:cs="Calibri"/>
                <w:b/>
                <w:bCs/>
                <w:color w:val="000000"/>
                <w:sz w:val="20"/>
                <w:szCs w:val="20"/>
              </w:rPr>
            </w:pPr>
            <w:r w:rsidRPr="0036094C">
              <w:rPr>
                <w:rFonts w:cs="Calibri"/>
                <w:b/>
                <w:bCs/>
                <w:color w:val="000000"/>
                <w:sz w:val="20"/>
                <w:szCs w:val="20"/>
              </w:rPr>
              <w:t>MONTO DEP ACUMUL</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rsidR="0036094C" w:rsidRPr="0036094C" w:rsidRDefault="0036094C" w:rsidP="009100D4">
            <w:pPr>
              <w:spacing w:after="0" w:line="240" w:lineRule="auto"/>
              <w:jc w:val="both"/>
              <w:rPr>
                <w:rFonts w:cs="Calibri"/>
                <w:b/>
                <w:bCs/>
                <w:color w:val="000000"/>
                <w:sz w:val="20"/>
                <w:szCs w:val="20"/>
              </w:rPr>
            </w:pPr>
            <w:r w:rsidRPr="0036094C">
              <w:rPr>
                <w:rFonts w:cs="Calibri"/>
                <w:b/>
                <w:bCs/>
                <w:color w:val="000000"/>
                <w:sz w:val="20"/>
                <w:szCs w:val="20"/>
              </w:rPr>
              <w:t>METODO DEP</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36094C" w:rsidRPr="0036094C" w:rsidRDefault="0036094C" w:rsidP="009100D4">
            <w:pPr>
              <w:spacing w:after="0" w:line="240" w:lineRule="auto"/>
              <w:jc w:val="both"/>
              <w:rPr>
                <w:rFonts w:cs="Calibri"/>
                <w:b/>
                <w:bCs/>
                <w:color w:val="000000"/>
                <w:sz w:val="20"/>
                <w:szCs w:val="20"/>
              </w:rPr>
            </w:pPr>
            <w:r w:rsidRPr="0036094C">
              <w:rPr>
                <w:rFonts w:cs="Calibri"/>
                <w:b/>
                <w:bCs/>
                <w:color w:val="000000"/>
                <w:sz w:val="20"/>
                <w:szCs w:val="20"/>
              </w:rPr>
              <w:t>TASAS APLICADAS</w:t>
            </w:r>
          </w:p>
        </w:tc>
        <w:tc>
          <w:tcPr>
            <w:tcW w:w="1418" w:type="dxa"/>
            <w:gridSpan w:val="4"/>
            <w:tcBorders>
              <w:top w:val="single" w:sz="4" w:space="0" w:color="auto"/>
              <w:left w:val="nil"/>
              <w:bottom w:val="single" w:sz="4" w:space="0" w:color="auto"/>
              <w:right w:val="single" w:sz="4" w:space="0" w:color="auto"/>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b/>
                <w:bCs/>
                <w:color w:val="000000"/>
                <w:sz w:val="20"/>
                <w:szCs w:val="20"/>
              </w:rPr>
              <w:t>ESTADO DE LOS BIENES</w:t>
            </w:r>
          </w:p>
        </w:tc>
      </w:tr>
      <w:tr w:rsidR="0036094C" w:rsidRPr="0036094C" w:rsidTr="009100D4">
        <w:trPr>
          <w:trHeight w:val="300"/>
        </w:trPr>
        <w:tc>
          <w:tcPr>
            <w:tcW w:w="3604"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MOBILIARIO DE OFICINA Y ESTANTERIA</w:t>
            </w:r>
          </w:p>
        </w:tc>
        <w:tc>
          <w:tcPr>
            <w:tcW w:w="2486" w:type="dxa"/>
            <w:tcBorders>
              <w:top w:val="single" w:sz="4" w:space="0" w:color="auto"/>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$749,940.67</w:t>
            </w:r>
          </w:p>
        </w:tc>
        <w:tc>
          <w:tcPr>
            <w:tcW w:w="2249"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$583,395.42</w:t>
            </w:r>
          </w:p>
        </w:tc>
        <w:tc>
          <w:tcPr>
            <w:tcW w:w="1760"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PORCENTAJE FIJO</w:t>
            </w:r>
          </w:p>
        </w:tc>
        <w:tc>
          <w:tcPr>
            <w:tcW w:w="1579"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10%</w:t>
            </w:r>
          </w:p>
        </w:tc>
        <w:tc>
          <w:tcPr>
            <w:tcW w:w="817"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BUENO</w:t>
            </w:r>
          </w:p>
        </w:tc>
        <w:tc>
          <w:tcPr>
            <w:tcW w:w="174"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c>
          <w:tcPr>
            <w:tcW w:w="161"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c>
          <w:tcPr>
            <w:tcW w:w="266"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r>
      <w:tr w:rsidR="0036094C" w:rsidRPr="0036094C" w:rsidTr="009100D4">
        <w:trPr>
          <w:trHeight w:val="300"/>
        </w:trPr>
        <w:tc>
          <w:tcPr>
            <w:tcW w:w="3604"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 xml:space="preserve">BIENES DE COMPUTO Y TECNOLG </w:t>
            </w:r>
          </w:p>
        </w:tc>
        <w:tc>
          <w:tcPr>
            <w:tcW w:w="2486"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$1,178,922.13</w:t>
            </w:r>
          </w:p>
        </w:tc>
        <w:tc>
          <w:tcPr>
            <w:tcW w:w="2249"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$992,741.64</w:t>
            </w:r>
          </w:p>
        </w:tc>
        <w:tc>
          <w:tcPr>
            <w:tcW w:w="1760"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PORCENTAJE FIJO</w:t>
            </w:r>
          </w:p>
        </w:tc>
        <w:tc>
          <w:tcPr>
            <w:tcW w:w="1579"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33%</w:t>
            </w:r>
          </w:p>
        </w:tc>
        <w:tc>
          <w:tcPr>
            <w:tcW w:w="817"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BUENO</w:t>
            </w:r>
          </w:p>
        </w:tc>
        <w:tc>
          <w:tcPr>
            <w:tcW w:w="174"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c>
          <w:tcPr>
            <w:tcW w:w="161"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c>
          <w:tcPr>
            <w:tcW w:w="266"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r>
      <w:tr w:rsidR="0036094C" w:rsidRPr="0036094C" w:rsidTr="009100D4">
        <w:trPr>
          <w:trHeight w:val="300"/>
        </w:trPr>
        <w:tc>
          <w:tcPr>
            <w:tcW w:w="3604" w:type="dxa"/>
            <w:tcBorders>
              <w:top w:val="nil"/>
              <w:left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OTROS MUEBLES Y EQ. ADMINISTRACION.</w:t>
            </w:r>
          </w:p>
        </w:tc>
        <w:tc>
          <w:tcPr>
            <w:tcW w:w="2486" w:type="dxa"/>
            <w:tcBorders>
              <w:top w:val="nil"/>
              <w:left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$462,078.18</w:t>
            </w:r>
          </w:p>
        </w:tc>
        <w:tc>
          <w:tcPr>
            <w:tcW w:w="2249" w:type="dxa"/>
            <w:tcBorders>
              <w:top w:val="nil"/>
              <w:left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$347,712.10</w:t>
            </w:r>
          </w:p>
        </w:tc>
        <w:tc>
          <w:tcPr>
            <w:tcW w:w="1760" w:type="dxa"/>
            <w:tcBorders>
              <w:top w:val="nil"/>
              <w:left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PORCENTAJE FIJO</w:t>
            </w:r>
          </w:p>
        </w:tc>
        <w:tc>
          <w:tcPr>
            <w:tcW w:w="1579" w:type="dxa"/>
            <w:tcBorders>
              <w:top w:val="nil"/>
              <w:left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10%</w:t>
            </w:r>
          </w:p>
        </w:tc>
        <w:tc>
          <w:tcPr>
            <w:tcW w:w="817" w:type="dxa"/>
            <w:tcBorders>
              <w:top w:val="nil"/>
              <w:left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BUENO</w:t>
            </w:r>
          </w:p>
        </w:tc>
        <w:tc>
          <w:tcPr>
            <w:tcW w:w="174" w:type="dxa"/>
            <w:tcBorders>
              <w:top w:val="nil"/>
              <w:left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c>
          <w:tcPr>
            <w:tcW w:w="161" w:type="dxa"/>
            <w:tcBorders>
              <w:top w:val="nil"/>
              <w:left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c>
          <w:tcPr>
            <w:tcW w:w="266" w:type="dxa"/>
            <w:tcBorders>
              <w:top w:val="nil"/>
              <w:left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r>
      <w:tr w:rsidR="0036094C" w:rsidRPr="0036094C" w:rsidTr="009100D4">
        <w:trPr>
          <w:trHeight w:val="300"/>
        </w:trPr>
        <w:tc>
          <w:tcPr>
            <w:tcW w:w="3604"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MOBILIARIO Y EQ. EDUCACIONAL</w:t>
            </w:r>
          </w:p>
        </w:tc>
        <w:tc>
          <w:tcPr>
            <w:tcW w:w="2486"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$30,466.96</w:t>
            </w:r>
          </w:p>
        </w:tc>
        <w:tc>
          <w:tcPr>
            <w:tcW w:w="2249"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w:t>
            </w:r>
          </w:p>
        </w:tc>
        <w:tc>
          <w:tcPr>
            <w:tcW w:w="1760"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PORCENTAJE FIJO</w:t>
            </w:r>
          </w:p>
        </w:tc>
        <w:tc>
          <w:tcPr>
            <w:tcW w:w="1579"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30%</w:t>
            </w:r>
          </w:p>
        </w:tc>
        <w:tc>
          <w:tcPr>
            <w:tcW w:w="817"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BUENO</w:t>
            </w:r>
          </w:p>
        </w:tc>
        <w:tc>
          <w:tcPr>
            <w:tcW w:w="174"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c>
          <w:tcPr>
            <w:tcW w:w="161"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c>
          <w:tcPr>
            <w:tcW w:w="266"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r>
      <w:tr w:rsidR="0036094C" w:rsidRPr="0036094C" w:rsidTr="009100D4">
        <w:trPr>
          <w:trHeight w:val="300"/>
        </w:trPr>
        <w:tc>
          <w:tcPr>
            <w:tcW w:w="3604"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MAQUINARIA Y OTROS EQUIPOS</w:t>
            </w:r>
          </w:p>
        </w:tc>
        <w:tc>
          <w:tcPr>
            <w:tcW w:w="2486"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$100,038.11</w:t>
            </w:r>
          </w:p>
        </w:tc>
        <w:tc>
          <w:tcPr>
            <w:tcW w:w="2249"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$29,275.46</w:t>
            </w:r>
          </w:p>
        </w:tc>
        <w:tc>
          <w:tcPr>
            <w:tcW w:w="1760"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PORCENTAJE FIJO</w:t>
            </w:r>
          </w:p>
        </w:tc>
        <w:tc>
          <w:tcPr>
            <w:tcW w:w="1579"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33.3%</w:t>
            </w:r>
          </w:p>
        </w:tc>
        <w:tc>
          <w:tcPr>
            <w:tcW w:w="817"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BUENO</w:t>
            </w:r>
          </w:p>
        </w:tc>
        <w:tc>
          <w:tcPr>
            <w:tcW w:w="174"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c>
          <w:tcPr>
            <w:tcW w:w="161"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c>
          <w:tcPr>
            <w:tcW w:w="266"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r>
      <w:tr w:rsidR="0036094C" w:rsidRPr="0036094C" w:rsidTr="009100D4">
        <w:trPr>
          <w:trHeight w:val="300"/>
        </w:trPr>
        <w:tc>
          <w:tcPr>
            <w:tcW w:w="3604"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MUEBLES EXCEPTO DE OFICINA Y EST.</w:t>
            </w:r>
          </w:p>
        </w:tc>
        <w:tc>
          <w:tcPr>
            <w:tcW w:w="2486"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$8,006.64</w:t>
            </w:r>
          </w:p>
        </w:tc>
        <w:tc>
          <w:tcPr>
            <w:tcW w:w="2249"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 xml:space="preserve"> $    733.81</w:t>
            </w:r>
          </w:p>
        </w:tc>
        <w:tc>
          <w:tcPr>
            <w:tcW w:w="1760"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PORCENTAJE FIJO</w:t>
            </w:r>
          </w:p>
        </w:tc>
        <w:tc>
          <w:tcPr>
            <w:tcW w:w="1579"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10%</w:t>
            </w:r>
          </w:p>
        </w:tc>
        <w:tc>
          <w:tcPr>
            <w:tcW w:w="817"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BUENO</w:t>
            </w:r>
          </w:p>
        </w:tc>
        <w:tc>
          <w:tcPr>
            <w:tcW w:w="174"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c>
          <w:tcPr>
            <w:tcW w:w="161"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c>
          <w:tcPr>
            <w:tcW w:w="266"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r>
      <w:tr w:rsidR="0036094C" w:rsidRPr="0036094C" w:rsidTr="009100D4">
        <w:trPr>
          <w:trHeight w:val="300"/>
        </w:trPr>
        <w:tc>
          <w:tcPr>
            <w:tcW w:w="3604" w:type="dxa"/>
            <w:tcBorders>
              <w:top w:val="nil"/>
              <w:left w:val="nil"/>
              <w:bottom w:val="single" w:sz="4" w:space="0" w:color="auto"/>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EQUIPO DE TRANSPORTE</w:t>
            </w:r>
          </w:p>
        </w:tc>
        <w:tc>
          <w:tcPr>
            <w:tcW w:w="2486" w:type="dxa"/>
            <w:tcBorders>
              <w:top w:val="nil"/>
              <w:left w:val="nil"/>
              <w:bottom w:val="single" w:sz="4" w:space="0" w:color="auto"/>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$1,671,028.45</w:t>
            </w:r>
          </w:p>
        </w:tc>
        <w:tc>
          <w:tcPr>
            <w:tcW w:w="2249" w:type="dxa"/>
            <w:tcBorders>
              <w:top w:val="nil"/>
              <w:left w:val="nil"/>
              <w:bottom w:val="single" w:sz="4" w:space="0" w:color="auto"/>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$1,652,128.45</w:t>
            </w:r>
          </w:p>
        </w:tc>
        <w:tc>
          <w:tcPr>
            <w:tcW w:w="1760" w:type="dxa"/>
            <w:tcBorders>
              <w:top w:val="nil"/>
              <w:left w:val="nil"/>
              <w:bottom w:val="single" w:sz="4" w:space="0" w:color="auto"/>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PORCENTAJE FIJO</w:t>
            </w:r>
          </w:p>
        </w:tc>
        <w:tc>
          <w:tcPr>
            <w:tcW w:w="1579" w:type="dxa"/>
            <w:tcBorders>
              <w:top w:val="nil"/>
              <w:left w:val="nil"/>
              <w:bottom w:val="single" w:sz="4" w:space="0" w:color="auto"/>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20%</w:t>
            </w:r>
          </w:p>
        </w:tc>
        <w:tc>
          <w:tcPr>
            <w:tcW w:w="817" w:type="dxa"/>
            <w:tcBorders>
              <w:top w:val="nil"/>
              <w:left w:val="nil"/>
              <w:bottom w:val="single" w:sz="4" w:space="0" w:color="auto"/>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BUENO</w:t>
            </w:r>
          </w:p>
        </w:tc>
        <w:tc>
          <w:tcPr>
            <w:tcW w:w="174" w:type="dxa"/>
            <w:tcBorders>
              <w:top w:val="nil"/>
              <w:left w:val="nil"/>
              <w:bottom w:val="single" w:sz="4" w:space="0" w:color="auto"/>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c>
          <w:tcPr>
            <w:tcW w:w="161" w:type="dxa"/>
            <w:tcBorders>
              <w:top w:val="nil"/>
              <w:left w:val="nil"/>
              <w:bottom w:val="single" w:sz="4" w:space="0" w:color="auto"/>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c>
          <w:tcPr>
            <w:tcW w:w="266" w:type="dxa"/>
            <w:tcBorders>
              <w:top w:val="nil"/>
              <w:left w:val="nil"/>
              <w:bottom w:val="single" w:sz="4" w:space="0" w:color="auto"/>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r>
      <w:tr w:rsidR="0036094C" w:rsidRPr="0036094C" w:rsidTr="009100D4">
        <w:trPr>
          <w:trHeight w:val="385"/>
        </w:trPr>
        <w:tc>
          <w:tcPr>
            <w:tcW w:w="3604" w:type="dxa"/>
            <w:tcBorders>
              <w:top w:val="single" w:sz="4" w:space="0" w:color="auto"/>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c>
          <w:tcPr>
            <w:tcW w:w="2486" w:type="dxa"/>
            <w:tcBorders>
              <w:top w:val="single" w:sz="4" w:space="0" w:color="auto"/>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$4´200,481.14</w:t>
            </w:r>
          </w:p>
        </w:tc>
        <w:tc>
          <w:tcPr>
            <w:tcW w:w="2249" w:type="dxa"/>
            <w:tcBorders>
              <w:top w:val="single" w:sz="4" w:space="0" w:color="auto"/>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$-3´605,986.88</w:t>
            </w:r>
          </w:p>
        </w:tc>
        <w:tc>
          <w:tcPr>
            <w:tcW w:w="1760" w:type="dxa"/>
            <w:tcBorders>
              <w:top w:val="single" w:sz="4" w:space="0" w:color="auto"/>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c>
          <w:tcPr>
            <w:tcW w:w="1579" w:type="dxa"/>
            <w:tcBorders>
              <w:top w:val="single" w:sz="4" w:space="0" w:color="auto"/>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c>
          <w:tcPr>
            <w:tcW w:w="817" w:type="dxa"/>
            <w:tcBorders>
              <w:top w:val="single" w:sz="4" w:space="0" w:color="auto"/>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c>
          <w:tcPr>
            <w:tcW w:w="174" w:type="dxa"/>
            <w:tcBorders>
              <w:top w:val="single" w:sz="4" w:space="0" w:color="auto"/>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c>
          <w:tcPr>
            <w:tcW w:w="161" w:type="dxa"/>
            <w:tcBorders>
              <w:top w:val="single" w:sz="4" w:space="0" w:color="auto"/>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c>
          <w:tcPr>
            <w:tcW w:w="266" w:type="dxa"/>
            <w:tcBorders>
              <w:top w:val="single" w:sz="4" w:space="0" w:color="auto"/>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r>
    </w:tbl>
    <w:p w:rsidR="0036094C" w:rsidRPr="0036094C" w:rsidRDefault="0036094C" w:rsidP="0036094C">
      <w:pPr>
        <w:spacing w:after="0" w:line="240" w:lineRule="auto"/>
        <w:jc w:val="both"/>
        <w:rPr>
          <w:rFonts w:cs="Calibri"/>
          <w:color w:val="000000"/>
          <w:sz w:val="20"/>
          <w:szCs w:val="20"/>
        </w:rPr>
      </w:pPr>
      <w:r w:rsidRPr="0036094C">
        <w:rPr>
          <w:rFonts w:cs="Calibri"/>
          <w:color w:val="000000"/>
          <w:sz w:val="20"/>
          <w:szCs w:val="20"/>
        </w:rPr>
        <w:t xml:space="preserve"> LA DEPRECIACIÓN SEGÚN LA NORMATIVIDAD EMITIDA POR EL CONAC. </w:t>
      </w:r>
    </w:p>
    <w:p w:rsidR="0036094C" w:rsidRPr="0036094C" w:rsidRDefault="0036094C" w:rsidP="0036094C">
      <w:pPr>
        <w:spacing w:after="0" w:line="240" w:lineRule="auto"/>
        <w:jc w:val="both"/>
        <w:rPr>
          <w:rFonts w:cs="Calibri"/>
          <w:color w:val="000000"/>
          <w:sz w:val="20"/>
          <w:szCs w:val="20"/>
        </w:rPr>
      </w:pPr>
    </w:p>
    <w:p w:rsidR="0036094C" w:rsidRPr="0036094C" w:rsidRDefault="0036094C" w:rsidP="0036094C">
      <w:pPr>
        <w:spacing w:after="0" w:line="240" w:lineRule="auto"/>
        <w:jc w:val="both"/>
        <w:rPr>
          <w:rFonts w:cs="Calibri"/>
          <w:color w:val="000000"/>
          <w:sz w:val="20"/>
          <w:szCs w:val="20"/>
        </w:rPr>
      </w:pPr>
    </w:p>
    <w:p w:rsidR="0036094C" w:rsidRPr="0036094C" w:rsidRDefault="0036094C" w:rsidP="0036094C">
      <w:pPr>
        <w:spacing w:after="0" w:line="240" w:lineRule="auto"/>
        <w:jc w:val="both"/>
        <w:rPr>
          <w:rFonts w:cs="Calibri"/>
          <w:color w:val="000000"/>
          <w:sz w:val="20"/>
          <w:szCs w:val="20"/>
          <w:u w:val="single"/>
        </w:rPr>
      </w:pPr>
      <w:r w:rsidRPr="0036094C">
        <w:rPr>
          <w:rFonts w:cs="Calibri"/>
          <w:color w:val="000000"/>
          <w:sz w:val="20"/>
          <w:szCs w:val="20"/>
          <w:u w:val="single"/>
        </w:rPr>
        <w:t xml:space="preserve">9.-BIENES  INTANGIBLES </w:t>
      </w:r>
    </w:p>
    <w:p w:rsidR="0036094C" w:rsidRPr="0036094C" w:rsidRDefault="0036094C" w:rsidP="0036094C">
      <w:pPr>
        <w:spacing w:after="0" w:line="240" w:lineRule="auto"/>
        <w:jc w:val="both"/>
        <w:rPr>
          <w:rFonts w:cs="Calibri"/>
          <w:color w:val="000000"/>
          <w:sz w:val="20"/>
          <w:szCs w:val="20"/>
        </w:rPr>
      </w:pPr>
      <w:r w:rsidRPr="0036094C">
        <w:rPr>
          <w:rFonts w:cs="Calibri"/>
          <w:color w:val="000000"/>
          <w:sz w:val="20"/>
          <w:szCs w:val="20"/>
        </w:rPr>
        <w:t>METODO AMORTIZACION:</w:t>
      </w:r>
    </w:p>
    <w:p w:rsidR="0036094C" w:rsidRPr="0036094C" w:rsidRDefault="0036094C" w:rsidP="0036094C">
      <w:pPr>
        <w:spacing w:after="0" w:line="240" w:lineRule="auto"/>
        <w:jc w:val="both"/>
        <w:rPr>
          <w:rFonts w:cs="Calibri"/>
          <w:color w:val="000000"/>
          <w:sz w:val="20"/>
          <w:szCs w:val="20"/>
        </w:rPr>
      </w:pPr>
    </w:p>
    <w:p w:rsidR="0036094C" w:rsidRPr="0036094C" w:rsidRDefault="0036094C" w:rsidP="0036094C">
      <w:pPr>
        <w:spacing w:after="0" w:line="240" w:lineRule="auto"/>
        <w:jc w:val="both"/>
        <w:rPr>
          <w:rFonts w:cs="Calibri"/>
          <w:color w:val="000000"/>
          <w:sz w:val="20"/>
          <w:szCs w:val="20"/>
        </w:rPr>
      </w:pPr>
      <w:r w:rsidRPr="0036094C">
        <w:rPr>
          <w:rFonts w:cs="Calibri"/>
          <w:color w:val="000000"/>
          <w:sz w:val="20"/>
          <w:szCs w:val="20"/>
        </w:rPr>
        <w:t>SE DIVIDE EL MONTO ORIGINAL DE INVERSIÓN ENTRE EL N. DE AÑOS POR LOS CUALES SE OTORGÓ LA CONSESION, EL COCIENTE SE MULTIPLICA X 100 Y EL PRODUCTO SE EXPRESARA POR CIENTO.</w:t>
      </w:r>
    </w:p>
    <w:p w:rsidR="0036094C" w:rsidRPr="0036094C" w:rsidRDefault="0036094C" w:rsidP="0036094C">
      <w:pPr>
        <w:spacing w:after="0" w:line="240" w:lineRule="auto"/>
        <w:jc w:val="both"/>
        <w:rPr>
          <w:rFonts w:cs="Calibri"/>
          <w:color w:val="000000"/>
          <w:sz w:val="20"/>
          <w:szCs w:val="20"/>
        </w:rPr>
      </w:pPr>
    </w:p>
    <w:tbl>
      <w:tblPr>
        <w:tblW w:w="12934" w:type="dxa"/>
        <w:tblCellMar>
          <w:left w:w="70" w:type="dxa"/>
          <w:right w:w="70" w:type="dxa"/>
        </w:tblCellMar>
        <w:tblLook w:val="04A0" w:firstRow="1" w:lastRow="0" w:firstColumn="1" w:lastColumn="0" w:noHBand="0" w:noVBand="1"/>
      </w:tblPr>
      <w:tblGrid>
        <w:gridCol w:w="3632"/>
        <w:gridCol w:w="2507"/>
        <w:gridCol w:w="2268"/>
        <w:gridCol w:w="1775"/>
        <w:gridCol w:w="1591"/>
        <w:gridCol w:w="999"/>
        <w:gridCol w:w="162"/>
      </w:tblGrid>
      <w:tr w:rsidR="0036094C" w:rsidRPr="0036094C" w:rsidTr="009100D4">
        <w:trPr>
          <w:trHeight w:val="300"/>
        </w:trPr>
        <w:tc>
          <w:tcPr>
            <w:tcW w:w="3632"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c>
          <w:tcPr>
            <w:tcW w:w="2507"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c>
          <w:tcPr>
            <w:tcW w:w="2268"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c>
          <w:tcPr>
            <w:tcW w:w="1775"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c>
          <w:tcPr>
            <w:tcW w:w="1591"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c>
          <w:tcPr>
            <w:tcW w:w="999"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c>
          <w:tcPr>
            <w:tcW w:w="162"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r>
      <w:tr w:rsidR="0036094C" w:rsidRPr="0036094C" w:rsidTr="009100D4">
        <w:trPr>
          <w:trHeight w:val="300"/>
        </w:trPr>
        <w:tc>
          <w:tcPr>
            <w:tcW w:w="3632"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BIENES INTANGIBLES</w:t>
            </w:r>
          </w:p>
        </w:tc>
        <w:tc>
          <w:tcPr>
            <w:tcW w:w="2507"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MONTO AL 31 DE  MARZO2018</w:t>
            </w:r>
          </w:p>
        </w:tc>
        <w:tc>
          <w:tcPr>
            <w:tcW w:w="4043" w:type="dxa"/>
            <w:gridSpan w:val="2"/>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 xml:space="preserve">     AMORTIZACION ACUMULADA</w:t>
            </w:r>
          </w:p>
        </w:tc>
        <w:tc>
          <w:tcPr>
            <w:tcW w:w="1591"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c>
          <w:tcPr>
            <w:tcW w:w="999"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c>
          <w:tcPr>
            <w:tcW w:w="162"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r>
      <w:tr w:rsidR="0036094C" w:rsidRPr="0036094C" w:rsidTr="009100D4">
        <w:trPr>
          <w:trHeight w:val="300"/>
        </w:trPr>
        <w:tc>
          <w:tcPr>
            <w:tcW w:w="3632"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SOFTWARE Y LICENCIAS</w:t>
            </w:r>
          </w:p>
        </w:tc>
        <w:tc>
          <w:tcPr>
            <w:tcW w:w="2507"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$ 359,480.56</w:t>
            </w:r>
          </w:p>
          <w:p w:rsidR="0036094C" w:rsidRPr="0036094C" w:rsidRDefault="0036094C" w:rsidP="009100D4">
            <w:pPr>
              <w:spacing w:after="0" w:line="240" w:lineRule="auto"/>
              <w:jc w:val="both"/>
              <w:rPr>
                <w:rFonts w:cs="Calibri"/>
                <w:color w:val="000000"/>
                <w:sz w:val="20"/>
                <w:szCs w:val="20"/>
              </w:rPr>
            </w:pPr>
          </w:p>
        </w:tc>
        <w:tc>
          <w:tcPr>
            <w:tcW w:w="2268"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 xml:space="preserve"> $ 163,419.84</w:t>
            </w:r>
          </w:p>
        </w:tc>
        <w:tc>
          <w:tcPr>
            <w:tcW w:w="1775"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c>
          <w:tcPr>
            <w:tcW w:w="1591"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c>
          <w:tcPr>
            <w:tcW w:w="999"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c>
          <w:tcPr>
            <w:tcW w:w="162"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r>
      <w:tr w:rsidR="0036094C" w:rsidRPr="0036094C" w:rsidTr="009100D4">
        <w:trPr>
          <w:trHeight w:val="300"/>
        </w:trPr>
        <w:tc>
          <w:tcPr>
            <w:tcW w:w="3632"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c>
          <w:tcPr>
            <w:tcW w:w="2507"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c>
          <w:tcPr>
            <w:tcW w:w="2268"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c>
          <w:tcPr>
            <w:tcW w:w="1775"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c>
          <w:tcPr>
            <w:tcW w:w="1591"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c>
          <w:tcPr>
            <w:tcW w:w="999"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c>
          <w:tcPr>
            <w:tcW w:w="162" w:type="dxa"/>
            <w:tcBorders>
              <w:top w:val="nil"/>
              <w:left w:val="nil"/>
              <w:bottom w:val="nil"/>
              <w:right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r>
    </w:tbl>
    <w:p w:rsidR="0036094C" w:rsidRPr="0036094C" w:rsidRDefault="0036094C" w:rsidP="0036094C">
      <w:pPr>
        <w:spacing w:after="0" w:line="240" w:lineRule="auto"/>
        <w:jc w:val="both"/>
        <w:rPr>
          <w:rFonts w:cs="Calibri"/>
          <w:color w:val="000000"/>
          <w:sz w:val="20"/>
          <w:szCs w:val="20"/>
        </w:rPr>
      </w:pPr>
    </w:p>
    <w:p w:rsidR="0036094C" w:rsidRPr="0036094C" w:rsidRDefault="0036094C" w:rsidP="0036094C">
      <w:pPr>
        <w:spacing w:after="0" w:line="240" w:lineRule="auto"/>
        <w:jc w:val="both"/>
        <w:rPr>
          <w:rFonts w:cs="Calibri"/>
          <w:color w:val="000000"/>
          <w:sz w:val="20"/>
          <w:szCs w:val="20"/>
        </w:rPr>
      </w:pPr>
      <w:r w:rsidRPr="0036094C">
        <w:rPr>
          <w:rFonts w:cs="Calibri"/>
          <w:color w:val="000000"/>
          <w:sz w:val="20"/>
          <w:szCs w:val="20"/>
        </w:rPr>
        <w:t>10.-NO APLICA</w:t>
      </w:r>
    </w:p>
    <w:p w:rsidR="0036094C" w:rsidRPr="0036094C" w:rsidRDefault="0036094C" w:rsidP="0036094C">
      <w:pPr>
        <w:spacing w:after="0" w:line="240" w:lineRule="auto"/>
        <w:jc w:val="both"/>
        <w:rPr>
          <w:rFonts w:cs="Calibri"/>
          <w:color w:val="000000"/>
          <w:sz w:val="20"/>
          <w:szCs w:val="20"/>
        </w:rPr>
      </w:pPr>
    </w:p>
    <w:p w:rsidR="0036094C" w:rsidRPr="0036094C" w:rsidRDefault="0036094C" w:rsidP="0036094C">
      <w:pPr>
        <w:spacing w:after="0" w:line="240" w:lineRule="auto"/>
        <w:jc w:val="both"/>
        <w:rPr>
          <w:rFonts w:cs="Calibri"/>
          <w:color w:val="000000"/>
          <w:sz w:val="20"/>
          <w:szCs w:val="20"/>
        </w:rPr>
      </w:pPr>
      <w:r w:rsidRPr="0036094C">
        <w:rPr>
          <w:rFonts w:cs="Calibri"/>
          <w:color w:val="000000"/>
          <w:sz w:val="20"/>
          <w:szCs w:val="20"/>
        </w:rPr>
        <w:t xml:space="preserve">11.-NO APLICA </w:t>
      </w:r>
    </w:p>
    <w:p w:rsidR="0036094C" w:rsidRPr="0036094C" w:rsidRDefault="0036094C" w:rsidP="0036094C">
      <w:pPr>
        <w:spacing w:after="0" w:line="240" w:lineRule="auto"/>
        <w:jc w:val="both"/>
        <w:rPr>
          <w:rFonts w:cs="Calibri"/>
          <w:color w:val="000000"/>
          <w:sz w:val="20"/>
          <w:szCs w:val="20"/>
        </w:rPr>
      </w:pPr>
    </w:p>
    <w:p w:rsidR="0036094C" w:rsidRPr="0036094C" w:rsidRDefault="0036094C" w:rsidP="0036094C">
      <w:pPr>
        <w:spacing w:after="0" w:line="240" w:lineRule="auto"/>
        <w:jc w:val="both"/>
        <w:rPr>
          <w:rFonts w:cs="Calibri"/>
          <w:color w:val="000000"/>
          <w:sz w:val="20"/>
          <w:szCs w:val="20"/>
        </w:rPr>
      </w:pPr>
    </w:p>
    <w:p w:rsidR="0036094C" w:rsidRPr="0036094C" w:rsidRDefault="0036094C" w:rsidP="0036094C">
      <w:pPr>
        <w:spacing w:after="0" w:line="240" w:lineRule="auto"/>
        <w:jc w:val="both"/>
        <w:rPr>
          <w:rFonts w:cs="Calibri"/>
          <w:b/>
          <w:bCs/>
          <w:color w:val="000000"/>
          <w:sz w:val="20"/>
          <w:szCs w:val="20"/>
          <w:u w:val="single"/>
        </w:rPr>
      </w:pPr>
      <w:r w:rsidRPr="0036094C">
        <w:rPr>
          <w:rFonts w:cs="Calibri"/>
          <w:b/>
          <w:bCs/>
          <w:color w:val="000000"/>
          <w:sz w:val="20"/>
          <w:szCs w:val="20"/>
          <w:u w:val="single"/>
        </w:rPr>
        <w:t>PASIVO</w:t>
      </w:r>
    </w:p>
    <w:p w:rsidR="0036094C" w:rsidRPr="0036094C" w:rsidRDefault="0036094C" w:rsidP="0036094C">
      <w:pPr>
        <w:spacing w:after="0" w:line="240" w:lineRule="auto"/>
        <w:jc w:val="both"/>
        <w:rPr>
          <w:rFonts w:cs="Calibri"/>
          <w:color w:val="000000"/>
          <w:sz w:val="20"/>
          <w:szCs w:val="20"/>
        </w:rPr>
      </w:pPr>
    </w:p>
    <w:p w:rsidR="0036094C" w:rsidRPr="0036094C" w:rsidRDefault="0036094C" w:rsidP="0036094C">
      <w:pPr>
        <w:spacing w:after="0" w:line="240" w:lineRule="auto"/>
        <w:jc w:val="both"/>
        <w:rPr>
          <w:rFonts w:cs="Calibri"/>
          <w:b/>
          <w:bCs/>
          <w:color w:val="000000"/>
          <w:sz w:val="20"/>
          <w:szCs w:val="20"/>
        </w:rPr>
      </w:pPr>
      <w:r w:rsidRPr="0036094C">
        <w:rPr>
          <w:rFonts w:cs="Calibri"/>
          <w:b/>
          <w:bCs/>
          <w:color w:val="000000"/>
          <w:sz w:val="20"/>
          <w:szCs w:val="20"/>
        </w:rPr>
        <w:t>1.-CUENTAS POR PAGAR MENOR A 365 DIAS</w:t>
      </w:r>
    </w:p>
    <w:p w:rsidR="0036094C" w:rsidRPr="0036094C" w:rsidRDefault="0036094C" w:rsidP="0036094C">
      <w:pPr>
        <w:spacing w:after="0" w:line="240" w:lineRule="auto"/>
        <w:jc w:val="both"/>
        <w:rPr>
          <w:rFonts w:cs="Calibri"/>
          <w:color w:val="000000"/>
          <w:sz w:val="20"/>
          <w:szCs w:val="20"/>
        </w:rPr>
      </w:pPr>
    </w:p>
    <w:p w:rsidR="0036094C" w:rsidRPr="0036094C" w:rsidRDefault="0036094C" w:rsidP="0036094C">
      <w:pPr>
        <w:spacing w:after="0" w:line="240" w:lineRule="auto"/>
        <w:jc w:val="both"/>
        <w:rPr>
          <w:rFonts w:cs="Calibri"/>
          <w:color w:val="000000"/>
          <w:sz w:val="20"/>
          <w:szCs w:val="20"/>
        </w:rPr>
      </w:pPr>
      <w:r w:rsidRPr="0036094C">
        <w:rPr>
          <w:rFonts w:cs="Calibri"/>
          <w:color w:val="000000"/>
          <w:sz w:val="20"/>
          <w:szCs w:val="20"/>
        </w:rPr>
        <w:t>PROVEEDORES                                                                    $163,255.49</w:t>
      </w:r>
    </w:p>
    <w:p w:rsidR="0036094C" w:rsidRPr="0036094C" w:rsidRDefault="0036094C" w:rsidP="0036094C">
      <w:pPr>
        <w:spacing w:after="0" w:line="240" w:lineRule="auto"/>
        <w:jc w:val="both"/>
        <w:rPr>
          <w:rFonts w:cs="Calibri"/>
          <w:color w:val="000000"/>
          <w:sz w:val="20"/>
          <w:szCs w:val="20"/>
        </w:rPr>
      </w:pPr>
      <w:r w:rsidRPr="0036094C">
        <w:rPr>
          <w:rFonts w:cs="Calibri"/>
          <w:color w:val="000000"/>
          <w:sz w:val="20"/>
          <w:szCs w:val="20"/>
        </w:rPr>
        <w:t xml:space="preserve">  </w:t>
      </w:r>
    </w:p>
    <w:p w:rsidR="0036094C" w:rsidRPr="0036094C" w:rsidRDefault="0036094C" w:rsidP="0036094C">
      <w:pPr>
        <w:spacing w:after="0" w:line="240" w:lineRule="auto"/>
        <w:jc w:val="both"/>
        <w:rPr>
          <w:rFonts w:cs="Calibri"/>
          <w:color w:val="000000"/>
          <w:sz w:val="20"/>
          <w:szCs w:val="20"/>
        </w:rPr>
      </w:pPr>
      <w:r w:rsidRPr="0036094C">
        <w:rPr>
          <w:rFonts w:cs="Calibri"/>
          <w:color w:val="000000"/>
          <w:sz w:val="20"/>
          <w:szCs w:val="20"/>
        </w:rPr>
        <w:t xml:space="preserve">ESTOS PAGOS SE REALIZARÁN EN MENOS DE 30 DÍAS </w:t>
      </w:r>
    </w:p>
    <w:p w:rsidR="0036094C" w:rsidRPr="0036094C" w:rsidRDefault="0036094C" w:rsidP="0036094C">
      <w:pPr>
        <w:spacing w:after="0" w:line="240" w:lineRule="auto"/>
        <w:jc w:val="both"/>
        <w:rPr>
          <w:rFonts w:cs="Calibri"/>
          <w:color w:val="000000"/>
          <w:sz w:val="20"/>
          <w:szCs w:val="20"/>
        </w:rPr>
      </w:pPr>
    </w:p>
    <w:p w:rsidR="0036094C" w:rsidRPr="0036094C" w:rsidRDefault="0036094C" w:rsidP="0036094C">
      <w:pPr>
        <w:spacing w:after="0" w:line="240" w:lineRule="auto"/>
        <w:jc w:val="both"/>
        <w:rPr>
          <w:rFonts w:cs="Calibri"/>
          <w:color w:val="000000"/>
          <w:sz w:val="20"/>
          <w:szCs w:val="20"/>
        </w:rPr>
      </w:pPr>
      <w:r w:rsidRPr="0036094C">
        <w:rPr>
          <w:rFonts w:cs="Calibri"/>
          <w:color w:val="000000"/>
          <w:sz w:val="20"/>
          <w:szCs w:val="20"/>
        </w:rPr>
        <w:t>RETENCIONES Y CONTRIBUCIONES                                   $ 862,744.53</w:t>
      </w:r>
    </w:p>
    <w:p w:rsidR="0036094C" w:rsidRPr="0036094C" w:rsidRDefault="0036094C" w:rsidP="0036094C">
      <w:pPr>
        <w:spacing w:after="0" w:line="240" w:lineRule="auto"/>
        <w:jc w:val="both"/>
        <w:rPr>
          <w:rFonts w:cs="Calibri"/>
          <w:color w:val="000000"/>
          <w:sz w:val="20"/>
          <w:szCs w:val="20"/>
        </w:rPr>
      </w:pPr>
    </w:p>
    <w:p w:rsidR="0036094C" w:rsidRPr="0036094C" w:rsidRDefault="0036094C" w:rsidP="0036094C">
      <w:pPr>
        <w:spacing w:after="0" w:line="240" w:lineRule="auto"/>
        <w:jc w:val="both"/>
        <w:rPr>
          <w:rFonts w:cs="Calibri"/>
          <w:color w:val="000000"/>
          <w:sz w:val="20"/>
          <w:szCs w:val="20"/>
        </w:rPr>
      </w:pPr>
      <w:r w:rsidRPr="0036094C">
        <w:rPr>
          <w:rFonts w:cs="Calibri"/>
          <w:color w:val="000000"/>
          <w:sz w:val="20"/>
          <w:szCs w:val="20"/>
        </w:rPr>
        <w:t>ESTOS PAGOS SE REALIZARÁN EN MENOS DE 30 DÍAS</w:t>
      </w:r>
    </w:p>
    <w:p w:rsidR="0036094C" w:rsidRPr="0036094C" w:rsidRDefault="0036094C" w:rsidP="0036094C">
      <w:pPr>
        <w:spacing w:after="0" w:line="240" w:lineRule="auto"/>
        <w:jc w:val="both"/>
        <w:rPr>
          <w:rFonts w:cs="Calibri"/>
          <w:color w:val="000000"/>
          <w:sz w:val="20"/>
          <w:szCs w:val="20"/>
        </w:rPr>
      </w:pPr>
    </w:p>
    <w:p w:rsidR="0036094C" w:rsidRPr="0036094C" w:rsidRDefault="0036094C" w:rsidP="0036094C">
      <w:pPr>
        <w:spacing w:after="0" w:line="240" w:lineRule="auto"/>
        <w:jc w:val="both"/>
        <w:rPr>
          <w:rFonts w:cs="Calibri"/>
          <w:color w:val="000000"/>
          <w:sz w:val="20"/>
          <w:szCs w:val="20"/>
        </w:rPr>
      </w:pPr>
    </w:p>
    <w:p w:rsidR="0036094C" w:rsidRPr="0036094C" w:rsidRDefault="0036094C" w:rsidP="0036094C">
      <w:pPr>
        <w:spacing w:after="0" w:line="240" w:lineRule="auto"/>
        <w:jc w:val="both"/>
        <w:rPr>
          <w:rFonts w:cs="Calibri"/>
          <w:color w:val="000000"/>
          <w:sz w:val="20"/>
          <w:szCs w:val="20"/>
        </w:rPr>
      </w:pPr>
      <w:r w:rsidRPr="0036094C">
        <w:rPr>
          <w:rFonts w:cs="Calibri"/>
          <w:color w:val="000000"/>
          <w:sz w:val="20"/>
          <w:szCs w:val="20"/>
        </w:rPr>
        <w:t>OTRAS CUENTAS POR PAGAR                                                $ 11,765.43</w:t>
      </w:r>
    </w:p>
    <w:p w:rsidR="0036094C" w:rsidRPr="0036094C" w:rsidRDefault="0036094C" w:rsidP="0036094C">
      <w:pPr>
        <w:spacing w:after="0" w:line="240" w:lineRule="auto"/>
        <w:jc w:val="both"/>
        <w:rPr>
          <w:rFonts w:cs="Calibri"/>
          <w:color w:val="000000"/>
          <w:sz w:val="20"/>
          <w:szCs w:val="20"/>
        </w:rPr>
      </w:pPr>
      <w:r w:rsidRPr="0036094C">
        <w:rPr>
          <w:rFonts w:cs="Calibri"/>
          <w:color w:val="000000"/>
          <w:sz w:val="20"/>
          <w:szCs w:val="20"/>
        </w:rPr>
        <w:t>ESTOS PAGOS SE REALIZARÁN HASTA EN 90 DÍAS</w:t>
      </w:r>
    </w:p>
    <w:p w:rsidR="0036094C" w:rsidRPr="0036094C" w:rsidRDefault="0036094C" w:rsidP="0036094C">
      <w:pPr>
        <w:spacing w:after="0" w:line="240" w:lineRule="auto"/>
        <w:jc w:val="both"/>
        <w:rPr>
          <w:rFonts w:cs="Calibri"/>
          <w:color w:val="000000"/>
          <w:sz w:val="20"/>
          <w:szCs w:val="20"/>
        </w:rPr>
      </w:pPr>
    </w:p>
    <w:p w:rsidR="0036094C" w:rsidRPr="0036094C" w:rsidRDefault="0036094C" w:rsidP="0036094C">
      <w:pPr>
        <w:spacing w:after="0" w:line="240" w:lineRule="auto"/>
        <w:jc w:val="both"/>
        <w:rPr>
          <w:rFonts w:cs="Calibri"/>
          <w:color w:val="000000"/>
          <w:sz w:val="20"/>
          <w:szCs w:val="20"/>
        </w:rPr>
      </w:pPr>
    </w:p>
    <w:p w:rsidR="0036094C" w:rsidRPr="0036094C" w:rsidRDefault="0036094C" w:rsidP="0036094C">
      <w:pPr>
        <w:spacing w:after="0" w:line="240" w:lineRule="auto"/>
        <w:jc w:val="both"/>
        <w:rPr>
          <w:rFonts w:cs="Calibri"/>
          <w:color w:val="000000"/>
          <w:sz w:val="20"/>
          <w:szCs w:val="20"/>
        </w:rPr>
      </w:pPr>
      <w:r w:rsidRPr="0036094C">
        <w:rPr>
          <w:rFonts w:cs="Calibri"/>
          <w:color w:val="000000"/>
          <w:sz w:val="20"/>
          <w:szCs w:val="20"/>
        </w:rPr>
        <w:t>ESTA INSTITUCIÓN NO CUENTA CON CUENTAS POR PAGAR A LARGO PLAZO</w:t>
      </w:r>
    </w:p>
    <w:p w:rsidR="0036094C" w:rsidRPr="0036094C" w:rsidRDefault="0036094C" w:rsidP="0036094C">
      <w:pPr>
        <w:spacing w:after="0" w:line="240" w:lineRule="auto"/>
        <w:jc w:val="both"/>
        <w:rPr>
          <w:rFonts w:cs="Calibri"/>
          <w:color w:val="000000"/>
          <w:sz w:val="20"/>
          <w:szCs w:val="20"/>
        </w:rPr>
      </w:pPr>
      <w:r w:rsidRPr="0036094C">
        <w:rPr>
          <w:rFonts w:cs="Calibri"/>
          <w:color w:val="000000"/>
          <w:sz w:val="20"/>
          <w:szCs w:val="20"/>
        </w:rPr>
        <w:t>2.- NO APLICA</w:t>
      </w:r>
    </w:p>
    <w:p w:rsidR="0036094C" w:rsidRPr="0036094C" w:rsidRDefault="0036094C" w:rsidP="0036094C">
      <w:pPr>
        <w:spacing w:after="0" w:line="240" w:lineRule="auto"/>
        <w:jc w:val="both"/>
        <w:rPr>
          <w:color w:val="000000"/>
          <w:sz w:val="20"/>
          <w:szCs w:val="20"/>
        </w:rPr>
      </w:pPr>
    </w:p>
    <w:p w:rsidR="0036094C" w:rsidRPr="0036094C" w:rsidRDefault="0036094C" w:rsidP="0036094C">
      <w:pPr>
        <w:spacing w:line="240" w:lineRule="auto"/>
        <w:rPr>
          <w:rFonts w:cs="Arial"/>
          <w:b/>
          <w:sz w:val="20"/>
          <w:szCs w:val="20"/>
        </w:rPr>
      </w:pPr>
    </w:p>
    <w:p w:rsidR="0036094C" w:rsidRPr="0036094C" w:rsidRDefault="0036094C" w:rsidP="0036094C">
      <w:pPr>
        <w:spacing w:after="0" w:line="240" w:lineRule="auto"/>
        <w:jc w:val="both"/>
        <w:rPr>
          <w:rFonts w:cs="Calibri"/>
          <w:b/>
          <w:bCs/>
          <w:color w:val="000000"/>
          <w:sz w:val="20"/>
          <w:szCs w:val="20"/>
        </w:rPr>
      </w:pPr>
      <w:r w:rsidRPr="0036094C">
        <w:rPr>
          <w:rFonts w:cs="Calibri"/>
          <w:b/>
          <w:bCs/>
          <w:color w:val="000000"/>
          <w:sz w:val="20"/>
          <w:szCs w:val="20"/>
        </w:rPr>
        <w:t>II) NOTAS AL ESTADO DE ACTIVIDAD</w:t>
      </w:r>
    </w:p>
    <w:p w:rsidR="0036094C" w:rsidRPr="0036094C" w:rsidRDefault="0036094C" w:rsidP="0036094C">
      <w:pPr>
        <w:spacing w:after="0" w:line="240" w:lineRule="auto"/>
        <w:jc w:val="both"/>
        <w:rPr>
          <w:rFonts w:cs="Calibri"/>
          <w:b/>
          <w:bCs/>
          <w:color w:val="000000"/>
          <w:sz w:val="20"/>
          <w:szCs w:val="20"/>
        </w:rPr>
      </w:pPr>
    </w:p>
    <w:p w:rsidR="0036094C" w:rsidRPr="0036094C" w:rsidRDefault="0036094C" w:rsidP="0036094C">
      <w:pPr>
        <w:spacing w:after="0" w:line="240" w:lineRule="auto"/>
        <w:jc w:val="both"/>
        <w:rPr>
          <w:rFonts w:cs="Calibri"/>
          <w:b/>
          <w:bCs/>
          <w:color w:val="000000"/>
          <w:sz w:val="20"/>
          <w:szCs w:val="20"/>
        </w:rPr>
      </w:pPr>
    </w:p>
    <w:p w:rsidR="0036094C" w:rsidRPr="0036094C" w:rsidRDefault="0036094C" w:rsidP="0036094C">
      <w:pPr>
        <w:spacing w:after="0" w:line="240" w:lineRule="auto"/>
        <w:jc w:val="both"/>
        <w:rPr>
          <w:rFonts w:cs="Calibri"/>
          <w:b/>
          <w:bCs/>
          <w:color w:val="000000"/>
          <w:sz w:val="20"/>
          <w:szCs w:val="20"/>
        </w:rPr>
      </w:pPr>
      <w:r w:rsidRPr="0036094C">
        <w:rPr>
          <w:rFonts w:cs="Calibri"/>
          <w:b/>
          <w:bCs/>
          <w:color w:val="000000"/>
          <w:sz w:val="20"/>
          <w:szCs w:val="20"/>
        </w:rPr>
        <w:t>INGRESOS DE GESTION</w:t>
      </w:r>
    </w:p>
    <w:p w:rsidR="0036094C" w:rsidRPr="0036094C" w:rsidRDefault="0036094C" w:rsidP="0036094C">
      <w:pPr>
        <w:spacing w:after="0" w:line="240" w:lineRule="auto"/>
        <w:jc w:val="both"/>
        <w:rPr>
          <w:rFonts w:cs="Calibri"/>
          <w:color w:val="000000"/>
          <w:sz w:val="20"/>
          <w:szCs w:val="20"/>
        </w:rPr>
      </w:pPr>
    </w:p>
    <w:p w:rsidR="0036094C" w:rsidRPr="0036094C" w:rsidRDefault="0036094C" w:rsidP="0036094C">
      <w:pPr>
        <w:spacing w:after="0" w:line="240" w:lineRule="auto"/>
        <w:jc w:val="both"/>
        <w:rPr>
          <w:rFonts w:cs="Calibri"/>
          <w:color w:val="000000"/>
          <w:sz w:val="20"/>
          <w:szCs w:val="20"/>
        </w:rPr>
      </w:pPr>
      <w:r w:rsidRPr="0036094C">
        <w:rPr>
          <w:rFonts w:cs="Calibri"/>
          <w:color w:val="000000"/>
          <w:sz w:val="20"/>
          <w:szCs w:val="20"/>
        </w:rPr>
        <w:t>1.- INGRESOS POR TRANSFERENCIAS, ASIGNACIONES Y SUBSIDIOS</w:t>
      </w:r>
    </w:p>
    <w:p w:rsidR="0036094C" w:rsidRPr="0036094C" w:rsidRDefault="0036094C" w:rsidP="0036094C">
      <w:pPr>
        <w:spacing w:after="0" w:line="240" w:lineRule="auto"/>
        <w:jc w:val="both"/>
        <w:rPr>
          <w:rFonts w:cs="Calibri"/>
          <w:color w:val="000000"/>
          <w:sz w:val="20"/>
          <w:szCs w:val="20"/>
        </w:rPr>
      </w:pPr>
    </w:p>
    <w:p w:rsidR="0036094C" w:rsidRPr="0036094C" w:rsidRDefault="0036094C" w:rsidP="0036094C">
      <w:pPr>
        <w:spacing w:after="0" w:line="240" w:lineRule="auto"/>
        <w:jc w:val="both"/>
        <w:rPr>
          <w:rFonts w:cs="Calibri"/>
          <w:color w:val="000000"/>
          <w:sz w:val="20"/>
          <w:szCs w:val="20"/>
        </w:rPr>
      </w:pPr>
      <w:r w:rsidRPr="0036094C">
        <w:rPr>
          <w:rFonts w:cs="Calibri"/>
          <w:color w:val="000000"/>
          <w:sz w:val="20"/>
          <w:szCs w:val="20"/>
        </w:rPr>
        <w:t>MONTO TOTAL AL  31de MARZO 2018</w:t>
      </w:r>
    </w:p>
    <w:p w:rsidR="0036094C" w:rsidRPr="0036094C" w:rsidRDefault="0036094C" w:rsidP="0036094C">
      <w:pPr>
        <w:spacing w:after="0" w:line="240" w:lineRule="auto"/>
        <w:jc w:val="both"/>
        <w:rPr>
          <w:rFonts w:cs="Calibri"/>
          <w:color w:val="000000"/>
          <w:sz w:val="20"/>
          <w:szCs w:val="20"/>
        </w:rPr>
      </w:pPr>
    </w:p>
    <w:p w:rsidR="0036094C" w:rsidRPr="0036094C" w:rsidRDefault="0036094C" w:rsidP="0036094C">
      <w:pPr>
        <w:spacing w:after="0" w:line="240" w:lineRule="auto"/>
        <w:jc w:val="both"/>
        <w:rPr>
          <w:rFonts w:cs="Calibri"/>
          <w:color w:val="000000"/>
          <w:sz w:val="20"/>
          <w:szCs w:val="20"/>
        </w:rPr>
      </w:pPr>
      <w:r w:rsidRPr="0036094C">
        <w:rPr>
          <w:rFonts w:cs="Calibri"/>
          <w:color w:val="000000"/>
          <w:sz w:val="20"/>
          <w:szCs w:val="20"/>
        </w:rPr>
        <w:t>UNICOS INGRESOS CON LOS QUE CUENTA LA ENTIDAD               3´132,306.00</w:t>
      </w:r>
    </w:p>
    <w:p w:rsidR="0036094C" w:rsidRPr="0036094C" w:rsidRDefault="0036094C" w:rsidP="0036094C">
      <w:pPr>
        <w:spacing w:after="0" w:line="240" w:lineRule="auto"/>
        <w:jc w:val="both"/>
        <w:rPr>
          <w:rFonts w:cs="Calibri"/>
          <w:b/>
          <w:color w:val="000000"/>
          <w:sz w:val="20"/>
          <w:szCs w:val="20"/>
        </w:rPr>
      </w:pPr>
    </w:p>
    <w:p w:rsidR="0036094C" w:rsidRPr="0036094C" w:rsidRDefault="0036094C" w:rsidP="0036094C">
      <w:pPr>
        <w:spacing w:after="0" w:line="240" w:lineRule="auto"/>
        <w:jc w:val="both"/>
        <w:rPr>
          <w:rFonts w:cs="Calibri"/>
          <w:color w:val="000000"/>
          <w:sz w:val="20"/>
          <w:szCs w:val="20"/>
        </w:rPr>
      </w:pPr>
    </w:p>
    <w:p w:rsidR="0036094C" w:rsidRPr="0036094C" w:rsidRDefault="0036094C" w:rsidP="0036094C">
      <w:pPr>
        <w:spacing w:after="0" w:line="240" w:lineRule="auto"/>
        <w:jc w:val="both"/>
        <w:rPr>
          <w:rFonts w:cs="Calibri"/>
          <w:color w:val="000000"/>
          <w:sz w:val="20"/>
          <w:szCs w:val="20"/>
        </w:rPr>
      </w:pPr>
      <w:r w:rsidRPr="0036094C">
        <w:rPr>
          <w:rFonts w:cs="Calibri"/>
          <w:color w:val="000000"/>
          <w:sz w:val="20"/>
          <w:szCs w:val="20"/>
        </w:rPr>
        <w:t>2.- LA CUENTA DE OTROS INGRESOS SE CONFORMA COMO SIGUE:</w:t>
      </w:r>
    </w:p>
    <w:p w:rsidR="0036094C" w:rsidRPr="0036094C" w:rsidRDefault="0036094C" w:rsidP="0036094C">
      <w:pPr>
        <w:spacing w:after="0" w:line="240" w:lineRule="auto"/>
        <w:jc w:val="both"/>
        <w:rPr>
          <w:rFonts w:cs="Calibri"/>
          <w:color w:val="000000"/>
          <w:sz w:val="20"/>
          <w:szCs w:val="20"/>
        </w:rPr>
      </w:pPr>
    </w:p>
    <w:p w:rsidR="0036094C" w:rsidRPr="0036094C" w:rsidRDefault="0036094C" w:rsidP="0036094C">
      <w:pPr>
        <w:spacing w:after="0" w:line="240" w:lineRule="auto"/>
        <w:jc w:val="both"/>
        <w:rPr>
          <w:rFonts w:cs="Calibri"/>
          <w:color w:val="000000"/>
          <w:sz w:val="20"/>
          <w:szCs w:val="20"/>
        </w:rPr>
      </w:pPr>
      <w:r w:rsidRPr="0036094C">
        <w:rPr>
          <w:rFonts w:cs="Calibri"/>
          <w:color w:val="000000"/>
          <w:sz w:val="20"/>
          <w:szCs w:val="20"/>
        </w:rPr>
        <w:t>INGRESOS FINANCIEROS     $ 4.83</w:t>
      </w:r>
    </w:p>
    <w:p w:rsidR="0036094C" w:rsidRPr="0036094C" w:rsidRDefault="0036094C" w:rsidP="0036094C">
      <w:pPr>
        <w:spacing w:after="0" w:line="240" w:lineRule="auto"/>
        <w:jc w:val="both"/>
        <w:rPr>
          <w:rFonts w:cs="Calibri"/>
          <w:color w:val="000000"/>
          <w:sz w:val="20"/>
          <w:szCs w:val="20"/>
        </w:rPr>
      </w:pPr>
    </w:p>
    <w:p w:rsidR="0036094C" w:rsidRPr="0036094C" w:rsidRDefault="0036094C" w:rsidP="0036094C">
      <w:pPr>
        <w:spacing w:after="0" w:line="240" w:lineRule="auto"/>
        <w:jc w:val="both"/>
        <w:rPr>
          <w:rFonts w:cs="Calibri"/>
          <w:color w:val="000000"/>
          <w:sz w:val="20"/>
          <w:szCs w:val="20"/>
        </w:rPr>
      </w:pPr>
    </w:p>
    <w:p w:rsidR="0036094C" w:rsidRPr="0036094C" w:rsidRDefault="0036094C" w:rsidP="0036094C">
      <w:pPr>
        <w:spacing w:after="0" w:line="240" w:lineRule="auto"/>
        <w:jc w:val="both"/>
        <w:rPr>
          <w:rFonts w:cs="Calibri"/>
          <w:b/>
          <w:bCs/>
          <w:color w:val="000000"/>
          <w:sz w:val="20"/>
          <w:szCs w:val="20"/>
        </w:rPr>
      </w:pPr>
      <w:r w:rsidRPr="0036094C">
        <w:rPr>
          <w:rFonts w:cs="Calibri"/>
          <w:b/>
          <w:bCs/>
          <w:color w:val="000000"/>
          <w:sz w:val="20"/>
          <w:szCs w:val="20"/>
        </w:rPr>
        <w:t xml:space="preserve">GASTOS Y OTRAS </w:t>
      </w:r>
      <w:proofErr w:type="gramStart"/>
      <w:r w:rsidRPr="0036094C">
        <w:rPr>
          <w:rFonts w:cs="Calibri"/>
          <w:b/>
          <w:bCs/>
          <w:color w:val="000000"/>
          <w:sz w:val="20"/>
          <w:szCs w:val="20"/>
        </w:rPr>
        <w:t>PERDIDAS</w:t>
      </w:r>
      <w:proofErr w:type="gramEnd"/>
    </w:p>
    <w:p w:rsidR="0036094C" w:rsidRPr="0036094C" w:rsidRDefault="0036094C" w:rsidP="0036094C">
      <w:pPr>
        <w:spacing w:after="0" w:line="240" w:lineRule="auto"/>
        <w:jc w:val="both"/>
        <w:rPr>
          <w:rFonts w:cs="Calibri"/>
          <w:color w:val="000000"/>
          <w:sz w:val="20"/>
          <w:szCs w:val="20"/>
        </w:rPr>
      </w:pPr>
    </w:p>
    <w:p w:rsidR="0036094C" w:rsidRPr="0036094C" w:rsidRDefault="0036094C" w:rsidP="0036094C">
      <w:pPr>
        <w:spacing w:after="0" w:line="240" w:lineRule="auto"/>
        <w:jc w:val="both"/>
        <w:rPr>
          <w:rFonts w:cs="Calibri"/>
          <w:color w:val="000000"/>
          <w:sz w:val="20"/>
          <w:szCs w:val="20"/>
        </w:rPr>
      </w:pPr>
      <w:r w:rsidRPr="0036094C">
        <w:rPr>
          <w:rFonts w:cs="Calibri"/>
          <w:color w:val="000000"/>
          <w:sz w:val="20"/>
          <w:szCs w:val="20"/>
        </w:rPr>
        <w:t>1.- LOS CONCEPTOS DE SERVICOS PERSONALES  SUELDOS DEL MES REPRESENTAN EL 66%  DEL GASTO PRESUPUESTAL:</w:t>
      </w:r>
    </w:p>
    <w:p w:rsidR="0036094C" w:rsidRPr="0036094C" w:rsidRDefault="0036094C" w:rsidP="0036094C">
      <w:pPr>
        <w:spacing w:after="0" w:line="240" w:lineRule="auto"/>
        <w:jc w:val="both"/>
        <w:rPr>
          <w:rFonts w:cs="Calibri"/>
          <w:color w:val="000000"/>
          <w:sz w:val="20"/>
          <w:szCs w:val="20"/>
        </w:rPr>
      </w:pPr>
    </w:p>
    <w:p w:rsidR="0036094C" w:rsidRPr="0036094C" w:rsidRDefault="0036094C" w:rsidP="0036094C">
      <w:pPr>
        <w:spacing w:after="0" w:line="240" w:lineRule="auto"/>
        <w:jc w:val="both"/>
        <w:rPr>
          <w:rFonts w:cs="Calibri"/>
          <w:color w:val="000000"/>
          <w:sz w:val="20"/>
          <w:szCs w:val="20"/>
        </w:rPr>
      </w:pPr>
      <w:r w:rsidRPr="0036094C">
        <w:rPr>
          <w:rFonts w:cs="Calibri"/>
          <w:b/>
          <w:color w:val="000000"/>
          <w:sz w:val="20"/>
          <w:szCs w:val="20"/>
        </w:rPr>
        <w:t xml:space="preserve">SERVICIOS PERSONALES          </w:t>
      </w:r>
      <w:r w:rsidRPr="0036094C">
        <w:rPr>
          <w:rFonts w:cs="Calibri"/>
          <w:color w:val="000000"/>
          <w:sz w:val="20"/>
          <w:szCs w:val="20"/>
        </w:rPr>
        <w:t>$ 2´078,847.12</w:t>
      </w:r>
    </w:p>
    <w:p w:rsidR="0036094C" w:rsidRPr="0036094C" w:rsidRDefault="0036094C" w:rsidP="0036094C">
      <w:pPr>
        <w:spacing w:after="0" w:line="240" w:lineRule="auto"/>
        <w:jc w:val="both"/>
        <w:rPr>
          <w:rFonts w:cs="Calibri"/>
          <w:color w:val="000000"/>
          <w:sz w:val="20"/>
          <w:szCs w:val="20"/>
        </w:rPr>
      </w:pPr>
    </w:p>
    <w:p w:rsidR="0036094C" w:rsidRPr="0036094C" w:rsidRDefault="0036094C" w:rsidP="0036094C">
      <w:pPr>
        <w:spacing w:after="0" w:line="240" w:lineRule="auto"/>
        <w:jc w:val="both"/>
        <w:rPr>
          <w:rFonts w:cs="Calibri"/>
          <w:color w:val="000000"/>
          <w:sz w:val="20"/>
          <w:szCs w:val="20"/>
        </w:rPr>
      </w:pPr>
      <w:r w:rsidRPr="0036094C">
        <w:rPr>
          <w:rFonts w:cs="Calibri"/>
          <w:b/>
          <w:color w:val="000000"/>
          <w:sz w:val="20"/>
          <w:szCs w:val="20"/>
        </w:rPr>
        <w:t xml:space="preserve">   </w:t>
      </w:r>
      <w:r w:rsidRPr="0036094C">
        <w:rPr>
          <w:rFonts w:cs="Calibri"/>
          <w:color w:val="000000"/>
          <w:sz w:val="20"/>
          <w:szCs w:val="20"/>
        </w:rPr>
        <w:t xml:space="preserve">                                                            </w:t>
      </w:r>
    </w:p>
    <w:p w:rsidR="0036094C" w:rsidRPr="0036094C" w:rsidRDefault="0036094C" w:rsidP="0036094C">
      <w:pPr>
        <w:spacing w:after="0" w:line="240" w:lineRule="auto"/>
        <w:jc w:val="both"/>
        <w:rPr>
          <w:rFonts w:cs="Calibri"/>
          <w:color w:val="000000"/>
          <w:sz w:val="20"/>
          <w:szCs w:val="20"/>
        </w:rPr>
      </w:pPr>
    </w:p>
    <w:p w:rsidR="0036094C" w:rsidRDefault="0036094C" w:rsidP="0036094C">
      <w:pPr>
        <w:spacing w:after="0" w:line="240" w:lineRule="auto"/>
        <w:jc w:val="both"/>
        <w:rPr>
          <w:rFonts w:cs="Calibri"/>
          <w:color w:val="000000"/>
          <w:sz w:val="20"/>
          <w:szCs w:val="20"/>
        </w:rPr>
      </w:pPr>
    </w:p>
    <w:p w:rsidR="0036094C" w:rsidRDefault="0036094C" w:rsidP="0036094C">
      <w:pPr>
        <w:spacing w:after="0" w:line="240" w:lineRule="auto"/>
        <w:jc w:val="both"/>
        <w:rPr>
          <w:rFonts w:cs="Calibri"/>
          <w:color w:val="000000"/>
          <w:sz w:val="20"/>
          <w:szCs w:val="20"/>
        </w:rPr>
      </w:pPr>
    </w:p>
    <w:p w:rsidR="0036094C" w:rsidRPr="0036094C" w:rsidRDefault="0036094C" w:rsidP="0036094C">
      <w:pPr>
        <w:spacing w:after="0" w:line="240" w:lineRule="auto"/>
        <w:jc w:val="both"/>
        <w:rPr>
          <w:rFonts w:cs="Calibri"/>
          <w:color w:val="000000"/>
          <w:sz w:val="20"/>
          <w:szCs w:val="20"/>
        </w:rPr>
      </w:pPr>
    </w:p>
    <w:p w:rsidR="0036094C" w:rsidRPr="0036094C" w:rsidRDefault="0036094C" w:rsidP="0036094C">
      <w:pPr>
        <w:spacing w:after="0" w:line="240" w:lineRule="auto"/>
        <w:jc w:val="both"/>
        <w:rPr>
          <w:rFonts w:cs="Calibri"/>
          <w:b/>
          <w:bCs/>
          <w:color w:val="000000"/>
          <w:sz w:val="20"/>
          <w:szCs w:val="20"/>
        </w:rPr>
      </w:pPr>
      <w:r w:rsidRPr="0036094C">
        <w:rPr>
          <w:rFonts w:cs="Calibri"/>
          <w:b/>
          <w:bCs/>
          <w:color w:val="000000"/>
          <w:sz w:val="20"/>
          <w:szCs w:val="20"/>
        </w:rPr>
        <w:lastRenderedPageBreak/>
        <w:t xml:space="preserve">III) NOTAS AL ESTADO DE VARIACION EN LA HACIENDA </w:t>
      </w:r>
      <w:proofErr w:type="gramStart"/>
      <w:r w:rsidRPr="0036094C">
        <w:rPr>
          <w:rFonts w:cs="Calibri"/>
          <w:b/>
          <w:bCs/>
          <w:color w:val="000000"/>
          <w:sz w:val="20"/>
          <w:szCs w:val="20"/>
        </w:rPr>
        <w:t>PUBLICA</w:t>
      </w:r>
      <w:proofErr w:type="gramEnd"/>
    </w:p>
    <w:p w:rsidR="0036094C" w:rsidRPr="0036094C" w:rsidRDefault="0036094C" w:rsidP="0036094C">
      <w:pPr>
        <w:spacing w:after="0" w:line="240" w:lineRule="auto"/>
        <w:jc w:val="both"/>
        <w:rPr>
          <w:rFonts w:cs="Calibri"/>
          <w:color w:val="000000"/>
          <w:sz w:val="20"/>
          <w:szCs w:val="20"/>
        </w:rPr>
      </w:pPr>
    </w:p>
    <w:p w:rsidR="0036094C" w:rsidRPr="0036094C" w:rsidRDefault="0036094C" w:rsidP="0036094C">
      <w:pPr>
        <w:spacing w:after="0" w:line="240" w:lineRule="auto"/>
        <w:jc w:val="both"/>
        <w:rPr>
          <w:rFonts w:cs="Calibri"/>
          <w:color w:val="000000"/>
          <w:sz w:val="20"/>
          <w:szCs w:val="20"/>
        </w:rPr>
      </w:pPr>
      <w:r w:rsidRPr="0036094C">
        <w:rPr>
          <w:rFonts w:cs="Calibri"/>
          <w:color w:val="000000"/>
          <w:sz w:val="20"/>
          <w:szCs w:val="20"/>
        </w:rPr>
        <w:t>1.- SALDO AL 31 MARZO 2018 PATRIMONIO CONTRIBUIDO         $ 18,900.43</w:t>
      </w:r>
    </w:p>
    <w:p w:rsidR="0036094C" w:rsidRPr="0036094C" w:rsidRDefault="0036094C" w:rsidP="0036094C">
      <w:pPr>
        <w:spacing w:after="0" w:line="240" w:lineRule="auto"/>
        <w:jc w:val="both"/>
        <w:rPr>
          <w:rFonts w:cs="Calibri"/>
          <w:color w:val="000000"/>
          <w:sz w:val="20"/>
          <w:szCs w:val="20"/>
        </w:rPr>
      </w:pPr>
    </w:p>
    <w:p w:rsidR="0036094C" w:rsidRPr="0036094C" w:rsidRDefault="0036094C" w:rsidP="0036094C">
      <w:pPr>
        <w:spacing w:after="0" w:line="240" w:lineRule="auto"/>
        <w:jc w:val="both"/>
        <w:rPr>
          <w:rFonts w:cs="Calibri"/>
          <w:color w:val="000000"/>
          <w:sz w:val="20"/>
          <w:szCs w:val="20"/>
        </w:rPr>
      </w:pPr>
      <w:r w:rsidRPr="0036094C">
        <w:rPr>
          <w:rFonts w:cs="Calibri"/>
          <w:color w:val="000000"/>
          <w:sz w:val="20"/>
          <w:szCs w:val="20"/>
        </w:rPr>
        <w:t>PATRIMONIO CONTRIBUIDO ES EQUIPO DE TRASPORTE DONADO Y SE REFLEJA COMO PARTE DEL MOBILIARIO (EQ. TRANSPORTE)</w:t>
      </w:r>
    </w:p>
    <w:p w:rsidR="0036094C" w:rsidRPr="0036094C" w:rsidRDefault="0036094C" w:rsidP="0036094C">
      <w:pPr>
        <w:spacing w:after="0" w:line="240" w:lineRule="auto"/>
        <w:jc w:val="both"/>
        <w:rPr>
          <w:rFonts w:cs="Calibri"/>
          <w:color w:val="000000"/>
          <w:sz w:val="20"/>
          <w:szCs w:val="20"/>
        </w:rPr>
      </w:pPr>
    </w:p>
    <w:p w:rsidR="0036094C" w:rsidRPr="0036094C" w:rsidRDefault="0036094C" w:rsidP="0036094C">
      <w:pPr>
        <w:spacing w:after="0" w:line="240" w:lineRule="auto"/>
        <w:jc w:val="both"/>
        <w:rPr>
          <w:rFonts w:cs="Calibri"/>
          <w:color w:val="000000"/>
          <w:sz w:val="20"/>
          <w:szCs w:val="20"/>
        </w:rPr>
      </w:pPr>
      <w:r w:rsidRPr="0036094C">
        <w:rPr>
          <w:rFonts w:cs="Calibri"/>
          <w:color w:val="000000"/>
          <w:sz w:val="20"/>
          <w:szCs w:val="20"/>
        </w:rPr>
        <w:t>2.- RECURSOS QUE MODIFICAN AL PATRIMONIO GENERADO A MARZO 2018</w:t>
      </w:r>
    </w:p>
    <w:p w:rsidR="0036094C" w:rsidRPr="0036094C" w:rsidRDefault="0036094C" w:rsidP="0036094C">
      <w:pPr>
        <w:spacing w:after="0" w:line="240" w:lineRule="auto"/>
        <w:jc w:val="both"/>
        <w:rPr>
          <w:rFonts w:cs="Calibri"/>
          <w:bCs/>
          <w:color w:val="000000"/>
          <w:sz w:val="20"/>
          <w:szCs w:val="20"/>
        </w:rPr>
      </w:pPr>
      <w:r w:rsidRPr="0036094C">
        <w:rPr>
          <w:rFonts w:cs="Calibri"/>
          <w:bCs/>
          <w:color w:val="000000"/>
          <w:sz w:val="20"/>
          <w:szCs w:val="20"/>
        </w:rPr>
        <w:t xml:space="preserve">PATRIMONIO </w:t>
      </w:r>
      <w:proofErr w:type="gramStart"/>
      <w:r w:rsidRPr="0036094C">
        <w:rPr>
          <w:rFonts w:cs="Calibri"/>
          <w:bCs/>
          <w:color w:val="000000"/>
          <w:sz w:val="20"/>
          <w:szCs w:val="20"/>
        </w:rPr>
        <w:t>GENERADO :</w:t>
      </w:r>
      <w:proofErr w:type="gramEnd"/>
      <w:r w:rsidRPr="0036094C">
        <w:rPr>
          <w:rFonts w:cs="Calibri"/>
          <w:bCs/>
          <w:color w:val="000000"/>
          <w:sz w:val="20"/>
          <w:szCs w:val="20"/>
        </w:rPr>
        <w:t xml:space="preserve">  </w:t>
      </w:r>
    </w:p>
    <w:p w:rsidR="0036094C" w:rsidRPr="0036094C" w:rsidRDefault="0036094C" w:rsidP="0036094C">
      <w:pPr>
        <w:spacing w:after="0" w:line="240" w:lineRule="auto"/>
        <w:jc w:val="both"/>
        <w:rPr>
          <w:rFonts w:cs="Calibri"/>
          <w:color w:val="000000"/>
          <w:sz w:val="20"/>
          <w:szCs w:val="20"/>
        </w:rPr>
      </w:pPr>
    </w:p>
    <w:p w:rsidR="0036094C" w:rsidRPr="0036094C" w:rsidRDefault="0036094C" w:rsidP="0036094C">
      <w:pPr>
        <w:spacing w:after="0" w:line="240" w:lineRule="auto"/>
        <w:jc w:val="both"/>
        <w:rPr>
          <w:rFonts w:cs="Calibri"/>
          <w:sz w:val="20"/>
          <w:szCs w:val="20"/>
        </w:rPr>
      </w:pPr>
      <w:r w:rsidRPr="0036094C">
        <w:rPr>
          <w:rFonts w:cs="Calibri"/>
          <w:color w:val="000000"/>
          <w:sz w:val="20"/>
          <w:szCs w:val="20"/>
        </w:rPr>
        <w:t xml:space="preserve">RESULTADO DEL EJERCICIO (AHORRO)                                      </w:t>
      </w:r>
      <w:r w:rsidRPr="0036094C">
        <w:rPr>
          <w:rFonts w:cs="Calibri"/>
          <w:sz w:val="20"/>
          <w:szCs w:val="20"/>
        </w:rPr>
        <w:t>$ 283,928.92</w:t>
      </w:r>
    </w:p>
    <w:p w:rsidR="0036094C" w:rsidRPr="0036094C" w:rsidRDefault="0036094C" w:rsidP="0036094C">
      <w:pPr>
        <w:spacing w:after="0" w:line="240" w:lineRule="auto"/>
        <w:jc w:val="both"/>
        <w:rPr>
          <w:rFonts w:cs="Calibri"/>
          <w:color w:val="000000"/>
          <w:sz w:val="20"/>
          <w:szCs w:val="20"/>
        </w:rPr>
      </w:pPr>
    </w:p>
    <w:p w:rsidR="0036094C" w:rsidRPr="0036094C" w:rsidRDefault="0036094C" w:rsidP="0036094C">
      <w:pPr>
        <w:spacing w:after="0" w:line="240" w:lineRule="auto"/>
        <w:jc w:val="both"/>
        <w:rPr>
          <w:rFonts w:cs="Calibri"/>
          <w:color w:val="000000"/>
          <w:sz w:val="20"/>
          <w:szCs w:val="20"/>
        </w:rPr>
      </w:pPr>
      <w:r w:rsidRPr="0036094C">
        <w:rPr>
          <w:rFonts w:cs="Calibri"/>
          <w:color w:val="000000"/>
          <w:sz w:val="20"/>
          <w:szCs w:val="20"/>
        </w:rPr>
        <w:t>RESULTADO DE EJERCICIOS ANTERIORES                                     $ -101,395.88</w:t>
      </w:r>
    </w:p>
    <w:p w:rsidR="0036094C" w:rsidRPr="0036094C" w:rsidRDefault="0036094C" w:rsidP="0036094C">
      <w:pPr>
        <w:spacing w:after="0" w:line="240" w:lineRule="auto"/>
        <w:jc w:val="both"/>
        <w:rPr>
          <w:rFonts w:cs="Calibri"/>
          <w:color w:val="000000"/>
          <w:sz w:val="20"/>
          <w:szCs w:val="20"/>
        </w:rPr>
      </w:pPr>
    </w:p>
    <w:p w:rsidR="0036094C" w:rsidRPr="0036094C" w:rsidRDefault="0036094C" w:rsidP="0036094C">
      <w:pPr>
        <w:spacing w:after="0" w:line="240" w:lineRule="auto"/>
        <w:jc w:val="both"/>
        <w:rPr>
          <w:rFonts w:cs="Calibri"/>
          <w:color w:val="000000"/>
          <w:sz w:val="20"/>
          <w:szCs w:val="20"/>
        </w:rPr>
      </w:pPr>
      <w:r w:rsidRPr="0036094C">
        <w:rPr>
          <w:rFonts w:cs="Calibri"/>
          <w:color w:val="000000"/>
          <w:sz w:val="20"/>
          <w:szCs w:val="20"/>
        </w:rPr>
        <w:t>RECTIFICACION DE RESULTADO DE EJERCICIOS ANTERIORES        $ 443,106.85</w:t>
      </w:r>
    </w:p>
    <w:p w:rsidR="0036094C" w:rsidRPr="0036094C" w:rsidRDefault="0036094C" w:rsidP="0036094C">
      <w:pPr>
        <w:spacing w:after="0" w:line="240" w:lineRule="auto"/>
        <w:jc w:val="both"/>
        <w:rPr>
          <w:rFonts w:cs="Calibri"/>
          <w:color w:val="000000"/>
          <w:sz w:val="20"/>
          <w:szCs w:val="20"/>
        </w:rPr>
      </w:pPr>
    </w:p>
    <w:p w:rsidR="0036094C" w:rsidRPr="0036094C" w:rsidRDefault="0036094C" w:rsidP="0036094C">
      <w:pPr>
        <w:spacing w:after="0" w:line="240" w:lineRule="auto"/>
        <w:jc w:val="both"/>
        <w:rPr>
          <w:rFonts w:cs="Calibri"/>
          <w:b/>
          <w:bCs/>
          <w:color w:val="000000"/>
          <w:sz w:val="20"/>
          <w:szCs w:val="20"/>
        </w:rPr>
      </w:pPr>
      <w:r w:rsidRPr="0036094C">
        <w:rPr>
          <w:rFonts w:cs="Calibri"/>
          <w:b/>
          <w:bCs/>
          <w:color w:val="000000"/>
          <w:sz w:val="20"/>
          <w:szCs w:val="20"/>
        </w:rPr>
        <w:t>IV) NOTAS AL ESTADO DE FLUJOS DE EFECTIVO</w:t>
      </w:r>
    </w:p>
    <w:p w:rsidR="0036094C" w:rsidRPr="0036094C" w:rsidRDefault="0036094C" w:rsidP="0036094C">
      <w:pPr>
        <w:spacing w:after="0" w:line="240" w:lineRule="auto"/>
        <w:jc w:val="both"/>
        <w:rPr>
          <w:rFonts w:cs="Calibri"/>
          <w:color w:val="000000"/>
          <w:sz w:val="20"/>
          <w:szCs w:val="20"/>
        </w:rPr>
      </w:pPr>
    </w:p>
    <w:p w:rsidR="0036094C" w:rsidRPr="0036094C" w:rsidRDefault="0036094C" w:rsidP="0036094C">
      <w:pPr>
        <w:spacing w:after="0" w:line="240" w:lineRule="auto"/>
        <w:jc w:val="both"/>
        <w:rPr>
          <w:rFonts w:cs="Calibri"/>
          <w:color w:val="000000"/>
          <w:sz w:val="20"/>
          <w:szCs w:val="20"/>
        </w:rPr>
      </w:pPr>
      <w:r w:rsidRPr="0036094C">
        <w:rPr>
          <w:rFonts w:cs="Calibri"/>
          <w:color w:val="000000"/>
          <w:sz w:val="20"/>
          <w:szCs w:val="20"/>
        </w:rPr>
        <w:t>EFECTIVO Y EQUIVALENTES</w:t>
      </w:r>
    </w:p>
    <w:p w:rsidR="0036094C" w:rsidRPr="0036094C" w:rsidRDefault="0036094C" w:rsidP="0036094C">
      <w:pPr>
        <w:spacing w:after="0" w:line="240" w:lineRule="auto"/>
        <w:jc w:val="both"/>
        <w:rPr>
          <w:rFonts w:cs="Calibri"/>
          <w:color w:val="000000"/>
          <w:sz w:val="20"/>
          <w:szCs w:val="20"/>
        </w:rPr>
      </w:pPr>
    </w:p>
    <w:p w:rsidR="0036094C" w:rsidRPr="0036094C" w:rsidRDefault="0036094C" w:rsidP="0036094C">
      <w:pPr>
        <w:spacing w:after="0" w:line="240" w:lineRule="auto"/>
        <w:jc w:val="both"/>
        <w:rPr>
          <w:rFonts w:cs="Calibri"/>
          <w:color w:val="000000"/>
          <w:sz w:val="20"/>
          <w:szCs w:val="20"/>
        </w:rPr>
      </w:pPr>
      <w:r w:rsidRPr="0036094C">
        <w:rPr>
          <w:rFonts w:cs="Calibri"/>
          <w:color w:val="000000"/>
          <w:sz w:val="20"/>
          <w:szCs w:val="20"/>
        </w:rPr>
        <w:t xml:space="preserve">1.- EL ANÁLISIS DE LOS SALDOS INICIAL Y FINAL QUE FIGURAN EN LA </w:t>
      </w:r>
      <w:proofErr w:type="gramStart"/>
      <w:r w:rsidRPr="0036094C">
        <w:rPr>
          <w:rFonts w:cs="Calibri"/>
          <w:color w:val="000000"/>
          <w:sz w:val="20"/>
          <w:szCs w:val="20"/>
        </w:rPr>
        <w:t>ULTIMA</w:t>
      </w:r>
      <w:proofErr w:type="gramEnd"/>
      <w:r w:rsidRPr="0036094C">
        <w:rPr>
          <w:rFonts w:cs="Calibri"/>
          <w:color w:val="000000"/>
          <w:sz w:val="20"/>
          <w:szCs w:val="20"/>
        </w:rPr>
        <w:t xml:space="preserve"> PARTE DEL ESTADO DE FLUJO DE EFECTIVO EN LA CUENTA DE EFECTIVO Y EQUIVALENTES QUEDAN COMO  A CONTINUACIÓN SE RELACIONAN:</w:t>
      </w:r>
    </w:p>
    <w:p w:rsidR="0036094C" w:rsidRPr="0036094C" w:rsidRDefault="0036094C" w:rsidP="0036094C">
      <w:pPr>
        <w:spacing w:after="0" w:line="240" w:lineRule="auto"/>
        <w:jc w:val="both"/>
        <w:rPr>
          <w:rFonts w:cs="Calibri"/>
          <w:color w:val="000000"/>
          <w:sz w:val="20"/>
          <w:szCs w:val="20"/>
        </w:rPr>
      </w:pPr>
    </w:p>
    <w:tbl>
      <w:tblPr>
        <w:tblW w:w="13096" w:type="dxa"/>
        <w:jc w:val="center"/>
        <w:tblCellMar>
          <w:left w:w="70" w:type="dxa"/>
          <w:right w:w="70" w:type="dxa"/>
        </w:tblCellMar>
        <w:tblLook w:val="04A0" w:firstRow="1" w:lastRow="0" w:firstColumn="1" w:lastColumn="0" w:noHBand="0" w:noVBand="1"/>
      </w:tblPr>
      <w:tblGrid>
        <w:gridCol w:w="4672"/>
        <w:gridCol w:w="3224"/>
        <w:gridCol w:w="2917"/>
        <w:gridCol w:w="2283"/>
      </w:tblGrid>
      <w:tr w:rsidR="0036094C" w:rsidRPr="0036094C" w:rsidTr="009100D4">
        <w:trPr>
          <w:trHeight w:val="300"/>
          <w:jc w:val="center"/>
        </w:trPr>
        <w:tc>
          <w:tcPr>
            <w:tcW w:w="3588" w:type="dxa"/>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 </w:t>
            </w:r>
          </w:p>
        </w:tc>
        <w:tc>
          <w:tcPr>
            <w:tcW w:w="2476" w:type="dxa"/>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 </w:t>
            </w:r>
          </w:p>
        </w:tc>
        <w:tc>
          <w:tcPr>
            <w:tcW w:w="2240" w:type="dxa"/>
            <w:shd w:val="clear" w:color="auto" w:fill="auto"/>
            <w:noWrap/>
            <w:vAlign w:val="bottom"/>
            <w:hideMark/>
          </w:tcPr>
          <w:p w:rsidR="0036094C" w:rsidRPr="0036094C" w:rsidRDefault="0036094C" w:rsidP="009100D4">
            <w:pPr>
              <w:spacing w:after="0" w:line="240" w:lineRule="auto"/>
              <w:jc w:val="both"/>
              <w:rPr>
                <w:rFonts w:cs="Calibri"/>
                <w:b/>
                <w:bCs/>
                <w:color w:val="000000"/>
                <w:sz w:val="20"/>
                <w:szCs w:val="20"/>
              </w:rPr>
            </w:pPr>
            <w:r w:rsidRPr="0036094C">
              <w:rPr>
                <w:rFonts w:cs="Calibri"/>
                <w:b/>
                <w:bCs/>
                <w:color w:val="000000"/>
                <w:sz w:val="20"/>
                <w:szCs w:val="20"/>
              </w:rPr>
              <w:t>2018</w:t>
            </w:r>
          </w:p>
        </w:tc>
        <w:tc>
          <w:tcPr>
            <w:tcW w:w="1753" w:type="dxa"/>
            <w:shd w:val="clear" w:color="auto" w:fill="auto"/>
            <w:noWrap/>
            <w:vAlign w:val="bottom"/>
            <w:hideMark/>
          </w:tcPr>
          <w:p w:rsidR="0036094C" w:rsidRPr="0036094C" w:rsidRDefault="0036094C" w:rsidP="009100D4">
            <w:pPr>
              <w:spacing w:after="0" w:line="240" w:lineRule="auto"/>
              <w:jc w:val="both"/>
              <w:rPr>
                <w:rFonts w:cs="Calibri"/>
                <w:b/>
                <w:bCs/>
                <w:color w:val="000000"/>
                <w:sz w:val="20"/>
                <w:szCs w:val="20"/>
              </w:rPr>
            </w:pPr>
            <w:r w:rsidRPr="0036094C">
              <w:rPr>
                <w:rFonts w:cs="Calibri"/>
                <w:b/>
                <w:bCs/>
                <w:color w:val="000000"/>
                <w:sz w:val="20"/>
                <w:szCs w:val="20"/>
              </w:rPr>
              <w:t>2017</w:t>
            </w:r>
          </w:p>
        </w:tc>
      </w:tr>
      <w:tr w:rsidR="0036094C" w:rsidRPr="0036094C" w:rsidTr="009100D4">
        <w:trPr>
          <w:trHeight w:val="300"/>
          <w:jc w:val="center"/>
        </w:trPr>
        <w:tc>
          <w:tcPr>
            <w:tcW w:w="3588" w:type="dxa"/>
            <w:tcBorders>
              <w:top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EFECTIVO EN BANCOS- TESORERIA</w:t>
            </w:r>
          </w:p>
        </w:tc>
        <w:tc>
          <w:tcPr>
            <w:tcW w:w="2476" w:type="dxa"/>
            <w:tcBorders>
              <w:top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 </w:t>
            </w:r>
          </w:p>
        </w:tc>
        <w:tc>
          <w:tcPr>
            <w:tcW w:w="2240" w:type="dxa"/>
            <w:tcBorders>
              <w:top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$ 559,229.56</w:t>
            </w:r>
          </w:p>
        </w:tc>
        <w:tc>
          <w:tcPr>
            <w:tcW w:w="1753" w:type="dxa"/>
            <w:tcBorders>
              <w:top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$ 103,984.92</w:t>
            </w:r>
          </w:p>
        </w:tc>
      </w:tr>
      <w:tr w:rsidR="0036094C" w:rsidRPr="0036094C" w:rsidTr="009100D4">
        <w:trPr>
          <w:trHeight w:val="300"/>
          <w:jc w:val="center"/>
        </w:trPr>
        <w:tc>
          <w:tcPr>
            <w:tcW w:w="3588" w:type="dxa"/>
            <w:tcBorders>
              <w:top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EFECTIVO EN BANCOS -DEPENDENCIAS</w:t>
            </w:r>
          </w:p>
        </w:tc>
        <w:tc>
          <w:tcPr>
            <w:tcW w:w="2476" w:type="dxa"/>
            <w:tcBorders>
              <w:top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 </w:t>
            </w:r>
          </w:p>
        </w:tc>
        <w:tc>
          <w:tcPr>
            <w:tcW w:w="2240" w:type="dxa"/>
            <w:tcBorders>
              <w:top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0</w:t>
            </w:r>
          </w:p>
        </w:tc>
        <w:tc>
          <w:tcPr>
            <w:tcW w:w="1753" w:type="dxa"/>
            <w:tcBorders>
              <w:top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0</w:t>
            </w:r>
          </w:p>
        </w:tc>
      </w:tr>
      <w:tr w:rsidR="0036094C" w:rsidRPr="0036094C" w:rsidTr="009100D4">
        <w:trPr>
          <w:trHeight w:val="300"/>
          <w:jc w:val="center"/>
        </w:trPr>
        <w:tc>
          <w:tcPr>
            <w:tcW w:w="3588" w:type="dxa"/>
            <w:tcBorders>
              <w:top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INVERSIONES TEMPORALES( Hasta 3 meses)</w:t>
            </w:r>
          </w:p>
        </w:tc>
        <w:tc>
          <w:tcPr>
            <w:tcW w:w="2476" w:type="dxa"/>
            <w:tcBorders>
              <w:top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 </w:t>
            </w:r>
          </w:p>
        </w:tc>
        <w:tc>
          <w:tcPr>
            <w:tcW w:w="2240" w:type="dxa"/>
            <w:tcBorders>
              <w:top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0</w:t>
            </w:r>
          </w:p>
        </w:tc>
        <w:tc>
          <w:tcPr>
            <w:tcW w:w="1753" w:type="dxa"/>
            <w:tcBorders>
              <w:top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0</w:t>
            </w:r>
          </w:p>
        </w:tc>
      </w:tr>
      <w:tr w:rsidR="0036094C" w:rsidRPr="0036094C" w:rsidTr="009100D4">
        <w:trPr>
          <w:trHeight w:val="300"/>
          <w:jc w:val="center"/>
        </w:trPr>
        <w:tc>
          <w:tcPr>
            <w:tcW w:w="3588" w:type="dxa"/>
            <w:tcBorders>
              <w:top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FONDOS CON AFECTACION ESPECIFICA</w:t>
            </w:r>
          </w:p>
        </w:tc>
        <w:tc>
          <w:tcPr>
            <w:tcW w:w="2476" w:type="dxa"/>
            <w:tcBorders>
              <w:top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 </w:t>
            </w:r>
          </w:p>
        </w:tc>
        <w:tc>
          <w:tcPr>
            <w:tcW w:w="2240" w:type="dxa"/>
            <w:tcBorders>
              <w:top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0</w:t>
            </w:r>
          </w:p>
        </w:tc>
        <w:tc>
          <w:tcPr>
            <w:tcW w:w="1753" w:type="dxa"/>
            <w:tcBorders>
              <w:top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0</w:t>
            </w:r>
          </w:p>
        </w:tc>
      </w:tr>
      <w:tr w:rsidR="0036094C" w:rsidRPr="0036094C" w:rsidTr="009100D4">
        <w:trPr>
          <w:trHeight w:val="300"/>
          <w:jc w:val="center"/>
        </w:trPr>
        <w:tc>
          <w:tcPr>
            <w:tcW w:w="3588" w:type="dxa"/>
            <w:tcBorders>
              <w:top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DEPOSITOS DE FONDOS DE TERCEROS</w:t>
            </w:r>
          </w:p>
        </w:tc>
        <w:tc>
          <w:tcPr>
            <w:tcW w:w="2476" w:type="dxa"/>
            <w:tcBorders>
              <w:top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 </w:t>
            </w:r>
          </w:p>
        </w:tc>
        <w:tc>
          <w:tcPr>
            <w:tcW w:w="2240" w:type="dxa"/>
            <w:tcBorders>
              <w:top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0</w:t>
            </w:r>
          </w:p>
        </w:tc>
        <w:tc>
          <w:tcPr>
            <w:tcW w:w="1753" w:type="dxa"/>
            <w:tcBorders>
              <w:top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0</w:t>
            </w:r>
          </w:p>
        </w:tc>
      </w:tr>
      <w:tr w:rsidR="0036094C" w:rsidRPr="0036094C" w:rsidTr="009100D4">
        <w:trPr>
          <w:trHeight w:val="300"/>
          <w:jc w:val="center"/>
        </w:trPr>
        <w:tc>
          <w:tcPr>
            <w:tcW w:w="3588" w:type="dxa"/>
            <w:tcBorders>
              <w:top w:val="nil"/>
            </w:tcBorders>
            <w:shd w:val="clear" w:color="auto" w:fill="auto"/>
            <w:noWrap/>
            <w:vAlign w:val="bottom"/>
            <w:hideMark/>
          </w:tcPr>
          <w:p w:rsidR="0036094C" w:rsidRPr="0036094C" w:rsidRDefault="0036094C" w:rsidP="009100D4">
            <w:pPr>
              <w:spacing w:after="0" w:line="240" w:lineRule="auto"/>
              <w:jc w:val="both"/>
              <w:rPr>
                <w:rFonts w:cs="Calibri"/>
                <w:b/>
                <w:color w:val="000000"/>
                <w:sz w:val="20"/>
                <w:szCs w:val="20"/>
              </w:rPr>
            </w:pPr>
            <w:r w:rsidRPr="0036094C">
              <w:rPr>
                <w:rFonts w:cs="Calibri"/>
                <w:b/>
                <w:color w:val="000000"/>
                <w:sz w:val="20"/>
                <w:szCs w:val="20"/>
              </w:rPr>
              <w:t>TOTAL DE EFECTIVO Y EQUIVALENTES</w:t>
            </w:r>
          </w:p>
        </w:tc>
        <w:tc>
          <w:tcPr>
            <w:tcW w:w="2476" w:type="dxa"/>
            <w:tcBorders>
              <w:top w:val="nil"/>
            </w:tcBorders>
            <w:shd w:val="clear" w:color="auto" w:fill="auto"/>
            <w:noWrap/>
            <w:vAlign w:val="bottom"/>
            <w:hideMark/>
          </w:tcPr>
          <w:p w:rsidR="0036094C" w:rsidRPr="0036094C" w:rsidRDefault="0036094C" w:rsidP="009100D4">
            <w:pPr>
              <w:spacing w:after="0" w:line="240" w:lineRule="auto"/>
              <w:jc w:val="both"/>
              <w:rPr>
                <w:rFonts w:cs="Calibri"/>
                <w:b/>
                <w:color w:val="000000"/>
                <w:sz w:val="20"/>
                <w:szCs w:val="20"/>
              </w:rPr>
            </w:pPr>
          </w:p>
        </w:tc>
        <w:tc>
          <w:tcPr>
            <w:tcW w:w="2240" w:type="dxa"/>
            <w:tcBorders>
              <w:top w:val="nil"/>
            </w:tcBorders>
            <w:shd w:val="clear" w:color="auto" w:fill="auto"/>
            <w:noWrap/>
            <w:vAlign w:val="bottom"/>
            <w:hideMark/>
          </w:tcPr>
          <w:p w:rsidR="0036094C" w:rsidRPr="0036094C" w:rsidRDefault="0036094C" w:rsidP="009100D4">
            <w:pPr>
              <w:spacing w:after="0" w:line="240" w:lineRule="auto"/>
              <w:jc w:val="both"/>
              <w:rPr>
                <w:rFonts w:cs="Calibri"/>
                <w:b/>
                <w:color w:val="000000"/>
                <w:sz w:val="20"/>
                <w:szCs w:val="20"/>
              </w:rPr>
            </w:pPr>
            <w:r w:rsidRPr="0036094C">
              <w:rPr>
                <w:rFonts w:cs="Calibri"/>
                <w:b/>
                <w:color w:val="000000"/>
                <w:sz w:val="20"/>
                <w:szCs w:val="20"/>
              </w:rPr>
              <w:t>$ 559,229.56</w:t>
            </w:r>
          </w:p>
        </w:tc>
        <w:tc>
          <w:tcPr>
            <w:tcW w:w="1753" w:type="dxa"/>
            <w:tcBorders>
              <w:top w:val="nil"/>
            </w:tcBorders>
            <w:shd w:val="clear" w:color="auto" w:fill="auto"/>
            <w:noWrap/>
            <w:vAlign w:val="bottom"/>
            <w:hideMark/>
          </w:tcPr>
          <w:p w:rsidR="0036094C" w:rsidRPr="0036094C" w:rsidRDefault="0036094C" w:rsidP="009100D4">
            <w:pPr>
              <w:spacing w:after="0" w:line="240" w:lineRule="auto"/>
              <w:jc w:val="both"/>
              <w:rPr>
                <w:rFonts w:cs="Calibri"/>
                <w:b/>
                <w:color w:val="000000"/>
                <w:sz w:val="20"/>
                <w:szCs w:val="20"/>
              </w:rPr>
            </w:pPr>
            <w:r w:rsidRPr="0036094C">
              <w:rPr>
                <w:rFonts w:cs="Calibri"/>
                <w:b/>
                <w:color w:val="000000"/>
                <w:sz w:val="20"/>
                <w:szCs w:val="20"/>
              </w:rPr>
              <w:t>$ 103,984.92</w:t>
            </w:r>
          </w:p>
        </w:tc>
      </w:tr>
    </w:tbl>
    <w:p w:rsidR="0036094C" w:rsidRPr="0036094C" w:rsidRDefault="0036094C" w:rsidP="0036094C">
      <w:pPr>
        <w:spacing w:after="0" w:line="240" w:lineRule="auto"/>
        <w:jc w:val="both"/>
        <w:rPr>
          <w:rFonts w:cs="Calibri"/>
          <w:color w:val="000000"/>
          <w:sz w:val="20"/>
          <w:szCs w:val="20"/>
        </w:rPr>
      </w:pPr>
    </w:p>
    <w:p w:rsidR="0036094C" w:rsidRPr="0036094C" w:rsidRDefault="0036094C" w:rsidP="0036094C">
      <w:pPr>
        <w:spacing w:after="0" w:line="240" w:lineRule="auto"/>
        <w:jc w:val="both"/>
        <w:rPr>
          <w:rFonts w:cs="Calibri"/>
          <w:color w:val="000000"/>
          <w:sz w:val="20"/>
          <w:szCs w:val="20"/>
        </w:rPr>
      </w:pPr>
      <w:r w:rsidRPr="0036094C">
        <w:rPr>
          <w:rFonts w:cs="Calibri"/>
          <w:color w:val="000000"/>
          <w:sz w:val="20"/>
          <w:szCs w:val="20"/>
        </w:rPr>
        <w:t>2.-EL IMPORTE DE LOS BIENES MUEBLES SE RELACIONAN EN LA NOTA 8 DEL ESTADO DE SITUACIÓN FINANCIERA NINGUNA ADQUISICIÓN FUE REALIZADA MEDIANTE SUBSIDIOS DE CAPITAL DEL SECTOR CENTRAL.</w:t>
      </w:r>
    </w:p>
    <w:p w:rsidR="0036094C" w:rsidRPr="0036094C" w:rsidRDefault="0036094C" w:rsidP="0036094C">
      <w:pPr>
        <w:spacing w:after="0" w:line="240" w:lineRule="auto"/>
        <w:jc w:val="both"/>
        <w:rPr>
          <w:rFonts w:cs="Calibri"/>
          <w:color w:val="000000"/>
          <w:sz w:val="20"/>
          <w:szCs w:val="20"/>
        </w:rPr>
      </w:pPr>
    </w:p>
    <w:p w:rsidR="0036094C" w:rsidRPr="0036094C" w:rsidRDefault="0036094C" w:rsidP="0036094C">
      <w:pPr>
        <w:spacing w:after="0" w:line="240" w:lineRule="auto"/>
        <w:jc w:val="both"/>
        <w:rPr>
          <w:rFonts w:cs="Calibri"/>
          <w:color w:val="000000"/>
          <w:sz w:val="20"/>
          <w:szCs w:val="20"/>
        </w:rPr>
      </w:pPr>
    </w:p>
    <w:p w:rsidR="0036094C" w:rsidRPr="0036094C" w:rsidRDefault="0036094C" w:rsidP="0036094C">
      <w:pPr>
        <w:spacing w:after="0" w:line="240" w:lineRule="auto"/>
        <w:jc w:val="both"/>
        <w:rPr>
          <w:rFonts w:cs="Calibri"/>
          <w:color w:val="000000"/>
          <w:sz w:val="20"/>
          <w:szCs w:val="20"/>
        </w:rPr>
      </w:pPr>
      <w:r w:rsidRPr="0036094C">
        <w:rPr>
          <w:rFonts w:cs="Calibri"/>
          <w:color w:val="000000"/>
          <w:sz w:val="20"/>
          <w:szCs w:val="20"/>
        </w:rPr>
        <w:t>3.-CONCILIACION DE LOS FLUJOS DE EFECTIVO NETOS DE LAS ACTIVIDADES DE OPERACIÓN Y LA CUENTA DE AHORRO DESAHORRO ANTES DE RUBROS EXTRAORDINARIOS.</w:t>
      </w:r>
    </w:p>
    <w:p w:rsidR="0036094C" w:rsidRPr="0036094C" w:rsidRDefault="0036094C" w:rsidP="0036094C">
      <w:pPr>
        <w:spacing w:after="0" w:line="240" w:lineRule="auto"/>
        <w:jc w:val="both"/>
        <w:rPr>
          <w:rFonts w:cs="Calibri"/>
          <w:color w:val="000000"/>
          <w:sz w:val="20"/>
          <w:szCs w:val="20"/>
        </w:rPr>
      </w:pPr>
    </w:p>
    <w:tbl>
      <w:tblPr>
        <w:tblW w:w="13096" w:type="dxa"/>
        <w:jc w:val="center"/>
        <w:tblCellMar>
          <w:left w:w="70" w:type="dxa"/>
          <w:right w:w="70" w:type="dxa"/>
        </w:tblCellMar>
        <w:tblLook w:val="04A0" w:firstRow="1" w:lastRow="0" w:firstColumn="1" w:lastColumn="0" w:noHBand="0" w:noVBand="1"/>
      </w:tblPr>
      <w:tblGrid>
        <w:gridCol w:w="4041"/>
        <w:gridCol w:w="2788"/>
        <w:gridCol w:w="2523"/>
        <w:gridCol w:w="1974"/>
        <w:gridCol w:w="1770"/>
      </w:tblGrid>
      <w:tr w:rsidR="0036094C" w:rsidRPr="0036094C" w:rsidTr="009100D4">
        <w:trPr>
          <w:trHeight w:val="300"/>
          <w:jc w:val="center"/>
        </w:trPr>
        <w:tc>
          <w:tcPr>
            <w:tcW w:w="6064" w:type="dxa"/>
            <w:gridSpan w:val="2"/>
            <w:shd w:val="clear" w:color="auto" w:fill="auto"/>
            <w:noWrap/>
            <w:vAlign w:val="bottom"/>
            <w:hideMark/>
          </w:tcPr>
          <w:p w:rsidR="0036094C" w:rsidRPr="0036094C" w:rsidRDefault="0036094C" w:rsidP="009100D4">
            <w:pPr>
              <w:spacing w:after="0" w:line="240" w:lineRule="auto"/>
              <w:jc w:val="both"/>
              <w:rPr>
                <w:rFonts w:cs="Calibri"/>
                <w:b/>
                <w:bCs/>
                <w:color w:val="000000"/>
                <w:sz w:val="20"/>
                <w:szCs w:val="20"/>
              </w:rPr>
            </w:pPr>
            <w:r w:rsidRPr="0036094C">
              <w:rPr>
                <w:rFonts w:cs="Calibri"/>
                <w:b/>
                <w:bCs/>
                <w:color w:val="000000"/>
                <w:sz w:val="20"/>
                <w:szCs w:val="20"/>
              </w:rPr>
              <w:t>AHORRO DESAHORRO ANTES DE RUBROS EXTRAORDINARIOS</w:t>
            </w:r>
          </w:p>
        </w:tc>
        <w:tc>
          <w:tcPr>
            <w:tcW w:w="2240" w:type="dxa"/>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 xml:space="preserve">        </w:t>
            </w:r>
            <w:r w:rsidRPr="0036094C">
              <w:rPr>
                <w:rFonts w:cs="Calibri"/>
                <w:b/>
                <w:bCs/>
                <w:color w:val="000000"/>
                <w:sz w:val="20"/>
                <w:szCs w:val="20"/>
              </w:rPr>
              <w:t>2018</w:t>
            </w:r>
          </w:p>
        </w:tc>
        <w:tc>
          <w:tcPr>
            <w:tcW w:w="1753" w:type="dxa"/>
            <w:shd w:val="clear" w:color="auto" w:fill="auto"/>
            <w:noWrap/>
            <w:vAlign w:val="bottom"/>
            <w:hideMark/>
          </w:tcPr>
          <w:p w:rsidR="0036094C" w:rsidRPr="0036094C" w:rsidRDefault="0036094C" w:rsidP="009100D4">
            <w:pPr>
              <w:spacing w:after="0" w:line="240" w:lineRule="auto"/>
              <w:jc w:val="both"/>
              <w:rPr>
                <w:rFonts w:cs="Calibri"/>
                <w:b/>
                <w:bCs/>
                <w:color w:val="000000"/>
                <w:sz w:val="20"/>
                <w:szCs w:val="20"/>
              </w:rPr>
            </w:pPr>
            <w:r w:rsidRPr="0036094C">
              <w:rPr>
                <w:rFonts w:cs="Calibri"/>
                <w:b/>
                <w:bCs/>
                <w:color w:val="000000"/>
                <w:sz w:val="20"/>
                <w:szCs w:val="20"/>
              </w:rPr>
              <w:t>2017</w:t>
            </w:r>
          </w:p>
        </w:tc>
        <w:tc>
          <w:tcPr>
            <w:tcW w:w="1572" w:type="dxa"/>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r>
      <w:tr w:rsidR="0036094C" w:rsidRPr="0036094C" w:rsidTr="009100D4">
        <w:trPr>
          <w:trHeight w:val="300"/>
          <w:jc w:val="center"/>
        </w:trPr>
        <w:tc>
          <w:tcPr>
            <w:tcW w:w="3588" w:type="dxa"/>
            <w:tcBorders>
              <w:top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 </w:t>
            </w:r>
          </w:p>
        </w:tc>
        <w:tc>
          <w:tcPr>
            <w:tcW w:w="2476" w:type="dxa"/>
            <w:tcBorders>
              <w:top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 </w:t>
            </w:r>
          </w:p>
        </w:tc>
        <w:tc>
          <w:tcPr>
            <w:tcW w:w="2240" w:type="dxa"/>
            <w:tcBorders>
              <w:top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 </w:t>
            </w:r>
          </w:p>
        </w:tc>
        <w:tc>
          <w:tcPr>
            <w:tcW w:w="1753" w:type="dxa"/>
            <w:tcBorders>
              <w:top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 </w:t>
            </w:r>
          </w:p>
        </w:tc>
        <w:tc>
          <w:tcPr>
            <w:tcW w:w="1572" w:type="dxa"/>
            <w:tcBorders>
              <w:top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r>
      <w:tr w:rsidR="0036094C" w:rsidRPr="0036094C" w:rsidTr="009100D4">
        <w:trPr>
          <w:trHeight w:val="300"/>
          <w:jc w:val="center"/>
        </w:trPr>
        <w:tc>
          <w:tcPr>
            <w:tcW w:w="6064" w:type="dxa"/>
            <w:gridSpan w:val="2"/>
            <w:tcBorders>
              <w:top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MOVIMIENTOS DE PARTIDA Q NO AFECTAN EFECTIVO</w:t>
            </w:r>
          </w:p>
        </w:tc>
        <w:tc>
          <w:tcPr>
            <w:tcW w:w="2240" w:type="dxa"/>
            <w:tcBorders>
              <w:top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 </w:t>
            </w:r>
          </w:p>
        </w:tc>
        <w:tc>
          <w:tcPr>
            <w:tcW w:w="1753" w:type="dxa"/>
            <w:tcBorders>
              <w:top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 </w:t>
            </w:r>
          </w:p>
        </w:tc>
        <w:tc>
          <w:tcPr>
            <w:tcW w:w="1572" w:type="dxa"/>
            <w:tcBorders>
              <w:top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r>
      <w:tr w:rsidR="0036094C" w:rsidRPr="0036094C" w:rsidTr="009100D4">
        <w:trPr>
          <w:trHeight w:val="300"/>
          <w:jc w:val="center"/>
        </w:trPr>
        <w:tc>
          <w:tcPr>
            <w:tcW w:w="3588" w:type="dxa"/>
            <w:tcBorders>
              <w:top w:val="nil"/>
              <w:bottom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DEPRECIACION</w:t>
            </w:r>
          </w:p>
        </w:tc>
        <w:tc>
          <w:tcPr>
            <w:tcW w:w="2476" w:type="dxa"/>
            <w:tcBorders>
              <w:top w:val="nil"/>
              <w:bottom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 </w:t>
            </w:r>
          </w:p>
        </w:tc>
        <w:tc>
          <w:tcPr>
            <w:tcW w:w="2240" w:type="dxa"/>
            <w:tcBorders>
              <w:top w:val="nil"/>
              <w:bottom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-3`605,986.88</w:t>
            </w:r>
          </w:p>
        </w:tc>
        <w:tc>
          <w:tcPr>
            <w:tcW w:w="1753" w:type="dxa"/>
            <w:tcBorders>
              <w:top w:val="nil"/>
              <w:bottom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-3´462,569.48</w:t>
            </w:r>
          </w:p>
        </w:tc>
        <w:tc>
          <w:tcPr>
            <w:tcW w:w="1572" w:type="dxa"/>
            <w:tcBorders>
              <w:top w:val="nil"/>
              <w:bottom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r>
      <w:tr w:rsidR="0036094C" w:rsidRPr="0036094C" w:rsidTr="009100D4">
        <w:trPr>
          <w:trHeight w:val="300"/>
          <w:jc w:val="center"/>
        </w:trPr>
        <w:tc>
          <w:tcPr>
            <w:tcW w:w="3588" w:type="dxa"/>
            <w:tcBorders>
              <w:top w:val="nil"/>
              <w:bottom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AMORTIZACION</w:t>
            </w:r>
          </w:p>
        </w:tc>
        <w:tc>
          <w:tcPr>
            <w:tcW w:w="2476" w:type="dxa"/>
            <w:tcBorders>
              <w:top w:val="nil"/>
              <w:bottom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 </w:t>
            </w:r>
          </w:p>
        </w:tc>
        <w:tc>
          <w:tcPr>
            <w:tcW w:w="2240" w:type="dxa"/>
            <w:tcBorders>
              <w:top w:val="nil"/>
              <w:bottom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-163,419.84</w:t>
            </w:r>
          </w:p>
        </w:tc>
        <w:tc>
          <w:tcPr>
            <w:tcW w:w="1753" w:type="dxa"/>
            <w:tcBorders>
              <w:top w:val="nil"/>
              <w:bottom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-109,529.20</w:t>
            </w:r>
          </w:p>
        </w:tc>
        <w:tc>
          <w:tcPr>
            <w:tcW w:w="1572" w:type="dxa"/>
            <w:tcBorders>
              <w:top w:val="nil"/>
              <w:bottom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r>
      <w:tr w:rsidR="0036094C" w:rsidRPr="0036094C" w:rsidTr="009100D4">
        <w:trPr>
          <w:trHeight w:val="300"/>
          <w:jc w:val="center"/>
        </w:trPr>
        <w:tc>
          <w:tcPr>
            <w:tcW w:w="3588" w:type="dxa"/>
            <w:tcBorders>
              <w:top w:val="nil"/>
              <w:bottom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INCREMENTOS EN LAS PROVISIONES</w:t>
            </w:r>
          </w:p>
        </w:tc>
        <w:tc>
          <w:tcPr>
            <w:tcW w:w="2476" w:type="dxa"/>
            <w:tcBorders>
              <w:top w:val="nil"/>
              <w:bottom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c>
          <w:tcPr>
            <w:tcW w:w="2240" w:type="dxa"/>
            <w:tcBorders>
              <w:top w:val="nil"/>
              <w:bottom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0</w:t>
            </w:r>
          </w:p>
        </w:tc>
        <w:tc>
          <w:tcPr>
            <w:tcW w:w="1753" w:type="dxa"/>
            <w:tcBorders>
              <w:top w:val="nil"/>
              <w:bottom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0</w:t>
            </w:r>
          </w:p>
        </w:tc>
        <w:tc>
          <w:tcPr>
            <w:tcW w:w="1572" w:type="dxa"/>
            <w:tcBorders>
              <w:top w:val="nil"/>
              <w:bottom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r>
      <w:tr w:rsidR="0036094C" w:rsidRPr="0036094C" w:rsidTr="009100D4">
        <w:trPr>
          <w:trHeight w:val="300"/>
          <w:jc w:val="center"/>
        </w:trPr>
        <w:tc>
          <w:tcPr>
            <w:tcW w:w="6064" w:type="dxa"/>
            <w:gridSpan w:val="2"/>
            <w:tcBorders>
              <w:top w:val="nil"/>
              <w:bottom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INCREMENTO EN INVERSIONES PRODUCIDO POR REVALUACIÓN</w:t>
            </w:r>
          </w:p>
        </w:tc>
        <w:tc>
          <w:tcPr>
            <w:tcW w:w="2240" w:type="dxa"/>
            <w:tcBorders>
              <w:top w:val="nil"/>
              <w:bottom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0</w:t>
            </w:r>
          </w:p>
        </w:tc>
        <w:tc>
          <w:tcPr>
            <w:tcW w:w="1753" w:type="dxa"/>
            <w:tcBorders>
              <w:top w:val="nil"/>
              <w:bottom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0</w:t>
            </w:r>
          </w:p>
        </w:tc>
        <w:tc>
          <w:tcPr>
            <w:tcW w:w="1572" w:type="dxa"/>
            <w:tcBorders>
              <w:top w:val="nil"/>
              <w:bottom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r>
      <w:tr w:rsidR="0036094C" w:rsidRPr="0036094C" w:rsidTr="009100D4">
        <w:trPr>
          <w:trHeight w:val="300"/>
          <w:jc w:val="center"/>
        </w:trPr>
        <w:tc>
          <w:tcPr>
            <w:tcW w:w="6064" w:type="dxa"/>
            <w:gridSpan w:val="2"/>
            <w:tcBorders>
              <w:top w:val="nil"/>
              <w:bottom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GANACIA/PERDIDA EN VENTA DE PROPIEDAD PLANTA Y EQ.</w:t>
            </w:r>
          </w:p>
        </w:tc>
        <w:tc>
          <w:tcPr>
            <w:tcW w:w="2240" w:type="dxa"/>
            <w:tcBorders>
              <w:top w:val="nil"/>
              <w:bottom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 xml:space="preserve">0  </w:t>
            </w:r>
          </w:p>
        </w:tc>
        <w:tc>
          <w:tcPr>
            <w:tcW w:w="1753" w:type="dxa"/>
            <w:tcBorders>
              <w:top w:val="nil"/>
              <w:bottom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0</w:t>
            </w:r>
          </w:p>
        </w:tc>
        <w:tc>
          <w:tcPr>
            <w:tcW w:w="1572" w:type="dxa"/>
            <w:tcBorders>
              <w:top w:val="nil"/>
              <w:bottom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r>
      <w:tr w:rsidR="0036094C" w:rsidRPr="0036094C" w:rsidTr="009100D4">
        <w:trPr>
          <w:trHeight w:val="300"/>
          <w:jc w:val="center"/>
        </w:trPr>
        <w:tc>
          <w:tcPr>
            <w:tcW w:w="3588" w:type="dxa"/>
            <w:tcBorders>
              <w:top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INCREMENTO EN CUENTAS POR COB</w:t>
            </w:r>
          </w:p>
        </w:tc>
        <w:tc>
          <w:tcPr>
            <w:tcW w:w="2476" w:type="dxa"/>
            <w:tcBorders>
              <w:top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 </w:t>
            </w:r>
          </w:p>
        </w:tc>
        <w:tc>
          <w:tcPr>
            <w:tcW w:w="2240" w:type="dxa"/>
            <w:tcBorders>
              <w:top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0</w:t>
            </w:r>
          </w:p>
        </w:tc>
        <w:tc>
          <w:tcPr>
            <w:tcW w:w="1753" w:type="dxa"/>
            <w:tcBorders>
              <w:top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0</w:t>
            </w:r>
          </w:p>
        </w:tc>
        <w:tc>
          <w:tcPr>
            <w:tcW w:w="1572" w:type="dxa"/>
            <w:tcBorders>
              <w:top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r>
      <w:tr w:rsidR="0036094C" w:rsidRPr="0036094C" w:rsidTr="009100D4">
        <w:trPr>
          <w:trHeight w:val="300"/>
          <w:jc w:val="center"/>
        </w:trPr>
        <w:tc>
          <w:tcPr>
            <w:tcW w:w="3588" w:type="dxa"/>
            <w:tcBorders>
              <w:top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PARTIDAS EXTRAORDINARIAS</w:t>
            </w:r>
          </w:p>
        </w:tc>
        <w:tc>
          <w:tcPr>
            <w:tcW w:w="2476" w:type="dxa"/>
            <w:tcBorders>
              <w:top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c>
          <w:tcPr>
            <w:tcW w:w="2240" w:type="dxa"/>
            <w:tcBorders>
              <w:top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0</w:t>
            </w:r>
          </w:p>
        </w:tc>
        <w:tc>
          <w:tcPr>
            <w:tcW w:w="1753" w:type="dxa"/>
            <w:tcBorders>
              <w:top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r w:rsidRPr="0036094C">
              <w:rPr>
                <w:rFonts w:cs="Calibri"/>
                <w:color w:val="000000"/>
                <w:sz w:val="20"/>
                <w:szCs w:val="20"/>
              </w:rPr>
              <w:t>0</w:t>
            </w:r>
          </w:p>
        </w:tc>
        <w:tc>
          <w:tcPr>
            <w:tcW w:w="1572" w:type="dxa"/>
            <w:tcBorders>
              <w:top w:val="nil"/>
            </w:tcBorders>
            <w:shd w:val="clear" w:color="auto" w:fill="auto"/>
            <w:noWrap/>
            <w:vAlign w:val="bottom"/>
            <w:hideMark/>
          </w:tcPr>
          <w:p w:rsidR="0036094C" w:rsidRPr="0036094C" w:rsidRDefault="0036094C" w:rsidP="009100D4">
            <w:pPr>
              <w:spacing w:after="0" w:line="240" w:lineRule="auto"/>
              <w:jc w:val="both"/>
              <w:rPr>
                <w:rFonts w:cs="Calibri"/>
                <w:color w:val="000000"/>
                <w:sz w:val="20"/>
                <w:szCs w:val="20"/>
              </w:rPr>
            </w:pPr>
          </w:p>
        </w:tc>
      </w:tr>
    </w:tbl>
    <w:p w:rsidR="0036094C" w:rsidRPr="0036094C" w:rsidRDefault="0036094C" w:rsidP="0036094C">
      <w:pPr>
        <w:spacing w:line="240" w:lineRule="auto"/>
        <w:rPr>
          <w:rFonts w:cs="Arial"/>
          <w:b/>
          <w:sz w:val="20"/>
          <w:szCs w:val="20"/>
        </w:rPr>
      </w:pPr>
    </w:p>
    <w:p w:rsidR="0036094C" w:rsidRPr="0036094C" w:rsidRDefault="0036094C" w:rsidP="0036094C">
      <w:pPr>
        <w:spacing w:line="240" w:lineRule="auto"/>
        <w:rPr>
          <w:rFonts w:cs="Arial"/>
          <w:b/>
          <w:sz w:val="20"/>
          <w:szCs w:val="20"/>
        </w:rPr>
      </w:pPr>
      <w:r w:rsidRPr="0036094C">
        <w:rPr>
          <w:rFonts w:cs="Arial"/>
          <w:b/>
          <w:sz w:val="20"/>
          <w:szCs w:val="20"/>
        </w:rPr>
        <w:t>NOTAS DE MEMORIA</w:t>
      </w:r>
    </w:p>
    <w:p w:rsidR="008D6CEA" w:rsidRPr="0036094C" w:rsidRDefault="0036094C" w:rsidP="0036094C">
      <w:pPr>
        <w:spacing w:line="240" w:lineRule="auto"/>
        <w:rPr>
          <w:rFonts w:ascii="Arial" w:hAnsi="Arial" w:cs="Arial"/>
          <w:b/>
          <w:sz w:val="20"/>
          <w:szCs w:val="20"/>
        </w:rPr>
      </w:pPr>
      <w:r w:rsidRPr="0036094C">
        <w:rPr>
          <w:rFonts w:cs="Arial"/>
          <w:b/>
          <w:sz w:val="20"/>
          <w:szCs w:val="20"/>
        </w:rPr>
        <w:t>PARA ESTE EJERCICIO FISCAL SE HIZO EL CAMBIO DEL SISTEMA CONTPAQ AL SISTEMA SAACG.NET Y PODER CUMPLIR CON LA LEY DE CONTABILIDAD GUBUERNAMENTAL</w:t>
      </w:r>
    </w:p>
    <w:p w:rsidR="00253EDE" w:rsidRPr="00F52107" w:rsidRDefault="00253EDE" w:rsidP="006F3019">
      <w:pPr>
        <w:spacing w:line="240" w:lineRule="auto"/>
        <w:rPr>
          <w:rFonts w:cs="Arial"/>
          <w:sz w:val="20"/>
          <w:szCs w:val="20"/>
        </w:rPr>
      </w:pPr>
      <w:r w:rsidRPr="00F52107">
        <w:rPr>
          <w:rFonts w:cs="Arial"/>
          <w:sz w:val="20"/>
          <w:szCs w:val="20"/>
        </w:rPr>
        <w:t>Bajo protesta de decir verdad declaramos que</w:t>
      </w:r>
      <w:r w:rsidR="008D6CEA" w:rsidRPr="00F52107">
        <w:rPr>
          <w:rFonts w:cs="Arial"/>
          <w:sz w:val="20"/>
          <w:szCs w:val="20"/>
        </w:rPr>
        <w:t xml:space="preserve"> los Estados Financieros y sus N</w:t>
      </w:r>
      <w:r w:rsidRPr="00F52107">
        <w:rPr>
          <w:rFonts w:cs="Arial"/>
          <w:sz w:val="20"/>
          <w:szCs w:val="20"/>
        </w:rPr>
        <w:t>otas son razonablemente correctos y responsabilidad del emisor.</w:t>
      </w:r>
    </w:p>
    <w:sectPr w:rsidR="00253EDE" w:rsidRPr="00F52107" w:rsidSect="00F52107">
      <w:pgSz w:w="15840" w:h="12240" w:orient="landscape"/>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umanst531 Blk BT">
    <w:altName w:val="Franklin Gothic Demi"/>
    <w:charset w:val="00"/>
    <w:family w:val="swiss"/>
    <w:pitch w:val="variable"/>
    <w:sig w:usb0="00000001" w:usb1="00000000" w:usb2="00000000" w:usb3="00000000" w:csb0="0000001B"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A485B"/>
    <w:multiLevelType w:val="hybridMultilevel"/>
    <w:tmpl w:val="D6C27EFA"/>
    <w:lvl w:ilvl="0" w:tplc="FFFFFFFF">
      <w:start w:val="1"/>
      <w:numFmt w:val="lowerLetter"/>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0748"/>
    <w:rsid w:val="0000391A"/>
    <w:rsid w:val="00022C7F"/>
    <w:rsid w:val="00031D5D"/>
    <w:rsid w:val="00057721"/>
    <w:rsid w:val="000773CA"/>
    <w:rsid w:val="00093121"/>
    <w:rsid w:val="000B6821"/>
    <w:rsid w:val="00181EA4"/>
    <w:rsid w:val="001A4D37"/>
    <w:rsid w:val="001C042A"/>
    <w:rsid w:val="001D7289"/>
    <w:rsid w:val="00253EDE"/>
    <w:rsid w:val="00261B6F"/>
    <w:rsid w:val="00281971"/>
    <w:rsid w:val="00290CEF"/>
    <w:rsid w:val="002A23F8"/>
    <w:rsid w:val="002A4FB0"/>
    <w:rsid w:val="002B033D"/>
    <w:rsid w:val="002C58EF"/>
    <w:rsid w:val="002E4DDD"/>
    <w:rsid w:val="002F04C2"/>
    <w:rsid w:val="00302D2C"/>
    <w:rsid w:val="0030548C"/>
    <w:rsid w:val="003129FF"/>
    <w:rsid w:val="0036094C"/>
    <w:rsid w:val="00367291"/>
    <w:rsid w:val="00384B9D"/>
    <w:rsid w:val="00386166"/>
    <w:rsid w:val="003E2DC9"/>
    <w:rsid w:val="003E5BEC"/>
    <w:rsid w:val="004279AE"/>
    <w:rsid w:val="004A1440"/>
    <w:rsid w:val="005620D4"/>
    <w:rsid w:val="00594617"/>
    <w:rsid w:val="005B49D1"/>
    <w:rsid w:val="00626DFB"/>
    <w:rsid w:val="0067300E"/>
    <w:rsid w:val="00681BB9"/>
    <w:rsid w:val="006F0BF0"/>
    <w:rsid w:val="006F3019"/>
    <w:rsid w:val="00727D05"/>
    <w:rsid w:val="007B29CC"/>
    <w:rsid w:val="007B46FA"/>
    <w:rsid w:val="008161B1"/>
    <w:rsid w:val="00837370"/>
    <w:rsid w:val="0086214F"/>
    <w:rsid w:val="00895A4B"/>
    <w:rsid w:val="008A1B98"/>
    <w:rsid w:val="008D6CEA"/>
    <w:rsid w:val="008E7C04"/>
    <w:rsid w:val="00902D2A"/>
    <w:rsid w:val="00915AD7"/>
    <w:rsid w:val="00936B7F"/>
    <w:rsid w:val="00946FC4"/>
    <w:rsid w:val="009635D8"/>
    <w:rsid w:val="0096778E"/>
    <w:rsid w:val="009803E0"/>
    <w:rsid w:val="009F0748"/>
    <w:rsid w:val="00A776A5"/>
    <w:rsid w:val="00AB29EA"/>
    <w:rsid w:val="00AC09A0"/>
    <w:rsid w:val="00B45C5C"/>
    <w:rsid w:val="00B56042"/>
    <w:rsid w:val="00BD16EF"/>
    <w:rsid w:val="00BD7992"/>
    <w:rsid w:val="00BF6CAF"/>
    <w:rsid w:val="00C35015"/>
    <w:rsid w:val="00C47BA5"/>
    <w:rsid w:val="00C6163C"/>
    <w:rsid w:val="00C676D4"/>
    <w:rsid w:val="00CF58E2"/>
    <w:rsid w:val="00D10CAB"/>
    <w:rsid w:val="00D23B68"/>
    <w:rsid w:val="00D555D4"/>
    <w:rsid w:val="00D575BE"/>
    <w:rsid w:val="00D83798"/>
    <w:rsid w:val="00DE0304"/>
    <w:rsid w:val="00E16CF0"/>
    <w:rsid w:val="00E37307"/>
    <w:rsid w:val="00E76056"/>
    <w:rsid w:val="00E80347"/>
    <w:rsid w:val="00E83E10"/>
    <w:rsid w:val="00EA3E8B"/>
    <w:rsid w:val="00EB1E74"/>
    <w:rsid w:val="00EC0252"/>
    <w:rsid w:val="00EC612E"/>
    <w:rsid w:val="00F00843"/>
    <w:rsid w:val="00F52107"/>
    <w:rsid w:val="00F82F7B"/>
    <w:rsid w:val="00FA3603"/>
    <w:rsid w:val="00FC38E5"/>
    <w:rsid w:val="00FF3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63C"/>
    <w:pPr>
      <w:spacing w:after="200" w:line="276" w:lineRule="auto"/>
    </w:pPr>
    <w:rPr>
      <w:sz w:val="22"/>
      <w:szCs w:val="22"/>
    </w:rPr>
  </w:style>
  <w:style w:type="paragraph" w:styleId="Ttulo1">
    <w:name w:val="heading 1"/>
    <w:basedOn w:val="Normal"/>
    <w:next w:val="Normal"/>
    <w:link w:val="Ttulo1Car"/>
    <w:uiPriority w:val="99"/>
    <w:qFormat/>
    <w:rsid w:val="00FF3901"/>
    <w:pPr>
      <w:keepNext/>
      <w:spacing w:after="0" w:line="240" w:lineRule="auto"/>
      <w:outlineLvl w:val="0"/>
    </w:pPr>
    <w:rPr>
      <w:rFonts w:ascii="Times New Roman" w:hAnsi="Times New Roman"/>
      <w:b/>
      <w:bCs/>
      <w:sz w:val="24"/>
      <w:szCs w:val="24"/>
      <w:lang w:eastAsia="es-ES"/>
    </w:rPr>
  </w:style>
  <w:style w:type="paragraph" w:styleId="Ttulo4">
    <w:name w:val="heading 4"/>
    <w:basedOn w:val="Normal"/>
    <w:next w:val="Normal"/>
    <w:link w:val="Ttulo4Car"/>
    <w:uiPriority w:val="99"/>
    <w:qFormat/>
    <w:rsid w:val="007B29CC"/>
    <w:pPr>
      <w:keepNext/>
      <w:keepLines/>
      <w:spacing w:before="200" w:after="0"/>
      <w:outlineLvl w:val="3"/>
    </w:pPr>
    <w:rPr>
      <w:rFonts w:ascii="Cambria" w:hAnsi="Cambria"/>
      <w:b/>
      <w:bCs/>
      <w:i/>
      <w:iCs/>
      <w:color w:val="4F81BD"/>
    </w:rPr>
  </w:style>
  <w:style w:type="paragraph" w:styleId="Ttulo6">
    <w:name w:val="heading 6"/>
    <w:basedOn w:val="Normal"/>
    <w:next w:val="Normal"/>
    <w:link w:val="Ttulo6Car"/>
    <w:uiPriority w:val="99"/>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hAnsi="Arial"/>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FF3901"/>
    <w:rPr>
      <w:rFonts w:ascii="Times New Roman" w:hAnsi="Times New Roman" w:cs="Times New Roman"/>
      <w:b/>
      <w:bCs/>
      <w:sz w:val="24"/>
      <w:szCs w:val="24"/>
      <w:lang w:eastAsia="es-ES"/>
    </w:rPr>
  </w:style>
  <w:style w:type="character" w:customStyle="1" w:styleId="Ttulo4Car">
    <w:name w:val="Título 4 Car"/>
    <w:link w:val="Ttulo4"/>
    <w:uiPriority w:val="99"/>
    <w:semiHidden/>
    <w:locked/>
    <w:rsid w:val="007B29CC"/>
    <w:rPr>
      <w:rFonts w:ascii="Cambria" w:hAnsi="Cambria" w:cs="Times New Roman"/>
      <w:b/>
      <w:bCs/>
      <w:i/>
      <w:iCs/>
      <w:color w:val="4F81BD"/>
    </w:rPr>
  </w:style>
  <w:style w:type="character" w:customStyle="1" w:styleId="Ttulo6Car">
    <w:name w:val="Título 6 Car"/>
    <w:link w:val="Ttulo6"/>
    <w:uiPriority w:val="99"/>
    <w:locked/>
    <w:rsid w:val="00FF3901"/>
    <w:rPr>
      <w:rFonts w:ascii="Arial" w:hAnsi="Arial" w:cs="Times New Roman"/>
      <w:b/>
      <w:sz w:val="24"/>
      <w:szCs w:val="24"/>
      <w:lang w:eastAsia="es-ES"/>
    </w:rPr>
  </w:style>
  <w:style w:type="paragraph" w:styleId="Sangradetextonormal">
    <w:name w:val="Body Text Indent"/>
    <w:basedOn w:val="Normal"/>
    <w:link w:val="SangradetextonormalCar"/>
    <w:uiPriority w:val="99"/>
    <w:rsid w:val="00FF3901"/>
    <w:pPr>
      <w:spacing w:after="0" w:line="240" w:lineRule="auto"/>
      <w:ind w:left="180"/>
    </w:pPr>
    <w:rPr>
      <w:rFonts w:ascii="Times New Roman" w:hAnsi="Times New Roman"/>
      <w:sz w:val="24"/>
      <w:szCs w:val="24"/>
      <w:lang w:eastAsia="es-ES"/>
    </w:rPr>
  </w:style>
  <w:style w:type="character" w:customStyle="1" w:styleId="SangradetextonormalCar">
    <w:name w:val="Sangría de texto normal Car"/>
    <w:link w:val="Sangradetextonormal"/>
    <w:uiPriority w:val="99"/>
    <w:locked/>
    <w:rsid w:val="00FF3901"/>
    <w:rPr>
      <w:rFonts w:ascii="Times New Roman" w:hAnsi="Times New Roman" w:cs="Times New Roman"/>
      <w:sz w:val="24"/>
      <w:szCs w:val="24"/>
      <w:lang w:eastAsia="es-ES"/>
    </w:rPr>
  </w:style>
  <w:style w:type="table" w:styleId="Tablaconcuadrcula">
    <w:name w:val="Table Grid"/>
    <w:basedOn w:val="Tablanormal"/>
    <w:uiPriority w:val="99"/>
    <w:rsid w:val="00FF3901"/>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54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B779F-C4C7-4D0C-B1B7-F53FE7CC7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1944</Words>
  <Characters>10697</Characters>
  <Application>Microsoft Office Word</Application>
  <DocSecurity>0</DocSecurity>
  <Lines>89</Lines>
  <Paragraphs>25</Paragraphs>
  <ScaleCrop>false</ScaleCrop>
  <Company/>
  <LinksUpToDate>false</LinksUpToDate>
  <CharactersWithSpaces>12616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Cuenta Pública 2015</dc:title>
  <dc:subject/>
  <dc:creator>Rita A. Hernandez Cruz</dc:creator>
  <cp:keywords/>
  <dc:description/>
  <cp:lastModifiedBy>Sharon Y. Lara Medrano</cp:lastModifiedBy>
  <cp:revision>13</cp:revision>
  <cp:lastPrinted>2017-03-07T17:45:00Z</cp:lastPrinted>
  <dcterms:created xsi:type="dcterms:W3CDTF">2016-03-08T22:46:00Z</dcterms:created>
  <dcterms:modified xsi:type="dcterms:W3CDTF">2018-05-22T16:40:00Z</dcterms:modified>
</cp:coreProperties>
</file>