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5A" w:rsidRPr="00430A81" w:rsidRDefault="00CF42B2" w:rsidP="006F3019">
      <w:pPr>
        <w:spacing w:line="240" w:lineRule="auto"/>
        <w:jc w:val="center"/>
        <w:rPr>
          <w:rFonts w:cs="Arial"/>
          <w:b/>
          <w:sz w:val="20"/>
          <w:szCs w:val="20"/>
          <w:lang w:val="es-ES"/>
        </w:rPr>
      </w:pPr>
      <w:r>
        <w:rPr>
          <w:rFonts w:cs="Arial"/>
          <w:b/>
          <w:sz w:val="20"/>
          <w:szCs w:val="20"/>
          <w:lang w:val="es-ES"/>
        </w:rPr>
        <w:t>Cuenta Pública 2017</w:t>
      </w:r>
    </w:p>
    <w:p w:rsidR="006F355A" w:rsidRPr="00430A81" w:rsidRDefault="006F355A" w:rsidP="006F3019">
      <w:pPr>
        <w:spacing w:line="240" w:lineRule="auto"/>
        <w:jc w:val="center"/>
        <w:rPr>
          <w:rFonts w:cs="Arial"/>
          <w:b/>
          <w:sz w:val="20"/>
          <w:szCs w:val="20"/>
          <w:lang w:val="es-ES"/>
        </w:rPr>
      </w:pPr>
      <w:r w:rsidRPr="00430A81">
        <w:rPr>
          <w:rFonts w:cs="Arial"/>
          <w:b/>
          <w:sz w:val="20"/>
          <w:szCs w:val="20"/>
          <w:lang w:val="es-ES"/>
        </w:rPr>
        <w:t>Notas a los Estados Financieros</w:t>
      </w:r>
    </w:p>
    <w:p w:rsidR="006F355A" w:rsidRPr="00430A81" w:rsidRDefault="00CF42B2" w:rsidP="0098250A">
      <w:pPr>
        <w:spacing w:line="240" w:lineRule="auto"/>
        <w:jc w:val="center"/>
        <w:rPr>
          <w:rFonts w:cs="Arial"/>
          <w:b/>
          <w:sz w:val="20"/>
          <w:szCs w:val="20"/>
          <w:lang w:val="es-ES"/>
        </w:rPr>
      </w:pPr>
      <w:r>
        <w:rPr>
          <w:rFonts w:cs="Arial"/>
          <w:b/>
          <w:sz w:val="20"/>
          <w:szCs w:val="20"/>
          <w:lang w:val="es-ES"/>
        </w:rPr>
        <w:t xml:space="preserve">Al 31 de </w:t>
      </w:r>
      <w:r w:rsidR="0098250A">
        <w:rPr>
          <w:rFonts w:cs="Arial"/>
          <w:b/>
          <w:sz w:val="20"/>
          <w:szCs w:val="20"/>
          <w:lang w:val="es-ES"/>
        </w:rPr>
        <w:t>Diciembre</w:t>
      </w:r>
      <w:r>
        <w:rPr>
          <w:rFonts w:cs="Arial"/>
          <w:b/>
          <w:sz w:val="20"/>
          <w:szCs w:val="20"/>
          <w:lang w:val="es-ES"/>
        </w:rPr>
        <w:t xml:space="preserve"> de 2017</w:t>
      </w:r>
    </w:p>
    <w:p w:rsidR="006F355A" w:rsidRPr="00430A81" w:rsidRDefault="006F355A" w:rsidP="006F3019">
      <w:pPr>
        <w:spacing w:line="240" w:lineRule="auto"/>
        <w:jc w:val="center"/>
        <w:rPr>
          <w:rFonts w:cs="Arial"/>
          <w:b/>
          <w:sz w:val="20"/>
          <w:szCs w:val="20"/>
          <w:lang w:val="es-ES"/>
        </w:rPr>
      </w:pPr>
      <w:r w:rsidRPr="00430A81">
        <w:rPr>
          <w:rFonts w:cs="Arial"/>
          <w:b/>
          <w:sz w:val="20"/>
          <w:szCs w:val="20"/>
          <w:lang w:val="es-ES"/>
        </w:rPr>
        <w:t>(Pesos)</w:t>
      </w:r>
    </w:p>
    <w:p w:rsidR="006F355A" w:rsidRPr="00430A81" w:rsidRDefault="006F355A" w:rsidP="006F3019">
      <w:pPr>
        <w:spacing w:line="240" w:lineRule="auto"/>
        <w:jc w:val="center"/>
        <w:rPr>
          <w:rFonts w:cs="Arial"/>
          <w:b/>
          <w:sz w:val="20"/>
          <w:szCs w:val="20"/>
          <w:lang w:val="es-ES"/>
        </w:rPr>
      </w:pPr>
    </w:p>
    <w:p w:rsidR="006F355A" w:rsidRPr="00430A81" w:rsidRDefault="006F355A" w:rsidP="006F3019">
      <w:pPr>
        <w:spacing w:line="240" w:lineRule="auto"/>
        <w:rPr>
          <w:rFonts w:cs="Arial"/>
          <w:b/>
          <w:sz w:val="20"/>
          <w:szCs w:val="20"/>
        </w:rPr>
      </w:pPr>
      <w:r w:rsidRPr="00430A81">
        <w:rPr>
          <w:rFonts w:cs="Arial"/>
          <w:b/>
          <w:sz w:val="20"/>
          <w:szCs w:val="20"/>
        </w:rPr>
        <w:t>Ente Público</w:t>
      </w:r>
      <w:proofErr w:type="gramStart"/>
      <w:r w:rsidRPr="00430A81">
        <w:rPr>
          <w:rFonts w:cs="Arial"/>
          <w:b/>
          <w:sz w:val="20"/>
          <w:szCs w:val="20"/>
        </w:rPr>
        <w:t>:  INSTITUTO</w:t>
      </w:r>
      <w:proofErr w:type="gramEnd"/>
      <w:r w:rsidRPr="00430A81">
        <w:rPr>
          <w:rFonts w:cs="Arial"/>
          <w:b/>
          <w:sz w:val="20"/>
          <w:szCs w:val="20"/>
        </w:rPr>
        <w:t xml:space="preserve"> TECNOLÓGICO SUPERIOR DE VALLADOLID          </w:t>
      </w:r>
    </w:p>
    <w:p w:rsidR="0098250A" w:rsidRPr="0098250A" w:rsidRDefault="0098250A" w:rsidP="0098250A">
      <w:pPr>
        <w:spacing w:line="240" w:lineRule="auto"/>
        <w:rPr>
          <w:rFonts w:cs="Arial"/>
          <w:b/>
          <w:sz w:val="20"/>
          <w:szCs w:val="20"/>
        </w:rPr>
      </w:pPr>
      <w:r w:rsidRPr="0098250A">
        <w:rPr>
          <w:rFonts w:cs="Arial"/>
          <w:b/>
          <w:sz w:val="20"/>
          <w:szCs w:val="20"/>
        </w:rPr>
        <w:t>NOTAS DE GESTIÓN ADMINISTRATIVO</w:t>
      </w:r>
    </w:p>
    <w:p w:rsidR="0098250A" w:rsidRPr="0098250A" w:rsidRDefault="0098250A" w:rsidP="0098250A">
      <w:pPr>
        <w:spacing w:after="0" w:line="240" w:lineRule="auto"/>
        <w:jc w:val="both"/>
        <w:rPr>
          <w:rFonts w:eastAsia="Times New Roman" w:cs="Arial"/>
          <w:b/>
          <w:sz w:val="20"/>
          <w:szCs w:val="20"/>
          <w:lang w:val="es-ES" w:eastAsia="es-ES"/>
        </w:rPr>
      </w:pPr>
      <w:r w:rsidRPr="0098250A">
        <w:rPr>
          <w:rFonts w:eastAsia="Times New Roman" w:cs="Arial"/>
          <w:b/>
          <w:sz w:val="20"/>
          <w:szCs w:val="20"/>
          <w:lang w:val="es-ES" w:eastAsia="es-ES"/>
        </w:rPr>
        <w:t>Autorización e Historia</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El Instituto Tecnológico Superior de Valladolid  es un Organismo Público Descentralizado del Gobierno del Estado de Yucatán, con personalidad jurídica y patrimonio propios, de conformidad con lo dispuesto en el Decreto de creación número 271 del Ejecutivo del Estado de fecha 15 de junio del 2000, publicado en el Diario Oficial del Gobierno del Estado de Yucatán el día 22 de junio de 2000, así como las subsecuentes reformas a dicho Decreto, publicadas en el Diario Oficial del Gobierno del Estado los días 07 de julio de 2003 y 30 de agosto de 2005, cuyo objeto es satisfacer la demanda de Educación Superior Tecnológica con base en los requerimientos de la región mediante la formación de profesionales para contribuir al desarrollo educativo del País.</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Para la realización de sus actividades, el Instituto recibe aportaciones de los gobiernos federal y estatal. Dichas aportaciones están reguladas en el convenio de coordinación que para la creación, operación y apoyo financiero del Instituto Tecnológico Superior de Valladolid celebraron la Secretaría de Educación Pública y el Gobierno del Estado de Yucatán.</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b/>
          <w:sz w:val="20"/>
          <w:szCs w:val="20"/>
          <w:lang w:val="es-ES" w:eastAsia="es-ES"/>
        </w:rPr>
      </w:pPr>
      <w:r w:rsidRPr="0098250A">
        <w:rPr>
          <w:rFonts w:eastAsia="Times New Roman" w:cs="Arial"/>
          <w:b/>
          <w:sz w:val="20"/>
          <w:szCs w:val="20"/>
          <w:lang w:val="es-ES" w:eastAsia="es-ES"/>
        </w:rPr>
        <w:t>Objeto social</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 xml:space="preserve">Impartir servicios educativos de calidad para formar de manera integral profesionistas competitivos que contribuyan al desarrollo socioeconómico del país. </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lastRenderedPageBreak/>
        <w:t>El régimen Fiscal del Instituto es el correspondiente a las personas morales con fines no lucrativos según el artículo 95 fracción X de la Ley del Impuesto Sobre la Renta, por lo que la obligación fiscal es retener y enterar los impuestos retenidos, así como solicitar cuando se realice algún pago, documentación que cumpla con los requisitos fiscales.</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b/>
          <w:sz w:val="20"/>
          <w:szCs w:val="20"/>
          <w:lang w:val="es-ES" w:eastAsia="es-ES"/>
        </w:rPr>
      </w:pPr>
      <w:r w:rsidRPr="0098250A">
        <w:rPr>
          <w:rFonts w:eastAsia="Times New Roman" w:cs="Arial"/>
          <w:b/>
          <w:sz w:val="20"/>
          <w:szCs w:val="20"/>
          <w:lang w:val="es-ES" w:eastAsia="es-ES"/>
        </w:rPr>
        <w:t>Bases de Preparación de Estados Financieros</w:t>
      </w: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El artículo 44 de la Ley General de Contabilidad Gubernamental indica que los estados financiero y la información emanada de la contabilidad deberán sujetarse a criterios de utilidad, confiabilidad, relevancia, comprensibilidad y de comparación, así como otros atributos asociados a cada uno de ellos como oportunidad, veracidad, representatividad, objetividad, suficiencia, posibilidad de predicción e importancia relativa, con el fin de alcanza la modernización y armonización que la ley determina.</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b/>
          <w:sz w:val="20"/>
          <w:szCs w:val="20"/>
          <w:lang w:val="es-ES" w:eastAsia="es-ES"/>
        </w:rPr>
      </w:pPr>
      <w:r w:rsidRPr="0098250A">
        <w:rPr>
          <w:rFonts w:eastAsia="Times New Roman" w:cs="Arial"/>
          <w:b/>
          <w:sz w:val="20"/>
          <w:szCs w:val="20"/>
          <w:lang w:val="es-ES" w:eastAsia="es-ES"/>
        </w:rPr>
        <w:t xml:space="preserve">Políticas de Contabilidad Significativa </w:t>
      </w:r>
    </w:p>
    <w:p w:rsidR="0098250A" w:rsidRPr="0098250A" w:rsidRDefault="0098250A" w:rsidP="0098250A">
      <w:pPr>
        <w:spacing w:after="0" w:line="240" w:lineRule="auto"/>
        <w:jc w:val="both"/>
        <w:rPr>
          <w:rFonts w:eastAsia="Times New Roman" w:cs="Arial"/>
          <w:sz w:val="20"/>
          <w:szCs w:val="20"/>
          <w:lang w:val="es-ES" w:eastAsia="es-ES"/>
        </w:rPr>
      </w:pPr>
      <w:bookmarkStart w:id="0" w:name="OLE_LINK2"/>
      <w:bookmarkStart w:id="1" w:name="OLE_LINK1"/>
      <w:r w:rsidRPr="0098250A">
        <w:rPr>
          <w:rFonts w:eastAsia="Times New Roman" w:cs="Arial"/>
          <w:sz w:val="20"/>
          <w:szCs w:val="20"/>
          <w:lang w:val="es-ES" w:eastAsia="es-ES"/>
        </w:rPr>
        <w:t>Para determinar la información presupuestal, contable, financiera y de otra índole, esta entidad lleva su propia contabilidad, el artículo 37 de la LGCG y el 152 de la LPCGEY establecen que para el registro de las operaciones presupuestarias y contables, los entes públicos deberán ajustarse a sus respectivos catálogos de cuentas, cuyas listas de cuentas estarán alineadas tanto conceptualmente como en sus principales agregados, al plan de cuentas que emita el consejo. Para tal propósito, se tomarán en consideración las necesidades de administración financiera de los entes públicos, así como las de control y fiscalización.</w:t>
      </w: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La preparación de los estados financieros se basa en las siguientes políticas y prácticas contables:</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numPr>
          <w:ilvl w:val="0"/>
          <w:numId w:val="8"/>
        </w:num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 xml:space="preserve">  Registro contable</w:t>
      </w:r>
    </w:p>
    <w:p w:rsidR="0098250A" w:rsidRPr="0098250A" w:rsidRDefault="0098250A" w:rsidP="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 xml:space="preserve">Los registros contables de los entes públicos se llevarán con base acumulativa. La contabilización de las transacciones de gasto se hará conforme a la fecha de su realización, independientemente de la de su pago, y la del ingreso se registrará cuando exista jurídicamente el derecho de cobro. </w:t>
      </w:r>
    </w:p>
    <w:p w:rsidR="0098250A" w:rsidRPr="0098250A" w:rsidRDefault="0098250A" w:rsidP="0098250A">
      <w:pPr>
        <w:tabs>
          <w:tab w:val="num" w:pos="567"/>
        </w:tabs>
        <w:spacing w:after="0" w:line="240" w:lineRule="auto"/>
        <w:jc w:val="both"/>
        <w:rPr>
          <w:rFonts w:eastAsia="Times New Roman" w:cs="Arial"/>
          <w:sz w:val="20"/>
          <w:szCs w:val="20"/>
          <w:lang w:val="es-ES" w:eastAsia="es-ES"/>
        </w:rPr>
      </w:pPr>
    </w:p>
    <w:p w:rsidR="0098250A" w:rsidRPr="0098250A" w:rsidRDefault="0098250A" w:rsidP="0098250A">
      <w:pPr>
        <w:numPr>
          <w:ilvl w:val="0"/>
          <w:numId w:val="8"/>
        </w:numPr>
        <w:spacing w:after="0" w:line="240" w:lineRule="auto"/>
        <w:jc w:val="both"/>
        <w:rPr>
          <w:rFonts w:eastAsia="Times New Roman" w:cs="Arial"/>
          <w:b/>
          <w:sz w:val="20"/>
          <w:szCs w:val="20"/>
          <w:lang w:val="es-ES" w:eastAsia="es-ES"/>
        </w:rPr>
      </w:pPr>
      <w:r w:rsidRPr="0098250A">
        <w:rPr>
          <w:rFonts w:eastAsia="Times New Roman" w:cs="Arial"/>
          <w:b/>
          <w:sz w:val="20"/>
          <w:szCs w:val="20"/>
          <w:lang w:val="es-ES" w:eastAsia="es-ES"/>
        </w:rPr>
        <w:t>Momentos  contables</w:t>
      </w:r>
    </w:p>
    <w:p w:rsidR="0098250A" w:rsidRPr="0098250A" w:rsidRDefault="0098250A" w:rsidP="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EL artículo 38 de la Ley General de Contabilidad Gubernamental (LGCG) y el 153 de la Ley de Presupuesto y contabilidad Gubernamental del Estado de Yucatán establecen que el registro de las etapas del presupuesto de los entes públicos se efectuará en las cuentas contables que, para tal efecto establezca el consejo, las cuales deberán reflejar:</w:t>
      </w:r>
    </w:p>
    <w:p w:rsidR="0098250A" w:rsidRPr="0098250A" w:rsidRDefault="0098250A" w:rsidP="0098250A">
      <w:pPr>
        <w:numPr>
          <w:ilvl w:val="0"/>
          <w:numId w:val="15"/>
        </w:numPr>
        <w:spacing w:after="0" w:line="240" w:lineRule="auto"/>
        <w:contextualSpacing/>
        <w:jc w:val="both"/>
        <w:rPr>
          <w:rFonts w:eastAsia="Times New Roman" w:cs="Arial"/>
          <w:sz w:val="20"/>
          <w:szCs w:val="20"/>
          <w:lang w:val="es-ES" w:eastAsia="es-ES"/>
        </w:rPr>
      </w:pPr>
      <w:r w:rsidRPr="0098250A">
        <w:rPr>
          <w:rFonts w:eastAsia="Times New Roman" w:cs="Arial"/>
          <w:sz w:val="20"/>
          <w:szCs w:val="20"/>
          <w:lang w:val="es-ES" w:eastAsia="es-ES"/>
        </w:rPr>
        <w:t>En lo relativo al gasto, el aprobado, modificado, comprometido, devengado y recaudado.</w:t>
      </w:r>
    </w:p>
    <w:p w:rsidR="0098250A" w:rsidRPr="0098250A" w:rsidRDefault="0098250A" w:rsidP="0098250A">
      <w:pPr>
        <w:numPr>
          <w:ilvl w:val="0"/>
          <w:numId w:val="15"/>
        </w:numPr>
        <w:spacing w:after="0" w:line="240" w:lineRule="auto"/>
        <w:contextualSpacing/>
        <w:jc w:val="both"/>
        <w:rPr>
          <w:rFonts w:eastAsia="Times New Roman" w:cs="Arial"/>
          <w:sz w:val="20"/>
          <w:szCs w:val="20"/>
          <w:lang w:val="es-ES" w:eastAsia="es-ES"/>
        </w:rPr>
      </w:pPr>
      <w:r w:rsidRPr="0098250A">
        <w:rPr>
          <w:rFonts w:eastAsia="Times New Roman" w:cs="Arial"/>
          <w:sz w:val="20"/>
          <w:szCs w:val="20"/>
          <w:lang w:val="es-ES" w:eastAsia="es-ES"/>
        </w:rPr>
        <w:t>En lo relativo al ingreso, el estimado, modificado, devengado y recaudado.</w:t>
      </w:r>
      <w:bookmarkEnd w:id="0"/>
      <w:bookmarkEnd w:id="1"/>
    </w:p>
    <w:p w:rsidR="0098250A" w:rsidRPr="0098250A" w:rsidRDefault="0098250A" w:rsidP="0098250A">
      <w:pPr>
        <w:spacing w:line="240" w:lineRule="auto"/>
        <w:rPr>
          <w:rFonts w:cs="Arial"/>
          <w:b/>
          <w:sz w:val="20"/>
          <w:szCs w:val="20"/>
        </w:rPr>
      </w:pPr>
    </w:p>
    <w:p w:rsidR="0098250A" w:rsidRPr="0098250A" w:rsidRDefault="0098250A" w:rsidP="0098250A">
      <w:pPr>
        <w:spacing w:line="240" w:lineRule="auto"/>
        <w:rPr>
          <w:rFonts w:cs="Arial"/>
          <w:b/>
          <w:sz w:val="20"/>
          <w:szCs w:val="20"/>
        </w:rPr>
      </w:pPr>
    </w:p>
    <w:p w:rsidR="0098250A" w:rsidRPr="0098250A" w:rsidRDefault="0098250A" w:rsidP="0098250A">
      <w:pPr>
        <w:spacing w:line="240" w:lineRule="auto"/>
        <w:rPr>
          <w:rFonts w:cs="Arial"/>
          <w:b/>
          <w:sz w:val="20"/>
          <w:szCs w:val="20"/>
        </w:rPr>
      </w:pPr>
      <w:r w:rsidRPr="0098250A">
        <w:rPr>
          <w:rFonts w:cs="Arial"/>
          <w:b/>
          <w:sz w:val="20"/>
          <w:szCs w:val="20"/>
        </w:rPr>
        <w:lastRenderedPageBreak/>
        <w:t>NOTAS DE DESGLOSE</w:t>
      </w:r>
    </w:p>
    <w:p w:rsidR="0098250A" w:rsidRPr="0098250A" w:rsidRDefault="0098250A" w:rsidP="0098250A">
      <w:pPr>
        <w:numPr>
          <w:ilvl w:val="0"/>
          <w:numId w:val="10"/>
        </w:numPr>
        <w:spacing w:after="0" w:line="240" w:lineRule="auto"/>
        <w:contextualSpacing/>
        <w:rPr>
          <w:rFonts w:eastAsia="Times New Roman" w:cs="Arial"/>
          <w:b/>
          <w:sz w:val="20"/>
          <w:szCs w:val="20"/>
          <w:lang w:val="es-ES" w:eastAsia="es-ES"/>
        </w:rPr>
      </w:pPr>
      <w:r w:rsidRPr="0098250A">
        <w:rPr>
          <w:rFonts w:eastAsia="Times New Roman" w:cs="Arial"/>
          <w:b/>
          <w:sz w:val="20"/>
          <w:szCs w:val="20"/>
          <w:lang w:val="es-ES" w:eastAsia="es-ES"/>
        </w:rPr>
        <w:t>Notas Al Estado de situación Financiera</w:t>
      </w:r>
    </w:p>
    <w:p w:rsidR="0098250A" w:rsidRPr="0098250A" w:rsidRDefault="0098250A" w:rsidP="0098250A">
      <w:pPr>
        <w:tabs>
          <w:tab w:val="left" w:pos="7785"/>
        </w:tabs>
        <w:spacing w:after="0" w:line="240" w:lineRule="auto"/>
        <w:rPr>
          <w:rFonts w:eastAsia="Times New Roman" w:cs="Arial"/>
          <w:b/>
          <w:sz w:val="20"/>
          <w:szCs w:val="20"/>
          <w:lang w:val="es-ES" w:eastAsia="es-ES"/>
        </w:rPr>
      </w:pPr>
      <w:r w:rsidRPr="0098250A">
        <w:rPr>
          <w:rFonts w:eastAsia="Times New Roman" w:cs="Arial"/>
          <w:b/>
          <w:sz w:val="20"/>
          <w:szCs w:val="20"/>
          <w:lang w:val="es-ES" w:eastAsia="es-ES"/>
        </w:rPr>
        <w:tab/>
      </w:r>
    </w:p>
    <w:p w:rsidR="0098250A" w:rsidRPr="0098250A" w:rsidRDefault="0098250A" w:rsidP="0098250A">
      <w:pPr>
        <w:spacing w:after="0" w:line="240" w:lineRule="auto"/>
        <w:rPr>
          <w:rFonts w:eastAsia="Times New Roman" w:cs="Arial"/>
          <w:b/>
          <w:sz w:val="20"/>
          <w:szCs w:val="20"/>
          <w:lang w:val="es-ES" w:eastAsia="es-ES"/>
        </w:rPr>
      </w:pPr>
      <w:r w:rsidRPr="0098250A">
        <w:rPr>
          <w:rFonts w:eastAsia="Times New Roman" w:cs="Arial"/>
          <w:b/>
          <w:sz w:val="20"/>
          <w:szCs w:val="20"/>
          <w:lang w:val="es-ES" w:eastAsia="es-ES"/>
        </w:rPr>
        <w:t>ACTIVO</w:t>
      </w:r>
    </w:p>
    <w:p w:rsidR="0098250A" w:rsidRPr="0098250A" w:rsidRDefault="0098250A" w:rsidP="0098250A">
      <w:pPr>
        <w:numPr>
          <w:ilvl w:val="0"/>
          <w:numId w:val="11"/>
        </w:numPr>
        <w:spacing w:before="240" w:after="60" w:line="240" w:lineRule="auto"/>
        <w:contextualSpacing/>
        <w:jc w:val="both"/>
        <w:outlineLvl w:val="4"/>
        <w:rPr>
          <w:rFonts w:eastAsia="Times New Roman" w:cs="Arial"/>
          <w:b/>
          <w:sz w:val="20"/>
          <w:szCs w:val="20"/>
          <w:lang w:val="es-ES" w:eastAsia="es-ES"/>
        </w:rPr>
      </w:pPr>
      <w:r w:rsidRPr="0098250A">
        <w:rPr>
          <w:rFonts w:eastAsia="Times New Roman" w:cs="Arial"/>
          <w:b/>
          <w:sz w:val="20"/>
          <w:szCs w:val="20"/>
          <w:lang w:val="es-ES" w:eastAsia="es-ES"/>
        </w:rPr>
        <w:t xml:space="preserve">Efectivo y Equivalentes </w:t>
      </w: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 xml:space="preserve">El rubro de efectivo y equivalentes refleja los siguientes saldos para cada tipo de recursos con los que cuenta la institución: </w:t>
      </w:r>
    </w:p>
    <w:p w:rsidR="0098250A" w:rsidRPr="0098250A" w:rsidRDefault="0098250A" w:rsidP="0098250A">
      <w:pPr>
        <w:spacing w:after="0" w:line="240" w:lineRule="auto"/>
        <w:jc w:val="both"/>
        <w:rPr>
          <w:rFonts w:eastAsia="Times New Roman" w:cs="Arial"/>
          <w:sz w:val="20"/>
          <w:szCs w:val="20"/>
          <w:lang w:val="es-ES" w:eastAsia="es-ES"/>
        </w:rPr>
      </w:pPr>
    </w:p>
    <w:tbl>
      <w:tblPr>
        <w:tblW w:w="0" w:type="auto"/>
        <w:jc w:val="center"/>
        <w:tblLook w:val="01E0" w:firstRow="1" w:lastRow="1" w:firstColumn="1" w:lastColumn="1" w:noHBand="0" w:noVBand="0"/>
      </w:tblPr>
      <w:tblGrid>
        <w:gridCol w:w="2840"/>
        <w:gridCol w:w="1752"/>
        <w:gridCol w:w="2037"/>
        <w:gridCol w:w="2035"/>
        <w:gridCol w:w="1977"/>
      </w:tblGrid>
      <w:tr w:rsidR="0098250A" w:rsidRPr="0098250A" w:rsidTr="0098250A">
        <w:trPr>
          <w:jc w:val="center"/>
        </w:trPr>
        <w:tc>
          <w:tcPr>
            <w:tcW w:w="2840" w:type="dxa"/>
            <w:tcBorders>
              <w:top w:val="single" w:sz="4" w:space="0" w:color="auto"/>
              <w:left w:val="single" w:sz="4" w:space="0" w:color="auto"/>
              <w:bottom w:val="single" w:sz="4" w:space="0" w:color="auto"/>
              <w:right w:val="single" w:sz="4" w:space="0" w:color="auto"/>
            </w:tcBorders>
          </w:tcPr>
          <w:p w:rsidR="0098250A" w:rsidRPr="0098250A" w:rsidRDefault="0098250A">
            <w:pPr>
              <w:spacing w:after="0" w:line="240" w:lineRule="auto"/>
              <w:jc w:val="both"/>
              <w:rPr>
                <w:rFonts w:eastAsia="Times New Roman" w:cs="Arial"/>
                <w:sz w:val="20"/>
                <w:szCs w:val="20"/>
                <w:lang w:val="es-ES" w:eastAsia="es-ES"/>
              </w:rPr>
            </w:pPr>
          </w:p>
        </w:tc>
        <w:tc>
          <w:tcPr>
            <w:tcW w:w="1752"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Recurso Estatal</w:t>
            </w:r>
          </w:p>
        </w:tc>
        <w:tc>
          <w:tcPr>
            <w:tcW w:w="203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Recurso Federal</w:t>
            </w:r>
          </w:p>
        </w:tc>
        <w:tc>
          <w:tcPr>
            <w:tcW w:w="203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Recursos Propios</w:t>
            </w:r>
          </w:p>
        </w:tc>
        <w:tc>
          <w:tcPr>
            <w:tcW w:w="197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Suma</w:t>
            </w:r>
          </w:p>
        </w:tc>
      </w:tr>
      <w:tr w:rsidR="0098250A" w:rsidRPr="0098250A" w:rsidTr="0098250A">
        <w:trPr>
          <w:jc w:val="center"/>
        </w:trPr>
        <w:tc>
          <w:tcPr>
            <w:tcW w:w="2840"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Efectivo</w:t>
            </w:r>
          </w:p>
        </w:tc>
        <w:tc>
          <w:tcPr>
            <w:tcW w:w="1752" w:type="dxa"/>
            <w:tcBorders>
              <w:top w:val="single" w:sz="4" w:space="0" w:color="auto"/>
              <w:left w:val="single" w:sz="4" w:space="0" w:color="auto"/>
              <w:bottom w:val="single" w:sz="4" w:space="0" w:color="auto"/>
              <w:right w:val="single" w:sz="4" w:space="0" w:color="auto"/>
            </w:tcBorders>
          </w:tcPr>
          <w:p w:rsidR="0098250A" w:rsidRPr="0098250A" w:rsidRDefault="0098250A">
            <w:pPr>
              <w:spacing w:after="0" w:line="240" w:lineRule="auto"/>
              <w:rPr>
                <w:rFonts w:eastAsia="Times New Roman" w:cs="Arial"/>
                <w:sz w:val="20"/>
                <w:szCs w:val="20"/>
                <w:highlight w:val="yellow"/>
                <w:lang w:val="es-ES" w:eastAsia="es-ES"/>
              </w:rPr>
            </w:pPr>
          </w:p>
        </w:tc>
        <w:tc>
          <w:tcPr>
            <w:tcW w:w="2037" w:type="dxa"/>
            <w:tcBorders>
              <w:top w:val="single" w:sz="4" w:space="0" w:color="auto"/>
              <w:left w:val="single" w:sz="4" w:space="0" w:color="auto"/>
              <w:bottom w:val="single" w:sz="4" w:space="0" w:color="auto"/>
              <w:right w:val="single" w:sz="4" w:space="0" w:color="auto"/>
            </w:tcBorders>
          </w:tcPr>
          <w:p w:rsidR="0098250A" w:rsidRPr="0098250A" w:rsidRDefault="0098250A">
            <w:pPr>
              <w:spacing w:after="0" w:line="240" w:lineRule="auto"/>
              <w:jc w:val="center"/>
              <w:rPr>
                <w:rFonts w:eastAsia="Times New Roman" w:cs="Arial"/>
                <w:sz w:val="20"/>
                <w:szCs w:val="20"/>
                <w:highlight w:val="yellow"/>
                <w:lang w:val="es-ES" w:eastAsia="es-ES"/>
              </w:rPr>
            </w:pPr>
          </w:p>
        </w:tc>
        <w:tc>
          <w:tcPr>
            <w:tcW w:w="203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11,134.11</w:t>
            </w:r>
          </w:p>
        </w:tc>
        <w:tc>
          <w:tcPr>
            <w:tcW w:w="197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11,134.11</w:t>
            </w:r>
          </w:p>
        </w:tc>
      </w:tr>
      <w:tr w:rsidR="0098250A" w:rsidRPr="0098250A" w:rsidTr="0098250A">
        <w:trPr>
          <w:jc w:val="center"/>
        </w:trPr>
        <w:tc>
          <w:tcPr>
            <w:tcW w:w="2840"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Bancos</w:t>
            </w:r>
          </w:p>
        </w:tc>
        <w:tc>
          <w:tcPr>
            <w:tcW w:w="1752"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1,179,939.54</w:t>
            </w:r>
          </w:p>
        </w:tc>
        <w:tc>
          <w:tcPr>
            <w:tcW w:w="203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5,008,147.50</w:t>
            </w:r>
          </w:p>
        </w:tc>
        <w:tc>
          <w:tcPr>
            <w:tcW w:w="203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500,116.08</w:t>
            </w:r>
          </w:p>
        </w:tc>
        <w:tc>
          <w:tcPr>
            <w:tcW w:w="197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6,688,203.12</w:t>
            </w:r>
          </w:p>
        </w:tc>
      </w:tr>
      <w:tr w:rsidR="0098250A" w:rsidRPr="0098250A" w:rsidTr="0098250A">
        <w:trPr>
          <w:jc w:val="center"/>
        </w:trPr>
        <w:tc>
          <w:tcPr>
            <w:tcW w:w="2840"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Inversiones Temporales</w:t>
            </w:r>
          </w:p>
        </w:tc>
        <w:tc>
          <w:tcPr>
            <w:tcW w:w="1752"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549,784.51</w:t>
            </w:r>
          </w:p>
        </w:tc>
        <w:tc>
          <w:tcPr>
            <w:tcW w:w="203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1,217,654.42</w:t>
            </w:r>
          </w:p>
        </w:tc>
        <w:tc>
          <w:tcPr>
            <w:tcW w:w="203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1,821,174.93</w:t>
            </w:r>
          </w:p>
        </w:tc>
        <w:tc>
          <w:tcPr>
            <w:tcW w:w="197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3,588,613.86</w:t>
            </w:r>
          </w:p>
        </w:tc>
      </w:tr>
      <w:tr w:rsidR="0098250A" w:rsidRPr="0098250A" w:rsidTr="0098250A">
        <w:trPr>
          <w:jc w:val="center"/>
        </w:trPr>
        <w:tc>
          <w:tcPr>
            <w:tcW w:w="2840"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Total</w:t>
            </w:r>
          </w:p>
        </w:tc>
        <w:tc>
          <w:tcPr>
            <w:tcW w:w="1752"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1,729,724.05</w:t>
            </w:r>
          </w:p>
        </w:tc>
        <w:tc>
          <w:tcPr>
            <w:tcW w:w="203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6,225,801.92</w:t>
            </w:r>
          </w:p>
        </w:tc>
        <w:tc>
          <w:tcPr>
            <w:tcW w:w="203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2,332,425.12</w:t>
            </w:r>
          </w:p>
        </w:tc>
        <w:tc>
          <w:tcPr>
            <w:tcW w:w="1977"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10,287,951.09</w:t>
            </w:r>
          </w:p>
        </w:tc>
      </w:tr>
      <w:tr w:rsidR="0098250A" w:rsidRPr="0098250A" w:rsidTr="0098250A">
        <w:trPr>
          <w:jc w:val="center"/>
        </w:trPr>
        <w:tc>
          <w:tcPr>
            <w:tcW w:w="2840" w:type="dxa"/>
            <w:tcBorders>
              <w:top w:val="single" w:sz="4" w:space="0" w:color="auto"/>
              <w:left w:val="nil"/>
              <w:bottom w:val="nil"/>
              <w:right w:val="nil"/>
            </w:tcBorders>
          </w:tcPr>
          <w:p w:rsidR="0098250A" w:rsidRPr="0098250A" w:rsidRDefault="0098250A">
            <w:pPr>
              <w:spacing w:after="0" w:line="240" w:lineRule="auto"/>
              <w:jc w:val="both"/>
              <w:rPr>
                <w:rFonts w:eastAsia="Times New Roman" w:cs="Arial"/>
                <w:sz w:val="20"/>
                <w:szCs w:val="20"/>
                <w:lang w:val="es-ES" w:eastAsia="es-ES"/>
              </w:rPr>
            </w:pPr>
          </w:p>
        </w:tc>
        <w:tc>
          <w:tcPr>
            <w:tcW w:w="1752" w:type="dxa"/>
            <w:tcBorders>
              <w:top w:val="single" w:sz="4" w:space="0" w:color="auto"/>
              <w:left w:val="nil"/>
              <w:bottom w:val="nil"/>
              <w:right w:val="nil"/>
            </w:tcBorders>
          </w:tcPr>
          <w:p w:rsidR="0098250A" w:rsidRPr="0098250A" w:rsidRDefault="0098250A">
            <w:pPr>
              <w:spacing w:after="0" w:line="240" w:lineRule="auto"/>
              <w:jc w:val="right"/>
              <w:rPr>
                <w:rFonts w:eastAsia="Times New Roman" w:cs="Arial"/>
                <w:sz w:val="20"/>
                <w:szCs w:val="20"/>
                <w:lang w:val="es-ES" w:eastAsia="es-ES"/>
              </w:rPr>
            </w:pPr>
          </w:p>
        </w:tc>
        <w:tc>
          <w:tcPr>
            <w:tcW w:w="2037" w:type="dxa"/>
            <w:tcBorders>
              <w:top w:val="single" w:sz="4" w:space="0" w:color="auto"/>
              <w:left w:val="nil"/>
              <w:bottom w:val="nil"/>
              <w:right w:val="nil"/>
            </w:tcBorders>
          </w:tcPr>
          <w:p w:rsidR="0098250A" w:rsidRPr="0098250A" w:rsidRDefault="0098250A">
            <w:pPr>
              <w:spacing w:after="0" w:line="240" w:lineRule="auto"/>
              <w:jc w:val="right"/>
              <w:rPr>
                <w:rFonts w:eastAsia="Times New Roman" w:cs="Arial"/>
                <w:sz w:val="20"/>
                <w:szCs w:val="20"/>
                <w:lang w:val="es-ES" w:eastAsia="es-ES"/>
              </w:rPr>
            </w:pPr>
          </w:p>
        </w:tc>
        <w:tc>
          <w:tcPr>
            <w:tcW w:w="2035" w:type="dxa"/>
            <w:tcBorders>
              <w:top w:val="single" w:sz="4" w:space="0" w:color="auto"/>
              <w:left w:val="nil"/>
              <w:bottom w:val="nil"/>
              <w:right w:val="nil"/>
            </w:tcBorders>
          </w:tcPr>
          <w:p w:rsidR="0098250A" w:rsidRPr="0098250A" w:rsidRDefault="0098250A">
            <w:pPr>
              <w:spacing w:after="0" w:line="240" w:lineRule="auto"/>
              <w:jc w:val="right"/>
              <w:rPr>
                <w:rFonts w:eastAsia="Times New Roman" w:cs="Arial"/>
                <w:sz w:val="20"/>
                <w:szCs w:val="20"/>
                <w:lang w:val="es-ES" w:eastAsia="es-ES"/>
              </w:rPr>
            </w:pPr>
          </w:p>
        </w:tc>
        <w:tc>
          <w:tcPr>
            <w:tcW w:w="1977" w:type="dxa"/>
            <w:tcBorders>
              <w:top w:val="single" w:sz="4" w:space="0" w:color="auto"/>
              <w:left w:val="nil"/>
              <w:bottom w:val="nil"/>
              <w:right w:val="nil"/>
            </w:tcBorders>
          </w:tcPr>
          <w:p w:rsidR="0098250A" w:rsidRPr="0098250A" w:rsidRDefault="0098250A">
            <w:pPr>
              <w:spacing w:after="0" w:line="240" w:lineRule="auto"/>
              <w:jc w:val="right"/>
              <w:rPr>
                <w:rFonts w:eastAsia="Times New Roman" w:cs="Arial"/>
                <w:sz w:val="20"/>
                <w:szCs w:val="20"/>
                <w:lang w:val="es-ES" w:eastAsia="es-ES"/>
              </w:rPr>
            </w:pPr>
          </w:p>
        </w:tc>
      </w:tr>
    </w:tbl>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El Instituto Tecnológico Superior de Valladolid optó por invertir sus recursos en Fondos de Inversión en Operadora GBM, S.A. de C.V., Sociedad Operadora de Sociedades de Inversión.</w:t>
      </w: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 xml:space="preserve">Los fondos del Instituto son de renta fija (deuda) y no de renta variable, ya que los de renta fija son más seguros; otra característica que da mayor seguridad a la inversión es que dichos fondos son 100% gubernamentales y fueron creados para personas morales no contribuyentes entre ellas las descentralizadas. Los Fondos de Inversión es un mecanismo de ahorro que aporta más rendimientos que una cuenta simple de ahorro. La disponibilidad de las inversiones es a siete días, esto es, para garantizar la liquidez que tiene el Instituto, es decir, la capacidad que tiene de pagar en el corto plazo lo que debe. </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Las características de los fondos del Instituto son las siguientes:</w:t>
      </w:r>
    </w:p>
    <w:p w:rsidR="0098250A" w:rsidRPr="0098250A" w:rsidRDefault="0098250A" w:rsidP="0098250A">
      <w:pPr>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Fondo:</w:t>
      </w:r>
      <w:r w:rsidRPr="0098250A">
        <w:rPr>
          <w:rFonts w:eastAsia="Times New Roman" w:cs="Arial"/>
          <w:sz w:val="20"/>
          <w:szCs w:val="20"/>
          <w:lang w:val="es-ES" w:eastAsia="es-ES"/>
        </w:rPr>
        <w:t xml:space="preserve"> GBMGUB BE</w:t>
      </w:r>
    </w:p>
    <w:p w:rsidR="0098250A" w:rsidRPr="0098250A" w:rsidRDefault="0098250A" w:rsidP="0098250A">
      <w:pPr>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Operadora del Fondo:</w:t>
      </w:r>
      <w:r w:rsidRPr="0098250A">
        <w:rPr>
          <w:rFonts w:eastAsia="Times New Roman" w:cs="Arial"/>
          <w:sz w:val="20"/>
          <w:szCs w:val="20"/>
          <w:lang w:val="es-ES" w:eastAsia="es-ES"/>
        </w:rPr>
        <w:t xml:space="preserve"> Operadora GBM</w:t>
      </w:r>
    </w:p>
    <w:p w:rsidR="0098250A" w:rsidRPr="0098250A" w:rsidRDefault="0098250A" w:rsidP="0098250A">
      <w:pPr>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Clasificación:</w:t>
      </w:r>
      <w:r w:rsidRPr="0098250A">
        <w:rPr>
          <w:rFonts w:eastAsia="Times New Roman" w:cs="Arial"/>
          <w:sz w:val="20"/>
          <w:szCs w:val="20"/>
          <w:lang w:val="es-ES" w:eastAsia="es-ES"/>
        </w:rPr>
        <w:t xml:space="preserve"> 100% gubernamental</w:t>
      </w:r>
    </w:p>
    <w:p w:rsidR="0098250A" w:rsidRPr="0098250A" w:rsidRDefault="0098250A" w:rsidP="0098250A">
      <w:pPr>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Disponibilidad:</w:t>
      </w:r>
      <w:r w:rsidRPr="0098250A">
        <w:rPr>
          <w:rFonts w:eastAsia="Times New Roman" w:cs="Arial"/>
          <w:sz w:val="20"/>
          <w:szCs w:val="20"/>
          <w:lang w:val="es-ES" w:eastAsia="es-ES"/>
        </w:rPr>
        <w:t xml:space="preserve"> semanal</w:t>
      </w:r>
    </w:p>
    <w:p w:rsidR="0098250A" w:rsidRPr="0098250A" w:rsidRDefault="0098250A" w:rsidP="0098250A">
      <w:pPr>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Calificación crediticia:</w:t>
      </w:r>
      <w:r w:rsidRPr="0098250A">
        <w:rPr>
          <w:rFonts w:eastAsia="Times New Roman" w:cs="Arial"/>
          <w:sz w:val="20"/>
          <w:szCs w:val="20"/>
          <w:lang w:val="es-ES" w:eastAsia="es-ES"/>
        </w:rPr>
        <w:t xml:space="preserve"> AAA (sobresaliente)</w:t>
      </w:r>
    </w:p>
    <w:p w:rsidR="0098250A" w:rsidRPr="0098250A" w:rsidRDefault="0098250A" w:rsidP="0098250A">
      <w:pPr>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Calificación riesgo de mercado:</w:t>
      </w:r>
      <w:r w:rsidRPr="0098250A">
        <w:rPr>
          <w:rFonts w:eastAsia="Times New Roman" w:cs="Arial"/>
          <w:sz w:val="20"/>
          <w:szCs w:val="20"/>
          <w:lang w:val="es-ES" w:eastAsia="es-ES"/>
        </w:rPr>
        <w:t xml:space="preserve"> 3</w:t>
      </w:r>
    </w:p>
    <w:p w:rsidR="0098250A" w:rsidRPr="0098250A" w:rsidRDefault="0098250A" w:rsidP="0098250A">
      <w:pPr>
        <w:spacing w:after="0" w:line="240" w:lineRule="auto"/>
        <w:ind w:left="709"/>
        <w:jc w:val="both"/>
        <w:rPr>
          <w:rFonts w:eastAsia="Times New Roman" w:cs="Arial"/>
          <w:sz w:val="20"/>
          <w:szCs w:val="20"/>
          <w:lang w:val="es-ES" w:eastAsia="es-ES"/>
        </w:rPr>
      </w:pPr>
    </w:p>
    <w:p w:rsidR="0098250A" w:rsidRPr="0098250A" w:rsidRDefault="0098250A" w:rsidP="0098250A">
      <w:pPr>
        <w:spacing w:after="0" w:line="240" w:lineRule="auto"/>
        <w:ind w:left="709"/>
        <w:jc w:val="both"/>
        <w:rPr>
          <w:rFonts w:eastAsia="Times New Roman" w:cs="Arial"/>
          <w:sz w:val="20"/>
          <w:szCs w:val="20"/>
          <w:lang w:val="es-ES" w:eastAsia="es-ES"/>
        </w:rPr>
      </w:pPr>
    </w:p>
    <w:p w:rsidR="0098250A" w:rsidRPr="0098250A" w:rsidRDefault="0098250A" w:rsidP="0098250A">
      <w:pPr>
        <w:spacing w:after="0" w:line="240" w:lineRule="auto"/>
        <w:ind w:left="709"/>
        <w:jc w:val="both"/>
        <w:rPr>
          <w:rFonts w:eastAsia="Times New Roman" w:cs="Arial"/>
          <w:sz w:val="20"/>
          <w:szCs w:val="20"/>
          <w:lang w:val="es-ES" w:eastAsia="es-ES"/>
        </w:rPr>
      </w:pPr>
    </w:p>
    <w:p w:rsidR="0098250A" w:rsidRPr="0098250A" w:rsidRDefault="0098250A" w:rsidP="0098250A">
      <w:pPr>
        <w:numPr>
          <w:ilvl w:val="0"/>
          <w:numId w:val="11"/>
        </w:numPr>
        <w:spacing w:before="240" w:after="60" w:line="240" w:lineRule="auto"/>
        <w:contextualSpacing/>
        <w:jc w:val="both"/>
        <w:outlineLvl w:val="4"/>
        <w:rPr>
          <w:rFonts w:eastAsia="Times New Roman" w:cs="Arial"/>
          <w:b/>
          <w:sz w:val="20"/>
          <w:szCs w:val="20"/>
          <w:lang w:val="es-ES" w:eastAsia="es-ES"/>
        </w:rPr>
      </w:pPr>
      <w:r w:rsidRPr="0098250A">
        <w:rPr>
          <w:rFonts w:eastAsia="Times New Roman" w:cs="Arial"/>
          <w:b/>
          <w:sz w:val="20"/>
          <w:szCs w:val="20"/>
          <w:lang w:val="es-ES" w:eastAsia="es-ES"/>
        </w:rPr>
        <w:lastRenderedPageBreak/>
        <w:t>Derechos a recibir Efectivo o Equivalentes</w:t>
      </w: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Representa los derechos a favor del Instituto por gastos sujetos a comprobación, por traspasos realizados entre fuentes de financiamiento para el pago a proveedores, este apartado se integra de la siguiente manera:</w:t>
      </w:r>
    </w:p>
    <w:p w:rsidR="0098250A" w:rsidRPr="0098250A" w:rsidRDefault="0098250A" w:rsidP="0098250A">
      <w:pPr>
        <w:spacing w:after="0" w:line="240" w:lineRule="auto"/>
        <w:ind w:firstLine="708"/>
        <w:jc w:val="both"/>
        <w:rPr>
          <w:rFonts w:eastAsia="Times New Roman" w:cs="Tahoma"/>
          <w:color w:val="000000"/>
          <w:sz w:val="20"/>
          <w:szCs w:val="20"/>
          <w:lang w:val="es-ES" w:eastAsia="es-ES"/>
        </w:rPr>
      </w:pPr>
    </w:p>
    <w:tbl>
      <w:tblPr>
        <w:tblW w:w="0" w:type="auto"/>
        <w:jc w:val="center"/>
        <w:tblLook w:val="01E0" w:firstRow="1" w:lastRow="1" w:firstColumn="1" w:lastColumn="1" w:noHBand="0" w:noVBand="0"/>
      </w:tblPr>
      <w:tblGrid>
        <w:gridCol w:w="2943"/>
        <w:gridCol w:w="1701"/>
        <w:gridCol w:w="1985"/>
        <w:gridCol w:w="1984"/>
        <w:gridCol w:w="1985"/>
      </w:tblGrid>
      <w:tr w:rsidR="0098250A" w:rsidRPr="0098250A" w:rsidTr="0098250A">
        <w:trPr>
          <w:jc w:val="center"/>
        </w:trPr>
        <w:tc>
          <w:tcPr>
            <w:tcW w:w="2943" w:type="dxa"/>
            <w:tcBorders>
              <w:top w:val="single" w:sz="4" w:space="0" w:color="auto"/>
              <w:left w:val="single" w:sz="4" w:space="0" w:color="auto"/>
              <w:bottom w:val="single" w:sz="4" w:space="0" w:color="auto"/>
              <w:right w:val="single" w:sz="4" w:space="0" w:color="auto"/>
            </w:tcBorders>
          </w:tcPr>
          <w:p w:rsidR="0098250A" w:rsidRPr="0098250A" w:rsidRDefault="0098250A">
            <w:pPr>
              <w:spacing w:after="0" w:line="240" w:lineRule="auto"/>
              <w:jc w:val="both"/>
              <w:rPr>
                <w:rFonts w:eastAsia="Times New Roman" w:cs="Tahoma"/>
                <w:sz w:val="20"/>
                <w:szCs w:val="20"/>
                <w:lang w:val="es-ES" w:eastAsia="es-ES"/>
              </w:rPr>
            </w:pPr>
          </w:p>
        </w:tc>
        <w:tc>
          <w:tcPr>
            <w:tcW w:w="1701"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Recurso Estatal</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Recurso Federal</w:t>
            </w:r>
          </w:p>
        </w:tc>
        <w:tc>
          <w:tcPr>
            <w:tcW w:w="1984"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Recursos Propios</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Suma</w:t>
            </w:r>
          </w:p>
        </w:tc>
      </w:tr>
      <w:tr w:rsidR="0098250A" w:rsidRPr="0098250A" w:rsidTr="0098250A">
        <w:trPr>
          <w:jc w:val="center"/>
        </w:trPr>
        <w:tc>
          <w:tcPr>
            <w:tcW w:w="2943"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Deudores diversos</w:t>
            </w:r>
          </w:p>
        </w:tc>
        <w:tc>
          <w:tcPr>
            <w:tcW w:w="1701"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1,076,877.63</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3,297,951.42</w:t>
            </w:r>
          </w:p>
        </w:tc>
        <w:tc>
          <w:tcPr>
            <w:tcW w:w="1984"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1,616,234.07</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5,991,063.12</w:t>
            </w:r>
          </w:p>
        </w:tc>
      </w:tr>
      <w:tr w:rsidR="0098250A" w:rsidRPr="0098250A" w:rsidTr="0098250A">
        <w:trPr>
          <w:jc w:val="center"/>
        </w:trPr>
        <w:tc>
          <w:tcPr>
            <w:tcW w:w="2943"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Deudores por anticipos a la Tesorería</w:t>
            </w:r>
          </w:p>
        </w:tc>
        <w:tc>
          <w:tcPr>
            <w:tcW w:w="1701"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6,000.00</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6,000.00</w:t>
            </w:r>
          </w:p>
        </w:tc>
        <w:tc>
          <w:tcPr>
            <w:tcW w:w="1984"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6,000.00</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18,000.00</w:t>
            </w:r>
          </w:p>
        </w:tc>
      </w:tr>
      <w:tr w:rsidR="0098250A" w:rsidRPr="0098250A" w:rsidTr="0098250A">
        <w:trPr>
          <w:jc w:val="center"/>
        </w:trPr>
        <w:tc>
          <w:tcPr>
            <w:tcW w:w="2943"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Cuentas por cobrar por venta de bienes y prestación de servicios</w:t>
            </w:r>
          </w:p>
        </w:tc>
        <w:tc>
          <w:tcPr>
            <w:tcW w:w="1701"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384,840.71</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0.00</w:t>
            </w:r>
          </w:p>
        </w:tc>
        <w:tc>
          <w:tcPr>
            <w:tcW w:w="1984"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0.00</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384,840.71</w:t>
            </w:r>
          </w:p>
        </w:tc>
      </w:tr>
      <w:tr w:rsidR="0098250A" w:rsidRPr="0098250A" w:rsidTr="0098250A">
        <w:trPr>
          <w:trHeight w:val="200"/>
          <w:jc w:val="center"/>
        </w:trPr>
        <w:tc>
          <w:tcPr>
            <w:tcW w:w="2943"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center"/>
              <w:rPr>
                <w:rFonts w:eastAsia="Times New Roman" w:cs="Arial"/>
                <w:b/>
                <w:sz w:val="20"/>
                <w:szCs w:val="20"/>
                <w:lang w:val="es-ES" w:eastAsia="es-ES"/>
              </w:rPr>
            </w:pPr>
            <w:r w:rsidRPr="0098250A">
              <w:rPr>
                <w:rFonts w:eastAsia="Times New Roman" w:cs="Arial"/>
                <w:b/>
                <w:sz w:val="20"/>
                <w:szCs w:val="20"/>
                <w:lang w:val="es-ES" w:eastAsia="es-ES"/>
              </w:rPr>
              <w:t>Total</w:t>
            </w:r>
          </w:p>
        </w:tc>
        <w:tc>
          <w:tcPr>
            <w:tcW w:w="1701"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1,467,718.34</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3,303,951.42</w:t>
            </w:r>
          </w:p>
        </w:tc>
        <w:tc>
          <w:tcPr>
            <w:tcW w:w="1984"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1,622,234.07</w:t>
            </w:r>
          </w:p>
        </w:tc>
        <w:tc>
          <w:tcPr>
            <w:tcW w:w="1985" w:type="dxa"/>
            <w:tcBorders>
              <w:top w:val="single" w:sz="4" w:space="0" w:color="auto"/>
              <w:left w:val="single" w:sz="4" w:space="0" w:color="auto"/>
              <w:bottom w:val="single" w:sz="4" w:space="0" w:color="auto"/>
              <w:right w:val="single" w:sz="4" w:space="0" w:color="auto"/>
            </w:tcBorders>
            <w:hideMark/>
          </w:tcPr>
          <w:p w:rsidR="0098250A" w:rsidRPr="0098250A" w:rsidRDefault="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6,393,903.83</w:t>
            </w:r>
          </w:p>
        </w:tc>
      </w:tr>
      <w:tr w:rsidR="0098250A" w:rsidRPr="0098250A" w:rsidTr="0098250A">
        <w:trPr>
          <w:jc w:val="center"/>
        </w:trPr>
        <w:tc>
          <w:tcPr>
            <w:tcW w:w="2943" w:type="dxa"/>
            <w:tcBorders>
              <w:top w:val="single" w:sz="4" w:space="0" w:color="auto"/>
              <w:left w:val="nil"/>
              <w:bottom w:val="nil"/>
              <w:right w:val="nil"/>
            </w:tcBorders>
          </w:tcPr>
          <w:p w:rsidR="0098250A" w:rsidRPr="0098250A" w:rsidRDefault="0098250A">
            <w:pPr>
              <w:spacing w:after="0" w:line="240" w:lineRule="auto"/>
              <w:jc w:val="both"/>
              <w:rPr>
                <w:rFonts w:eastAsia="Times New Roman" w:cs="Arial"/>
                <w:sz w:val="20"/>
                <w:szCs w:val="20"/>
                <w:lang w:val="es-ES" w:eastAsia="es-ES"/>
              </w:rPr>
            </w:pPr>
          </w:p>
        </w:tc>
        <w:tc>
          <w:tcPr>
            <w:tcW w:w="1701" w:type="dxa"/>
            <w:tcBorders>
              <w:top w:val="single" w:sz="4" w:space="0" w:color="auto"/>
              <w:left w:val="nil"/>
              <w:bottom w:val="nil"/>
              <w:right w:val="nil"/>
            </w:tcBorders>
          </w:tcPr>
          <w:p w:rsidR="0098250A" w:rsidRPr="0098250A" w:rsidRDefault="0098250A">
            <w:pPr>
              <w:spacing w:after="0" w:line="240" w:lineRule="auto"/>
              <w:jc w:val="right"/>
              <w:rPr>
                <w:rFonts w:eastAsia="Times New Roman" w:cs="Arial"/>
                <w:sz w:val="20"/>
                <w:szCs w:val="20"/>
                <w:highlight w:val="yellow"/>
                <w:lang w:val="es-ES" w:eastAsia="es-ES"/>
              </w:rPr>
            </w:pPr>
          </w:p>
        </w:tc>
        <w:tc>
          <w:tcPr>
            <w:tcW w:w="1985" w:type="dxa"/>
            <w:tcBorders>
              <w:top w:val="single" w:sz="4" w:space="0" w:color="auto"/>
              <w:left w:val="nil"/>
              <w:bottom w:val="nil"/>
              <w:right w:val="nil"/>
            </w:tcBorders>
          </w:tcPr>
          <w:p w:rsidR="0098250A" w:rsidRPr="0098250A" w:rsidRDefault="0098250A">
            <w:pPr>
              <w:spacing w:after="0" w:line="240" w:lineRule="auto"/>
              <w:jc w:val="right"/>
              <w:rPr>
                <w:rFonts w:eastAsia="Times New Roman" w:cs="Arial"/>
                <w:sz w:val="20"/>
                <w:szCs w:val="20"/>
                <w:highlight w:val="yellow"/>
                <w:lang w:val="es-ES" w:eastAsia="es-ES"/>
              </w:rPr>
            </w:pPr>
          </w:p>
        </w:tc>
        <w:tc>
          <w:tcPr>
            <w:tcW w:w="1984" w:type="dxa"/>
            <w:tcBorders>
              <w:top w:val="single" w:sz="4" w:space="0" w:color="auto"/>
              <w:left w:val="nil"/>
              <w:bottom w:val="nil"/>
              <w:right w:val="nil"/>
            </w:tcBorders>
          </w:tcPr>
          <w:p w:rsidR="0098250A" w:rsidRPr="0098250A" w:rsidRDefault="0098250A">
            <w:pPr>
              <w:spacing w:after="0" w:line="240" w:lineRule="auto"/>
              <w:jc w:val="center"/>
              <w:rPr>
                <w:rFonts w:eastAsia="Times New Roman" w:cs="Arial"/>
                <w:sz w:val="20"/>
                <w:szCs w:val="20"/>
                <w:highlight w:val="yellow"/>
                <w:lang w:val="es-ES" w:eastAsia="es-ES"/>
              </w:rPr>
            </w:pPr>
          </w:p>
        </w:tc>
        <w:tc>
          <w:tcPr>
            <w:tcW w:w="1985" w:type="dxa"/>
            <w:tcBorders>
              <w:top w:val="single" w:sz="4" w:space="0" w:color="auto"/>
              <w:left w:val="nil"/>
              <w:bottom w:val="nil"/>
              <w:right w:val="nil"/>
            </w:tcBorders>
          </w:tcPr>
          <w:p w:rsidR="0098250A" w:rsidRPr="0098250A" w:rsidRDefault="0098250A">
            <w:pPr>
              <w:spacing w:after="0" w:line="240" w:lineRule="auto"/>
              <w:jc w:val="center"/>
              <w:rPr>
                <w:rFonts w:eastAsia="Times New Roman" w:cs="Arial"/>
                <w:sz w:val="20"/>
                <w:szCs w:val="20"/>
                <w:highlight w:val="yellow"/>
                <w:lang w:val="es-ES" w:eastAsia="es-ES"/>
              </w:rPr>
            </w:pPr>
          </w:p>
        </w:tc>
      </w:tr>
    </w:tbl>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Las cuentas por deudores diversos de recursos estatales representan préstamo a la cuenta de recursos federales y que está pendiente la devolución.</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numPr>
          <w:ilvl w:val="0"/>
          <w:numId w:val="11"/>
        </w:numPr>
        <w:spacing w:before="240" w:after="60" w:line="240" w:lineRule="auto"/>
        <w:contextualSpacing/>
        <w:jc w:val="both"/>
        <w:outlineLvl w:val="4"/>
        <w:rPr>
          <w:rFonts w:eastAsia="Times New Roman" w:cs="Arial"/>
          <w:b/>
          <w:sz w:val="20"/>
          <w:szCs w:val="20"/>
          <w:lang w:val="es-ES" w:eastAsia="es-ES"/>
        </w:rPr>
      </w:pPr>
      <w:r w:rsidRPr="0098250A">
        <w:rPr>
          <w:rFonts w:eastAsia="Times New Roman" w:cs="Arial"/>
          <w:b/>
          <w:sz w:val="20"/>
          <w:szCs w:val="20"/>
          <w:lang w:val="es-ES" w:eastAsia="es-ES"/>
        </w:rPr>
        <w:t>Otros Activos Circulantes</w:t>
      </w: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 xml:space="preserve">Se integra por un importe de $48,459.60 que corresponden a depósitos en garantía a las empresas Radio móvil Dipsa por $372.99 y a la Comisión Federal de Electricidad por $48,086.61 </w:t>
      </w:r>
    </w:p>
    <w:p w:rsidR="0098250A" w:rsidRPr="0098250A" w:rsidRDefault="0098250A" w:rsidP="0098250A">
      <w:pPr>
        <w:spacing w:before="240" w:after="60" w:line="240" w:lineRule="auto"/>
        <w:jc w:val="both"/>
        <w:outlineLvl w:val="4"/>
        <w:rPr>
          <w:rFonts w:eastAsia="Times New Roman" w:cs="Arial"/>
          <w:b/>
          <w:sz w:val="20"/>
          <w:szCs w:val="20"/>
          <w:lang w:val="es-ES" w:eastAsia="es-ES"/>
        </w:rPr>
      </w:pPr>
      <w:r w:rsidRPr="0098250A">
        <w:rPr>
          <w:rFonts w:eastAsia="Times New Roman" w:cs="Arial"/>
          <w:b/>
          <w:sz w:val="20"/>
          <w:szCs w:val="20"/>
          <w:lang w:val="es-ES" w:eastAsia="es-ES"/>
        </w:rPr>
        <w:t xml:space="preserve">Bienes Muebles, Inmuebles e Intangibles  </w:t>
      </w: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 xml:space="preserve">Los bienes muebles e inmuebles son adquiridos mediante donaciones o con los recursos obtenidos por servicios que presta este Instituto, estos activos están valuados a su costo de adquisición. El activo fijo del Instituto se encuentra clasificado de la siguiente manera: </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numPr>
          <w:ilvl w:val="0"/>
          <w:numId w:val="11"/>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lastRenderedPageBreak/>
        <w:t>Bienes Inmuebles</w:t>
      </w:r>
    </w:p>
    <w:p w:rsidR="0098250A" w:rsidRPr="0098250A" w:rsidRDefault="0098250A" w:rsidP="0098250A">
      <w:pPr>
        <w:spacing w:after="0" w:line="240" w:lineRule="auto"/>
        <w:ind w:left="720"/>
        <w:contextualSpacing/>
        <w:jc w:val="both"/>
        <w:rPr>
          <w:rFonts w:eastAsia="Times New Roman" w:cs="Arial"/>
          <w:b/>
          <w:sz w:val="20"/>
          <w:szCs w:val="20"/>
          <w:lang w:val="es-ES"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843"/>
        <w:gridCol w:w="1985"/>
        <w:gridCol w:w="1526"/>
      </w:tblGrid>
      <w:tr w:rsidR="0098250A" w:rsidRPr="0098250A" w:rsidTr="0098250A">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tcPr>
          <w:p w:rsidR="0098250A" w:rsidRPr="0098250A" w:rsidRDefault="0098250A" w:rsidP="0098250A">
            <w:pPr>
              <w:jc w:val="both"/>
              <w:rPr>
                <w:rFonts w:cs="Arial"/>
                <w:b/>
                <w:sz w:val="20"/>
                <w:szCs w:val="20"/>
                <w:lang w:val="es-ES" w:eastAsia="es-ES"/>
              </w:rPr>
            </w:pP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Estatal</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Federal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Recursos Propios</w:t>
            </w: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Suma</w:t>
            </w:r>
          </w:p>
        </w:tc>
      </w:tr>
      <w:tr w:rsidR="0098250A" w:rsidRPr="0098250A" w:rsidTr="0098250A">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Terrenos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1,600,000.00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8250A" w:rsidRPr="0098250A" w:rsidRDefault="0098250A" w:rsidP="0098250A">
            <w:pPr>
              <w:jc w:val="right"/>
              <w:rPr>
                <w:rFonts w:cs="Arial"/>
                <w:b/>
                <w:sz w:val="20"/>
                <w:szCs w:val="20"/>
                <w:lang w:val="es-ES" w:eastAsia="es-ES"/>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250A" w:rsidRPr="0098250A" w:rsidRDefault="0098250A" w:rsidP="0098250A">
            <w:pPr>
              <w:jc w:val="both"/>
              <w:rPr>
                <w:rFonts w:cs="Arial"/>
                <w:b/>
                <w:sz w:val="20"/>
                <w:szCs w:val="20"/>
                <w:lang w:val="es-ES" w:eastAsia="es-ES"/>
              </w:rPr>
            </w:pP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1,600,000.00</w:t>
            </w:r>
          </w:p>
        </w:tc>
      </w:tr>
      <w:tr w:rsidR="0098250A" w:rsidRPr="0098250A" w:rsidTr="0098250A">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pPr>
              <w:rPr>
                <w:rFonts w:cs="Arial"/>
                <w:sz w:val="20"/>
                <w:szCs w:val="20"/>
                <w:lang w:val="es-ES" w:eastAsia="es-ES"/>
              </w:rPr>
            </w:pPr>
            <w:r w:rsidRPr="0098250A">
              <w:rPr>
                <w:rFonts w:cs="Arial"/>
                <w:sz w:val="20"/>
                <w:szCs w:val="20"/>
                <w:lang w:val="es-ES" w:eastAsia="es-ES"/>
              </w:rPr>
              <w:t>Edificios no habitacionales</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6,373,901.77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34,532,885.59</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1,377,782.54</w:t>
            </w: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42,284,569.90</w:t>
            </w:r>
          </w:p>
        </w:tc>
      </w:tr>
      <w:tr w:rsidR="0098250A" w:rsidRPr="0098250A" w:rsidTr="0098250A">
        <w:trPr>
          <w:jc w:val="center"/>
        </w:trPr>
        <w:tc>
          <w:tcPr>
            <w:tcW w:w="3369"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7,973,901.77</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34,532,885.59</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1,377,782.54</w:t>
            </w:r>
          </w:p>
        </w:tc>
        <w:tc>
          <w:tcPr>
            <w:tcW w:w="1526"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43,884,569.90</w:t>
            </w:r>
          </w:p>
        </w:tc>
      </w:tr>
    </w:tbl>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numPr>
          <w:ilvl w:val="0"/>
          <w:numId w:val="11"/>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t>Bienes Muebles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0"/>
        <w:gridCol w:w="1802"/>
        <w:gridCol w:w="1821"/>
        <w:gridCol w:w="1946"/>
        <w:gridCol w:w="1596"/>
      </w:tblGrid>
      <w:tr w:rsidR="0098250A" w:rsidRPr="0098250A" w:rsidTr="0098250A">
        <w:trPr>
          <w:trHeight w:val="448"/>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tcPr>
          <w:p w:rsidR="0098250A" w:rsidRPr="0098250A" w:rsidRDefault="0098250A" w:rsidP="0098250A">
            <w:pPr>
              <w:jc w:val="both"/>
              <w:rPr>
                <w:rFonts w:cs="Arial"/>
                <w:b/>
                <w:sz w:val="20"/>
                <w:szCs w:val="20"/>
                <w:lang w:val="es-ES" w:eastAsia="es-ES"/>
              </w:rPr>
            </w:pP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Estatal</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Federal</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Recursos Propios</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Suma</w:t>
            </w:r>
          </w:p>
        </w:tc>
      </w:tr>
      <w:tr w:rsidR="0098250A" w:rsidRPr="0098250A" w:rsidTr="0098250A">
        <w:trPr>
          <w:trHeight w:val="270"/>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Mobiliario y E. de Administración</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98,496.36</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8,339,659.28</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5,692,820.64</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14,130,976.28</w:t>
            </w:r>
          </w:p>
        </w:tc>
      </w:tr>
      <w:tr w:rsidR="0098250A" w:rsidRPr="0098250A" w:rsidTr="0098250A">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 xml:space="preserve">Mobiliario y Equipo. Educacional </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68,096.16</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1,489,065.67</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994,236.66</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2,551,398.49</w:t>
            </w:r>
          </w:p>
        </w:tc>
      </w:tr>
      <w:tr w:rsidR="0098250A" w:rsidRPr="0098250A" w:rsidTr="0098250A">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pPr>
              <w:rPr>
                <w:rFonts w:cs="Arial"/>
                <w:sz w:val="20"/>
                <w:szCs w:val="20"/>
                <w:lang w:val="es-ES" w:eastAsia="es-ES"/>
              </w:rPr>
            </w:pPr>
            <w:r w:rsidRPr="0098250A">
              <w:rPr>
                <w:rFonts w:cs="Arial"/>
                <w:sz w:val="20"/>
                <w:szCs w:val="20"/>
                <w:lang w:val="es-ES" w:eastAsia="es-ES"/>
              </w:rPr>
              <w:t>Equipo e Instrumental Médico y de Laboratorio</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2,169,762.07</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18,822.15</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2,188,584.22</w:t>
            </w:r>
          </w:p>
        </w:tc>
      </w:tr>
      <w:tr w:rsidR="0098250A" w:rsidRPr="0098250A" w:rsidTr="0098250A">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Equipo de Transporte</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351,084.00</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358,000.00</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1,055,290.00</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1,764,374.00</w:t>
            </w:r>
          </w:p>
        </w:tc>
      </w:tr>
      <w:tr w:rsidR="0098250A" w:rsidRPr="0098250A" w:rsidTr="0098250A">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pPr>
              <w:rPr>
                <w:rFonts w:cs="Arial"/>
                <w:sz w:val="20"/>
                <w:szCs w:val="20"/>
                <w:lang w:val="es-ES" w:eastAsia="es-ES"/>
              </w:rPr>
            </w:pPr>
            <w:r w:rsidRPr="0098250A">
              <w:rPr>
                <w:rFonts w:cs="Arial"/>
                <w:sz w:val="20"/>
                <w:szCs w:val="20"/>
                <w:lang w:val="es-ES" w:eastAsia="es-ES"/>
              </w:rPr>
              <w:t>Maquinaria, Otros Equipos y Herramientas</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84,419.92</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5,401,648.52</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743,397.02</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6,229,465.46</w:t>
            </w:r>
          </w:p>
        </w:tc>
      </w:tr>
      <w:tr w:rsidR="0098250A" w:rsidRPr="0098250A" w:rsidTr="0098250A">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Colecciones, Obras y Objetos V.</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6,453.92</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13,086.85</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95,483.48</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115,024.25</w:t>
            </w:r>
          </w:p>
        </w:tc>
      </w:tr>
      <w:tr w:rsidR="0098250A" w:rsidRPr="0098250A" w:rsidTr="0098250A">
        <w:trPr>
          <w:jc w:val="center"/>
        </w:trPr>
        <w:tc>
          <w:tcPr>
            <w:tcW w:w="325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608,550.36</w:t>
            </w:r>
          </w:p>
        </w:tc>
        <w:tc>
          <w:tcPr>
            <w:tcW w:w="182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highlight w:val="yellow"/>
                <w:lang w:val="es-ES" w:eastAsia="es-ES"/>
              </w:rPr>
            </w:pPr>
            <w:r w:rsidRPr="0098250A">
              <w:rPr>
                <w:rFonts w:cs="Arial"/>
                <w:b/>
                <w:sz w:val="20"/>
                <w:szCs w:val="20"/>
                <w:lang w:val="es-ES" w:eastAsia="es-ES"/>
              </w:rPr>
              <w:t>17,771,222.39</w:t>
            </w:r>
          </w:p>
        </w:tc>
        <w:tc>
          <w:tcPr>
            <w:tcW w:w="194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8,600,049.95</w:t>
            </w:r>
          </w:p>
        </w:tc>
        <w:tc>
          <w:tcPr>
            <w:tcW w:w="159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26,979,822.70</w:t>
            </w:r>
          </w:p>
        </w:tc>
      </w:tr>
    </w:tbl>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numPr>
          <w:ilvl w:val="0"/>
          <w:numId w:val="11"/>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lastRenderedPageBreak/>
        <w:t>Activos Intangibles</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 xml:space="preserve">Se integra por software </w:t>
      </w:r>
      <w:proofErr w:type="gramStart"/>
      <w:r w:rsidRPr="0098250A">
        <w:rPr>
          <w:rFonts w:eastAsia="Times New Roman" w:cs="Arial"/>
          <w:sz w:val="20"/>
          <w:szCs w:val="20"/>
          <w:lang w:val="es-ES" w:eastAsia="es-ES"/>
        </w:rPr>
        <w:t>adquiridos</w:t>
      </w:r>
      <w:proofErr w:type="gramEnd"/>
      <w:r w:rsidRPr="0098250A">
        <w:rPr>
          <w:rFonts w:eastAsia="Times New Roman" w:cs="Arial"/>
          <w:sz w:val="20"/>
          <w:szCs w:val="20"/>
          <w:lang w:val="es-ES" w:eastAsia="es-ES"/>
        </w:rPr>
        <w:t xml:space="preserve"> por el Instituto por una cantidad de $ 305,677.02</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numPr>
          <w:ilvl w:val="0"/>
          <w:numId w:val="11"/>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t>Depreciación, Deterioro y Amortización de Bienes</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tabs>
          <w:tab w:val="num" w:pos="567"/>
        </w:tabs>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Los bienes inmuebles, muebles e intangibles, se registran a su costo de adquisición o de aportación, formando parte de los activos. Los bienes muebles recibidos cuyo costo de adquisición no está identificado se registran a valor de un centavo o a su valor de mercado.</w:t>
      </w:r>
    </w:p>
    <w:p w:rsidR="0098250A" w:rsidRPr="0098250A" w:rsidRDefault="0098250A" w:rsidP="0098250A">
      <w:pPr>
        <w:tabs>
          <w:tab w:val="num" w:pos="567"/>
        </w:tabs>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Existen controles físicos por los bienes duraderos adquiridos y donados y se cuenta con los resguardos respectivos.</w:t>
      </w:r>
    </w:p>
    <w:p w:rsidR="0098250A" w:rsidRPr="0098250A" w:rsidRDefault="0098250A" w:rsidP="0098250A">
      <w:pPr>
        <w:tabs>
          <w:tab w:val="num" w:pos="567"/>
        </w:tabs>
        <w:spacing w:after="0" w:line="240" w:lineRule="auto"/>
        <w:jc w:val="both"/>
        <w:rPr>
          <w:rFonts w:eastAsia="Times New Roman" w:cs="Arial"/>
          <w:sz w:val="20"/>
          <w:szCs w:val="20"/>
          <w:lang w:val="es-ES" w:eastAsia="es-ES"/>
        </w:rPr>
      </w:pPr>
    </w:p>
    <w:p w:rsidR="0098250A" w:rsidRPr="0098250A" w:rsidRDefault="0098250A" w:rsidP="0098250A">
      <w:pPr>
        <w:tabs>
          <w:tab w:val="num" w:pos="567"/>
        </w:tabs>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El Instituto adoptó la política de calcular y registrar la depreciación sobre los activos, misma que se calcula con base en el valor de los activos fijos y bajo el método de línea recta, en función a la vida útil de los mismos, mediante la aplicación de las tasas anuales que a continuación se detallan:</w:t>
      </w:r>
    </w:p>
    <w:p w:rsidR="0098250A" w:rsidRPr="0098250A" w:rsidRDefault="0098250A" w:rsidP="0098250A">
      <w:pPr>
        <w:tabs>
          <w:tab w:val="num" w:pos="567"/>
        </w:tabs>
        <w:spacing w:after="0" w:line="240" w:lineRule="auto"/>
        <w:ind w:left="709"/>
        <w:jc w:val="both"/>
        <w:rPr>
          <w:rFonts w:eastAsia="Times New Roman" w:cs="Arial"/>
          <w:sz w:val="20"/>
          <w:szCs w:val="20"/>
          <w:lang w:val="es-ES" w:eastAsia="es-ES"/>
        </w:rPr>
      </w:pPr>
    </w:p>
    <w:tbl>
      <w:tblPr>
        <w:tblW w:w="0" w:type="auto"/>
        <w:jc w:val="center"/>
        <w:tblInd w:w="709" w:type="dxa"/>
        <w:tblLook w:val="04A0" w:firstRow="1" w:lastRow="0" w:firstColumn="1" w:lastColumn="0" w:noHBand="0" w:noVBand="1"/>
      </w:tblPr>
      <w:tblGrid>
        <w:gridCol w:w="5636"/>
        <w:gridCol w:w="709"/>
        <w:gridCol w:w="1276"/>
      </w:tblGrid>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Edificios no Habitacionales</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5%</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Mobiliario y Equipo de Administración</w:t>
            </w: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5636" w:type="dxa"/>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 xml:space="preserve">     Muebles de oficina y estantería</w:t>
            </w:r>
          </w:p>
        </w:tc>
        <w:tc>
          <w:tcPr>
            <w:tcW w:w="1985" w:type="dxa"/>
            <w:gridSpan w:val="2"/>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10%</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 xml:space="preserve">     Equipo de cómputo y Tecnologías de la I.</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 xml:space="preserve">30% </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 xml:space="preserve">     Otros mobiliarios y equipos de administración</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10%</w:t>
            </w:r>
          </w:p>
        </w:tc>
      </w:tr>
      <w:tr w:rsidR="0098250A" w:rsidRPr="0098250A" w:rsidTr="0098250A">
        <w:trPr>
          <w:jc w:val="center"/>
        </w:trPr>
        <w:tc>
          <w:tcPr>
            <w:tcW w:w="6345" w:type="dxa"/>
            <w:gridSpan w:val="2"/>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Mobiliario y Equipo Educacional y Recreativo</w:t>
            </w: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 xml:space="preserve">     </w:t>
            </w:r>
            <w:r w:rsidRPr="0098250A">
              <w:rPr>
                <w:rFonts w:eastAsia="Times New Roman" w:cs="Arial"/>
                <w:sz w:val="20"/>
                <w:szCs w:val="20"/>
                <w:lang w:val="es-ES" w:eastAsia="es-ES"/>
              </w:rPr>
              <w:t>Equipo y aparatos audiovisuales</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10% y 30%</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Equipo e Instrumental Médico y de Laboratorio</w:t>
            </w: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 xml:space="preserve">     Instrumental médico y de laboratorio</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20%</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Equipo de Transporte</w:t>
            </w: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 xml:space="preserve">     </w:t>
            </w:r>
            <w:r w:rsidRPr="0098250A">
              <w:rPr>
                <w:rFonts w:eastAsia="Times New Roman" w:cs="Arial"/>
                <w:sz w:val="20"/>
                <w:szCs w:val="20"/>
                <w:lang w:val="es-ES" w:eastAsia="es-ES"/>
              </w:rPr>
              <w:t>Automóviles y equipo de transporte</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25%</w:t>
            </w:r>
          </w:p>
        </w:tc>
      </w:tr>
      <w:tr w:rsidR="0098250A" w:rsidRPr="0098250A" w:rsidTr="0098250A">
        <w:trPr>
          <w:jc w:val="center"/>
        </w:trPr>
        <w:tc>
          <w:tcPr>
            <w:tcW w:w="6345" w:type="dxa"/>
            <w:gridSpan w:val="2"/>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Maquinaria, Otros Equipos y Herramientas</w:t>
            </w: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 xml:space="preserve">     </w:t>
            </w:r>
            <w:r w:rsidRPr="0098250A">
              <w:rPr>
                <w:rFonts w:eastAsia="Times New Roman" w:cs="Arial"/>
                <w:sz w:val="20"/>
                <w:szCs w:val="20"/>
                <w:lang w:val="es-ES" w:eastAsia="es-ES"/>
              </w:rPr>
              <w:t>Maquinaria y equipo agropecuario</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25%</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 xml:space="preserve">     </w:t>
            </w:r>
            <w:r w:rsidRPr="0098250A">
              <w:rPr>
                <w:rFonts w:eastAsia="Times New Roman" w:cs="Arial"/>
                <w:sz w:val="20"/>
                <w:szCs w:val="20"/>
                <w:lang w:val="es-ES" w:eastAsia="es-ES"/>
              </w:rPr>
              <w:t>Maquinaria y equipo industrial</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25%</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 xml:space="preserve">     </w:t>
            </w:r>
            <w:r w:rsidRPr="0098250A">
              <w:rPr>
                <w:rFonts w:eastAsia="Times New Roman" w:cs="Arial"/>
                <w:sz w:val="20"/>
                <w:szCs w:val="20"/>
                <w:lang w:val="es-ES" w:eastAsia="es-ES"/>
              </w:rPr>
              <w:t>Maquinaria y equipo de construcción</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10%</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 xml:space="preserve">     Equipos de comunicación</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25%</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lastRenderedPageBreak/>
              <w:t xml:space="preserve">     Herramientas y máquinas-herramientas</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 xml:space="preserve"> 10%</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Colecciones, Obras de Arte y Objetos Valiosos</w:t>
            </w: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sz w:val="20"/>
                <w:szCs w:val="20"/>
                <w:lang w:val="es-ES" w:eastAsia="es-ES"/>
              </w:rPr>
              <w:t xml:space="preserve">     Bienes artísticos, culturales y científicos</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10%</w:t>
            </w: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b/>
                <w:sz w:val="20"/>
                <w:szCs w:val="20"/>
                <w:lang w:val="es-ES" w:eastAsia="es-ES"/>
              </w:rPr>
            </w:pPr>
            <w:r w:rsidRPr="0098250A">
              <w:rPr>
                <w:rFonts w:eastAsia="Times New Roman" w:cs="Arial"/>
                <w:b/>
                <w:sz w:val="20"/>
                <w:szCs w:val="20"/>
                <w:lang w:val="es-ES" w:eastAsia="es-ES"/>
              </w:rPr>
              <w:t>Activos Intangibles</w:t>
            </w: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r w:rsidR="0098250A" w:rsidRPr="0098250A" w:rsidTr="0098250A">
        <w:trPr>
          <w:jc w:val="center"/>
        </w:trPr>
        <w:tc>
          <w:tcPr>
            <w:tcW w:w="6345" w:type="dxa"/>
            <w:gridSpan w:val="2"/>
            <w:hideMark/>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r w:rsidRPr="0098250A">
              <w:rPr>
                <w:rFonts w:eastAsia="Times New Roman" w:cs="Arial"/>
                <w:b/>
                <w:sz w:val="20"/>
                <w:szCs w:val="20"/>
                <w:lang w:val="es-ES" w:eastAsia="es-ES"/>
              </w:rPr>
              <w:t xml:space="preserve">     </w:t>
            </w:r>
            <w:r w:rsidRPr="0098250A">
              <w:rPr>
                <w:rFonts w:eastAsia="Times New Roman" w:cs="Arial"/>
                <w:sz w:val="20"/>
                <w:szCs w:val="20"/>
                <w:lang w:val="es-ES" w:eastAsia="es-ES"/>
              </w:rPr>
              <w:t>Software</w:t>
            </w:r>
          </w:p>
        </w:tc>
        <w:tc>
          <w:tcPr>
            <w:tcW w:w="1276" w:type="dxa"/>
            <w:hideMark/>
          </w:tcPr>
          <w:p w:rsidR="0098250A" w:rsidRPr="0098250A" w:rsidRDefault="0098250A">
            <w:pPr>
              <w:tabs>
                <w:tab w:val="num" w:pos="567"/>
              </w:tabs>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25%</w:t>
            </w:r>
          </w:p>
        </w:tc>
      </w:tr>
      <w:tr w:rsidR="0098250A" w:rsidRPr="0098250A" w:rsidTr="0098250A">
        <w:trPr>
          <w:jc w:val="center"/>
        </w:trPr>
        <w:tc>
          <w:tcPr>
            <w:tcW w:w="6345" w:type="dxa"/>
            <w:gridSpan w:val="2"/>
          </w:tcPr>
          <w:p w:rsidR="0098250A" w:rsidRPr="0098250A" w:rsidRDefault="0098250A">
            <w:pPr>
              <w:tabs>
                <w:tab w:val="num" w:pos="567"/>
              </w:tabs>
              <w:spacing w:after="0" w:line="240" w:lineRule="auto"/>
              <w:ind w:left="709"/>
              <w:jc w:val="both"/>
              <w:rPr>
                <w:rFonts w:eastAsia="Times New Roman" w:cs="Arial"/>
                <w:sz w:val="20"/>
                <w:szCs w:val="20"/>
                <w:lang w:val="es-ES" w:eastAsia="es-ES"/>
              </w:rPr>
            </w:pPr>
          </w:p>
          <w:p w:rsidR="0098250A" w:rsidRPr="0098250A" w:rsidRDefault="0098250A">
            <w:pPr>
              <w:tabs>
                <w:tab w:val="num" w:pos="567"/>
              </w:tabs>
              <w:spacing w:after="0" w:line="240" w:lineRule="auto"/>
              <w:ind w:left="709"/>
              <w:jc w:val="both"/>
              <w:rPr>
                <w:rFonts w:eastAsia="Times New Roman" w:cs="Arial"/>
                <w:sz w:val="20"/>
                <w:szCs w:val="20"/>
                <w:lang w:val="es-ES" w:eastAsia="es-ES"/>
              </w:rPr>
            </w:pPr>
          </w:p>
        </w:tc>
        <w:tc>
          <w:tcPr>
            <w:tcW w:w="1276" w:type="dxa"/>
          </w:tcPr>
          <w:p w:rsidR="0098250A" w:rsidRPr="0098250A" w:rsidRDefault="0098250A">
            <w:pPr>
              <w:tabs>
                <w:tab w:val="num" w:pos="567"/>
              </w:tabs>
              <w:spacing w:after="0" w:line="240" w:lineRule="auto"/>
              <w:jc w:val="right"/>
              <w:rPr>
                <w:rFonts w:eastAsia="Times New Roman" w:cs="Arial"/>
                <w:sz w:val="20"/>
                <w:szCs w:val="20"/>
                <w:lang w:val="es-ES" w:eastAsia="es-ES"/>
              </w:rPr>
            </w:pPr>
          </w:p>
        </w:tc>
      </w:tr>
    </w:tbl>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El valor de las depreciaciones de activos fijos e intangibles es el siguiente:</w:t>
      </w:r>
    </w:p>
    <w:p w:rsidR="0098250A" w:rsidRPr="0098250A" w:rsidRDefault="0098250A" w:rsidP="0098250A">
      <w:pPr>
        <w:spacing w:after="0" w:line="240" w:lineRule="auto"/>
        <w:contextualSpacing/>
        <w:jc w:val="both"/>
        <w:rPr>
          <w:rFonts w:eastAsia="Times New Roman" w:cs="Arial"/>
          <w:b/>
          <w:sz w:val="20"/>
          <w:szCs w:val="20"/>
          <w:lang w:val="es-E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842"/>
        <w:gridCol w:w="1843"/>
        <w:gridCol w:w="1985"/>
        <w:gridCol w:w="1602"/>
      </w:tblGrid>
      <w:tr w:rsidR="0098250A" w:rsidRPr="0098250A" w:rsidTr="0098250A">
        <w:trPr>
          <w:trHeight w:val="448"/>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tcPr>
          <w:p w:rsidR="0098250A" w:rsidRPr="0098250A" w:rsidRDefault="0098250A" w:rsidP="0098250A">
            <w:pPr>
              <w:jc w:val="both"/>
              <w:rPr>
                <w:rFonts w:cs="Arial"/>
                <w:b/>
                <w:sz w:val="20"/>
                <w:szCs w:val="20"/>
                <w:lang w:val="es-ES" w:eastAsia="es-ES"/>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Estatal</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Federal</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Recursos Propios</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Suma</w:t>
            </w:r>
          </w:p>
        </w:tc>
      </w:tr>
      <w:tr w:rsidR="0098250A" w:rsidRPr="0098250A" w:rsidTr="0098250A">
        <w:trPr>
          <w:trHeight w:val="270"/>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Depreciación de Bienes Inmuebles</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2,622,700.33</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18,993,304.46</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325,361.40</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21,941,366.19</w:t>
            </w:r>
          </w:p>
        </w:tc>
      </w:tr>
      <w:tr w:rsidR="0098250A" w:rsidRPr="0098250A" w:rsidTr="0098250A">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Depreciación de Bienes Muebles</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542,471.06</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13,603,469.38</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6,266,387.09</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20,412,327.53</w:t>
            </w:r>
          </w:p>
        </w:tc>
      </w:tr>
      <w:tr w:rsidR="0098250A" w:rsidRPr="0098250A" w:rsidTr="0098250A">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pPr>
              <w:rPr>
                <w:rFonts w:cs="Arial"/>
                <w:sz w:val="20"/>
                <w:szCs w:val="20"/>
                <w:lang w:val="es-ES" w:eastAsia="es-ES"/>
              </w:rPr>
            </w:pPr>
            <w:r w:rsidRPr="0098250A">
              <w:rPr>
                <w:rFonts w:cs="Arial"/>
                <w:sz w:val="20"/>
                <w:szCs w:val="20"/>
                <w:lang w:val="es-ES" w:eastAsia="es-ES"/>
              </w:rPr>
              <w:t>Amortización de Intangibles</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38,918.00</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204,490.65</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243,408.65</w:t>
            </w:r>
          </w:p>
        </w:tc>
      </w:tr>
      <w:tr w:rsidR="0098250A" w:rsidRPr="0098250A" w:rsidTr="0098250A">
        <w:trPr>
          <w:jc w:val="center"/>
        </w:trPr>
        <w:tc>
          <w:tcPr>
            <w:tcW w:w="3369"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184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3,165,171.39</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32,635,691.84</w:t>
            </w:r>
          </w:p>
        </w:tc>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6,796,239.14</w:t>
            </w:r>
          </w:p>
        </w:tc>
        <w:tc>
          <w:tcPr>
            <w:tcW w:w="16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42,597,102.37</w:t>
            </w:r>
          </w:p>
        </w:tc>
      </w:tr>
    </w:tbl>
    <w:p w:rsidR="0098250A" w:rsidRPr="0098250A" w:rsidRDefault="0098250A" w:rsidP="0098250A">
      <w:pPr>
        <w:spacing w:after="0" w:line="240" w:lineRule="auto"/>
        <w:jc w:val="both"/>
        <w:rPr>
          <w:rFonts w:eastAsia="Times New Roman" w:cs="Arial"/>
          <w:b/>
          <w:sz w:val="20"/>
          <w:szCs w:val="20"/>
          <w:lang w:val="es-ES" w:eastAsia="es-ES"/>
        </w:rPr>
      </w:pPr>
      <w:r w:rsidRPr="0098250A">
        <w:rPr>
          <w:rFonts w:eastAsia="Times New Roman" w:cs="Arial"/>
          <w:b/>
          <w:sz w:val="20"/>
          <w:szCs w:val="20"/>
          <w:lang w:val="es-ES" w:eastAsia="es-ES"/>
        </w:rPr>
        <w:t>PASIVO</w:t>
      </w:r>
    </w:p>
    <w:p w:rsidR="0098250A" w:rsidRPr="0098250A" w:rsidRDefault="0098250A" w:rsidP="0098250A">
      <w:pPr>
        <w:numPr>
          <w:ilvl w:val="0"/>
          <w:numId w:val="12"/>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t>Cuentas por Pagar a Corto Plazo</w:t>
      </w:r>
    </w:p>
    <w:p w:rsidR="0098250A" w:rsidRPr="0098250A" w:rsidRDefault="0098250A" w:rsidP="0098250A">
      <w:pPr>
        <w:spacing w:after="0" w:line="240" w:lineRule="auto"/>
        <w:ind w:left="720"/>
        <w:contextualSpacing/>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Representa el monto de los adeudos del Instituto, que deberá pagar en un plazo menor o igual a doce meses, los cuales se deben por compromisos adquiridos con proveedores, por provisiones de seguridad social y por los importes de ISR retenidos a los trabajadores, el importe de los compromisos adquiridos es el siguiente:</w:t>
      </w:r>
    </w:p>
    <w:p w:rsidR="0098250A" w:rsidRPr="0098250A" w:rsidRDefault="0098250A" w:rsidP="0098250A">
      <w:pPr>
        <w:spacing w:after="0" w:line="240" w:lineRule="auto"/>
        <w:jc w:val="both"/>
        <w:rPr>
          <w:rFonts w:eastAsia="Times New Roman" w:cs="Arial"/>
          <w:sz w:val="20"/>
          <w:szCs w:val="20"/>
          <w:lang w:val="es-ES" w:eastAsia="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3"/>
        <w:gridCol w:w="1816"/>
        <w:gridCol w:w="1806"/>
        <w:gridCol w:w="1940"/>
        <w:gridCol w:w="1590"/>
      </w:tblGrid>
      <w:tr w:rsidR="0098250A" w:rsidRPr="0098250A" w:rsidTr="0098250A">
        <w:trPr>
          <w:trHeight w:val="448"/>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tcPr>
          <w:p w:rsidR="0098250A" w:rsidRPr="0098250A" w:rsidRDefault="0098250A" w:rsidP="0098250A">
            <w:pPr>
              <w:jc w:val="both"/>
              <w:rPr>
                <w:rFonts w:cs="Arial"/>
                <w:b/>
                <w:sz w:val="20"/>
                <w:szCs w:val="20"/>
                <w:highlight w:val="yellow"/>
                <w:lang w:val="es-ES" w:eastAsia="es-ES"/>
              </w:rPr>
            </w:pP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Estatal</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 Federal</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Recursos Propios</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Suma</w:t>
            </w:r>
          </w:p>
        </w:tc>
      </w:tr>
      <w:tr w:rsidR="0098250A" w:rsidRPr="0098250A" w:rsidTr="0098250A">
        <w:trPr>
          <w:trHeight w:val="270"/>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Seguridad Social</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393,104.07</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393,104.07</w:t>
            </w:r>
          </w:p>
        </w:tc>
      </w:tr>
      <w:tr w:rsidR="0098250A" w:rsidRPr="0098250A" w:rsidTr="0098250A">
        <w:trPr>
          <w:trHeight w:val="270"/>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Otras prestaciones sociales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185,447.33</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47,345.93</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232,793.26</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lastRenderedPageBreak/>
              <w:t>Proveedores por Pagar</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299,167.52</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1,533,198.07</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46,977.23</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1,879,342.82</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 xml:space="preserve">Transferencias a corto plazo </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pPr>
              <w:rPr>
                <w:rFonts w:cs="Arial"/>
                <w:sz w:val="20"/>
                <w:szCs w:val="20"/>
                <w:lang w:val="es-ES" w:eastAsia="es-ES"/>
              </w:rPr>
            </w:pPr>
            <w:r w:rsidRPr="0098250A">
              <w:rPr>
                <w:rFonts w:cs="Arial"/>
                <w:sz w:val="20"/>
                <w:szCs w:val="20"/>
                <w:lang w:val="es-ES" w:eastAsia="es-ES"/>
              </w:rPr>
              <w:t>ISR retenido por Salarios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97,442.72</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560,832.66</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658,275.38</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ISR retenido por Honorarios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176.17</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1,008.92</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1,185.09</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pPr>
              <w:rPr>
                <w:rFonts w:cs="Arial"/>
                <w:sz w:val="20"/>
                <w:szCs w:val="20"/>
                <w:lang w:val="es-ES" w:eastAsia="es-ES"/>
              </w:rPr>
            </w:pPr>
            <w:r w:rsidRPr="0098250A">
              <w:rPr>
                <w:rFonts w:cs="Arial"/>
                <w:sz w:val="20"/>
                <w:szCs w:val="20"/>
                <w:lang w:val="es-ES" w:eastAsia="es-ES"/>
              </w:rPr>
              <w:t>ISSTEY Retenido</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101.96</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125,959.29</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126,061.25</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Cuotas al ISSSTEY</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0.01</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0.01</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ISR retenido por Asimilados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31,053.78</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2,077.45</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33,131.23</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ISR retenido por arrendamiento</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54.98</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54.98</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Acreedores Diversos</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1,411,711.13</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1,540,812.96</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2,978,705.94</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5,931,230.03</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Ingresos por Clasificar</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0.00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31,015.00</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31,015.00</w:t>
            </w:r>
          </w:p>
        </w:tc>
      </w:tr>
      <w:tr w:rsidR="0098250A" w:rsidRPr="0098250A" w:rsidTr="0098250A">
        <w:trPr>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181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2,024,924.45</w:t>
            </w:r>
          </w:p>
        </w:tc>
        <w:tc>
          <w:tcPr>
            <w:tcW w:w="180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4,154,138.20</w:t>
            </w:r>
          </w:p>
        </w:tc>
        <w:tc>
          <w:tcPr>
            <w:tcW w:w="194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3,107,130.47</w:t>
            </w:r>
          </w:p>
        </w:tc>
        <w:tc>
          <w:tcPr>
            <w:tcW w:w="159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9,286,193.12</w:t>
            </w:r>
          </w:p>
        </w:tc>
      </w:tr>
    </w:tbl>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numPr>
          <w:ilvl w:val="0"/>
          <w:numId w:val="10"/>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lastRenderedPageBreak/>
        <w:t>Notas al Estado de Actividades</w:t>
      </w:r>
    </w:p>
    <w:p w:rsidR="0098250A" w:rsidRPr="0098250A" w:rsidRDefault="0098250A" w:rsidP="0098250A">
      <w:pPr>
        <w:spacing w:after="0" w:line="240" w:lineRule="auto"/>
        <w:ind w:left="360"/>
        <w:contextualSpacing/>
        <w:jc w:val="both"/>
        <w:rPr>
          <w:rFonts w:eastAsia="Times New Roman" w:cs="Arial"/>
          <w:b/>
          <w:sz w:val="20"/>
          <w:szCs w:val="20"/>
          <w:lang w:val="es-ES" w:eastAsia="es-ES"/>
        </w:rPr>
      </w:pPr>
    </w:p>
    <w:p w:rsidR="0098250A" w:rsidRPr="0098250A" w:rsidRDefault="0098250A" w:rsidP="0098250A">
      <w:pPr>
        <w:numPr>
          <w:ilvl w:val="0"/>
          <w:numId w:val="13"/>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t>Ingresos de Gestión</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Los ingresos recaudados por el Instituto al 31 de diciembre de 2017 son los siguientes:</w:t>
      </w:r>
    </w:p>
    <w:p w:rsidR="0098250A" w:rsidRPr="0098250A" w:rsidRDefault="0098250A" w:rsidP="0098250A">
      <w:pPr>
        <w:spacing w:after="0" w:line="240" w:lineRule="auto"/>
        <w:jc w:val="both"/>
        <w:rPr>
          <w:rFonts w:eastAsia="Times New Roman" w:cs="Arial"/>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2835"/>
        <w:gridCol w:w="2551"/>
      </w:tblGrid>
      <w:tr w:rsidR="0098250A" w:rsidRPr="0098250A" w:rsidTr="0098250A">
        <w:trPr>
          <w:trHeight w:val="430"/>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center"/>
              <w:rPr>
                <w:rFonts w:cs="Arial"/>
                <w:b/>
                <w:sz w:val="20"/>
                <w:szCs w:val="20"/>
                <w:lang w:val="es-ES" w:eastAsia="es-ES"/>
              </w:rPr>
            </w:pPr>
            <w:r w:rsidRPr="0098250A">
              <w:rPr>
                <w:rFonts w:cs="Arial"/>
                <w:b/>
                <w:sz w:val="20"/>
                <w:szCs w:val="20"/>
                <w:lang w:val="es-ES" w:eastAsia="es-ES"/>
              </w:rPr>
              <w:t>Fuente</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center"/>
              <w:rPr>
                <w:rFonts w:cs="Arial"/>
                <w:b/>
                <w:sz w:val="20"/>
                <w:szCs w:val="20"/>
                <w:lang w:val="es-ES" w:eastAsia="es-ES"/>
              </w:rPr>
            </w:pPr>
            <w:r w:rsidRPr="0098250A">
              <w:rPr>
                <w:rFonts w:cs="Arial"/>
                <w:b/>
                <w:sz w:val="20"/>
                <w:szCs w:val="20"/>
                <w:lang w:val="es-ES" w:eastAsia="es-ES"/>
              </w:rPr>
              <w:t>Devengado</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center"/>
              <w:rPr>
                <w:rFonts w:cs="Arial"/>
                <w:b/>
                <w:sz w:val="20"/>
                <w:szCs w:val="20"/>
                <w:lang w:val="es-ES" w:eastAsia="es-ES"/>
              </w:rPr>
            </w:pPr>
            <w:r w:rsidRPr="0098250A">
              <w:rPr>
                <w:rFonts w:cs="Arial"/>
                <w:b/>
                <w:sz w:val="20"/>
                <w:szCs w:val="20"/>
                <w:lang w:val="es-ES" w:eastAsia="es-ES"/>
              </w:rPr>
              <w:t>Radicado/Captado</w:t>
            </w:r>
          </w:p>
        </w:tc>
      </w:tr>
      <w:tr w:rsidR="0098250A" w:rsidRPr="0098250A" w:rsidTr="0098250A">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both"/>
              <w:rPr>
                <w:rFonts w:cs="Arial"/>
                <w:sz w:val="20"/>
                <w:szCs w:val="20"/>
                <w:lang w:val="es-ES" w:eastAsia="es-ES"/>
              </w:rPr>
            </w:pPr>
            <w:r w:rsidRPr="0098250A">
              <w:rPr>
                <w:rFonts w:cs="Arial"/>
                <w:sz w:val="20"/>
                <w:szCs w:val="20"/>
                <w:lang w:val="es-ES" w:eastAsia="es-ES"/>
              </w:rPr>
              <w:t>Federal</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right"/>
              <w:rPr>
                <w:rFonts w:cs="Arial"/>
                <w:sz w:val="20"/>
                <w:szCs w:val="20"/>
                <w:lang w:val="es-ES" w:eastAsia="es-ES"/>
              </w:rPr>
            </w:pPr>
            <w:r w:rsidRPr="0098250A">
              <w:rPr>
                <w:rFonts w:cs="Arial"/>
                <w:sz w:val="20"/>
                <w:szCs w:val="20"/>
                <w:lang w:val="es-ES" w:eastAsia="es-ES"/>
              </w:rPr>
              <w:t>29,168,024.11</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right"/>
              <w:rPr>
                <w:rFonts w:cs="Arial"/>
                <w:sz w:val="20"/>
                <w:szCs w:val="20"/>
                <w:lang w:val="es-ES" w:eastAsia="es-ES"/>
              </w:rPr>
            </w:pPr>
            <w:r w:rsidRPr="0098250A">
              <w:rPr>
                <w:rFonts w:cs="Arial"/>
                <w:sz w:val="20"/>
                <w:szCs w:val="20"/>
                <w:lang w:val="es-ES" w:eastAsia="es-ES"/>
              </w:rPr>
              <w:t>29,168,024.11</w:t>
            </w:r>
          </w:p>
        </w:tc>
      </w:tr>
      <w:tr w:rsidR="0098250A" w:rsidRPr="0098250A" w:rsidTr="0098250A">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both"/>
              <w:rPr>
                <w:rFonts w:cs="Arial"/>
                <w:sz w:val="20"/>
                <w:szCs w:val="20"/>
                <w:lang w:val="es-ES" w:eastAsia="es-ES"/>
              </w:rPr>
            </w:pPr>
            <w:r w:rsidRPr="0098250A">
              <w:rPr>
                <w:rFonts w:cs="Arial"/>
                <w:sz w:val="20"/>
                <w:szCs w:val="20"/>
                <w:lang w:val="es-ES" w:eastAsia="es-ES"/>
              </w:rPr>
              <w:t>Estatal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right"/>
              <w:rPr>
                <w:rFonts w:cs="Arial"/>
                <w:sz w:val="20"/>
                <w:szCs w:val="20"/>
                <w:lang w:val="es-ES" w:eastAsia="es-ES"/>
              </w:rPr>
            </w:pPr>
            <w:r w:rsidRPr="0098250A">
              <w:rPr>
                <w:rFonts w:cs="Arial"/>
                <w:sz w:val="20"/>
                <w:szCs w:val="20"/>
                <w:lang w:val="es-ES" w:eastAsia="es-ES"/>
              </w:rPr>
              <w:t>8,275,592.71</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right"/>
              <w:rPr>
                <w:rFonts w:cs="Arial"/>
                <w:sz w:val="20"/>
                <w:szCs w:val="20"/>
                <w:lang w:val="es-ES" w:eastAsia="es-ES"/>
              </w:rPr>
            </w:pPr>
            <w:r w:rsidRPr="0098250A">
              <w:rPr>
                <w:rFonts w:cs="Arial"/>
                <w:sz w:val="20"/>
                <w:szCs w:val="20"/>
                <w:lang w:val="es-ES" w:eastAsia="es-ES"/>
              </w:rPr>
              <w:t>7,890,752.00</w:t>
            </w:r>
          </w:p>
        </w:tc>
      </w:tr>
      <w:tr w:rsidR="0098250A" w:rsidRPr="0098250A" w:rsidTr="0098250A">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both"/>
              <w:rPr>
                <w:rFonts w:cs="Arial"/>
                <w:sz w:val="20"/>
                <w:szCs w:val="20"/>
                <w:lang w:val="es-ES" w:eastAsia="es-ES"/>
              </w:rPr>
            </w:pPr>
            <w:r w:rsidRPr="0098250A">
              <w:rPr>
                <w:rFonts w:cs="Arial"/>
                <w:sz w:val="20"/>
                <w:szCs w:val="20"/>
                <w:lang w:val="es-ES" w:eastAsia="es-ES"/>
              </w:rPr>
              <w:t>Propios</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right"/>
              <w:rPr>
                <w:rFonts w:cs="Arial"/>
                <w:sz w:val="20"/>
                <w:szCs w:val="20"/>
                <w:lang w:val="es-ES" w:eastAsia="es-ES"/>
              </w:rPr>
            </w:pPr>
            <w:r w:rsidRPr="0098250A">
              <w:rPr>
                <w:rFonts w:cs="Arial"/>
                <w:sz w:val="20"/>
                <w:szCs w:val="20"/>
                <w:lang w:val="es-ES" w:eastAsia="es-ES"/>
              </w:rPr>
              <w:t>5,408,183.80</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spacing w:line="240" w:lineRule="auto"/>
              <w:jc w:val="right"/>
              <w:rPr>
                <w:rFonts w:cs="Arial"/>
                <w:sz w:val="20"/>
                <w:szCs w:val="20"/>
                <w:lang w:val="es-ES" w:eastAsia="es-ES"/>
              </w:rPr>
            </w:pPr>
            <w:r w:rsidRPr="0098250A">
              <w:rPr>
                <w:rFonts w:cs="Arial"/>
                <w:sz w:val="20"/>
                <w:szCs w:val="20"/>
                <w:lang w:val="es-ES" w:eastAsia="es-ES"/>
              </w:rPr>
              <w:t>5,408,183.80</w:t>
            </w:r>
          </w:p>
        </w:tc>
      </w:tr>
      <w:tr w:rsidR="0098250A" w:rsidRPr="0098250A" w:rsidTr="0098250A">
        <w:trPr>
          <w:jc w:val="center"/>
        </w:trPr>
        <w:tc>
          <w:tcPr>
            <w:tcW w:w="297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2835"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42,851,800.62</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42,466,959.91</w:t>
            </w:r>
          </w:p>
        </w:tc>
      </w:tr>
    </w:tbl>
    <w:p w:rsidR="0098250A" w:rsidRPr="0098250A" w:rsidRDefault="0098250A" w:rsidP="0098250A">
      <w:pPr>
        <w:numPr>
          <w:ilvl w:val="0"/>
          <w:numId w:val="13"/>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t>Gastos y Otras Perdidas</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El importe de los gastos y otras perdidas es el siguiente:</w:t>
      </w:r>
    </w:p>
    <w:p w:rsidR="0098250A" w:rsidRPr="0098250A" w:rsidRDefault="0098250A" w:rsidP="0098250A">
      <w:pPr>
        <w:spacing w:after="0" w:line="240" w:lineRule="auto"/>
        <w:jc w:val="both"/>
        <w:rPr>
          <w:rFonts w:eastAsia="Times New Roman" w:cs="Arial"/>
          <w:sz w:val="20"/>
          <w:szCs w:val="20"/>
          <w:lang w:val="es-ES" w:eastAsia="es-ES"/>
        </w:rPr>
      </w:pPr>
    </w:p>
    <w:p w:rsidR="0098250A" w:rsidRPr="0098250A" w:rsidRDefault="0098250A" w:rsidP="0098250A">
      <w:pPr>
        <w:spacing w:after="0" w:line="240" w:lineRule="auto"/>
        <w:jc w:val="both"/>
        <w:rPr>
          <w:rFonts w:eastAsia="Times New Roman" w:cs="Arial"/>
          <w:b/>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2693"/>
      </w:tblGrid>
      <w:tr w:rsidR="0098250A" w:rsidRPr="0098250A" w:rsidTr="0098250A">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98250A" w:rsidRPr="0098250A" w:rsidRDefault="0098250A" w:rsidP="0098250A">
            <w:pPr>
              <w:jc w:val="center"/>
              <w:rPr>
                <w:rFonts w:cs="Arial"/>
                <w:b/>
                <w:sz w:val="20"/>
                <w:szCs w:val="20"/>
                <w:lang w:val="es-ES" w:eastAsia="es-ES"/>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Devengado</w:t>
            </w:r>
          </w:p>
        </w:tc>
      </w:tr>
      <w:tr w:rsidR="0098250A" w:rsidRPr="0098250A" w:rsidTr="0098250A">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Servicios Personales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29,637,960.94</w:t>
            </w:r>
          </w:p>
        </w:tc>
      </w:tr>
      <w:tr w:rsidR="0098250A" w:rsidRPr="0098250A" w:rsidTr="0098250A">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Materiales y suministros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2,812,788.64</w:t>
            </w:r>
          </w:p>
        </w:tc>
      </w:tr>
      <w:tr w:rsidR="0098250A" w:rsidRPr="0098250A" w:rsidTr="0098250A">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Servicios Generales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7,947,783.98</w:t>
            </w:r>
          </w:p>
        </w:tc>
      </w:tr>
      <w:tr w:rsidR="0098250A" w:rsidRPr="0098250A" w:rsidTr="0098250A">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Transferencias, asignaciones, subsidios y otras ayudas</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265,500.00</w:t>
            </w:r>
          </w:p>
        </w:tc>
      </w:tr>
      <w:tr w:rsidR="0098250A" w:rsidRPr="0098250A" w:rsidTr="0098250A">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lastRenderedPageBreak/>
              <w:t>Estimaciones, Depreciaciones, Deterioros, Obsolescencia</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4,017,199.04</w:t>
            </w:r>
          </w:p>
        </w:tc>
      </w:tr>
      <w:tr w:rsidR="0098250A" w:rsidRPr="0098250A" w:rsidTr="0098250A">
        <w:trPr>
          <w:jc w:val="center"/>
        </w:trPr>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44,681,232.60</w:t>
            </w:r>
          </w:p>
        </w:tc>
      </w:tr>
    </w:tbl>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numPr>
          <w:ilvl w:val="0"/>
          <w:numId w:val="10"/>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t>Notas al Estado de Variación en la Hacienda Pública</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sz w:val="20"/>
          <w:szCs w:val="20"/>
          <w:lang w:val="es-ES" w:eastAsia="es-ES"/>
        </w:rPr>
      </w:pPr>
      <w:r w:rsidRPr="0098250A">
        <w:rPr>
          <w:rFonts w:eastAsia="Times New Roman" w:cs="Arial"/>
          <w:sz w:val="20"/>
          <w:szCs w:val="20"/>
          <w:lang w:val="es-ES" w:eastAsia="es-ES"/>
        </w:rPr>
        <w:t>El patrimonio del Instituto se integra por las aportaciones de bienes muebles e inmuebles recibidas, los remanentes de ejercicios anteriores y por el resultado del ejercicio. A continuación se presenta la distribución del patrimonio:</w:t>
      </w:r>
    </w:p>
    <w:p w:rsidR="0098250A" w:rsidRPr="0098250A" w:rsidRDefault="0098250A" w:rsidP="0098250A">
      <w:pPr>
        <w:spacing w:after="0" w:line="240" w:lineRule="auto"/>
        <w:jc w:val="both"/>
        <w:rPr>
          <w:rFonts w:eastAsia="Times New Roman" w:cs="Arial"/>
          <w:b/>
          <w:sz w:val="20"/>
          <w:szCs w:val="20"/>
          <w:lang w:val="es-ES" w:eastAsia="es-ES"/>
        </w:rPr>
      </w:pPr>
    </w:p>
    <w:p w:rsidR="0098250A" w:rsidRPr="0098250A" w:rsidRDefault="0098250A" w:rsidP="0098250A">
      <w:pPr>
        <w:spacing w:after="0" w:line="240" w:lineRule="auto"/>
        <w:jc w:val="both"/>
        <w:rPr>
          <w:rFonts w:eastAsia="Times New Roman" w:cs="Arial"/>
          <w:b/>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3827"/>
      </w:tblGrid>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Hacienda Pública/Patrimonio Contribuido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8250A" w:rsidRPr="0098250A" w:rsidRDefault="0098250A" w:rsidP="0098250A">
            <w:pPr>
              <w:jc w:val="center"/>
              <w:rPr>
                <w:rFonts w:cs="Arial"/>
                <w:b/>
                <w:sz w:val="20"/>
                <w:szCs w:val="20"/>
                <w:lang w:val="es-ES" w:eastAsia="es-ES"/>
              </w:rPr>
            </w:pP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Patrimonio Donado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45,955,405.35</w:t>
            </w: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Patrimonio Adquirido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12,576,714.48</w:t>
            </w: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Patrimonio Depreciado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-19,429,569.54</w:t>
            </w: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39,102,550.29</w:t>
            </w: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Hacienda Pública/ Patrimonio Generado</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98250A" w:rsidRPr="0098250A" w:rsidRDefault="0098250A" w:rsidP="0098250A">
            <w:pPr>
              <w:jc w:val="right"/>
              <w:rPr>
                <w:rFonts w:cs="Arial"/>
                <w:sz w:val="20"/>
                <w:szCs w:val="20"/>
                <w:lang w:val="es-ES" w:eastAsia="es-ES"/>
              </w:rPr>
            </w:pP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Resultado del Ejercicio</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-1,829,431.98</w:t>
            </w: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Resultado de Ejercicio Anteriores</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-1,061,925.89</w:t>
            </w:r>
          </w:p>
        </w:tc>
      </w:tr>
      <w:tr w:rsidR="0098250A" w:rsidRPr="0098250A" w:rsidTr="0098250A">
        <w:trPr>
          <w:jc w:val="center"/>
        </w:trPr>
        <w:tc>
          <w:tcPr>
            <w:tcW w:w="4536"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w:t>
            </w:r>
          </w:p>
        </w:tc>
        <w:tc>
          <w:tcPr>
            <w:tcW w:w="3827"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-2,891,357.87</w:t>
            </w:r>
          </w:p>
        </w:tc>
      </w:tr>
    </w:tbl>
    <w:p w:rsidR="0098250A" w:rsidRPr="0098250A" w:rsidRDefault="0098250A" w:rsidP="0098250A">
      <w:pPr>
        <w:rPr>
          <w:sz w:val="20"/>
          <w:szCs w:val="20"/>
        </w:rPr>
      </w:pPr>
    </w:p>
    <w:p w:rsidR="0098250A" w:rsidRPr="0098250A" w:rsidRDefault="0098250A" w:rsidP="0098250A">
      <w:pPr>
        <w:numPr>
          <w:ilvl w:val="0"/>
          <w:numId w:val="10"/>
        </w:numPr>
        <w:spacing w:after="0" w:line="240" w:lineRule="auto"/>
        <w:contextualSpacing/>
        <w:jc w:val="both"/>
        <w:rPr>
          <w:rFonts w:eastAsia="Times New Roman" w:cs="Arial"/>
          <w:b/>
          <w:sz w:val="20"/>
          <w:szCs w:val="20"/>
          <w:lang w:val="es-ES" w:eastAsia="es-ES"/>
        </w:rPr>
      </w:pPr>
      <w:r w:rsidRPr="0098250A">
        <w:rPr>
          <w:rFonts w:eastAsia="Times New Roman" w:cs="Arial"/>
          <w:b/>
          <w:sz w:val="20"/>
          <w:szCs w:val="20"/>
          <w:lang w:val="es-ES" w:eastAsia="es-ES"/>
        </w:rPr>
        <w:lastRenderedPageBreak/>
        <w:t>Notas al Estado de Flujo de Efectivo</w:t>
      </w:r>
    </w:p>
    <w:p w:rsidR="0098250A" w:rsidRPr="0098250A" w:rsidRDefault="0098250A" w:rsidP="0098250A">
      <w:pPr>
        <w:spacing w:after="0" w:line="240" w:lineRule="auto"/>
        <w:ind w:left="360"/>
        <w:contextualSpacing/>
        <w:jc w:val="both"/>
        <w:rPr>
          <w:rFonts w:eastAsia="Times New Roman" w:cs="Arial"/>
          <w:b/>
          <w:sz w:val="20"/>
          <w:szCs w:val="20"/>
          <w:lang w:val="es-ES" w:eastAsia="es-ES"/>
        </w:rPr>
      </w:pPr>
    </w:p>
    <w:p w:rsidR="0098250A" w:rsidRPr="0098250A" w:rsidRDefault="0098250A" w:rsidP="0098250A">
      <w:pPr>
        <w:spacing w:after="0" w:line="240" w:lineRule="auto"/>
        <w:ind w:left="360"/>
        <w:contextualSpacing/>
        <w:jc w:val="both"/>
        <w:rPr>
          <w:rFonts w:eastAsia="Times New Roman" w:cs="Arial"/>
          <w:b/>
          <w:sz w:val="20"/>
          <w:szCs w:val="20"/>
          <w:lang w:val="es-ES" w:eastAsia="es-ES"/>
        </w:rPr>
      </w:pPr>
    </w:p>
    <w:tbl>
      <w:tblPr>
        <w:tblW w:w="0" w:type="auto"/>
        <w:jc w:val="center"/>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2"/>
        <w:gridCol w:w="2410"/>
        <w:gridCol w:w="2551"/>
      </w:tblGrid>
      <w:tr w:rsidR="0098250A" w:rsidRPr="0098250A" w:rsidTr="0098250A">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8250A" w:rsidRPr="0098250A" w:rsidRDefault="0098250A" w:rsidP="0098250A">
            <w:pPr>
              <w:jc w:val="center"/>
              <w:rPr>
                <w:rFonts w:cs="Arial"/>
                <w:b/>
                <w:sz w:val="20"/>
                <w:szCs w:val="20"/>
                <w:lang w:val="es-ES" w:eastAsia="es-E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2017</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2016</w:t>
            </w:r>
          </w:p>
        </w:tc>
      </w:tr>
      <w:tr w:rsidR="0098250A" w:rsidRPr="0098250A" w:rsidTr="0098250A">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 xml:space="preserve">Efectivo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11,134.11</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11,134.11</w:t>
            </w:r>
          </w:p>
        </w:tc>
      </w:tr>
      <w:tr w:rsidR="0098250A" w:rsidRPr="0098250A" w:rsidTr="0098250A">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Bancos Dependencias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6,688,203.12</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3,395,846.40</w:t>
            </w:r>
          </w:p>
        </w:tc>
      </w:tr>
      <w:tr w:rsidR="0098250A" w:rsidRPr="0098250A" w:rsidTr="0098250A">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both"/>
              <w:rPr>
                <w:rFonts w:cs="Arial"/>
                <w:sz w:val="20"/>
                <w:szCs w:val="20"/>
                <w:lang w:val="es-ES" w:eastAsia="es-ES"/>
              </w:rPr>
            </w:pPr>
            <w:r w:rsidRPr="0098250A">
              <w:rPr>
                <w:rFonts w:cs="Arial"/>
                <w:sz w:val="20"/>
                <w:szCs w:val="20"/>
                <w:lang w:val="es-ES" w:eastAsia="es-ES"/>
              </w:rPr>
              <w:t>Inversiones Temporales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spacing w:after="0" w:line="240" w:lineRule="auto"/>
              <w:jc w:val="right"/>
              <w:rPr>
                <w:rFonts w:eastAsia="Times New Roman" w:cs="Arial"/>
                <w:sz w:val="20"/>
                <w:szCs w:val="20"/>
                <w:lang w:val="es-ES" w:eastAsia="es-ES"/>
              </w:rPr>
            </w:pPr>
            <w:r w:rsidRPr="0098250A">
              <w:rPr>
                <w:rFonts w:eastAsia="Times New Roman" w:cs="Arial"/>
                <w:sz w:val="20"/>
                <w:szCs w:val="20"/>
                <w:lang w:val="es-ES" w:eastAsia="es-ES"/>
              </w:rPr>
              <w:t>3,588,613.86</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sz w:val="20"/>
                <w:szCs w:val="20"/>
                <w:lang w:val="es-ES" w:eastAsia="es-ES"/>
              </w:rPr>
            </w:pPr>
            <w:r w:rsidRPr="0098250A">
              <w:rPr>
                <w:rFonts w:cs="Arial"/>
                <w:sz w:val="20"/>
                <w:szCs w:val="20"/>
                <w:lang w:val="es-ES" w:eastAsia="es-ES"/>
              </w:rPr>
              <w:t>5,274,745.40</w:t>
            </w:r>
          </w:p>
        </w:tc>
      </w:tr>
      <w:tr w:rsidR="0098250A" w:rsidRPr="0098250A" w:rsidTr="0098250A">
        <w:trPr>
          <w:jc w:val="center"/>
        </w:trPr>
        <w:tc>
          <w:tcPr>
            <w:tcW w:w="3402"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center"/>
              <w:rPr>
                <w:rFonts w:cs="Arial"/>
                <w:b/>
                <w:sz w:val="20"/>
                <w:szCs w:val="20"/>
                <w:lang w:val="es-ES" w:eastAsia="es-ES"/>
              </w:rPr>
            </w:pPr>
            <w:r w:rsidRPr="0098250A">
              <w:rPr>
                <w:rFonts w:cs="Arial"/>
                <w:b/>
                <w:sz w:val="20"/>
                <w:szCs w:val="20"/>
                <w:lang w:val="es-ES" w:eastAsia="es-ES"/>
              </w:rPr>
              <w:t>Total de Efectivo y Equivalentes</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98250A" w:rsidRPr="0098250A" w:rsidRDefault="0098250A" w:rsidP="0098250A">
            <w:pPr>
              <w:spacing w:after="0" w:line="240" w:lineRule="auto"/>
              <w:jc w:val="right"/>
              <w:rPr>
                <w:rFonts w:eastAsia="Times New Roman" w:cs="Arial"/>
                <w:b/>
                <w:sz w:val="20"/>
                <w:szCs w:val="20"/>
                <w:lang w:val="es-ES" w:eastAsia="es-ES"/>
              </w:rPr>
            </w:pPr>
            <w:r w:rsidRPr="0098250A">
              <w:rPr>
                <w:rFonts w:eastAsia="Times New Roman" w:cs="Arial"/>
                <w:b/>
                <w:sz w:val="20"/>
                <w:szCs w:val="20"/>
                <w:lang w:val="es-ES" w:eastAsia="es-ES"/>
              </w:rPr>
              <w:t>10,287,951.09</w:t>
            </w: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98250A" w:rsidRPr="0098250A" w:rsidRDefault="0098250A" w:rsidP="0098250A">
            <w:pPr>
              <w:jc w:val="right"/>
              <w:rPr>
                <w:rFonts w:cs="Arial"/>
                <w:b/>
                <w:sz w:val="20"/>
                <w:szCs w:val="20"/>
                <w:lang w:val="es-ES" w:eastAsia="es-ES"/>
              </w:rPr>
            </w:pPr>
            <w:r w:rsidRPr="0098250A">
              <w:rPr>
                <w:rFonts w:cs="Arial"/>
                <w:b/>
                <w:sz w:val="20"/>
                <w:szCs w:val="20"/>
                <w:lang w:val="es-ES" w:eastAsia="es-ES"/>
              </w:rPr>
              <w:t>8,681,726.43</w:t>
            </w:r>
          </w:p>
        </w:tc>
      </w:tr>
    </w:tbl>
    <w:p w:rsidR="006F355A" w:rsidRDefault="006F355A" w:rsidP="006F3019">
      <w:pPr>
        <w:spacing w:line="240" w:lineRule="auto"/>
        <w:rPr>
          <w:rFonts w:cs="Arial"/>
          <w:b/>
          <w:sz w:val="20"/>
          <w:szCs w:val="20"/>
        </w:rPr>
      </w:pPr>
    </w:p>
    <w:p w:rsidR="00310854" w:rsidRDefault="00310854" w:rsidP="006F3019">
      <w:pPr>
        <w:spacing w:line="240" w:lineRule="auto"/>
        <w:rPr>
          <w:rFonts w:cs="Arial"/>
          <w:b/>
          <w:sz w:val="20"/>
          <w:szCs w:val="20"/>
        </w:rPr>
      </w:pPr>
    </w:p>
    <w:p w:rsidR="00310854" w:rsidRPr="0098250A" w:rsidRDefault="00310854" w:rsidP="006F3019">
      <w:pPr>
        <w:spacing w:line="240" w:lineRule="auto"/>
        <w:rPr>
          <w:rFonts w:cs="Arial"/>
          <w:b/>
          <w:sz w:val="20"/>
          <w:szCs w:val="20"/>
        </w:rPr>
      </w:pPr>
      <w:bookmarkStart w:id="2" w:name="_GoBack"/>
      <w:bookmarkEnd w:id="2"/>
    </w:p>
    <w:p w:rsidR="006F355A" w:rsidRPr="0098250A" w:rsidRDefault="006F355A" w:rsidP="006F3019">
      <w:pPr>
        <w:spacing w:line="240" w:lineRule="auto"/>
        <w:rPr>
          <w:rFonts w:cs="Arial"/>
          <w:sz w:val="20"/>
          <w:szCs w:val="20"/>
        </w:rPr>
      </w:pPr>
      <w:r w:rsidRPr="0098250A">
        <w:rPr>
          <w:rFonts w:cs="Arial"/>
          <w:sz w:val="20"/>
          <w:szCs w:val="20"/>
        </w:rPr>
        <w:t>Bajo protesta de decir verdad declaramos que</w:t>
      </w:r>
      <w:r w:rsidR="00DD454E" w:rsidRPr="0098250A">
        <w:rPr>
          <w:rFonts w:cs="Arial"/>
          <w:sz w:val="20"/>
          <w:szCs w:val="20"/>
        </w:rPr>
        <w:t xml:space="preserve"> los Estados Financieros y sus N</w:t>
      </w:r>
      <w:r w:rsidRPr="0098250A">
        <w:rPr>
          <w:rFonts w:cs="Arial"/>
          <w:sz w:val="20"/>
          <w:szCs w:val="20"/>
        </w:rPr>
        <w:t>otas son razonablemente correctos y responsabilidad del emisor.</w:t>
      </w:r>
    </w:p>
    <w:sectPr w:rsidR="006F355A" w:rsidRPr="0098250A" w:rsidSect="00134A70">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86F"/>
    <w:multiLevelType w:val="hybridMultilevel"/>
    <w:tmpl w:val="FFDA0258"/>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15BA485B"/>
    <w:multiLevelType w:val="hybridMultilevel"/>
    <w:tmpl w:val="D6C27EFA"/>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1C3975C3"/>
    <w:multiLevelType w:val="hybridMultilevel"/>
    <w:tmpl w:val="625CF612"/>
    <w:lvl w:ilvl="0" w:tplc="0C0A0011">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nsid w:val="27E52BEA"/>
    <w:multiLevelType w:val="hybridMultilevel"/>
    <w:tmpl w:val="9708A91C"/>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
    <w:nsid w:val="31A4285E"/>
    <w:multiLevelType w:val="hybridMultilevel"/>
    <w:tmpl w:val="74BA8E42"/>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nsid w:val="321C1B54"/>
    <w:multiLevelType w:val="hybridMultilevel"/>
    <w:tmpl w:val="4858C910"/>
    <w:lvl w:ilvl="0" w:tplc="F58455F2">
      <w:start w:val="1"/>
      <w:numFmt w:val="upp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nsid w:val="595969A5"/>
    <w:multiLevelType w:val="hybridMultilevel"/>
    <w:tmpl w:val="711EF108"/>
    <w:lvl w:ilvl="0" w:tplc="0C0A0001">
      <w:start w:val="1"/>
      <w:numFmt w:val="bullet"/>
      <w:lvlText w:val=""/>
      <w:lvlJc w:val="left"/>
      <w:pPr>
        <w:ind w:left="1485" w:hanging="360"/>
      </w:pPr>
      <w:rPr>
        <w:rFonts w:ascii="Symbol" w:hAnsi="Symbol" w:hint="default"/>
      </w:rPr>
    </w:lvl>
    <w:lvl w:ilvl="1" w:tplc="0C0A0003" w:tentative="1">
      <w:start w:val="1"/>
      <w:numFmt w:val="bullet"/>
      <w:lvlText w:val="o"/>
      <w:lvlJc w:val="left"/>
      <w:pPr>
        <w:ind w:left="2205" w:hanging="360"/>
      </w:pPr>
      <w:rPr>
        <w:rFonts w:ascii="Courier New" w:hAnsi="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hint="default"/>
      </w:rPr>
    </w:lvl>
    <w:lvl w:ilvl="8" w:tplc="0C0A0005" w:tentative="1">
      <w:start w:val="1"/>
      <w:numFmt w:val="bullet"/>
      <w:lvlText w:val=""/>
      <w:lvlJc w:val="left"/>
      <w:pPr>
        <w:ind w:left="7245" w:hanging="360"/>
      </w:pPr>
      <w:rPr>
        <w:rFonts w:ascii="Wingdings" w:hAnsi="Wingdings" w:hint="default"/>
      </w:rPr>
    </w:lvl>
  </w:abstractNum>
  <w:num w:numId="1">
    <w:abstractNumId w:val="1"/>
  </w:num>
  <w:num w:numId="2">
    <w:abstractNumId w:val="6"/>
  </w:num>
  <w:num w:numId="3">
    <w:abstractNumId w:val="4"/>
  </w:num>
  <w:num w:numId="4">
    <w:abstractNumId w:val="5"/>
  </w:num>
  <w:num w:numId="5">
    <w:abstractNumId w:val="2"/>
  </w:num>
  <w:num w:numId="6">
    <w:abstractNumId w:val="3"/>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748"/>
    <w:rsid w:val="0000790A"/>
    <w:rsid w:val="000773CA"/>
    <w:rsid w:val="000A126C"/>
    <w:rsid w:val="000A4981"/>
    <w:rsid w:val="000E3295"/>
    <w:rsid w:val="000E6393"/>
    <w:rsid w:val="00134A70"/>
    <w:rsid w:val="00197C2B"/>
    <w:rsid w:val="002103F2"/>
    <w:rsid w:val="00273238"/>
    <w:rsid w:val="00274038"/>
    <w:rsid w:val="002C58EF"/>
    <w:rsid w:val="00310854"/>
    <w:rsid w:val="003129FF"/>
    <w:rsid w:val="003210C1"/>
    <w:rsid w:val="003568DA"/>
    <w:rsid w:val="00386169"/>
    <w:rsid w:val="003E2DC9"/>
    <w:rsid w:val="003E5BEC"/>
    <w:rsid w:val="00430A81"/>
    <w:rsid w:val="00443CFE"/>
    <w:rsid w:val="00494707"/>
    <w:rsid w:val="005620D4"/>
    <w:rsid w:val="00594617"/>
    <w:rsid w:val="005C46C9"/>
    <w:rsid w:val="005E790C"/>
    <w:rsid w:val="005F318A"/>
    <w:rsid w:val="005F3FD3"/>
    <w:rsid w:val="005F5764"/>
    <w:rsid w:val="00626DFB"/>
    <w:rsid w:val="00657633"/>
    <w:rsid w:val="0067300E"/>
    <w:rsid w:val="006D0315"/>
    <w:rsid w:val="006E5B4F"/>
    <w:rsid w:val="006F0BF0"/>
    <w:rsid w:val="006F3019"/>
    <w:rsid w:val="006F355A"/>
    <w:rsid w:val="00783C8C"/>
    <w:rsid w:val="00791D6E"/>
    <w:rsid w:val="007B43D9"/>
    <w:rsid w:val="007E138C"/>
    <w:rsid w:val="0082318B"/>
    <w:rsid w:val="00837B00"/>
    <w:rsid w:val="008460A3"/>
    <w:rsid w:val="0086622C"/>
    <w:rsid w:val="008A023F"/>
    <w:rsid w:val="008B458A"/>
    <w:rsid w:val="00915AD7"/>
    <w:rsid w:val="00935BA2"/>
    <w:rsid w:val="009635D8"/>
    <w:rsid w:val="0096376F"/>
    <w:rsid w:val="009779B3"/>
    <w:rsid w:val="0098250A"/>
    <w:rsid w:val="009F0748"/>
    <w:rsid w:val="009F3250"/>
    <w:rsid w:val="009F44B5"/>
    <w:rsid w:val="00A52D01"/>
    <w:rsid w:val="00AC192E"/>
    <w:rsid w:val="00B3279F"/>
    <w:rsid w:val="00B50641"/>
    <w:rsid w:val="00B56042"/>
    <w:rsid w:val="00B644A6"/>
    <w:rsid w:val="00B765A9"/>
    <w:rsid w:val="00BA482C"/>
    <w:rsid w:val="00BF6CAF"/>
    <w:rsid w:val="00C36172"/>
    <w:rsid w:val="00C56B8F"/>
    <w:rsid w:val="00C86955"/>
    <w:rsid w:val="00CC4E60"/>
    <w:rsid w:val="00CE5E9F"/>
    <w:rsid w:val="00CF2DF2"/>
    <w:rsid w:val="00CF42B2"/>
    <w:rsid w:val="00D4408C"/>
    <w:rsid w:val="00D56425"/>
    <w:rsid w:val="00D83798"/>
    <w:rsid w:val="00DD454E"/>
    <w:rsid w:val="00DD77DA"/>
    <w:rsid w:val="00E17010"/>
    <w:rsid w:val="00E37E90"/>
    <w:rsid w:val="00EA39FD"/>
    <w:rsid w:val="00EB2D4A"/>
    <w:rsid w:val="00EB3E01"/>
    <w:rsid w:val="00EB7D20"/>
    <w:rsid w:val="00EC49CB"/>
    <w:rsid w:val="00F71A76"/>
    <w:rsid w:val="00FB6DD7"/>
    <w:rsid w:val="00FD38D0"/>
    <w:rsid w:val="00FF3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633"/>
    <w:pPr>
      <w:spacing w:after="200" w:line="276" w:lineRule="auto"/>
    </w:pPr>
    <w:rPr>
      <w:sz w:val="22"/>
      <w:szCs w:val="22"/>
      <w:lang w:eastAsia="en-US"/>
    </w:rPr>
  </w:style>
  <w:style w:type="paragraph" w:styleId="Ttulo1">
    <w:name w:val="heading 1"/>
    <w:basedOn w:val="Normal"/>
    <w:next w:val="Normal"/>
    <w:link w:val="Ttulo1Car"/>
    <w:uiPriority w:val="99"/>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uiPriority w:val="99"/>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FF3901"/>
    <w:rPr>
      <w:rFonts w:ascii="Times New Roman" w:hAnsi="Times New Roman" w:cs="Times New Roman"/>
      <w:b/>
      <w:bCs/>
      <w:sz w:val="24"/>
      <w:szCs w:val="24"/>
      <w:lang w:eastAsia="es-ES"/>
    </w:rPr>
  </w:style>
  <w:style w:type="character" w:customStyle="1" w:styleId="Ttulo6Car">
    <w:name w:val="Título 6 Car"/>
    <w:link w:val="Ttulo6"/>
    <w:uiPriority w:val="99"/>
    <w:locked/>
    <w:rsid w:val="00FF3901"/>
    <w:rPr>
      <w:rFonts w:ascii="Arial" w:hAnsi="Arial" w:cs="Times New Roman"/>
      <w:b/>
      <w:sz w:val="24"/>
      <w:szCs w:val="24"/>
      <w:lang w:eastAsia="es-ES"/>
    </w:rPr>
  </w:style>
  <w:style w:type="paragraph" w:styleId="Sangradetextonormal">
    <w:name w:val="Body Text Indent"/>
    <w:basedOn w:val="Normal"/>
    <w:link w:val="SangradetextonormalCar"/>
    <w:uiPriority w:val="99"/>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link w:val="Sangradetextonormal"/>
    <w:uiPriority w:val="99"/>
    <w:locked/>
    <w:rsid w:val="00FF3901"/>
    <w:rPr>
      <w:rFonts w:ascii="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uiPriority w:val="34"/>
    <w:qFormat/>
    <w:rsid w:val="009F44B5"/>
    <w:pPr>
      <w:ind w:left="720"/>
      <w:contextualSpacing/>
    </w:pPr>
  </w:style>
  <w:style w:type="table" w:customStyle="1" w:styleId="Tablaconcuadrcula2">
    <w:name w:val="Tabla con cuadrícula2"/>
    <w:basedOn w:val="Tablanormal"/>
    <w:uiPriority w:val="59"/>
    <w:rsid w:val="00CF42B2"/>
    <w:rPr>
      <w:sz w:val="22"/>
      <w:szCs w:val="22"/>
      <w:lang w:val="es-E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682370">
      <w:bodyDiv w:val="1"/>
      <w:marLeft w:val="0"/>
      <w:marRight w:val="0"/>
      <w:marTop w:val="0"/>
      <w:marBottom w:val="0"/>
      <w:divBdr>
        <w:top w:val="none" w:sz="0" w:space="0" w:color="auto"/>
        <w:left w:val="none" w:sz="0" w:space="0" w:color="auto"/>
        <w:bottom w:val="none" w:sz="0" w:space="0" w:color="auto"/>
        <w:right w:val="none" w:sz="0" w:space="0" w:color="auto"/>
      </w:divBdr>
    </w:div>
    <w:div w:id="1797723987">
      <w:bodyDiv w:val="1"/>
      <w:marLeft w:val="0"/>
      <w:marRight w:val="0"/>
      <w:marTop w:val="0"/>
      <w:marBottom w:val="0"/>
      <w:divBdr>
        <w:top w:val="none" w:sz="0" w:space="0" w:color="auto"/>
        <w:left w:val="none" w:sz="0" w:space="0" w:color="auto"/>
        <w:bottom w:val="none" w:sz="0" w:space="0" w:color="auto"/>
        <w:right w:val="none" w:sz="0" w:space="0" w:color="auto"/>
      </w:divBdr>
    </w:div>
    <w:div w:id="188213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11</Pages>
  <Words>1967</Words>
  <Characters>10822</Characters>
  <Application>Microsoft Office Word</Application>
  <DocSecurity>0</DocSecurity>
  <Lines>90</Lines>
  <Paragraphs>25</Paragraphs>
  <ScaleCrop>false</ScaleCrop>
  <Company/>
  <LinksUpToDate>false</LinksUpToDate>
  <CharactersWithSpaces>12764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Cuenta Pública 2015</dc:title>
  <dc:subject/>
  <dc:creator>Rita A. Hernandez Cruz</dc:creator>
  <cp:keywords/>
  <dc:description/>
  <cp:lastModifiedBy>Sharon Y. Lara Medrano</cp:lastModifiedBy>
  <cp:revision>12</cp:revision>
  <cp:lastPrinted>2015-12-03T22:33:00Z</cp:lastPrinted>
  <dcterms:created xsi:type="dcterms:W3CDTF">2016-03-24T19:32:00Z</dcterms:created>
  <dcterms:modified xsi:type="dcterms:W3CDTF">2018-03-08T18:08:00Z</dcterms:modified>
</cp:coreProperties>
</file>