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23" w:rsidRPr="00C5135F" w:rsidRDefault="00B6089F" w:rsidP="005D36C8">
      <w:pPr>
        <w:spacing w:after="200"/>
        <w:jc w:val="center"/>
        <w:rPr>
          <w:rFonts w:ascii="Calibri" w:hAnsi="Calibri" w:cs="Arial"/>
          <w:b/>
          <w:sz w:val="20"/>
          <w:szCs w:val="20"/>
          <w:lang w:eastAsia="en-US"/>
        </w:rPr>
      </w:pPr>
      <w:r>
        <w:rPr>
          <w:rFonts w:ascii="Calibri" w:hAnsi="Calibri" w:cs="Arial"/>
          <w:b/>
          <w:sz w:val="20"/>
          <w:szCs w:val="20"/>
          <w:lang w:eastAsia="en-US"/>
        </w:rPr>
        <w:t>Cuenta Pública 2018</w:t>
      </w:r>
    </w:p>
    <w:p w:rsidR="004A7723" w:rsidRPr="00C5135F" w:rsidRDefault="004A7723" w:rsidP="005D36C8">
      <w:pPr>
        <w:spacing w:after="200"/>
        <w:jc w:val="center"/>
        <w:rPr>
          <w:rFonts w:ascii="Calibri" w:hAnsi="Calibri" w:cs="Arial"/>
          <w:b/>
          <w:sz w:val="20"/>
          <w:szCs w:val="20"/>
          <w:lang w:eastAsia="en-US"/>
        </w:rPr>
      </w:pPr>
      <w:r w:rsidRPr="00C5135F">
        <w:rPr>
          <w:rFonts w:ascii="Calibri" w:hAnsi="Calibri" w:cs="Arial"/>
          <w:b/>
          <w:sz w:val="20"/>
          <w:szCs w:val="20"/>
          <w:lang w:eastAsia="en-US"/>
        </w:rPr>
        <w:t>Notas a los Estados Financieros</w:t>
      </w:r>
    </w:p>
    <w:p w:rsidR="004A7723" w:rsidRPr="00C5135F" w:rsidRDefault="00D43F28" w:rsidP="005D36C8">
      <w:pPr>
        <w:spacing w:after="200"/>
        <w:jc w:val="center"/>
        <w:rPr>
          <w:rFonts w:ascii="Calibri" w:hAnsi="Calibri" w:cs="Arial"/>
          <w:b/>
          <w:sz w:val="20"/>
          <w:szCs w:val="20"/>
          <w:lang w:eastAsia="en-US"/>
        </w:rPr>
      </w:pPr>
      <w:r>
        <w:rPr>
          <w:rFonts w:ascii="Calibri" w:hAnsi="Calibri" w:cs="Arial"/>
          <w:b/>
          <w:sz w:val="20"/>
          <w:szCs w:val="20"/>
          <w:lang w:eastAsia="en-US"/>
        </w:rPr>
        <w:t>Al 3</w:t>
      </w:r>
      <w:r w:rsidR="00B6089F">
        <w:rPr>
          <w:rFonts w:ascii="Calibri" w:hAnsi="Calibri" w:cs="Arial"/>
          <w:b/>
          <w:sz w:val="20"/>
          <w:szCs w:val="20"/>
          <w:lang w:eastAsia="en-US"/>
        </w:rPr>
        <w:t>1 de Marzo</w:t>
      </w:r>
      <w:r w:rsidR="00950E05">
        <w:rPr>
          <w:rFonts w:ascii="Calibri" w:hAnsi="Calibri" w:cs="Arial"/>
          <w:b/>
          <w:sz w:val="20"/>
          <w:szCs w:val="20"/>
          <w:lang w:eastAsia="en-US"/>
        </w:rPr>
        <w:t xml:space="preserve"> </w:t>
      </w:r>
      <w:r w:rsidR="00B6089F">
        <w:rPr>
          <w:rFonts w:ascii="Calibri" w:hAnsi="Calibri" w:cs="Arial"/>
          <w:b/>
          <w:sz w:val="20"/>
          <w:szCs w:val="20"/>
          <w:lang w:eastAsia="en-US"/>
        </w:rPr>
        <w:t>de 2018</w:t>
      </w:r>
    </w:p>
    <w:p w:rsidR="004A7723" w:rsidRPr="00C5135F" w:rsidRDefault="004A7723" w:rsidP="00941BF1">
      <w:pPr>
        <w:spacing w:after="200"/>
        <w:jc w:val="center"/>
        <w:rPr>
          <w:rFonts w:ascii="Calibri" w:hAnsi="Calibri" w:cs="Arial"/>
          <w:b/>
          <w:sz w:val="20"/>
          <w:szCs w:val="20"/>
          <w:lang w:eastAsia="en-US"/>
        </w:rPr>
      </w:pPr>
      <w:r w:rsidRPr="00C5135F">
        <w:rPr>
          <w:rFonts w:ascii="Calibri" w:hAnsi="Calibri" w:cs="Arial"/>
          <w:b/>
          <w:sz w:val="20"/>
          <w:szCs w:val="20"/>
          <w:lang w:eastAsia="en-US"/>
        </w:rPr>
        <w:t>Pesos</w:t>
      </w:r>
    </w:p>
    <w:p w:rsidR="004A7723" w:rsidRPr="00C5135F" w:rsidRDefault="004A7723" w:rsidP="005D36C8">
      <w:pPr>
        <w:spacing w:after="200"/>
        <w:rPr>
          <w:rFonts w:ascii="Calibri" w:hAnsi="Calibri" w:cs="Arial"/>
          <w:b/>
          <w:sz w:val="20"/>
          <w:szCs w:val="20"/>
          <w:lang w:eastAsia="en-US"/>
        </w:rPr>
      </w:pPr>
      <w:r w:rsidRPr="00C5135F">
        <w:rPr>
          <w:rFonts w:ascii="Calibri" w:hAnsi="Calibri" w:cs="Arial"/>
          <w:b/>
          <w:sz w:val="20"/>
          <w:szCs w:val="20"/>
          <w:lang w:eastAsia="en-US"/>
        </w:rPr>
        <w:t>Ente Público</w:t>
      </w:r>
      <w:proofErr w:type="gramStart"/>
      <w:r w:rsidRPr="00C5135F">
        <w:rPr>
          <w:rFonts w:ascii="Calibri" w:hAnsi="Calibri" w:cs="Arial"/>
          <w:b/>
          <w:sz w:val="20"/>
          <w:szCs w:val="20"/>
          <w:lang w:eastAsia="en-US"/>
        </w:rPr>
        <w:t>:  AUDITORÍA</w:t>
      </w:r>
      <w:proofErr w:type="gramEnd"/>
      <w:r w:rsidRPr="00C5135F">
        <w:rPr>
          <w:rFonts w:ascii="Calibri" w:hAnsi="Calibri" w:cs="Arial"/>
          <w:b/>
          <w:sz w:val="20"/>
          <w:szCs w:val="20"/>
          <w:lang w:eastAsia="en-US"/>
        </w:rPr>
        <w:t xml:space="preserve"> SUPERIOR DEL ESTADO DE YUCATÁN</w:t>
      </w:r>
      <w:bookmarkStart w:id="0" w:name="_GoBack"/>
      <w:bookmarkEnd w:id="0"/>
    </w:p>
    <w:p w:rsidR="00B6089F" w:rsidRPr="00B6089F" w:rsidRDefault="00B6089F" w:rsidP="00B6089F">
      <w:pPr>
        <w:rPr>
          <w:rFonts w:ascii="Calibri" w:hAnsi="Calibri" w:cs="Calibri"/>
          <w:b/>
          <w:sz w:val="20"/>
          <w:szCs w:val="20"/>
          <w:u w:val="single"/>
        </w:rPr>
      </w:pPr>
      <w:r w:rsidRPr="00B6089F">
        <w:rPr>
          <w:rFonts w:ascii="Calibri" w:hAnsi="Calibri" w:cs="Calibri"/>
          <w:b/>
          <w:sz w:val="20"/>
          <w:szCs w:val="20"/>
          <w:u w:val="single"/>
        </w:rPr>
        <w:t>NOTAS DE GESTIÓN ADMINISTRATIVO</w:t>
      </w:r>
    </w:p>
    <w:p w:rsidR="00B6089F" w:rsidRPr="00B6089F" w:rsidRDefault="00B6089F" w:rsidP="00B6089F">
      <w:pPr>
        <w:jc w:val="both"/>
        <w:rPr>
          <w:rFonts w:ascii="Calibri" w:hAnsi="Calibri"/>
          <w:b/>
          <w:sz w:val="20"/>
          <w:szCs w:val="20"/>
        </w:rPr>
      </w:pPr>
    </w:p>
    <w:p w:rsidR="00B6089F" w:rsidRPr="00B6089F" w:rsidRDefault="00B6089F" w:rsidP="00B6089F">
      <w:pPr>
        <w:pStyle w:val="Ttulo1"/>
        <w:pBdr>
          <w:top w:val="single" w:sz="4" w:space="0" w:color="auto"/>
          <w:left w:val="single" w:sz="4" w:space="4" w:color="auto"/>
          <w:bottom w:val="single" w:sz="4" w:space="1" w:color="auto"/>
          <w:right w:val="single" w:sz="4" w:space="4" w:color="auto"/>
        </w:pBdr>
        <w:tabs>
          <w:tab w:val="left" w:pos="1691"/>
        </w:tabs>
        <w:jc w:val="both"/>
        <w:rPr>
          <w:rFonts w:ascii="Calibri" w:hAnsi="Calibri"/>
          <w:sz w:val="20"/>
          <w:szCs w:val="20"/>
        </w:rPr>
      </w:pPr>
      <w:r w:rsidRPr="00B6089F">
        <w:rPr>
          <w:rFonts w:ascii="Calibri" w:hAnsi="Calibri"/>
          <w:sz w:val="20"/>
          <w:szCs w:val="20"/>
        </w:rPr>
        <w:t>Nota 1     Personalidad jurídica y actividad operacional</w:t>
      </w:r>
    </w:p>
    <w:p w:rsidR="00B6089F" w:rsidRPr="00B6089F" w:rsidRDefault="00B6089F" w:rsidP="00B6089F">
      <w:pPr>
        <w:jc w:val="both"/>
        <w:rPr>
          <w:rFonts w:ascii="Calibri" w:hAnsi="Calibri"/>
          <w:b/>
          <w:sz w:val="20"/>
          <w:szCs w:val="20"/>
        </w:rPr>
      </w:pPr>
    </w:p>
    <w:p w:rsidR="00B6089F" w:rsidRPr="00B6089F" w:rsidRDefault="00B6089F" w:rsidP="00B6089F">
      <w:pPr>
        <w:pStyle w:val="Sangradetextonormal"/>
        <w:ind w:firstLine="528"/>
        <w:jc w:val="both"/>
        <w:rPr>
          <w:rFonts w:ascii="Calibri" w:hAnsi="Calibri"/>
          <w:sz w:val="20"/>
          <w:szCs w:val="20"/>
          <w:lang w:val="es-ES"/>
        </w:rPr>
      </w:pPr>
      <w:r w:rsidRPr="00B6089F">
        <w:rPr>
          <w:rFonts w:ascii="Calibri" w:hAnsi="Calibri"/>
          <w:sz w:val="20"/>
          <w:szCs w:val="20"/>
          <w:lang w:val="es-ES"/>
        </w:rPr>
        <w:t>La Auditoria Superior del Estado es un Órgano técnico del poder legislativo, responsable de fiscalizar el ejercicio de los recursos públicos,  con autonomía técnica, presupuestal y de gestión para el ejercicio de sus atribuciones así como para decidir sobre su organización, funcionamiento y resoluciones en los términos que dispone la Ley de Fiscalización de la Cuenta Pública del Estado de Yucatán, de conformidad al decreto Numero 289.</w:t>
      </w:r>
    </w:p>
    <w:p w:rsidR="00B6089F" w:rsidRPr="00B6089F" w:rsidRDefault="00B6089F" w:rsidP="00B6089F">
      <w:pPr>
        <w:pStyle w:val="Sangradetextonormal"/>
        <w:ind w:left="0"/>
        <w:jc w:val="both"/>
        <w:rPr>
          <w:rFonts w:ascii="Calibri" w:hAnsi="Calibri"/>
          <w:b/>
          <w:sz w:val="20"/>
          <w:szCs w:val="20"/>
          <w:lang w:val="es-ES"/>
        </w:rPr>
      </w:pPr>
    </w:p>
    <w:p w:rsidR="00B6089F" w:rsidRPr="00B6089F" w:rsidRDefault="00B6089F" w:rsidP="00B6089F">
      <w:pPr>
        <w:pStyle w:val="Ttulo1"/>
        <w:pBdr>
          <w:top w:val="single" w:sz="4" w:space="1" w:color="auto"/>
          <w:left w:val="single" w:sz="4" w:space="4" w:color="auto"/>
          <w:bottom w:val="single" w:sz="4" w:space="1" w:color="auto"/>
          <w:right w:val="single" w:sz="4" w:space="4" w:color="auto"/>
        </w:pBdr>
        <w:tabs>
          <w:tab w:val="left" w:pos="1691"/>
        </w:tabs>
        <w:jc w:val="both"/>
        <w:rPr>
          <w:rFonts w:ascii="Calibri" w:hAnsi="Calibri"/>
          <w:sz w:val="20"/>
          <w:szCs w:val="20"/>
        </w:rPr>
      </w:pPr>
      <w:r w:rsidRPr="00B6089F">
        <w:rPr>
          <w:rFonts w:ascii="Calibri" w:hAnsi="Calibri"/>
          <w:sz w:val="20"/>
          <w:szCs w:val="20"/>
        </w:rPr>
        <w:t>Nota 2     Principales políticas y prácticas contables</w:t>
      </w:r>
    </w:p>
    <w:p w:rsidR="00B6089F" w:rsidRPr="00B6089F" w:rsidRDefault="00B6089F" w:rsidP="00B6089F">
      <w:pPr>
        <w:jc w:val="both"/>
        <w:rPr>
          <w:rFonts w:ascii="Calibri" w:hAnsi="Calibri"/>
          <w:b/>
          <w:sz w:val="20"/>
          <w:szCs w:val="20"/>
        </w:rPr>
      </w:pPr>
    </w:p>
    <w:p w:rsidR="00B6089F" w:rsidRPr="00B6089F" w:rsidRDefault="00B6089F" w:rsidP="00B6089F">
      <w:pPr>
        <w:ind w:firstLine="360"/>
        <w:jc w:val="both"/>
        <w:rPr>
          <w:rFonts w:ascii="Calibri" w:hAnsi="Calibri"/>
          <w:sz w:val="20"/>
          <w:szCs w:val="20"/>
        </w:rPr>
      </w:pPr>
      <w:r w:rsidRPr="00B6089F">
        <w:rPr>
          <w:rFonts w:ascii="Calibri" w:hAnsi="Calibri"/>
          <w:sz w:val="20"/>
          <w:szCs w:val="20"/>
        </w:rPr>
        <w:t>Los estados financieros al 31 de Marzo de 2018 están preparados sobre bases históricas, y se basa en las siguientes políticas y prácticas contables:</w:t>
      </w:r>
    </w:p>
    <w:p w:rsidR="00B6089F" w:rsidRPr="00B6089F" w:rsidRDefault="00B6089F" w:rsidP="00B6089F">
      <w:pPr>
        <w:jc w:val="both"/>
        <w:rPr>
          <w:rFonts w:ascii="Calibri" w:hAnsi="Calibri"/>
          <w:sz w:val="20"/>
          <w:szCs w:val="20"/>
        </w:rPr>
      </w:pPr>
    </w:p>
    <w:p w:rsidR="00B6089F" w:rsidRPr="00B6089F" w:rsidRDefault="00B6089F" w:rsidP="00B6089F">
      <w:pPr>
        <w:numPr>
          <w:ilvl w:val="0"/>
          <w:numId w:val="6"/>
        </w:numPr>
        <w:jc w:val="both"/>
        <w:rPr>
          <w:rFonts w:ascii="Calibri" w:hAnsi="Calibri"/>
          <w:b/>
          <w:sz w:val="20"/>
          <w:szCs w:val="20"/>
        </w:rPr>
      </w:pPr>
      <w:r w:rsidRPr="00B6089F">
        <w:rPr>
          <w:rFonts w:ascii="Calibri" w:hAnsi="Calibri"/>
          <w:b/>
          <w:sz w:val="20"/>
          <w:szCs w:val="20"/>
        </w:rPr>
        <w:t>Registro de los ingresos</w:t>
      </w:r>
    </w:p>
    <w:p w:rsidR="00B6089F" w:rsidRPr="00B6089F" w:rsidRDefault="00B6089F" w:rsidP="00B6089F">
      <w:pPr>
        <w:ind w:left="360"/>
        <w:jc w:val="both"/>
        <w:rPr>
          <w:rFonts w:ascii="Calibri" w:hAnsi="Calibri"/>
          <w:sz w:val="20"/>
          <w:szCs w:val="20"/>
        </w:rPr>
      </w:pPr>
    </w:p>
    <w:p w:rsidR="00B6089F" w:rsidRPr="00B6089F" w:rsidRDefault="00B6089F" w:rsidP="00B6089F">
      <w:pPr>
        <w:jc w:val="both"/>
        <w:rPr>
          <w:rFonts w:ascii="Calibri" w:hAnsi="Calibri"/>
          <w:sz w:val="20"/>
          <w:szCs w:val="20"/>
        </w:rPr>
      </w:pPr>
      <w:r w:rsidRPr="00B6089F">
        <w:rPr>
          <w:rFonts w:ascii="Calibri" w:hAnsi="Calibri"/>
          <w:sz w:val="20"/>
          <w:szCs w:val="20"/>
        </w:rPr>
        <w:t>Los ingresos son registrados al recibirse su importe de la Secretaria de Administración y Finanzas.</w:t>
      </w:r>
    </w:p>
    <w:p w:rsidR="00B6089F" w:rsidRPr="00B6089F" w:rsidRDefault="00B6089F" w:rsidP="00B6089F">
      <w:pPr>
        <w:jc w:val="both"/>
        <w:rPr>
          <w:rFonts w:ascii="Calibri" w:hAnsi="Calibri"/>
          <w:sz w:val="20"/>
          <w:szCs w:val="20"/>
        </w:rPr>
      </w:pPr>
    </w:p>
    <w:p w:rsidR="00B6089F" w:rsidRPr="00B6089F" w:rsidRDefault="00B6089F" w:rsidP="00B6089F">
      <w:pPr>
        <w:numPr>
          <w:ilvl w:val="0"/>
          <w:numId w:val="6"/>
        </w:numPr>
        <w:jc w:val="both"/>
        <w:rPr>
          <w:rFonts w:ascii="Calibri" w:hAnsi="Calibri"/>
          <w:b/>
          <w:sz w:val="20"/>
          <w:szCs w:val="20"/>
        </w:rPr>
      </w:pPr>
      <w:r w:rsidRPr="00B6089F">
        <w:rPr>
          <w:rFonts w:ascii="Calibri" w:hAnsi="Calibri"/>
          <w:b/>
          <w:sz w:val="20"/>
          <w:szCs w:val="20"/>
        </w:rPr>
        <w:t>Registro de los egresos</w:t>
      </w:r>
    </w:p>
    <w:p w:rsidR="00B6089F" w:rsidRPr="00B6089F" w:rsidRDefault="00B6089F" w:rsidP="00B6089F">
      <w:pPr>
        <w:ind w:left="360"/>
        <w:jc w:val="both"/>
        <w:rPr>
          <w:rFonts w:ascii="Calibri" w:hAnsi="Calibri"/>
          <w:sz w:val="20"/>
          <w:szCs w:val="20"/>
        </w:rPr>
      </w:pPr>
    </w:p>
    <w:p w:rsidR="00B6089F" w:rsidRPr="00B6089F" w:rsidRDefault="00B6089F" w:rsidP="00B6089F">
      <w:pPr>
        <w:jc w:val="both"/>
        <w:rPr>
          <w:rFonts w:ascii="Calibri" w:hAnsi="Calibri"/>
          <w:sz w:val="20"/>
          <w:szCs w:val="20"/>
        </w:rPr>
      </w:pPr>
      <w:r w:rsidRPr="00B6089F">
        <w:rPr>
          <w:rFonts w:ascii="Calibri" w:hAnsi="Calibri"/>
          <w:sz w:val="20"/>
          <w:szCs w:val="20"/>
        </w:rPr>
        <w:t>Los egresos se registran en el momento que a las Cuentas por Cobrar son autorizadas por el departamento de control presupuestalenel  Sistema Integral Contable y a la  cuenta por pagar se adjuntan los documentos que amparan la adquisición de los bienes o la prestación delos servicios. La adquisición de materiales y suministros son consideradas directamente como gastos y su utilización es generalmente inmediata.</w:t>
      </w:r>
    </w:p>
    <w:p w:rsidR="00B6089F" w:rsidRPr="00B6089F" w:rsidRDefault="00B6089F" w:rsidP="00B6089F">
      <w:pPr>
        <w:jc w:val="both"/>
        <w:rPr>
          <w:rFonts w:ascii="Calibri" w:hAnsi="Calibri"/>
          <w:sz w:val="20"/>
          <w:szCs w:val="20"/>
        </w:rPr>
      </w:pPr>
    </w:p>
    <w:p w:rsidR="00B6089F" w:rsidRPr="00B6089F" w:rsidRDefault="00B6089F" w:rsidP="00B6089F">
      <w:pPr>
        <w:rPr>
          <w:rFonts w:ascii="Calibri" w:hAnsi="Calibri" w:cs="Calibri"/>
          <w:b/>
          <w:sz w:val="20"/>
          <w:szCs w:val="20"/>
          <w:u w:val="single"/>
        </w:rPr>
      </w:pPr>
      <w:r w:rsidRPr="00B6089F">
        <w:rPr>
          <w:rFonts w:ascii="Calibri" w:hAnsi="Calibri" w:cs="Calibri"/>
          <w:b/>
          <w:sz w:val="20"/>
          <w:szCs w:val="20"/>
          <w:u w:val="single"/>
        </w:rPr>
        <w:lastRenderedPageBreak/>
        <w:t>NOTAS DE DESGLOSE</w:t>
      </w:r>
    </w:p>
    <w:p w:rsidR="00B6089F" w:rsidRPr="00B6089F" w:rsidRDefault="00B6089F" w:rsidP="00B6089F">
      <w:pPr>
        <w:jc w:val="both"/>
        <w:rPr>
          <w:rFonts w:ascii="Calibri" w:hAnsi="Calibri"/>
          <w:sz w:val="20"/>
          <w:szCs w:val="20"/>
        </w:rPr>
      </w:pPr>
    </w:p>
    <w:p w:rsidR="00B6089F" w:rsidRPr="00B6089F" w:rsidRDefault="00B6089F" w:rsidP="00B6089F">
      <w:pPr>
        <w:pStyle w:val="Ttulo6"/>
        <w:jc w:val="both"/>
        <w:rPr>
          <w:rFonts w:ascii="Calibri" w:hAnsi="Calibri"/>
          <w:sz w:val="20"/>
          <w:szCs w:val="20"/>
        </w:rPr>
      </w:pPr>
      <w:r w:rsidRPr="00B6089F">
        <w:rPr>
          <w:rFonts w:ascii="Calibri" w:hAnsi="Calibri"/>
          <w:sz w:val="20"/>
          <w:szCs w:val="20"/>
        </w:rPr>
        <w:t>Nota  3   Efectivo y equivalente en efectivo.</w:t>
      </w:r>
    </w:p>
    <w:p w:rsidR="00B6089F" w:rsidRPr="00B6089F" w:rsidRDefault="00B6089F" w:rsidP="00B6089F">
      <w:pPr>
        <w:jc w:val="both"/>
        <w:rPr>
          <w:rFonts w:ascii="Calibri" w:hAnsi="Calibri"/>
          <w:sz w:val="20"/>
          <w:szCs w:val="20"/>
        </w:rPr>
      </w:pPr>
      <w:r w:rsidRPr="00B6089F">
        <w:rPr>
          <w:rFonts w:ascii="Calibri" w:hAnsi="Calibri"/>
          <w:sz w:val="20"/>
          <w:szCs w:val="20"/>
        </w:rPr>
        <w:t>Las cantidades que aquí aparecen al 31 de Marzo de 2018 se componen de:</w:t>
      </w:r>
    </w:p>
    <w:p w:rsidR="00B6089F" w:rsidRPr="00B6089F" w:rsidRDefault="00B6089F" w:rsidP="00B6089F">
      <w:pPr>
        <w:jc w:val="both"/>
        <w:rPr>
          <w:rFonts w:ascii="Calibri" w:hAnsi="Calibri"/>
          <w:sz w:val="20"/>
          <w:szCs w:val="20"/>
        </w:rPr>
      </w:pPr>
    </w:p>
    <w:p w:rsidR="00B6089F" w:rsidRPr="00B6089F" w:rsidRDefault="00B6089F" w:rsidP="00B6089F">
      <w:pPr>
        <w:rPr>
          <w:rFonts w:ascii="Calibri" w:hAnsi="Calibri"/>
          <w:b/>
          <w:sz w:val="20"/>
          <w:szCs w:val="20"/>
        </w:rPr>
      </w:pPr>
      <w:r w:rsidRPr="00B6089F">
        <w:rPr>
          <w:rFonts w:ascii="Calibri" w:hAnsi="Calibri"/>
          <w:b/>
          <w:sz w:val="20"/>
          <w:szCs w:val="20"/>
        </w:rPr>
        <w:t>Fondo Fijo                             $20,000.00</w:t>
      </w:r>
    </w:p>
    <w:p w:rsidR="00B6089F" w:rsidRPr="00B6089F" w:rsidRDefault="00B6089F" w:rsidP="00B6089F">
      <w:pPr>
        <w:rPr>
          <w:rFonts w:ascii="Calibri" w:hAnsi="Calibri"/>
          <w:b/>
          <w:iCs/>
          <w:sz w:val="20"/>
          <w:szCs w:val="20"/>
          <w:u w:val="single"/>
        </w:rPr>
      </w:pPr>
      <w:r w:rsidRPr="00B6089F">
        <w:rPr>
          <w:rFonts w:ascii="Calibri" w:hAnsi="Calibri"/>
          <w:b/>
          <w:sz w:val="20"/>
          <w:szCs w:val="20"/>
        </w:rPr>
        <w:t xml:space="preserve">Bancos                           </w:t>
      </w:r>
      <w:r w:rsidRPr="00B6089F">
        <w:rPr>
          <w:rFonts w:ascii="Calibri" w:hAnsi="Calibri"/>
          <w:b/>
          <w:sz w:val="20"/>
          <w:szCs w:val="20"/>
          <w:u w:val="single"/>
        </w:rPr>
        <w:t>$16, 395,630.22</w:t>
      </w:r>
    </w:p>
    <w:p w:rsidR="00B6089F" w:rsidRPr="00B6089F" w:rsidRDefault="00B6089F" w:rsidP="00B6089F">
      <w:pPr>
        <w:rPr>
          <w:rFonts w:ascii="Calibri" w:hAnsi="Calibri"/>
          <w:b/>
          <w:sz w:val="20"/>
          <w:szCs w:val="20"/>
        </w:rPr>
      </w:pPr>
      <w:r w:rsidRPr="00B6089F">
        <w:rPr>
          <w:rFonts w:ascii="Calibri" w:hAnsi="Calibri"/>
          <w:b/>
          <w:sz w:val="20"/>
          <w:szCs w:val="20"/>
        </w:rPr>
        <w:t>Total                               $16, 415,630.22</w:t>
      </w:r>
    </w:p>
    <w:p w:rsidR="00B6089F" w:rsidRPr="00B6089F" w:rsidRDefault="00B6089F" w:rsidP="00B6089F">
      <w:pPr>
        <w:rPr>
          <w:rFonts w:ascii="Calibri" w:hAnsi="Calibri"/>
          <w:b/>
          <w:sz w:val="20"/>
          <w:szCs w:val="20"/>
        </w:rPr>
      </w:pPr>
      <w:r w:rsidRPr="00B6089F">
        <w:rPr>
          <w:rFonts w:ascii="Calibri" w:hAnsi="Calibri"/>
          <w:b/>
          <w:sz w:val="20"/>
          <w:szCs w:val="20"/>
        </w:rPr>
        <w:tab/>
      </w:r>
    </w:p>
    <w:p w:rsidR="00B6089F" w:rsidRPr="00B6089F" w:rsidRDefault="00B6089F" w:rsidP="00B6089F">
      <w:pPr>
        <w:jc w:val="both"/>
        <w:rPr>
          <w:rFonts w:ascii="Calibri" w:hAnsi="Calibri"/>
          <w:sz w:val="20"/>
          <w:szCs w:val="20"/>
        </w:rPr>
      </w:pPr>
    </w:p>
    <w:p w:rsidR="00B6089F" w:rsidRPr="00B6089F" w:rsidRDefault="00B6089F" w:rsidP="00B6089F">
      <w:pPr>
        <w:jc w:val="both"/>
        <w:rPr>
          <w:rFonts w:ascii="Calibri" w:hAnsi="Calibri"/>
          <w:sz w:val="20"/>
          <w:szCs w:val="20"/>
        </w:rPr>
      </w:pPr>
    </w:p>
    <w:p w:rsidR="00B6089F" w:rsidRPr="00B6089F" w:rsidRDefault="00B6089F" w:rsidP="00B6089F">
      <w:pPr>
        <w:pStyle w:val="Ttulo6"/>
        <w:jc w:val="both"/>
        <w:rPr>
          <w:rFonts w:ascii="Calibri" w:hAnsi="Calibri"/>
          <w:sz w:val="20"/>
          <w:szCs w:val="20"/>
        </w:rPr>
      </w:pPr>
      <w:r w:rsidRPr="00B6089F">
        <w:rPr>
          <w:rFonts w:ascii="Calibri" w:hAnsi="Calibri"/>
          <w:sz w:val="20"/>
          <w:szCs w:val="20"/>
        </w:rPr>
        <w:t>Nota  4 Bienes Muebles.</w:t>
      </w:r>
    </w:p>
    <w:p w:rsidR="00B6089F" w:rsidRPr="00B6089F" w:rsidRDefault="00B6089F" w:rsidP="00B6089F">
      <w:pPr>
        <w:jc w:val="both"/>
        <w:rPr>
          <w:rFonts w:ascii="Calibri" w:hAnsi="Calibri"/>
          <w:sz w:val="18"/>
          <w:szCs w:val="20"/>
          <w:u w:val="single"/>
        </w:rPr>
      </w:pPr>
    </w:p>
    <w:p w:rsidR="00B6089F" w:rsidRPr="00B6089F" w:rsidRDefault="00B6089F" w:rsidP="00B6089F">
      <w:pPr>
        <w:jc w:val="both"/>
        <w:rPr>
          <w:rFonts w:ascii="Calibri" w:hAnsi="Calibri"/>
          <w:sz w:val="20"/>
          <w:szCs w:val="20"/>
        </w:rPr>
      </w:pPr>
      <w:r w:rsidRPr="00B6089F">
        <w:rPr>
          <w:rFonts w:ascii="Calibri" w:hAnsi="Calibri"/>
          <w:sz w:val="20"/>
          <w:szCs w:val="20"/>
        </w:rPr>
        <w:t>Al 31 de Marzo de 2018 los activos fijos se integran de la siguiente manera:</w:t>
      </w:r>
    </w:p>
    <w:p w:rsidR="00B6089F" w:rsidRPr="00B6089F" w:rsidRDefault="00B6089F" w:rsidP="00B6089F">
      <w:pPr>
        <w:tabs>
          <w:tab w:val="left" w:pos="4260"/>
        </w:tabs>
        <w:jc w:val="both"/>
        <w:rPr>
          <w:rFonts w:ascii="Calibri" w:hAnsi="Calibri"/>
          <w:sz w:val="20"/>
          <w:szCs w:val="20"/>
        </w:rPr>
      </w:pPr>
      <w:r w:rsidRPr="00B6089F">
        <w:rPr>
          <w:rFonts w:ascii="Calibri" w:hAnsi="Calibri"/>
          <w:sz w:val="20"/>
          <w:szCs w:val="20"/>
        </w:rPr>
        <w:tab/>
      </w:r>
    </w:p>
    <w:tbl>
      <w:tblPr>
        <w:tblpPr w:leftFromText="141" w:rightFromText="141" w:vertAnchor="text" w:tblpXSpec="center" w:tblpY="1"/>
        <w:tblOverlap w:val="never"/>
        <w:tblW w:w="5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1456"/>
      </w:tblGrid>
      <w:tr w:rsidR="00B6089F" w:rsidTr="00B6089F">
        <w:trPr>
          <w:trHeight w:val="126"/>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center"/>
              <w:rPr>
                <w:rFonts w:ascii="Calibri" w:hAnsi="Calibri"/>
                <w:b/>
                <w:bCs/>
                <w:color w:val="000000"/>
                <w:sz w:val="20"/>
                <w:szCs w:val="20"/>
              </w:rPr>
            </w:pPr>
            <w:r>
              <w:rPr>
                <w:rFonts w:ascii="Calibri" w:hAnsi="Calibri"/>
                <w:b/>
                <w:bCs/>
                <w:color w:val="000000"/>
                <w:sz w:val="20"/>
                <w:szCs w:val="20"/>
              </w:rPr>
              <w:t>Cuenta</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center"/>
              <w:rPr>
                <w:rFonts w:ascii="Calibri" w:hAnsi="Calibri"/>
                <w:b/>
                <w:bCs/>
                <w:color w:val="000000"/>
                <w:sz w:val="20"/>
                <w:szCs w:val="20"/>
              </w:rPr>
            </w:pPr>
            <w:r>
              <w:rPr>
                <w:rFonts w:ascii="Calibri" w:hAnsi="Calibri"/>
                <w:b/>
                <w:bCs/>
                <w:color w:val="000000"/>
                <w:sz w:val="20"/>
                <w:szCs w:val="20"/>
              </w:rPr>
              <w:t xml:space="preserve"> Total </w:t>
            </w:r>
          </w:p>
        </w:tc>
      </w:tr>
      <w:tr w:rsidR="00B6089F" w:rsidTr="00B6089F">
        <w:trPr>
          <w:trHeight w:val="89"/>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Muebles de Oficina y Estantería</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2,691,863.69 </w:t>
            </w:r>
          </w:p>
        </w:tc>
      </w:tr>
      <w:tr w:rsidR="00B6089F" w:rsidTr="00B6089F">
        <w:trPr>
          <w:trHeight w:val="70"/>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Mobiliario y Equipo Educacional y Recreativo</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w:t>
            </w:r>
          </w:p>
          <w:p w:rsidR="00B6089F" w:rsidRDefault="00B6089F">
            <w:pPr>
              <w:jc w:val="right"/>
              <w:rPr>
                <w:rFonts w:ascii="Calibri" w:hAnsi="Calibri"/>
                <w:color w:val="000000"/>
                <w:sz w:val="18"/>
                <w:szCs w:val="18"/>
              </w:rPr>
            </w:pPr>
            <w:r>
              <w:rPr>
                <w:rFonts w:ascii="Calibri" w:hAnsi="Calibri"/>
                <w:color w:val="000000"/>
                <w:sz w:val="18"/>
                <w:szCs w:val="18"/>
              </w:rPr>
              <w:t xml:space="preserve">$     239,530.83 </w:t>
            </w:r>
          </w:p>
        </w:tc>
      </w:tr>
      <w:tr w:rsidR="00B6089F" w:rsidTr="00B6089F">
        <w:trPr>
          <w:trHeight w:val="154"/>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Vehículos y Equipo de Transporte</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6,801,551.00 </w:t>
            </w:r>
          </w:p>
        </w:tc>
      </w:tr>
      <w:tr w:rsidR="00B6089F" w:rsidTr="00B6089F">
        <w:trPr>
          <w:trHeight w:val="103"/>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Equipo de Defensa y de Seguridad</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57,517.15 </w:t>
            </w:r>
          </w:p>
        </w:tc>
      </w:tr>
      <w:tr w:rsidR="00B6089F" w:rsidTr="00B6089F">
        <w:trPr>
          <w:trHeight w:val="192"/>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Maquinaria, Otros Equipos y Herramientas</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632,729.12 </w:t>
            </w:r>
          </w:p>
        </w:tc>
      </w:tr>
      <w:tr w:rsidR="00B6089F" w:rsidTr="00B6089F">
        <w:trPr>
          <w:trHeight w:val="94"/>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Equipo de Cómputo y Tecnologías de la Información</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rPr>
                <w:rFonts w:ascii="Calibri" w:hAnsi="Calibri"/>
                <w:color w:val="000000"/>
                <w:sz w:val="18"/>
                <w:szCs w:val="18"/>
              </w:rPr>
            </w:pPr>
            <w:r>
              <w:rPr>
                <w:rFonts w:ascii="Calibri" w:hAnsi="Calibri"/>
                <w:color w:val="000000"/>
                <w:sz w:val="18"/>
                <w:szCs w:val="18"/>
              </w:rPr>
              <w:t xml:space="preserve"> </w:t>
            </w:r>
          </w:p>
          <w:p w:rsidR="00B6089F" w:rsidRDefault="00B6089F">
            <w:pPr>
              <w:jc w:val="right"/>
              <w:rPr>
                <w:rFonts w:ascii="Calibri" w:hAnsi="Calibri"/>
                <w:color w:val="000000"/>
                <w:sz w:val="18"/>
                <w:szCs w:val="18"/>
              </w:rPr>
            </w:pPr>
            <w:r>
              <w:rPr>
                <w:rFonts w:ascii="Calibri" w:hAnsi="Calibri"/>
                <w:color w:val="000000"/>
                <w:sz w:val="18"/>
                <w:szCs w:val="18"/>
              </w:rPr>
              <w:t xml:space="preserve">$  4,870,724.81 </w:t>
            </w:r>
          </w:p>
        </w:tc>
      </w:tr>
      <w:tr w:rsidR="00B6089F" w:rsidTr="00B6089F">
        <w:trPr>
          <w:trHeight w:val="128"/>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Intangibles</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254,807.35 </w:t>
            </w:r>
          </w:p>
        </w:tc>
      </w:tr>
      <w:tr w:rsidR="00B6089F" w:rsidTr="00B6089F">
        <w:trPr>
          <w:trHeight w:val="135"/>
        </w:trPr>
        <w:tc>
          <w:tcPr>
            <w:tcW w:w="4463"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b/>
                <w:bCs/>
                <w:color w:val="000000"/>
                <w:sz w:val="20"/>
                <w:szCs w:val="20"/>
              </w:rPr>
            </w:pPr>
            <w:r>
              <w:rPr>
                <w:rFonts w:ascii="Calibri" w:hAnsi="Calibri"/>
                <w:b/>
                <w:bCs/>
                <w:color w:val="000000"/>
                <w:sz w:val="20"/>
                <w:szCs w:val="20"/>
              </w:rPr>
              <w:t>Total</w:t>
            </w:r>
          </w:p>
        </w:tc>
        <w:tc>
          <w:tcPr>
            <w:tcW w:w="1456"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b/>
                <w:bCs/>
                <w:color w:val="000000"/>
                <w:sz w:val="18"/>
                <w:szCs w:val="18"/>
              </w:rPr>
            </w:pPr>
            <w:r>
              <w:rPr>
                <w:rFonts w:ascii="Calibri" w:hAnsi="Calibri"/>
                <w:b/>
                <w:bCs/>
                <w:color w:val="000000"/>
                <w:sz w:val="18"/>
                <w:szCs w:val="18"/>
              </w:rPr>
              <w:t xml:space="preserve">$15,548,723.95 </w:t>
            </w:r>
          </w:p>
        </w:tc>
      </w:tr>
    </w:tbl>
    <w:p w:rsidR="00B6089F" w:rsidRPr="00B6089F" w:rsidRDefault="00B6089F" w:rsidP="00B6089F">
      <w:pPr>
        <w:tabs>
          <w:tab w:val="left" w:pos="4260"/>
        </w:tabs>
        <w:jc w:val="both"/>
        <w:rPr>
          <w:rFonts w:ascii="Calibri" w:hAnsi="Calibri"/>
          <w:sz w:val="20"/>
          <w:szCs w:val="20"/>
        </w:rPr>
      </w:pPr>
      <w:r w:rsidRPr="00B6089F">
        <w:rPr>
          <w:rFonts w:ascii="Calibri" w:hAnsi="Calibri"/>
          <w:sz w:val="20"/>
          <w:szCs w:val="20"/>
        </w:rPr>
        <w:br w:type="textWrapping" w:clear="all"/>
      </w:r>
    </w:p>
    <w:p w:rsidR="00B6089F" w:rsidRDefault="00B6089F" w:rsidP="00B6089F">
      <w:pPr>
        <w:jc w:val="both"/>
        <w:rPr>
          <w:rFonts w:ascii="Calibri" w:hAnsi="Calibri"/>
          <w:sz w:val="20"/>
          <w:szCs w:val="20"/>
        </w:rPr>
      </w:pPr>
    </w:p>
    <w:p w:rsidR="00B6089F" w:rsidRDefault="00B6089F" w:rsidP="00B6089F">
      <w:pPr>
        <w:jc w:val="both"/>
        <w:rPr>
          <w:rFonts w:ascii="Calibri" w:hAnsi="Calibri"/>
          <w:sz w:val="20"/>
          <w:szCs w:val="20"/>
        </w:rPr>
      </w:pPr>
    </w:p>
    <w:p w:rsidR="00B6089F" w:rsidRPr="00B6089F" w:rsidRDefault="00B6089F" w:rsidP="00B6089F">
      <w:pPr>
        <w:jc w:val="both"/>
        <w:rPr>
          <w:rFonts w:ascii="Calibri" w:hAnsi="Calibri"/>
          <w:sz w:val="20"/>
          <w:szCs w:val="20"/>
        </w:rPr>
      </w:pPr>
    </w:p>
    <w:p w:rsidR="00B6089F" w:rsidRPr="00B6089F" w:rsidRDefault="00B6089F" w:rsidP="00B6089F">
      <w:pPr>
        <w:pStyle w:val="Ttulo6"/>
        <w:jc w:val="both"/>
        <w:rPr>
          <w:rFonts w:ascii="Calibri" w:hAnsi="Calibri"/>
          <w:sz w:val="20"/>
          <w:szCs w:val="20"/>
        </w:rPr>
      </w:pPr>
      <w:r w:rsidRPr="00B6089F">
        <w:rPr>
          <w:rFonts w:ascii="Calibri" w:hAnsi="Calibri"/>
          <w:sz w:val="20"/>
          <w:szCs w:val="20"/>
        </w:rPr>
        <w:lastRenderedPageBreak/>
        <w:t>Nota  5      Depreciación Acumulada de  Bienes Muebles.</w:t>
      </w:r>
    </w:p>
    <w:p w:rsidR="00B6089F" w:rsidRPr="00B6089F" w:rsidRDefault="00B6089F" w:rsidP="00B6089F">
      <w:pPr>
        <w:jc w:val="both"/>
        <w:rPr>
          <w:rFonts w:ascii="Calibri" w:hAnsi="Calibri"/>
          <w:sz w:val="18"/>
          <w:szCs w:val="20"/>
          <w:u w:val="single"/>
        </w:rPr>
      </w:pPr>
    </w:p>
    <w:p w:rsidR="00B6089F" w:rsidRPr="00B6089F" w:rsidRDefault="00B6089F" w:rsidP="00B6089F">
      <w:pPr>
        <w:jc w:val="both"/>
        <w:rPr>
          <w:rFonts w:ascii="Calibri" w:hAnsi="Calibri"/>
          <w:sz w:val="20"/>
          <w:szCs w:val="20"/>
        </w:rPr>
      </w:pPr>
      <w:r w:rsidRPr="00B6089F">
        <w:rPr>
          <w:rFonts w:ascii="Calibri" w:hAnsi="Calibri"/>
          <w:sz w:val="20"/>
          <w:szCs w:val="20"/>
        </w:rPr>
        <w:t>Al 31 de Marzo  de 2018 la depreciación acumulada se integra de la siguiente manera:</w:t>
      </w:r>
    </w:p>
    <w:p w:rsidR="00B6089F" w:rsidRPr="00B6089F" w:rsidRDefault="00B6089F" w:rsidP="00B6089F">
      <w:pPr>
        <w:rPr>
          <w:rFonts w:ascii="Calibri" w:hAnsi="Calibri"/>
          <w:sz w:val="20"/>
          <w:szCs w:val="20"/>
        </w:rPr>
      </w:pPr>
    </w:p>
    <w:tbl>
      <w:tblPr>
        <w:tblW w:w="782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2"/>
        <w:gridCol w:w="1619"/>
      </w:tblGrid>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center"/>
              <w:rPr>
                <w:rFonts w:ascii="Calibri" w:hAnsi="Calibri"/>
                <w:b/>
                <w:bCs/>
                <w:color w:val="000000"/>
                <w:sz w:val="20"/>
                <w:szCs w:val="20"/>
              </w:rPr>
            </w:pPr>
            <w:r>
              <w:rPr>
                <w:rFonts w:ascii="Calibri" w:hAnsi="Calibri"/>
                <w:b/>
                <w:bCs/>
                <w:color w:val="000000"/>
                <w:sz w:val="20"/>
                <w:szCs w:val="20"/>
              </w:rPr>
              <w:t>Cuenta</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center"/>
              <w:rPr>
                <w:rFonts w:ascii="Calibri" w:hAnsi="Calibri"/>
                <w:b/>
                <w:bCs/>
                <w:color w:val="000000"/>
                <w:sz w:val="20"/>
                <w:szCs w:val="20"/>
              </w:rPr>
            </w:pPr>
            <w:r>
              <w:rPr>
                <w:rFonts w:ascii="Calibri" w:hAnsi="Calibri"/>
                <w:b/>
                <w:bCs/>
                <w:color w:val="000000"/>
                <w:sz w:val="20"/>
                <w:szCs w:val="20"/>
              </w:rPr>
              <w:t xml:space="preserve"> Total </w:t>
            </w:r>
          </w:p>
        </w:tc>
      </w:tr>
      <w:tr w:rsidR="00B6089F" w:rsidTr="00B6089F">
        <w:trPr>
          <w:trHeight w:val="274"/>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Mobiliario y Equipo de Administración</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1,319,845.61 </w:t>
            </w:r>
          </w:p>
        </w:tc>
      </w:tr>
      <w:tr w:rsidR="00B6089F" w:rsidTr="00B6089F">
        <w:trPr>
          <w:trHeight w:val="26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Mobiliario y Equipo Educacional y Recreativo</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194,331.01 </w:t>
            </w:r>
          </w:p>
        </w:tc>
      </w:tr>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Equipo de Transporte</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5,148,656.43 </w:t>
            </w:r>
          </w:p>
        </w:tc>
      </w:tr>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Equipo de Defensa y de Seguridad</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45,771.81 </w:t>
            </w:r>
          </w:p>
        </w:tc>
      </w:tr>
      <w:tr w:rsidR="00B6089F" w:rsidTr="00B6089F">
        <w:trPr>
          <w:trHeight w:val="334"/>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Maquinaria, Otros Equipos y Herramientas</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310,320.50 </w:t>
            </w:r>
          </w:p>
        </w:tc>
      </w:tr>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Depreciación Acumulada de Equipo de Computo</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3,490,894.37 </w:t>
            </w:r>
          </w:p>
        </w:tc>
      </w:tr>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color w:val="000000"/>
                <w:sz w:val="20"/>
                <w:szCs w:val="20"/>
              </w:rPr>
            </w:pPr>
            <w:r>
              <w:rPr>
                <w:rFonts w:ascii="Calibri" w:hAnsi="Calibri"/>
                <w:color w:val="000000"/>
                <w:sz w:val="20"/>
                <w:szCs w:val="20"/>
              </w:rPr>
              <w:t>Amortización Acumulada de Activos Intangibles</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color w:val="000000"/>
                <w:sz w:val="18"/>
                <w:szCs w:val="18"/>
              </w:rPr>
            </w:pPr>
            <w:r>
              <w:rPr>
                <w:rFonts w:ascii="Calibri" w:hAnsi="Calibri"/>
                <w:color w:val="000000"/>
                <w:sz w:val="18"/>
                <w:szCs w:val="18"/>
              </w:rPr>
              <w:t xml:space="preserve"> $         108,939.32 </w:t>
            </w:r>
          </w:p>
        </w:tc>
      </w:tr>
      <w:tr w:rsidR="00B6089F" w:rsidTr="00B6089F">
        <w:trPr>
          <w:trHeight w:val="315"/>
          <w:jc w:val="center"/>
        </w:trPr>
        <w:tc>
          <w:tcPr>
            <w:tcW w:w="6202"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both"/>
              <w:rPr>
                <w:rFonts w:ascii="Calibri" w:hAnsi="Calibri"/>
                <w:b/>
                <w:bCs/>
                <w:color w:val="000000"/>
                <w:sz w:val="20"/>
                <w:szCs w:val="20"/>
              </w:rPr>
            </w:pPr>
            <w:r>
              <w:rPr>
                <w:rFonts w:ascii="Calibri" w:hAnsi="Calibri"/>
                <w:b/>
                <w:bCs/>
                <w:color w:val="000000"/>
                <w:sz w:val="20"/>
                <w:szCs w:val="20"/>
              </w:rPr>
              <w:t>Total</w:t>
            </w:r>
          </w:p>
        </w:tc>
        <w:tc>
          <w:tcPr>
            <w:tcW w:w="1619" w:type="dxa"/>
            <w:tcBorders>
              <w:top w:val="single" w:sz="4" w:space="0" w:color="auto"/>
              <w:left w:val="single" w:sz="4" w:space="0" w:color="auto"/>
              <w:bottom w:val="single" w:sz="4" w:space="0" w:color="auto"/>
              <w:right w:val="single" w:sz="4" w:space="0" w:color="auto"/>
            </w:tcBorders>
            <w:vAlign w:val="center"/>
            <w:hideMark/>
          </w:tcPr>
          <w:p w:rsidR="00B6089F" w:rsidRDefault="00B6089F">
            <w:pPr>
              <w:jc w:val="right"/>
              <w:rPr>
                <w:rFonts w:ascii="Calibri" w:hAnsi="Calibri"/>
                <w:b/>
                <w:bCs/>
                <w:color w:val="000000"/>
                <w:sz w:val="18"/>
                <w:szCs w:val="18"/>
              </w:rPr>
            </w:pPr>
            <w:r>
              <w:rPr>
                <w:rFonts w:ascii="Calibri" w:hAnsi="Calibri"/>
                <w:b/>
                <w:bCs/>
                <w:color w:val="000000"/>
                <w:sz w:val="18"/>
                <w:szCs w:val="18"/>
              </w:rPr>
              <w:t xml:space="preserve"> $    10,618,759.05 </w:t>
            </w:r>
          </w:p>
        </w:tc>
      </w:tr>
    </w:tbl>
    <w:p w:rsidR="00B6089F" w:rsidRPr="00B6089F" w:rsidRDefault="00B6089F" w:rsidP="00B6089F">
      <w:pPr>
        <w:jc w:val="both"/>
        <w:rPr>
          <w:rFonts w:ascii="Calibri" w:hAnsi="Calibri"/>
          <w:sz w:val="20"/>
          <w:szCs w:val="20"/>
        </w:rPr>
      </w:pPr>
      <w:r w:rsidRPr="00B6089F">
        <w:rPr>
          <w:rFonts w:ascii="Calibri" w:hAnsi="Calibri"/>
          <w:sz w:val="20"/>
          <w:szCs w:val="20"/>
        </w:rPr>
        <w:br w:type="textWrapping" w:clear="all"/>
      </w:r>
    </w:p>
    <w:p w:rsidR="00B6089F" w:rsidRPr="00B6089F" w:rsidRDefault="00B6089F" w:rsidP="00B6089F">
      <w:pPr>
        <w:pStyle w:val="Ttulo6"/>
        <w:jc w:val="both"/>
        <w:rPr>
          <w:rFonts w:ascii="Calibri" w:hAnsi="Calibri"/>
          <w:sz w:val="20"/>
          <w:szCs w:val="20"/>
        </w:rPr>
      </w:pPr>
      <w:r w:rsidRPr="00B6089F">
        <w:rPr>
          <w:rFonts w:ascii="Calibri" w:hAnsi="Calibri"/>
          <w:sz w:val="20"/>
          <w:szCs w:val="20"/>
        </w:rPr>
        <w:t xml:space="preserve">Nota  6  Cuentas por pagar a Corto Plazo.     </w:t>
      </w:r>
    </w:p>
    <w:p w:rsidR="00B6089F" w:rsidRPr="00B6089F" w:rsidRDefault="00B6089F" w:rsidP="00B6089F">
      <w:pPr>
        <w:jc w:val="both"/>
        <w:rPr>
          <w:rFonts w:ascii="Calibri" w:hAnsi="Calibri"/>
          <w:b/>
          <w:sz w:val="20"/>
          <w:szCs w:val="20"/>
        </w:rPr>
      </w:pPr>
    </w:p>
    <w:p w:rsidR="00B6089F" w:rsidRPr="00B6089F" w:rsidRDefault="00B6089F" w:rsidP="00B6089F">
      <w:pPr>
        <w:pStyle w:val="Sangradetextonormal"/>
        <w:jc w:val="both"/>
        <w:rPr>
          <w:rFonts w:ascii="Calibri" w:hAnsi="Calibri"/>
          <w:sz w:val="20"/>
          <w:szCs w:val="20"/>
        </w:rPr>
      </w:pPr>
      <w:r w:rsidRPr="00B6089F">
        <w:rPr>
          <w:rFonts w:ascii="Calibri" w:hAnsi="Calibri"/>
          <w:sz w:val="20"/>
          <w:szCs w:val="20"/>
        </w:rPr>
        <w:t xml:space="preserve">Al  31 de Marzo  de 2018 esta cuenta se integra de la siguiente manera: </w:t>
      </w:r>
    </w:p>
    <w:p w:rsidR="00B6089F" w:rsidRPr="00B6089F" w:rsidRDefault="00B6089F" w:rsidP="00B6089F">
      <w:pPr>
        <w:jc w:val="both"/>
        <w:rPr>
          <w:rFonts w:ascii="Calibri" w:hAnsi="Calibri"/>
          <w:b/>
          <w:sz w:val="20"/>
          <w:szCs w:val="20"/>
        </w:rPr>
      </w:pPr>
    </w:p>
    <w:tbl>
      <w:tblPr>
        <w:tblW w:w="5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799"/>
      </w:tblGrid>
      <w:tr w:rsidR="007721E9" w:rsidRPr="007721E9" w:rsidTr="007721E9">
        <w:trPr>
          <w:trHeight w:val="224"/>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center"/>
              <w:rPr>
                <w:rFonts w:ascii="Calibri" w:hAnsi="Calibri" w:cs="Calibri"/>
                <w:b/>
                <w:color w:val="000000"/>
                <w:sz w:val="20"/>
                <w:szCs w:val="20"/>
              </w:rPr>
            </w:pPr>
            <w:r w:rsidRPr="007721E9">
              <w:rPr>
                <w:rFonts w:ascii="Calibri" w:hAnsi="Calibri" w:cs="Calibri"/>
                <w:b/>
                <w:color w:val="000000"/>
                <w:sz w:val="20"/>
                <w:szCs w:val="20"/>
              </w:rPr>
              <w:t>Cuenta</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center"/>
              <w:rPr>
                <w:rFonts w:ascii="Calibri" w:hAnsi="Calibri" w:cs="Calibri"/>
                <w:b/>
                <w:color w:val="000000"/>
                <w:sz w:val="20"/>
                <w:szCs w:val="20"/>
              </w:rPr>
            </w:pPr>
            <w:r w:rsidRPr="007721E9">
              <w:rPr>
                <w:rFonts w:ascii="Calibri" w:hAnsi="Calibri" w:cs="Calibri"/>
                <w:b/>
                <w:color w:val="000000"/>
                <w:sz w:val="20"/>
                <w:szCs w:val="20"/>
              </w:rPr>
              <w:t>Importe</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Proveedores</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$74,500.00</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Retenciones de ISR por Sueldos y Salarios</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$292,949.13</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Retenciones de ISR por Asimilables a Salarios</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$13,978.34</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Retenciones de ISR por Honorarios</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$309,427.12</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Retenciones de ISR Arrendamiento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$113,914.64</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color w:val="000000"/>
                <w:sz w:val="20"/>
                <w:szCs w:val="20"/>
              </w:rPr>
            </w:pPr>
            <w:r w:rsidRPr="007721E9">
              <w:rPr>
                <w:rFonts w:ascii="Calibri" w:hAnsi="Calibri" w:cs="Calibri"/>
                <w:color w:val="000000"/>
                <w:sz w:val="20"/>
                <w:szCs w:val="20"/>
              </w:rPr>
              <w:t>Acreedores Diversos</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$130,687.17</w:t>
            </w:r>
          </w:p>
        </w:tc>
      </w:tr>
      <w:tr w:rsidR="007721E9" w:rsidRPr="007721E9" w:rsidTr="007721E9">
        <w:trPr>
          <w:jc w:val="center"/>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both"/>
              <w:rPr>
                <w:rFonts w:ascii="Calibri" w:hAnsi="Calibri" w:cs="Calibri"/>
                <w:b/>
                <w:color w:val="000000"/>
                <w:sz w:val="20"/>
                <w:szCs w:val="20"/>
              </w:rPr>
            </w:pPr>
            <w:r w:rsidRPr="007721E9">
              <w:rPr>
                <w:rFonts w:ascii="Calibri" w:hAnsi="Calibri" w:cs="Calibri"/>
                <w:b/>
                <w:color w:val="000000"/>
                <w:sz w:val="20"/>
                <w:szCs w:val="20"/>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6089F" w:rsidRPr="007721E9" w:rsidRDefault="00B6089F" w:rsidP="007721E9">
            <w:pPr>
              <w:jc w:val="right"/>
              <w:rPr>
                <w:rFonts w:ascii="Calibri" w:hAnsi="Calibri" w:cs="Calibri"/>
                <w:b/>
                <w:bCs/>
                <w:color w:val="000000"/>
                <w:sz w:val="18"/>
                <w:szCs w:val="18"/>
              </w:rPr>
            </w:pPr>
            <w:r w:rsidRPr="007721E9">
              <w:rPr>
                <w:rFonts w:ascii="Calibri" w:hAnsi="Calibri" w:cs="Calibri"/>
                <w:b/>
                <w:bCs/>
                <w:color w:val="000000"/>
                <w:sz w:val="18"/>
                <w:szCs w:val="18"/>
              </w:rPr>
              <w:t>$935,456.40</w:t>
            </w:r>
          </w:p>
        </w:tc>
      </w:tr>
    </w:tbl>
    <w:p w:rsidR="00B6089F" w:rsidRPr="00B6089F" w:rsidRDefault="00B6089F" w:rsidP="00B6089F">
      <w:pPr>
        <w:jc w:val="both"/>
        <w:rPr>
          <w:rFonts w:ascii="Calibri" w:hAnsi="Calibri"/>
          <w:sz w:val="20"/>
          <w:szCs w:val="20"/>
        </w:rPr>
      </w:pPr>
    </w:p>
    <w:p w:rsidR="00B6089F" w:rsidRPr="00B6089F" w:rsidRDefault="00B6089F" w:rsidP="00B6089F">
      <w:pPr>
        <w:pStyle w:val="Ttulo6"/>
        <w:pBdr>
          <w:bottom w:val="single" w:sz="4" w:space="2" w:color="auto"/>
        </w:pBdr>
        <w:jc w:val="both"/>
        <w:rPr>
          <w:rFonts w:ascii="Calibri" w:hAnsi="Calibri"/>
          <w:b w:val="0"/>
          <w:color w:val="FF0000"/>
          <w:sz w:val="20"/>
          <w:szCs w:val="20"/>
        </w:rPr>
      </w:pPr>
      <w:r w:rsidRPr="00B6089F">
        <w:rPr>
          <w:rFonts w:ascii="Calibri" w:hAnsi="Calibri"/>
          <w:sz w:val="20"/>
          <w:szCs w:val="20"/>
        </w:rPr>
        <w:lastRenderedPageBreak/>
        <w:t>Nota 7 Ingresos</w:t>
      </w:r>
    </w:p>
    <w:p w:rsidR="00B6089F" w:rsidRPr="00B6089F" w:rsidRDefault="00B6089F" w:rsidP="00B6089F">
      <w:pPr>
        <w:pStyle w:val="Sangradetextonormal"/>
        <w:tabs>
          <w:tab w:val="left" w:pos="7655"/>
        </w:tabs>
        <w:jc w:val="both"/>
        <w:rPr>
          <w:rFonts w:ascii="Calibri" w:hAnsi="Calibri"/>
          <w:b/>
          <w:sz w:val="20"/>
          <w:szCs w:val="20"/>
        </w:rPr>
      </w:pPr>
    </w:p>
    <w:p w:rsidR="00B6089F" w:rsidRPr="00B6089F" w:rsidRDefault="00B6089F" w:rsidP="00B6089F">
      <w:pPr>
        <w:pStyle w:val="Sangradetextonormal"/>
        <w:ind w:left="0"/>
        <w:jc w:val="both"/>
        <w:rPr>
          <w:rFonts w:ascii="Calibri" w:hAnsi="Calibri"/>
          <w:sz w:val="20"/>
          <w:szCs w:val="20"/>
        </w:rPr>
      </w:pPr>
      <w:r w:rsidRPr="00B6089F">
        <w:rPr>
          <w:rFonts w:ascii="Calibri" w:hAnsi="Calibri"/>
          <w:sz w:val="20"/>
          <w:szCs w:val="20"/>
        </w:rPr>
        <w:t xml:space="preserve">Al 31 de Marzo de 2018 esta cuenta se integra de la siguiente manera: </w:t>
      </w:r>
    </w:p>
    <w:p w:rsidR="00B6089F" w:rsidRPr="00B6089F" w:rsidRDefault="00B6089F" w:rsidP="00B6089F">
      <w:pPr>
        <w:pStyle w:val="Sangradetextonormal"/>
        <w:tabs>
          <w:tab w:val="left" w:pos="7655"/>
        </w:tabs>
        <w:jc w:val="both"/>
        <w:rPr>
          <w:rFonts w:ascii="Calibri" w:hAnsi="Calibri"/>
          <w:b/>
          <w:sz w:val="20"/>
          <w:szCs w:val="20"/>
        </w:rPr>
      </w:pPr>
    </w:p>
    <w:p w:rsidR="00B6089F" w:rsidRPr="00B6089F" w:rsidRDefault="00B6089F" w:rsidP="00B6089F">
      <w:pPr>
        <w:pStyle w:val="Sangradetextonormal"/>
        <w:tabs>
          <w:tab w:val="left" w:pos="7655"/>
        </w:tabs>
        <w:ind w:left="0"/>
        <w:jc w:val="both"/>
        <w:rPr>
          <w:rFonts w:ascii="Calibri" w:hAnsi="Calibri"/>
          <w:sz w:val="20"/>
          <w:szCs w:val="20"/>
        </w:rPr>
      </w:pPr>
      <w:r w:rsidRPr="00B6089F">
        <w:rPr>
          <w:rFonts w:ascii="Calibri" w:hAnsi="Calibri"/>
          <w:sz w:val="20"/>
          <w:szCs w:val="20"/>
        </w:rPr>
        <w:t xml:space="preserve">Transferencias internas y asignaciones del sector público Recursos Estatales </w:t>
      </w:r>
      <w:r w:rsidRPr="00B6089F">
        <w:rPr>
          <w:rFonts w:ascii="Calibri" w:hAnsi="Calibri"/>
          <w:b/>
          <w:sz w:val="20"/>
          <w:szCs w:val="20"/>
        </w:rPr>
        <w:t>$  19, 829,059.39</w:t>
      </w:r>
    </w:p>
    <w:p w:rsidR="00B6089F" w:rsidRPr="00B6089F" w:rsidRDefault="00B6089F" w:rsidP="00B6089F">
      <w:pPr>
        <w:pStyle w:val="Sangradetextonormal"/>
        <w:tabs>
          <w:tab w:val="left" w:pos="7655"/>
        </w:tabs>
        <w:ind w:left="0"/>
        <w:jc w:val="both"/>
        <w:rPr>
          <w:rFonts w:ascii="Calibri" w:hAnsi="Calibri"/>
          <w:sz w:val="20"/>
          <w:szCs w:val="20"/>
        </w:rPr>
      </w:pPr>
    </w:p>
    <w:p w:rsidR="00B6089F" w:rsidRPr="00B6089F" w:rsidRDefault="00B6089F" w:rsidP="00B6089F">
      <w:pPr>
        <w:pStyle w:val="Ttulo6"/>
        <w:pBdr>
          <w:bottom w:val="single" w:sz="4" w:space="2" w:color="auto"/>
        </w:pBdr>
        <w:jc w:val="both"/>
        <w:rPr>
          <w:rFonts w:ascii="Calibri" w:hAnsi="Calibri"/>
          <w:sz w:val="20"/>
          <w:szCs w:val="20"/>
        </w:rPr>
      </w:pPr>
      <w:r w:rsidRPr="00B6089F">
        <w:rPr>
          <w:rFonts w:ascii="Calibri" w:hAnsi="Calibri"/>
          <w:sz w:val="20"/>
          <w:szCs w:val="20"/>
        </w:rPr>
        <w:t>Nota 8  Provisión para Contingencias a Largo Plazo.</w:t>
      </w:r>
    </w:p>
    <w:p w:rsidR="00B6089F" w:rsidRPr="00B6089F" w:rsidRDefault="00B6089F" w:rsidP="00B6089F">
      <w:pPr>
        <w:pStyle w:val="Sangradetextonormal"/>
        <w:tabs>
          <w:tab w:val="left" w:pos="7655"/>
        </w:tabs>
        <w:ind w:left="0"/>
        <w:jc w:val="both"/>
        <w:rPr>
          <w:rFonts w:ascii="Calibri" w:hAnsi="Calibri"/>
          <w:b/>
          <w:sz w:val="20"/>
          <w:szCs w:val="20"/>
        </w:rPr>
      </w:pPr>
    </w:p>
    <w:p w:rsidR="00B6089F" w:rsidRPr="00B6089F" w:rsidRDefault="00B6089F" w:rsidP="00B6089F">
      <w:pPr>
        <w:pStyle w:val="Sangradetextonormal"/>
        <w:tabs>
          <w:tab w:val="left" w:pos="7655"/>
        </w:tabs>
        <w:ind w:left="0"/>
        <w:jc w:val="both"/>
        <w:rPr>
          <w:rFonts w:ascii="Calibri" w:hAnsi="Calibri"/>
          <w:sz w:val="20"/>
          <w:szCs w:val="20"/>
        </w:rPr>
      </w:pPr>
      <w:r w:rsidRPr="00B6089F">
        <w:rPr>
          <w:rFonts w:ascii="Calibri" w:hAnsi="Calibri"/>
          <w:sz w:val="20"/>
          <w:szCs w:val="20"/>
        </w:rPr>
        <w:t xml:space="preserve">         Para dar cumplimiento a la recomendación  contenida en el Dictamena los Estados Financieros del Ejercicio Fiscal 2015 emitido por el Despacho de Auditoría Externa y de acuerdo a lo establecido en la NIF D-3 “Beneficios a los Empleados“; al 31 de Marzo de  2018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B6089F" w:rsidRPr="00B6089F" w:rsidRDefault="00B6089F" w:rsidP="00B6089F">
      <w:pPr>
        <w:pStyle w:val="Sangradetextonormal"/>
        <w:tabs>
          <w:tab w:val="left" w:pos="7655"/>
        </w:tabs>
        <w:ind w:left="0"/>
        <w:jc w:val="both"/>
        <w:rPr>
          <w:rFonts w:ascii="Calibri" w:hAnsi="Calibri"/>
          <w:sz w:val="20"/>
          <w:szCs w:val="20"/>
        </w:rPr>
      </w:pPr>
    </w:p>
    <w:p w:rsidR="00B6089F" w:rsidRPr="00B6089F" w:rsidRDefault="00B6089F" w:rsidP="00B6089F">
      <w:pPr>
        <w:pStyle w:val="Sangradetextonormal"/>
        <w:tabs>
          <w:tab w:val="left" w:pos="7655"/>
        </w:tabs>
        <w:ind w:left="0"/>
        <w:jc w:val="both"/>
        <w:rPr>
          <w:rFonts w:ascii="Calibri" w:hAnsi="Calibri"/>
          <w:b/>
          <w:sz w:val="20"/>
          <w:szCs w:val="20"/>
        </w:rPr>
      </w:pPr>
    </w:p>
    <w:p w:rsidR="00B6089F" w:rsidRPr="00B6089F" w:rsidRDefault="00B6089F" w:rsidP="00B6089F">
      <w:pPr>
        <w:pStyle w:val="Ttulo6"/>
        <w:pBdr>
          <w:bottom w:val="single" w:sz="4" w:space="2" w:color="auto"/>
          <w:right w:val="single" w:sz="4" w:space="30" w:color="auto"/>
        </w:pBdr>
        <w:jc w:val="both"/>
        <w:rPr>
          <w:rFonts w:ascii="Calibri" w:hAnsi="Calibri"/>
          <w:b w:val="0"/>
          <w:color w:val="FF0000"/>
          <w:sz w:val="20"/>
          <w:szCs w:val="20"/>
        </w:rPr>
      </w:pPr>
      <w:r w:rsidRPr="00B6089F">
        <w:rPr>
          <w:rFonts w:ascii="Calibri" w:hAnsi="Calibri"/>
          <w:sz w:val="20"/>
          <w:szCs w:val="20"/>
        </w:rPr>
        <w:t>Nota  9  Conciliación entre los Ingresos Presupuestarios y Contables</w:t>
      </w:r>
    </w:p>
    <w:p w:rsidR="00B6089F" w:rsidRPr="00B6089F" w:rsidRDefault="00B6089F" w:rsidP="00B6089F">
      <w:pPr>
        <w:pStyle w:val="Sangradetextonormal"/>
        <w:tabs>
          <w:tab w:val="left" w:pos="7655"/>
        </w:tabs>
        <w:ind w:left="0"/>
        <w:jc w:val="both"/>
        <w:rPr>
          <w:rFonts w:ascii="Calibri" w:hAnsi="Calibri"/>
          <w:b/>
          <w:sz w:val="20"/>
          <w:szCs w:val="20"/>
        </w:rPr>
      </w:pPr>
    </w:p>
    <w:p w:rsidR="00B6089F" w:rsidRPr="00B6089F" w:rsidRDefault="00B6089F" w:rsidP="00B6089F">
      <w:pPr>
        <w:pStyle w:val="Sangradetextonormal"/>
        <w:tabs>
          <w:tab w:val="left" w:pos="7655"/>
        </w:tabs>
        <w:ind w:left="0"/>
        <w:jc w:val="both"/>
        <w:rPr>
          <w:rFonts w:ascii="Calibri" w:hAnsi="Calibri"/>
          <w:b/>
          <w:sz w:val="20"/>
          <w:szCs w:val="20"/>
        </w:rPr>
      </w:pPr>
    </w:p>
    <w:tbl>
      <w:tblPr>
        <w:tblW w:w="10708" w:type="dxa"/>
        <w:jc w:val="center"/>
        <w:tblInd w:w="55" w:type="dxa"/>
        <w:tblCellMar>
          <w:left w:w="70" w:type="dxa"/>
          <w:right w:w="70" w:type="dxa"/>
        </w:tblCellMar>
        <w:tblLook w:val="04A0" w:firstRow="1" w:lastRow="0" w:firstColumn="1" w:lastColumn="0" w:noHBand="0" w:noVBand="1"/>
      </w:tblPr>
      <w:tblGrid>
        <w:gridCol w:w="6788"/>
        <w:gridCol w:w="1905"/>
        <w:gridCol w:w="2015"/>
      </w:tblGrid>
      <w:tr w:rsidR="00B6089F" w:rsidTr="00B6089F">
        <w:trPr>
          <w:trHeight w:val="300"/>
          <w:jc w:val="center"/>
        </w:trPr>
        <w:tc>
          <w:tcPr>
            <w:tcW w:w="10708" w:type="dxa"/>
            <w:gridSpan w:val="3"/>
            <w:tcBorders>
              <w:top w:val="single" w:sz="8" w:space="0" w:color="auto"/>
              <w:left w:val="single" w:sz="8" w:space="0" w:color="auto"/>
              <w:bottom w:val="nil"/>
              <w:right w:val="single" w:sz="8" w:space="0" w:color="000000"/>
            </w:tcBorders>
            <w:noWrap/>
            <w:vAlign w:val="bottom"/>
            <w:hideMark/>
          </w:tcPr>
          <w:p w:rsidR="00B6089F" w:rsidRDefault="00B6089F">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Auditoría Superior del Estado</w:t>
            </w:r>
          </w:p>
        </w:tc>
      </w:tr>
      <w:tr w:rsidR="00B6089F" w:rsidTr="00B6089F">
        <w:trPr>
          <w:trHeight w:val="300"/>
          <w:jc w:val="center"/>
        </w:trPr>
        <w:tc>
          <w:tcPr>
            <w:tcW w:w="10708" w:type="dxa"/>
            <w:gridSpan w:val="3"/>
            <w:tcBorders>
              <w:top w:val="nil"/>
              <w:left w:val="single" w:sz="8" w:space="0" w:color="auto"/>
              <w:bottom w:val="nil"/>
              <w:right w:val="single" w:sz="8" w:space="0" w:color="000000"/>
            </w:tcBorders>
            <w:vAlign w:val="bottom"/>
            <w:hideMark/>
          </w:tcPr>
          <w:p w:rsidR="00B6089F" w:rsidRDefault="00B6089F">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Conciliación entre los Ingresos Presupuestarios y Contables</w:t>
            </w:r>
          </w:p>
        </w:tc>
      </w:tr>
      <w:tr w:rsidR="00B6089F" w:rsidTr="00B6089F">
        <w:trPr>
          <w:trHeight w:val="300"/>
          <w:jc w:val="center"/>
        </w:trPr>
        <w:tc>
          <w:tcPr>
            <w:tcW w:w="10708" w:type="dxa"/>
            <w:gridSpan w:val="3"/>
            <w:tcBorders>
              <w:top w:val="nil"/>
              <w:left w:val="single" w:sz="8" w:space="0" w:color="auto"/>
              <w:bottom w:val="nil"/>
              <w:right w:val="single" w:sz="8" w:space="0" w:color="000000"/>
            </w:tcBorders>
            <w:noWrap/>
            <w:vAlign w:val="bottom"/>
            <w:hideMark/>
          </w:tcPr>
          <w:p w:rsidR="00B6089F" w:rsidRDefault="00B6089F">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 xml:space="preserve">Correspondiente del 1° de enero al </w:t>
            </w:r>
            <w:r w:rsidRPr="00B6089F">
              <w:rPr>
                <w:rFonts w:ascii="Calibri" w:hAnsi="Calibri"/>
                <w:b/>
                <w:sz w:val="20"/>
                <w:szCs w:val="20"/>
              </w:rPr>
              <w:t>31 de Marzo de 2018</w:t>
            </w:r>
          </w:p>
        </w:tc>
      </w:tr>
      <w:tr w:rsidR="00B6089F" w:rsidTr="00B6089F">
        <w:trPr>
          <w:trHeight w:val="80"/>
          <w:jc w:val="center"/>
        </w:trPr>
        <w:tc>
          <w:tcPr>
            <w:tcW w:w="10708" w:type="dxa"/>
            <w:gridSpan w:val="3"/>
            <w:tcBorders>
              <w:top w:val="nil"/>
              <w:left w:val="single" w:sz="8" w:space="0" w:color="auto"/>
              <w:bottom w:val="single" w:sz="8" w:space="0" w:color="auto"/>
              <w:right w:val="single" w:sz="8" w:space="0" w:color="000000"/>
            </w:tcBorders>
            <w:noWrap/>
            <w:vAlign w:val="bottom"/>
            <w:hideMark/>
          </w:tcPr>
          <w:p w:rsidR="00B6089F" w:rsidRDefault="00B6089F">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(Cifras en pesos)</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shd w:val="clear" w:color="auto" w:fill="A5A5A5"/>
            <w:noWrap/>
            <w:vAlign w:val="bottom"/>
            <w:hideMark/>
          </w:tcPr>
          <w:p w:rsidR="00B6089F" w:rsidRDefault="00B6089F">
            <w:pPr>
              <w:jc w:val="both"/>
              <w:rPr>
                <w:rFonts w:ascii="Calibri" w:hAnsi="Calibri" w:cs="Calibri"/>
                <w:b/>
                <w:bCs/>
                <w:color w:val="000000"/>
                <w:sz w:val="20"/>
                <w:szCs w:val="20"/>
                <w:lang w:eastAsia="es-MX"/>
              </w:rPr>
            </w:pPr>
            <w:r>
              <w:rPr>
                <w:rFonts w:ascii="Calibri" w:hAnsi="Calibri" w:cs="Calibri"/>
                <w:b/>
                <w:bCs/>
                <w:color w:val="000000"/>
                <w:sz w:val="20"/>
                <w:szCs w:val="20"/>
                <w:lang w:eastAsia="es-MX"/>
              </w:rPr>
              <w:t>1. Ingresos Presupuestarios</w:t>
            </w:r>
          </w:p>
        </w:tc>
        <w:tc>
          <w:tcPr>
            <w:tcW w:w="190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c>
          <w:tcPr>
            <w:tcW w:w="2015" w:type="dxa"/>
            <w:tcBorders>
              <w:top w:val="nil"/>
              <w:left w:val="nil"/>
              <w:bottom w:val="single" w:sz="4" w:space="0" w:color="auto"/>
              <w:right w:val="single" w:sz="4" w:space="0" w:color="auto"/>
            </w:tcBorders>
            <w:noWrap/>
            <w:vAlign w:val="center"/>
            <w:hideMark/>
          </w:tcPr>
          <w:p w:rsidR="00B6089F" w:rsidRDefault="00B6089F">
            <w:pPr>
              <w:rPr>
                <w:rFonts w:ascii="Calibri" w:hAnsi="Calibri" w:cs="Calibri"/>
                <w:b/>
                <w:bCs/>
                <w:color w:val="000000"/>
                <w:sz w:val="20"/>
                <w:szCs w:val="20"/>
                <w:lang w:eastAsia="es-MX"/>
              </w:rPr>
            </w:pPr>
            <w:r w:rsidRPr="00B6089F">
              <w:rPr>
                <w:rFonts w:ascii="Calibri" w:hAnsi="Calibri"/>
                <w:b/>
                <w:sz w:val="20"/>
                <w:szCs w:val="20"/>
              </w:rPr>
              <w:t>$             19,829,059.39</w:t>
            </w:r>
          </w:p>
        </w:tc>
      </w:tr>
      <w:tr w:rsidR="00B6089F" w:rsidTr="00B6089F">
        <w:trPr>
          <w:trHeight w:val="300"/>
          <w:jc w:val="center"/>
        </w:trPr>
        <w:tc>
          <w:tcPr>
            <w:tcW w:w="6788" w:type="dxa"/>
            <w:tcBorders>
              <w:top w:val="single" w:sz="4" w:space="0" w:color="auto"/>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b/>
                <w:bCs/>
                <w:color w:val="000000"/>
                <w:sz w:val="20"/>
                <w:szCs w:val="20"/>
                <w:lang w:eastAsia="es-MX"/>
              </w:rPr>
            </w:pPr>
            <w:r>
              <w:rPr>
                <w:rFonts w:ascii="Calibri" w:hAnsi="Calibri" w:cs="Calibri"/>
                <w:b/>
                <w:bCs/>
                <w:color w:val="000000"/>
                <w:sz w:val="20"/>
                <w:szCs w:val="20"/>
                <w:lang w:eastAsia="es-MX"/>
              </w:rPr>
              <w:t>2. Más ingresos contables no presupuestarios</w:t>
            </w:r>
          </w:p>
        </w:tc>
        <w:tc>
          <w:tcPr>
            <w:tcW w:w="1905" w:type="dxa"/>
            <w:tcBorders>
              <w:top w:val="single" w:sz="4" w:space="0" w:color="auto"/>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c>
          <w:tcPr>
            <w:tcW w:w="2015" w:type="dxa"/>
            <w:tcBorders>
              <w:top w:val="single" w:sz="4" w:space="0" w:color="auto"/>
              <w:left w:val="nil"/>
              <w:bottom w:val="single" w:sz="4" w:space="0" w:color="auto"/>
              <w:right w:val="single" w:sz="4" w:space="0" w:color="auto"/>
            </w:tcBorders>
            <w:noWrap/>
            <w:vAlign w:val="center"/>
            <w:hideMark/>
          </w:tcPr>
          <w:p w:rsidR="00B6089F" w:rsidRDefault="00B6089F">
            <w:pPr>
              <w:rPr>
                <w:rFonts w:ascii="Calibri" w:hAnsi="Calibri" w:cs="Calibri"/>
                <w:b/>
                <w:bCs/>
                <w:color w:val="000000"/>
                <w:sz w:val="20"/>
                <w:szCs w:val="20"/>
                <w:lang w:eastAsia="es-MX"/>
              </w:rPr>
            </w:pPr>
            <w:r>
              <w:rPr>
                <w:rFonts w:ascii="Calibri" w:hAnsi="Calibri" w:cs="Calibri"/>
                <w:b/>
                <w:bCs/>
                <w:color w:val="000000"/>
                <w:sz w:val="20"/>
                <w:szCs w:val="20"/>
                <w:lang w:eastAsia="es-MX"/>
              </w:rPr>
              <w:t>$                     12,095.94</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Incremento por variación de inventarios</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295"/>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Disminución del exceso de estimaciones por pérdida o deterioro u obsolescencia</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Disminución del exceso de provisiones</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Otros ingresos y beneficios varios</w:t>
            </w:r>
          </w:p>
        </w:tc>
        <w:tc>
          <w:tcPr>
            <w:tcW w:w="1905"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18"/>
                <w:szCs w:val="18"/>
              </w:rPr>
            </w:pPr>
            <w:r>
              <w:rPr>
                <w:rFonts w:ascii="Calibri" w:hAnsi="Calibri" w:cs="Calibri"/>
                <w:color w:val="000000"/>
                <w:sz w:val="18"/>
                <w:szCs w:val="18"/>
              </w:rPr>
              <w:t>$                                 6.64</w:t>
            </w: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lastRenderedPageBreak/>
              <w:t>Otros ingresos contables no presupuestarios</w:t>
            </w:r>
          </w:p>
        </w:tc>
        <w:tc>
          <w:tcPr>
            <w:tcW w:w="1905"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18"/>
                <w:szCs w:val="18"/>
              </w:rPr>
            </w:pPr>
            <w:r>
              <w:rPr>
                <w:rFonts w:ascii="Calibri" w:hAnsi="Calibri" w:cs="Calibri"/>
                <w:color w:val="000000"/>
                <w:sz w:val="18"/>
                <w:szCs w:val="18"/>
              </w:rPr>
              <w:t xml:space="preserve">$                       12,089.30 </w:t>
            </w: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single" w:sz="4" w:space="0" w:color="auto"/>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b/>
                <w:bCs/>
                <w:color w:val="000000"/>
                <w:sz w:val="20"/>
                <w:szCs w:val="20"/>
                <w:lang w:eastAsia="es-MX"/>
              </w:rPr>
            </w:pPr>
            <w:r>
              <w:rPr>
                <w:rFonts w:ascii="Calibri" w:hAnsi="Calibri" w:cs="Calibri"/>
                <w:b/>
                <w:bCs/>
                <w:color w:val="000000"/>
                <w:sz w:val="20"/>
                <w:szCs w:val="20"/>
                <w:lang w:eastAsia="es-MX"/>
              </w:rPr>
              <w:t>3. Menos ingresos presupuestarios no contables</w:t>
            </w:r>
          </w:p>
        </w:tc>
        <w:tc>
          <w:tcPr>
            <w:tcW w:w="1905" w:type="dxa"/>
            <w:tcBorders>
              <w:top w:val="single" w:sz="4" w:space="0" w:color="auto"/>
              <w:left w:val="nil"/>
              <w:bottom w:val="single" w:sz="4" w:space="0" w:color="auto"/>
              <w:right w:val="single" w:sz="4" w:space="0" w:color="auto"/>
            </w:tcBorders>
            <w:noWrap/>
            <w:vAlign w:val="center"/>
            <w:hideMark/>
          </w:tcPr>
          <w:p w:rsidR="00B6089F" w:rsidRDefault="00B6089F">
            <w:pPr>
              <w:jc w:val="center"/>
              <w:rPr>
                <w:rFonts w:ascii="Calibri" w:hAnsi="Calibri" w:cs="Calibri"/>
                <w:color w:val="000000"/>
                <w:sz w:val="20"/>
                <w:szCs w:val="20"/>
                <w:lang w:eastAsia="es-MX"/>
              </w:rPr>
            </w:pPr>
            <w:r>
              <w:rPr>
                <w:rFonts w:ascii="Calibri" w:hAnsi="Calibri" w:cs="Calibri"/>
                <w:color w:val="000000"/>
                <w:sz w:val="20"/>
                <w:szCs w:val="20"/>
                <w:lang w:eastAsia="es-MX"/>
              </w:rPr>
              <w:t> </w:t>
            </w:r>
          </w:p>
        </w:tc>
        <w:tc>
          <w:tcPr>
            <w:tcW w:w="2015" w:type="dxa"/>
            <w:tcBorders>
              <w:top w:val="single" w:sz="4" w:space="0" w:color="auto"/>
              <w:left w:val="nil"/>
              <w:bottom w:val="single" w:sz="4" w:space="0" w:color="auto"/>
              <w:right w:val="single" w:sz="4" w:space="0" w:color="auto"/>
            </w:tcBorders>
            <w:noWrap/>
            <w:vAlign w:val="center"/>
            <w:hideMark/>
          </w:tcPr>
          <w:p w:rsidR="00B6089F" w:rsidRDefault="00B6089F">
            <w:pPr>
              <w:rPr>
                <w:rFonts w:ascii="Calibri" w:hAnsi="Calibri" w:cs="Calibri"/>
                <w:b/>
                <w:bCs/>
                <w:color w:val="000000"/>
                <w:sz w:val="20"/>
                <w:szCs w:val="20"/>
                <w:lang w:eastAsia="es-MX"/>
              </w:rPr>
            </w:pPr>
            <w:r>
              <w:rPr>
                <w:rFonts w:ascii="Calibri" w:hAnsi="Calibri" w:cs="Calibri"/>
                <w:b/>
                <w:bCs/>
                <w:color w:val="000000"/>
                <w:sz w:val="20"/>
                <w:szCs w:val="20"/>
                <w:lang w:eastAsia="es-MX"/>
              </w:rPr>
              <w:t xml:space="preserve">$                 174, 071.39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Productos de capital</w:t>
            </w:r>
          </w:p>
        </w:tc>
        <w:tc>
          <w:tcPr>
            <w:tcW w:w="1905" w:type="dxa"/>
            <w:tcBorders>
              <w:top w:val="nil"/>
              <w:left w:val="nil"/>
              <w:bottom w:val="single" w:sz="4" w:space="0" w:color="auto"/>
              <w:right w:val="single" w:sz="4" w:space="0" w:color="auto"/>
            </w:tcBorders>
            <w:noWrap/>
            <w:vAlign w:val="center"/>
            <w:hideMark/>
          </w:tcPr>
          <w:p w:rsidR="00B6089F" w:rsidRDefault="00B6089F">
            <w:pPr>
              <w:rPr>
                <w:rFonts w:ascii="Calibri" w:hAnsi="Calibri" w:cs="Calibri"/>
                <w:bCs/>
                <w:color w:val="000000"/>
                <w:sz w:val="20"/>
                <w:szCs w:val="20"/>
                <w:lang w:eastAsia="es-MX"/>
              </w:rPr>
            </w:pPr>
            <w:r>
              <w:rPr>
                <w:rFonts w:ascii="Calibri" w:hAnsi="Calibri" w:cs="Calibri"/>
                <w:bCs/>
                <w:color w:val="000000"/>
                <w:sz w:val="20"/>
                <w:szCs w:val="20"/>
                <w:lang w:eastAsia="es-MX"/>
              </w:rPr>
              <w:t xml:space="preserve">$                174,071.39                                </w:t>
            </w: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Aprovechamientos capital</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Ingresos derivados de financiamientos</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300"/>
          <w:jc w:val="center"/>
        </w:trPr>
        <w:tc>
          <w:tcPr>
            <w:tcW w:w="6788" w:type="dxa"/>
            <w:tcBorders>
              <w:top w:val="nil"/>
              <w:left w:val="single" w:sz="4" w:space="0" w:color="auto"/>
              <w:bottom w:val="single" w:sz="4" w:space="0" w:color="auto"/>
              <w:right w:val="single" w:sz="4" w:space="0" w:color="auto"/>
            </w:tcBorders>
            <w:noWrap/>
            <w:vAlign w:val="bottom"/>
            <w:hideMark/>
          </w:tcPr>
          <w:p w:rsidR="00B6089F" w:rsidRDefault="00B6089F">
            <w:pPr>
              <w:jc w:val="both"/>
              <w:rPr>
                <w:rFonts w:ascii="Calibri" w:hAnsi="Calibri" w:cs="Calibri"/>
                <w:color w:val="000000"/>
                <w:sz w:val="20"/>
                <w:szCs w:val="20"/>
                <w:lang w:eastAsia="es-MX"/>
              </w:rPr>
            </w:pPr>
            <w:r>
              <w:rPr>
                <w:rFonts w:ascii="Calibri" w:hAnsi="Calibri" w:cs="Calibri"/>
                <w:color w:val="000000"/>
                <w:sz w:val="20"/>
                <w:szCs w:val="20"/>
                <w:lang w:eastAsia="es-MX"/>
              </w:rPr>
              <w:t>Otros Ingresos presupuestarios no contables</w:t>
            </w:r>
          </w:p>
        </w:tc>
        <w:tc>
          <w:tcPr>
            <w:tcW w:w="1905" w:type="dxa"/>
            <w:tcBorders>
              <w:top w:val="nil"/>
              <w:left w:val="nil"/>
              <w:bottom w:val="single" w:sz="4" w:space="0" w:color="auto"/>
              <w:right w:val="single" w:sz="4" w:space="0" w:color="auto"/>
            </w:tcBorders>
            <w:noWrap/>
            <w:vAlign w:val="center"/>
            <w:hideMark/>
          </w:tcPr>
          <w:p w:rsidR="00B6089F" w:rsidRDefault="00B6089F">
            <w:pPr>
              <w:rPr>
                <w:sz w:val="20"/>
                <w:szCs w:val="20"/>
                <w:lang w:eastAsia="es-MX"/>
              </w:rPr>
            </w:pPr>
          </w:p>
        </w:tc>
        <w:tc>
          <w:tcPr>
            <w:tcW w:w="2015" w:type="dxa"/>
            <w:tcBorders>
              <w:top w:val="nil"/>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r>
      <w:tr w:rsidR="00B6089F" w:rsidTr="00B6089F">
        <w:trPr>
          <w:trHeight w:val="183"/>
          <w:jc w:val="center"/>
        </w:trPr>
        <w:tc>
          <w:tcPr>
            <w:tcW w:w="6788" w:type="dxa"/>
            <w:tcBorders>
              <w:top w:val="single" w:sz="4" w:space="0" w:color="auto"/>
              <w:left w:val="single" w:sz="4" w:space="0" w:color="auto"/>
              <w:bottom w:val="single" w:sz="4" w:space="0" w:color="auto"/>
              <w:right w:val="single" w:sz="4" w:space="0" w:color="auto"/>
            </w:tcBorders>
            <w:shd w:val="clear" w:color="auto" w:fill="A5A5A5"/>
            <w:noWrap/>
            <w:vAlign w:val="bottom"/>
            <w:hideMark/>
          </w:tcPr>
          <w:p w:rsidR="00B6089F" w:rsidRDefault="00B6089F">
            <w:pPr>
              <w:jc w:val="both"/>
              <w:rPr>
                <w:rFonts w:ascii="Calibri" w:hAnsi="Calibri" w:cs="Calibri"/>
                <w:b/>
                <w:bCs/>
                <w:color w:val="000000"/>
                <w:sz w:val="20"/>
                <w:szCs w:val="20"/>
                <w:lang w:eastAsia="es-MX"/>
              </w:rPr>
            </w:pPr>
            <w:r>
              <w:rPr>
                <w:rFonts w:ascii="Calibri" w:hAnsi="Calibri" w:cs="Calibri"/>
                <w:b/>
                <w:bCs/>
                <w:color w:val="000000"/>
                <w:sz w:val="20"/>
                <w:szCs w:val="20"/>
                <w:lang w:eastAsia="es-MX"/>
              </w:rPr>
              <w:t>4. Ingresos Contables (4 = 1 + 2 - 3)</w:t>
            </w:r>
          </w:p>
        </w:tc>
        <w:tc>
          <w:tcPr>
            <w:tcW w:w="1905" w:type="dxa"/>
            <w:tcBorders>
              <w:top w:val="single" w:sz="4" w:space="0" w:color="auto"/>
              <w:left w:val="nil"/>
              <w:bottom w:val="single" w:sz="4" w:space="0" w:color="auto"/>
              <w:right w:val="single" w:sz="4" w:space="0" w:color="auto"/>
            </w:tcBorders>
            <w:noWrap/>
            <w:vAlign w:val="center"/>
            <w:hideMark/>
          </w:tcPr>
          <w:p w:rsidR="00B6089F" w:rsidRDefault="00B6089F">
            <w:pPr>
              <w:jc w:val="right"/>
              <w:rPr>
                <w:rFonts w:ascii="Calibri" w:hAnsi="Calibri" w:cs="Calibri"/>
                <w:color w:val="000000"/>
                <w:sz w:val="20"/>
                <w:szCs w:val="20"/>
                <w:lang w:eastAsia="es-MX"/>
              </w:rPr>
            </w:pPr>
            <w:r>
              <w:rPr>
                <w:rFonts w:ascii="Calibri" w:hAnsi="Calibri" w:cs="Calibri"/>
                <w:color w:val="000000"/>
                <w:sz w:val="20"/>
                <w:szCs w:val="20"/>
                <w:lang w:eastAsia="es-MX"/>
              </w:rPr>
              <w:t> </w:t>
            </w:r>
          </w:p>
        </w:tc>
        <w:tc>
          <w:tcPr>
            <w:tcW w:w="2015" w:type="dxa"/>
            <w:tcBorders>
              <w:top w:val="single" w:sz="4" w:space="0" w:color="auto"/>
              <w:left w:val="nil"/>
              <w:bottom w:val="single" w:sz="4" w:space="0" w:color="auto"/>
              <w:right w:val="single" w:sz="4" w:space="0" w:color="auto"/>
            </w:tcBorders>
            <w:noWrap/>
            <w:vAlign w:val="center"/>
            <w:hideMark/>
          </w:tcPr>
          <w:p w:rsidR="00B6089F" w:rsidRDefault="00B6089F">
            <w:pPr>
              <w:rPr>
                <w:rFonts w:ascii="Calibri" w:hAnsi="Calibri" w:cs="Calibri"/>
                <w:b/>
                <w:bCs/>
                <w:color w:val="000000"/>
                <w:sz w:val="20"/>
                <w:szCs w:val="20"/>
                <w:lang w:eastAsia="es-MX"/>
              </w:rPr>
            </w:pPr>
            <w:r>
              <w:rPr>
                <w:rFonts w:ascii="Calibri" w:hAnsi="Calibri" w:cs="Calibri"/>
                <w:b/>
                <w:bCs/>
                <w:color w:val="000000"/>
                <w:sz w:val="20"/>
                <w:szCs w:val="20"/>
                <w:lang w:eastAsia="es-MX"/>
              </w:rPr>
              <w:t>$            19,667,083.94</w:t>
            </w:r>
          </w:p>
        </w:tc>
      </w:tr>
    </w:tbl>
    <w:p w:rsidR="00B6089F" w:rsidRPr="00B6089F" w:rsidRDefault="00B6089F" w:rsidP="00B6089F">
      <w:pPr>
        <w:pStyle w:val="Sangradetextonormal"/>
        <w:tabs>
          <w:tab w:val="left" w:pos="7655"/>
        </w:tabs>
        <w:ind w:left="0"/>
        <w:jc w:val="both"/>
        <w:rPr>
          <w:rFonts w:ascii="Calibri" w:hAnsi="Calibri"/>
          <w:b/>
          <w:sz w:val="20"/>
          <w:szCs w:val="20"/>
        </w:rPr>
      </w:pPr>
    </w:p>
    <w:p w:rsidR="00B6089F" w:rsidRPr="00B6089F" w:rsidRDefault="00B6089F" w:rsidP="00B6089F">
      <w:pPr>
        <w:pStyle w:val="Ttulo6"/>
        <w:pBdr>
          <w:bottom w:val="single" w:sz="4" w:space="2" w:color="auto"/>
          <w:right w:val="single" w:sz="4" w:space="0" w:color="auto"/>
        </w:pBdr>
        <w:jc w:val="both"/>
        <w:rPr>
          <w:rFonts w:ascii="Calibri" w:hAnsi="Calibri"/>
          <w:sz w:val="20"/>
          <w:szCs w:val="20"/>
        </w:rPr>
      </w:pPr>
      <w:r w:rsidRPr="00B6089F">
        <w:rPr>
          <w:rFonts w:ascii="Calibri" w:hAnsi="Calibri"/>
          <w:sz w:val="20"/>
          <w:szCs w:val="20"/>
        </w:rPr>
        <w:t>Nota  10  Conciliación entre los Egresos Presupuestarios y los Gastos Contables</w:t>
      </w:r>
    </w:p>
    <w:p w:rsidR="00B6089F" w:rsidRPr="00B6089F" w:rsidRDefault="00B6089F" w:rsidP="00B6089F">
      <w:pPr>
        <w:pStyle w:val="Sangradetextonormal"/>
        <w:tabs>
          <w:tab w:val="left" w:pos="7655"/>
        </w:tabs>
        <w:ind w:left="0"/>
        <w:jc w:val="both"/>
        <w:rPr>
          <w:rFonts w:ascii="Calibri" w:hAnsi="Calibri"/>
          <w:b/>
          <w:sz w:val="20"/>
          <w:szCs w:val="20"/>
        </w:rPr>
      </w:pPr>
    </w:p>
    <w:tbl>
      <w:tblPr>
        <w:tblW w:w="10711" w:type="dxa"/>
        <w:jc w:val="center"/>
        <w:tblInd w:w="55" w:type="dxa"/>
        <w:tblCellMar>
          <w:left w:w="70" w:type="dxa"/>
          <w:right w:w="70" w:type="dxa"/>
        </w:tblCellMar>
        <w:tblLook w:val="04A0" w:firstRow="1" w:lastRow="0" w:firstColumn="1" w:lastColumn="0" w:noHBand="0" w:noVBand="1"/>
      </w:tblPr>
      <w:tblGrid>
        <w:gridCol w:w="6864"/>
        <w:gridCol w:w="1798"/>
        <w:gridCol w:w="2049"/>
      </w:tblGrid>
      <w:tr w:rsidR="00B6089F" w:rsidTr="00B6089F">
        <w:trPr>
          <w:trHeight w:val="300"/>
          <w:jc w:val="center"/>
        </w:trPr>
        <w:tc>
          <w:tcPr>
            <w:tcW w:w="10711" w:type="dxa"/>
            <w:gridSpan w:val="3"/>
            <w:tcBorders>
              <w:top w:val="single" w:sz="8" w:space="0" w:color="auto"/>
              <w:left w:val="single" w:sz="8" w:space="0" w:color="auto"/>
              <w:bottom w:val="nil"/>
              <w:right w:val="single" w:sz="8"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Auditoría Superior del Estado</w:t>
            </w:r>
          </w:p>
        </w:tc>
      </w:tr>
      <w:tr w:rsidR="00B6089F" w:rsidTr="00B6089F">
        <w:trPr>
          <w:trHeight w:val="300"/>
          <w:jc w:val="center"/>
        </w:trPr>
        <w:tc>
          <w:tcPr>
            <w:tcW w:w="10711" w:type="dxa"/>
            <w:gridSpan w:val="3"/>
            <w:tcBorders>
              <w:top w:val="nil"/>
              <w:left w:val="single" w:sz="8" w:space="0" w:color="auto"/>
              <w:bottom w:val="nil"/>
              <w:right w:val="single" w:sz="8"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Conciliación entre los Egresos Presupuestarios y los Gastos Contables</w:t>
            </w:r>
          </w:p>
        </w:tc>
      </w:tr>
      <w:tr w:rsidR="00B6089F" w:rsidTr="00B6089F">
        <w:trPr>
          <w:trHeight w:val="300"/>
          <w:jc w:val="center"/>
        </w:trPr>
        <w:tc>
          <w:tcPr>
            <w:tcW w:w="10711" w:type="dxa"/>
            <w:gridSpan w:val="3"/>
            <w:tcBorders>
              <w:top w:val="nil"/>
              <w:left w:val="single" w:sz="8" w:space="0" w:color="auto"/>
              <w:bottom w:val="nil"/>
              <w:right w:val="single" w:sz="8"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 xml:space="preserve">Correspondiente del 1° de enero al </w:t>
            </w:r>
            <w:r w:rsidRPr="00B6089F">
              <w:rPr>
                <w:rFonts w:ascii="Calibri" w:hAnsi="Calibri"/>
                <w:b/>
                <w:sz w:val="20"/>
                <w:szCs w:val="20"/>
              </w:rPr>
              <w:t>31 de marzo de 2018</w:t>
            </w:r>
          </w:p>
        </w:tc>
      </w:tr>
      <w:tr w:rsidR="00B6089F" w:rsidTr="00B6089F">
        <w:trPr>
          <w:trHeight w:val="231"/>
          <w:jc w:val="center"/>
        </w:trPr>
        <w:tc>
          <w:tcPr>
            <w:tcW w:w="10711" w:type="dxa"/>
            <w:gridSpan w:val="3"/>
            <w:tcBorders>
              <w:top w:val="nil"/>
              <w:left w:val="single" w:sz="8" w:space="0" w:color="auto"/>
              <w:bottom w:val="single" w:sz="4" w:space="0" w:color="auto"/>
              <w:right w:val="single" w:sz="8" w:space="0" w:color="000000"/>
            </w:tcBorders>
            <w:noWrap/>
            <w:vAlign w:val="bottom"/>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(Cifras en pesos)</w:t>
            </w:r>
          </w:p>
        </w:tc>
      </w:tr>
      <w:tr w:rsidR="00B6089F" w:rsidTr="00B6089F">
        <w:trPr>
          <w:trHeight w:val="269"/>
          <w:jc w:val="center"/>
        </w:trPr>
        <w:tc>
          <w:tcPr>
            <w:tcW w:w="6864" w:type="dxa"/>
            <w:tcBorders>
              <w:top w:val="single" w:sz="4" w:space="0" w:color="auto"/>
              <w:left w:val="single" w:sz="4" w:space="0" w:color="auto"/>
              <w:bottom w:val="single" w:sz="4" w:space="0" w:color="auto"/>
              <w:right w:val="single" w:sz="4" w:space="0" w:color="auto"/>
            </w:tcBorders>
            <w:shd w:val="clear" w:color="auto" w:fill="A5A5A5"/>
            <w:noWrap/>
            <w:vAlign w:val="bottom"/>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1. Total de egresos (presupuestarios)</w:t>
            </w:r>
          </w:p>
        </w:tc>
        <w:tc>
          <w:tcPr>
            <w:tcW w:w="1798" w:type="dxa"/>
            <w:tcBorders>
              <w:top w:val="single" w:sz="4" w:space="0" w:color="auto"/>
              <w:left w:val="nil"/>
              <w:bottom w:val="single" w:sz="4" w:space="0" w:color="000000"/>
              <w:right w:val="single" w:sz="4" w:space="0" w:color="000000"/>
            </w:tcBorders>
            <w:noWrap/>
            <w:vAlign w:val="bottom"/>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 </w:t>
            </w:r>
          </w:p>
        </w:tc>
        <w:tc>
          <w:tcPr>
            <w:tcW w:w="2049" w:type="dxa"/>
            <w:tcBorders>
              <w:top w:val="single" w:sz="4" w:space="0" w:color="auto"/>
              <w:left w:val="nil"/>
              <w:bottom w:val="single" w:sz="4" w:space="0" w:color="auto"/>
              <w:right w:val="single" w:sz="4"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 xml:space="preserve"> $            16,519,325.61</w:t>
            </w:r>
          </w:p>
        </w:tc>
      </w:tr>
      <w:tr w:rsidR="00B6089F" w:rsidTr="00B6089F">
        <w:trPr>
          <w:trHeight w:val="243"/>
          <w:jc w:val="center"/>
        </w:trPr>
        <w:tc>
          <w:tcPr>
            <w:tcW w:w="6864" w:type="dxa"/>
            <w:tcBorders>
              <w:top w:val="single" w:sz="4" w:space="0" w:color="000000"/>
              <w:left w:val="single" w:sz="4" w:space="0" w:color="000000"/>
              <w:bottom w:val="single" w:sz="4" w:space="0" w:color="000000"/>
              <w:right w:val="nil"/>
            </w:tcBorders>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2. Menos egresos presupuestarios no contables</w:t>
            </w:r>
          </w:p>
        </w:tc>
        <w:tc>
          <w:tcPr>
            <w:tcW w:w="1798" w:type="dxa"/>
            <w:tcBorders>
              <w:top w:val="single" w:sz="4" w:space="0" w:color="auto"/>
              <w:left w:val="single" w:sz="4" w:space="0" w:color="auto"/>
              <w:bottom w:val="single" w:sz="4" w:space="0" w:color="auto"/>
              <w:right w:val="single" w:sz="4" w:space="0" w:color="auto"/>
            </w:tcBorders>
            <w:hideMark/>
          </w:tcPr>
          <w:p w:rsidR="00B6089F" w:rsidRDefault="00B6089F">
            <w:pPr>
              <w:jc w:val="center"/>
              <w:rPr>
                <w:rFonts w:ascii="Calibri" w:hAnsi="Calibri" w:cs="Calibri"/>
                <w:color w:val="000000"/>
                <w:sz w:val="18"/>
                <w:szCs w:val="18"/>
              </w:rPr>
            </w:pPr>
            <w:r>
              <w:rPr>
                <w:rFonts w:ascii="Calibri" w:hAnsi="Calibri" w:cs="Calibri"/>
                <w:color w:val="000000"/>
                <w:sz w:val="18"/>
                <w:szCs w:val="18"/>
              </w:rPr>
              <w:t> </w:t>
            </w:r>
          </w:p>
        </w:tc>
        <w:tc>
          <w:tcPr>
            <w:tcW w:w="2049" w:type="dxa"/>
            <w:tcBorders>
              <w:top w:val="single" w:sz="4" w:space="0" w:color="auto"/>
              <w:left w:val="nil"/>
              <w:bottom w:val="single" w:sz="4" w:space="0" w:color="auto"/>
              <w:right w:val="single" w:sz="4"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 xml:space="preserve"> $               689,614.99</w:t>
            </w:r>
          </w:p>
        </w:tc>
      </w:tr>
      <w:tr w:rsidR="00B6089F" w:rsidTr="00B6089F">
        <w:trPr>
          <w:trHeight w:val="300"/>
          <w:jc w:val="center"/>
        </w:trPr>
        <w:tc>
          <w:tcPr>
            <w:tcW w:w="6864" w:type="dxa"/>
            <w:tcBorders>
              <w:top w:val="nil"/>
              <w:left w:val="single" w:sz="4" w:space="0" w:color="000000"/>
              <w:bottom w:val="single" w:sz="4" w:space="0" w:color="auto"/>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Mobiliario y equipo de administración</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rFonts w:ascii="Calibri" w:hAnsi="Calibri" w:cs="Calibri"/>
                <w:color w:val="000000"/>
                <w:sz w:val="18"/>
                <w:szCs w:val="18"/>
              </w:rPr>
            </w:pPr>
            <w:r>
              <w:rPr>
                <w:rFonts w:ascii="Calibri" w:hAnsi="Calibri" w:cs="Calibri"/>
                <w:color w:val="000000"/>
                <w:sz w:val="18"/>
                <w:szCs w:val="18"/>
              </w:rPr>
              <w:t>$                  577,852.73</w:t>
            </w:r>
          </w:p>
        </w:tc>
        <w:tc>
          <w:tcPr>
            <w:tcW w:w="2049" w:type="dxa"/>
            <w:tcBorders>
              <w:top w:val="single" w:sz="4" w:space="0" w:color="auto"/>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single" w:sz="4" w:space="0" w:color="auto"/>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Mobiliario y equipo educacional y recreativo</w:t>
            </w:r>
          </w:p>
        </w:tc>
        <w:tc>
          <w:tcPr>
            <w:tcW w:w="1798" w:type="dxa"/>
            <w:tcBorders>
              <w:top w:val="single" w:sz="4" w:space="0" w:color="auto"/>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single" w:sz="4" w:space="0" w:color="auto"/>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Equipo e instrumental médico y de laboratorio</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Vehículos y equipo de transporte</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Equipo de defensa y seguridad</w:t>
            </w:r>
          </w:p>
        </w:tc>
        <w:tc>
          <w:tcPr>
            <w:tcW w:w="1798" w:type="dxa"/>
            <w:tcBorders>
              <w:top w:val="nil"/>
              <w:left w:val="single" w:sz="4" w:space="0" w:color="auto"/>
              <w:bottom w:val="single" w:sz="4" w:space="0" w:color="auto"/>
              <w:right w:val="single" w:sz="4" w:space="0" w:color="auto"/>
            </w:tcBorders>
            <w:noWrap/>
            <w:vAlign w:val="bottom"/>
          </w:tcPr>
          <w:p w:rsidR="00B6089F" w:rsidRDefault="00B6089F">
            <w:pPr>
              <w:rPr>
                <w:rFonts w:ascii="Calibri" w:hAnsi="Calibri" w:cs="Calibri"/>
                <w:color w:val="000000"/>
                <w:sz w:val="18"/>
                <w:szCs w:val="18"/>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Maquinaria, otros equipos y herramientas</w:t>
            </w:r>
          </w:p>
        </w:tc>
        <w:tc>
          <w:tcPr>
            <w:tcW w:w="1798" w:type="dxa"/>
            <w:tcBorders>
              <w:top w:val="nil"/>
              <w:left w:val="single" w:sz="4" w:space="0" w:color="auto"/>
              <w:bottom w:val="single" w:sz="4" w:space="0" w:color="auto"/>
              <w:right w:val="single" w:sz="4" w:space="0" w:color="auto"/>
            </w:tcBorders>
            <w:noWrap/>
            <w:vAlign w:val="center"/>
          </w:tcPr>
          <w:p w:rsidR="00B6089F" w:rsidRDefault="00B6089F">
            <w:pPr>
              <w:rPr>
                <w:rFonts w:ascii="Calibri" w:hAnsi="Calibri" w:cs="Calibri"/>
                <w:color w:val="000000"/>
                <w:sz w:val="18"/>
                <w:szCs w:val="18"/>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Activos intangibles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jc w:val="center"/>
              <w:rPr>
                <w:rFonts w:ascii="Calibri" w:hAnsi="Calibri" w:cs="Calibri"/>
                <w:color w:val="000000"/>
                <w:sz w:val="18"/>
                <w:szCs w:val="18"/>
              </w:rPr>
            </w:pPr>
            <w:r>
              <w:rPr>
                <w:rFonts w:ascii="Calibri" w:hAnsi="Calibri" w:cs="Calibri"/>
                <w:color w:val="000000"/>
                <w:sz w:val="18"/>
                <w:szCs w:val="18"/>
              </w:rPr>
              <w:t>$              111,762.24</w:t>
            </w: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Acciones y participaciones de capital</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Compra de títulos y valores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lastRenderedPageBreak/>
              <w:t>Inversiones en fideicomisos, mandatos y otros análogos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Provisiones para contingencias y otras erogaciones especiales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Amortización de la deuda publica</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Adeudos de ejercicios fiscales anteriores (ADEFAS)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217"/>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Otros Egresos Presupuestales No Contables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267"/>
          <w:jc w:val="center"/>
        </w:trPr>
        <w:tc>
          <w:tcPr>
            <w:tcW w:w="6864" w:type="dxa"/>
            <w:tcBorders>
              <w:top w:val="single" w:sz="4" w:space="0" w:color="auto"/>
              <w:left w:val="single" w:sz="4" w:space="0" w:color="auto"/>
              <w:bottom w:val="single" w:sz="4" w:space="0" w:color="auto"/>
              <w:right w:val="single" w:sz="4" w:space="0" w:color="auto"/>
            </w:tcBorders>
            <w:noWrap/>
            <w:vAlign w:val="bottom"/>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3. Mas gastos contables no presupuestales</w:t>
            </w:r>
          </w:p>
        </w:tc>
        <w:tc>
          <w:tcPr>
            <w:tcW w:w="1798" w:type="dxa"/>
            <w:tcBorders>
              <w:top w:val="single" w:sz="4" w:space="0" w:color="auto"/>
              <w:left w:val="nil"/>
              <w:bottom w:val="single" w:sz="4" w:space="0" w:color="auto"/>
              <w:right w:val="single" w:sz="4" w:space="0" w:color="auto"/>
            </w:tcBorders>
            <w:noWrap/>
            <w:vAlign w:val="bottom"/>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 </w:t>
            </w:r>
          </w:p>
        </w:tc>
        <w:tc>
          <w:tcPr>
            <w:tcW w:w="2049" w:type="dxa"/>
            <w:tcBorders>
              <w:top w:val="single" w:sz="4" w:space="0" w:color="auto"/>
              <w:left w:val="nil"/>
              <w:bottom w:val="single" w:sz="4" w:space="0" w:color="auto"/>
              <w:right w:val="single" w:sz="4" w:space="0" w:color="auto"/>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              528,247.07</w:t>
            </w:r>
          </w:p>
        </w:tc>
      </w:tr>
      <w:tr w:rsidR="00B6089F" w:rsidTr="00B6089F">
        <w:trPr>
          <w:trHeight w:val="243"/>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Estimaciones, depreciaciones, deterioros, obsolescencia y amortizaciones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rFonts w:ascii="Calibri" w:hAnsi="Calibri" w:cs="Calibri"/>
                <w:color w:val="000000"/>
                <w:sz w:val="18"/>
                <w:szCs w:val="18"/>
              </w:rPr>
            </w:pPr>
            <w:r>
              <w:rPr>
                <w:rFonts w:ascii="Calibri" w:hAnsi="Calibri" w:cs="Calibri"/>
                <w:color w:val="000000"/>
                <w:sz w:val="18"/>
                <w:szCs w:val="18"/>
              </w:rPr>
              <w:t>$                 528,237.93</w:t>
            </w: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Provisiones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auto"/>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Disminución de inventarios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495"/>
          <w:jc w:val="center"/>
        </w:trPr>
        <w:tc>
          <w:tcPr>
            <w:tcW w:w="6864" w:type="dxa"/>
            <w:tcBorders>
              <w:top w:val="single" w:sz="4" w:space="0" w:color="auto"/>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Aumento por insuficiencia de estimaciones por pérdida o deterioro u obsolescencia</w:t>
            </w:r>
          </w:p>
        </w:tc>
        <w:tc>
          <w:tcPr>
            <w:tcW w:w="1798" w:type="dxa"/>
            <w:tcBorders>
              <w:top w:val="single" w:sz="4" w:space="0" w:color="auto"/>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single" w:sz="4" w:space="0" w:color="auto"/>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Aumento por insuficiencia de provisiones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300"/>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Otros Gastos</w:t>
            </w:r>
          </w:p>
        </w:tc>
        <w:tc>
          <w:tcPr>
            <w:tcW w:w="1798" w:type="dxa"/>
            <w:tcBorders>
              <w:top w:val="nil"/>
              <w:left w:val="single" w:sz="4" w:space="0" w:color="auto"/>
              <w:bottom w:val="single" w:sz="4" w:space="0" w:color="auto"/>
              <w:right w:val="single" w:sz="4" w:space="0" w:color="auto"/>
            </w:tcBorders>
            <w:noWrap/>
            <w:vAlign w:val="bottom"/>
            <w:hideMark/>
          </w:tcPr>
          <w:p w:rsidR="00B6089F" w:rsidRDefault="00B6089F">
            <w:pPr>
              <w:rPr>
                <w:rFonts w:ascii="Calibri" w:hAnsi="Calibri" w:cs="Calibri"/>
                <w:color w:val="000000"/>
                <w:sz w:val="18"/>
                <w:szCs w:val="18"/>
              </w:rPr>
            </w:pPr>
            <w:r>
              <w:rPr>
                <w:rFonts w:ascii="Calibri" w:hAnsi="Calibri" w:cs="Calibri"/>
                <w:color w:val="000000"/>
                <w:sz w:val="18"/>
                <w:szCs w:val="18"/>
              </w:rPr>
              <w:t>$                             9.14</w:t>
            </w: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245"/>
          <w:jc w:val="center"/>
        </w:trPr>
        <w:tc>
          <w:tcPr>
            <w:tcW w:w="6864" w:type="dxa"/>
            <w:tcBorders>
              <w:top w:val="nil"/>
              <w:left w:val="single" w:sz="4" w:space="0" w:color="000000"/>
              <w:bottom w:val="single" w:sz="4" w:space="0" w:color="000000"/>
              <w:right w:val="nil"/>
            </w:tcBorders>
            <w:hideMark/>
          </w:tcPr>
          <w:p w:rsidR="00B6089F" w:rsidRDefault="00B6089F">
            <w:pPr>
              <w:rPr>
                <w:rFonts w:ascii="Arial" w:hAnsi="Arial" w:cs="Arial"/>
                <w:color w:val="000000"/>
                <w:sz w:val="18"/>
                <w:szCs w:val="18"/>
                <w:lang w:eastAsia="es-MX"/>
              </w:rPr>
            </w:pPr>
            <w:r>
              <w:rPr>
                <w:rFonts w:ascii="Arial" w:hAnsi="Arial" w:cs="Arial"/>
                <w:color w:val="000000"/>
                <w:sz w:val="18"/>
                <w:szCs w:val="18"/>
                <w:lang w:eastAsia="es-MX"/>
              </w:rPr>
              <w:t>Otros Gastos Contables No Presupuestales</w:t>
            </w:r>
          </w:p>
        </w:tc>
        <w:tc>
          <w:tcPr>
            <w:tcW w:w="1798" w:type="dxa"/>
            <w:tcBorders>
              <w:top w:val="nil"/>
              <w:left w:val="single" w:sz="4" w:space="0" w:color="auto"/>
              <w:bottom w:val="single" w:sz="4" w:space="0" w:color="auto"/>
              <w:right w:val="single" w:sz="4" w:space="0" w:color="auto"/>
            </w:tcBorders>
            <w:noWrap/>
            <w:hideMark/>
          </w:tcPr>
          <w:p w:rsidR="00B6089F" w:rsidRDefault="00B6089F">
            <w:pPr>
              <w:rPr>
                <w:sz w:val="20"/>
                <w:szCs w:val="20"/>
                <w:lang w:eastAsia="es-MX"/>
              </w:rPr>
            </w:pPr>
          </w:p>
        </w:tc>
        <w:tc>
          <w:tcPr>
            <w:tcW w:w="2049" w:type="dxa"/>
            <w:tcBorders>
              <w:top w:val="nil"/>
              <w:left w:val="nil"/>
              <w:bottom w:val="single" w:sz="4" w:space="0" w:color="auto"/>
              <w:right w:val="single" w:sz="4" w:space="0" w:color="auto"/>
            </w:tcBorders>
            <w:noWrap/>
            <w:vAlign w:val="bottom"/>
            <w:hideMark/>
          </w:tcPr>
          <w:p w:rsidR="00B6089F" w:rsidRDefault="00B6089F">
            <w:pPr>
              <w:rPr>
                <w:rFonts w:ascii="Calibri" w:hAnsi="Calibri" w:cs="Calibri"/>
                <w:color w:val="000000"/>
                <w:sz w:val="22"/>
                <w:szCs w:val="22"/>
                <w:lang w:eastAsia="es-MX"/>
              </w:rPr>
            </w:pPr>
            <w:r>
              <w:rPr>
                <w:rFonts w:ascii="Calibri" w:hAnsi="Calibri" w:cs="Calibri"/>
                <w:color w:val="000000"/>
                <w:sz w:val="22"/>
                <w:szCs w:val="22"/>
                <w:lang w:eastAsia="es-MX"/>
              </w:rPr>
              <w:t> </w:t>
            </w:r>
          </w:p>
        </w:tc>
      </w:tr>
      <w:tr w:rsidR="00B6089F" w:rsidTr="00B6089F">
        <w:trPr>
          <w:trHeight w:val="175"/>
          <w:jc w:val="center"/>
        </w:trPr>
        <w:tc>
          <w:tcPr>
            <w:tcW w:w="6864" w:type="dxa"/>
            <w:tcBorders>
              <w:top w:val="single" w:sz="4" w:space="0" w:color="auto"/>
              <w:left w:val="single" w:sz="4" w:space="0" w:color="auto"/>
              <w:bottom w:val="single" w:sz="4" w:space="0" w:color="auto"/>
              <w:right w:val="single" w:sz="4" w:space="0" w:color="auto"/>
            </w:tcBorders>
            <w:shd w:val="clear" w:color="auto" w:fill="A5A5A5"/>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4. Total de Gasto Contable (4 = 1 - 2 + 3)</w:t>
            </w:r>
          </w:p>
        </w:tc>
        <w:tc>
          <w:tcPr>
            <w:tcW w:w="1798" w:type="dxa"/>
            <w:tcBorders>
              <w:top w:val="single" w:sz="4" w:space="0" w:color="auto"/>
              <w:left w:val="nil"/>
              <w:bottom w:val="single" w:sz="4" w:space="0" w:color="auto"/>
              <w:right w:val="single" w:sz="4" w:space="0" w:color="auto"/>
            </w:tcBorders>
            <w:hideMark/>
          </w:tcPr>
          <w:p w:rsidR="00B6089F" w:rsidRDefault="00B6089F">
            <w:pPr>
              <w:rPr>
                <w:rFonts w:ascii="Arial" w:hAnsi="Arial" w:cs="Arial"/>
                <w:b/>
                <w:bCs/>
                <w:color w:val="000000"/>
                <w:sz w:val="18"/>
                <w:szCs w:val="18"/>
                <w:lang w:eastAsia="es-MX"/>
              </w:rPr>
            </w:pPr>
            <w:r>
              <w:rPr>
                <w:rFonts w:ascii="Arial" w:hAnsi="Arial" w:cs="Arial"/>
                <w:b/>
                <w:bCs/>
                <w:color w:val="000000"/>
                <w:sz w:val="18"/>
                <w:szCs w:val="18"/>
                <w:lang w:eastAsia="es-MX"/>
              </w:rPr>
              <w:t> </w:t>
            </w:r>
          </w:p>
        </w:tc>
        <w:tc>
          <w:tcPr>
            <w:tcW w:w="2049" w:type="dxa"/>
            <w:tcBorders>
              <w:top w:val="single" w:sz="4" w:space="0" w:color="000000"/>
              <w:left w:val="nil"/>
              <w:bottom w:val="single" w:sz="4" w:space="0" w:color="000000"/>
              <w:right w:val="single" w:sz="4" w:space="0" w:color="000000"/>
            </w:tcBorders>
            <w:noWrap/>
            <w:hideMark/>
          </w:tcPr>
          <w:p w:rsidR="00B6089F" w:rsidRDefault="00B6089F">
            <w:pPr>
              <w:jc w:val="center"/>
              <w:rPr>
                <w:rFonts w:ascii="Arial" w:hAnsi="Arial" w:cs="Arial"/>
                <w:b/>
                <w:bCs/>
                <w:color w:val="000000"/>
                <w:sz w:val="18"/>
                <w:szCs w:val="18"/>
                <w:lang w:eastAsia="es-MX"/>
              </w:rPr>
            </w:pPr>
            <w:r>
              <w:rPr>
                <w:rFonts w:ascii="Arial" w:hAnsi="Arial" w:cs="Arial"/>
                <w:b/>
                <w:bCs/>
                <w:color w:val="000000"/>
                <w:sz w:val="18"/>
                <w:szCs w:val="18"/>
                <w:lang w:eastAsia="es-MX"/>
              </w:rPr>
              <w:t xml:space="preserve"> $            16,357,957.69</w:t>
            </w:r>
          </w:p>
        </w:tc>
      </w:tr>
    </w:tbl>
    <w:p w:rsidR="00B6089F" w:rsidRPr="00B6089F" w:rsidRDefault="00B6089F" w:rsidP="00B6089F">
      <w:pPr>
        <w:rPr>
          <w:rFonts w:ascii="Calibri" w:hAnsi="Calibri" w:cs="Calibri"/>
          <w:b/>
          <w:sz w:val="20"/>
          <w:szCs w:val="20"/>
          <w:u w:val="single"/>
        </w:rPr>
      </w:pPr>
    </w:p>
    <w:p w:rsidR="00B6089F" w:rsidRPr="00B6089F" w:rsidRDefault="00B6089F" w:rsidP="00B6089F">
      <w:pPr>
        <w:rPr>
          <w:rFonts w:ascii="Calibri" w:hAnsi="Calibri" w:cs="Calibri"/>
          <w:b/>
          <w:sz w:val="20"/>
          <w:szCs w:val="20"/>
          <w:u w:val="single"/>
        </w:rPr>
      </w:pPr>
    </w:p>
    <w:p w:rsidR="00B6089F" w:rsidRPr="00B6089F" w:rsidRDefault="00B6089F" w:rsidP="00B6089F">
      <w:pPr>
        <w:rPr>
          <w:rFonts w:ascii="Calibri" w:hAnsi="Calibri" w:cs="Calibri"/>
          <w:b/>
          <w:sz w:val="20"/>
          <w:szCs w:val="20"/>
          <w:u w:val="single"/>
        </w:rPr>
      </w:pPr>
      <w:r w:rsidRPr="00B6089F">
        <w:rPr>
          <w:rFonts w:ascii="Calibri" w:hAnsi="Calibri" w:cs="Calibri"/>
          <w:b/>
          <w:sz w:val="20"/>
          <w:szCs w:val="20"/>
          <w:u w:val="single"/>
        </w:rPr>
        <w:t>NOTAS DE MEMORIA</w:t>
      </w:r>
    </w:p>
    <w:p w:rsidR="00B6089F" w:rsidRPr="00B6089F" w:rsidRDefault="00B6089F" w:rsidP="00B6089F">
      <w:pPr>
        <w:rPr>
          <w:rFonts w:ascii="Calibri" w:hAnsi="Calibri" w:cs="Calibri"/>
          <w:b/>
          <w:sz w:val="20"/>
          <w:szCs w:val="20"/>
        </w:rPr>
      </w:pPr>
    </w:p>
    <w:p w:rsidR="00B6089F" w:rsidRPr="00B6089F" w:rsidRDefault="00B6089F" w:rsidP="00B6089F">
      <w:pPr>
        <w:pStyle w:val="Ttulo6"/>
        <w:pBdr>
          <w:bottom w:val="single" w:sz="4" w:space="2" w:color="auto"/>
          <w:right w:val="single" w:sz="4" w:space="0" w:color="auto"/>
        </w:pBdr>
        <w:jc w:val="both"/>
        <w:rPr>
          <w:rFonts w:ascii="Calibri" w:hAnsi="Calibri"/>
          <w:sz w:val="20"/>
          <w:szCs w:val="20"/>
        </w:rPr>
      </w:pPr>
      <w:r w:rsidRPr="00B6089F">
        <w:rPr>
          <w:rFonts w:ascii="Calibri" w:hAnsi="Calibri"/>
          <w:sz w:val="20"/>
          <w:szCs w:val="20"/>
        </w:rPr>
        <w:t>Nota  11 Cuentas de Orden Presupuestal</w:t>
      </w:r>
    </w:p>
    <w:p w:rsidR="00B6089F" w:rsidRPr="00B6089F" w:rsidRDefault="00B6089F" w:rsidP="00B6089F">
      <w:pPr>
        <w:rPr>
          <w:rFonts w:ascii="Calibri" w:hAnsi="Calibri" w:cs="Calibri"/>
          <w:b/>
          <w:sz w:val="20"/>
          <w:szCs w:val="20"/>
        </w:rPr>
      </w:pPr>
    </w:p>
    <w:p w:rsidR="00B6089F" w:rsidRDefault="00B6089F" w:rsidP="00B6089F">
      <w:pPr>
        <w:pStyle w:val="Sangradetextonormal"/>
        <w:tabs>
          <w:tab w:val="left" w:pos="7655"/>
        </w:tabs>
        <w:ind w:left="0"/>
        <w:jc w:val="both"/>
        <w:rPr>
          <w:rFonts w:ascii="Calibri" w:hAnsi="Calibri"/>
          <w:sz w:val="20"/>
          <w:szCs w:val="20"/>
        </w:rPr>
      </w:pPr>
      <w:r w:rsidRPr="00B6089F">
        <w:rPr>
          <w:rFonts w:ascii="Calibri" w:hAnsi="Calibri"/>
          <w:sz w:val="20"/>
          <w:szCs w:val="20"/>
        </w:rPr>
        <w:t>Al 31 de marzo de 2018 en cumplimiento a lo establecido en la Ley General de Contabilidad Gubernamental, los momentos contables de los ingresos y de los egresos se registran en cuentas de orden presupuestal:</w:t>
      </w:r>
    </w:p>
    <w:p w:rsidR="00B6089F" w:rsidRDefault="00B6089F" w:rsidP="00B6089F">
      <w:pPr>
        <w:pStyle w:val="Sangradetextonormal"/>
        <w:tabs>
          <w:tab w:val="left" w:pos="7655"/>
        </w:tabs>
        <w:ind w:left="0"/>
        <w:jc w:val="both"/>
        <w:rPr>
          <w:rFonts w:ascii="Calibri" w:hAnsi="Calibri"/>
          <w:sz w:val="20"/>
          <w:szCs w:val="20"/>
        </w:rPr>
      </w:pPr>
    </w:p>
    <w:p w:rsidR="00B6089F" w:rsidRDefault="00B6089F" w:rsidP="00B6089F">
      <w:pPr>
        <w:pStyle w:val="Sangradetextonormal"/>
        <w:tabs>
          <w:tab w:val="left" w:pos="7655"/>
        </w:tabs>
        <w:ind w:left="0"/>
        <w:jc w:val="both"/>
        <w:rPr>
          <w:rFonts w:ascii="Calibri" w:hAnsi="Calibri"/>
          <w:sz w:val="20"/>
          <w:szCs w:val="20"/>
        </w:rPr>
      </w:pPr>
    </w:p>
    <w:p w:rsidR="00B6089F" w:rsidRDefault="00B6089F" w:rsidP="00B6089F">
      <w:pPr>
        <w:pStyle w:val="Sangradetextonormal"/>
        <w:tabs>
          <w:tab w:val="left" w:pos="7655"/>
        </w:tabs>
        <w:ind w:left="0"/>
        <w:jc w:val="both"/>
        <w:rPr>
          <w:rFonts w:ascii="Calibri" w:hAnsi="Calibri"/>
          <w:sz w:val="20"/>
          <w:szCs w:val="20"/>
        </w:rPr>
      </w:pPr>
    </w:p>
    <w:p w:rsidR="00B6089F" w:rsidRPr="00B6089F" w:rsidRDefault="00B6089F" w:rsidP="00B6089F">
      <w:pPr>
        <w:pStyle w:val="Sangradetextonormal"/>
        <w:tabs>
          <w:tab w:val="left" w:pos="7655"/>
        </w:tabs>
        <w:ind w:left="0"/>
        <w:jc w:val="both"/>
        <w:rPr>
          <w:rFonts w:ascii="Calibri" w:hAnsi="Calibri"/>
          <w:sz w:val="20"/>
          <w:szCs w:val="20"/>
        </w:rPr>
      </w:pPr>
    </w:p>
    <w:p w:rsidR="00B6089F" w:rsidRPr="00B6089F" w:rsidRDefault="00B6089F" w:rsidP="00B6089F">
      <w:pPr>
        <w:pStyle w:val="Sangradetextonormal"/>
        <w:tabs>
          <w:tab w:val="left" w:pos="7655"/>
        </w:tabs>
        <w:ind w:left="0"/>
        <w:jc w:val="both"/>
        <w:rPr>
          <w:rFonts w:ascii="Calibri" w:hAnsi="Calibri"/>
          <w:b/>
          <w:sz w:val="20"/>
          <w:szCs w:val="20"/>
        </w:rPr>
      </w:pPr>
    </w:p>
    <w:tbl>
      <w:tblPr>
        <w:tblW w:w="0" w:type="auto"/>
        <w:jc w:val="center"/>
        <w:tblInd w:w="4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3677"/>
        <w:gridCol w:w="1998"/>
      </w:tblGrid>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center"/>
              <w:rPr>
                <w:rFonts w:ascii="Calibri" w:hAnsi="Calibri" w:cs="Calibri"/>
                <w:bCs/>
                <w:color w:val="000000"/>
                <w:sz w:val="22"/>
                <w:szCs w:val="22"/>
                <w:u w:val="single"/>
              </w:rPr>
            </w:pPr>
            <w:r w:rsidRPr="007721E9">
              <w:rPr>
                <w:rFonts w:ascii="Calibri" w:hAnsi="Calibri" w:cs="Calibri"/>
                <w:bCs/>
                <w:color w:val="000000"/>
                <w:sz w:val="22"/>
                <w:szCs w:val="22"/>
                <w:u w:val="single"/>
              </w:rPr>
              <w:lastRenderedPageBreak/>
              <w:t>Cuenta</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center"/>
              <w:rPr>
                <w:rFonts w:ascii="Calibri" w:hAnsi="Calibri" w:cs="Calibri"/>
                <w:bCs/>
                <w:color w:val="000000"/>
                <w:sz w:val="22"/>
                <w:szCs w:val="22"/>
                <w:u w:val="single"/>
              </w:rPr>
            </w:pPr>
            <w:r w:rsidRPr="007721E9">
              <w:rPr>
                <w:rFonts w:ascii="Calibri" w:hAnsi="Calibri" w:cs="Calibri"/>
                <w:bCs/>
                <w:color w:val="000000"/>
                <w:sz w:val="22"/>
                <w:szCs w:val="22"/>
                <w:u w:val="single"/>
              </w:rPr>
              <w:t xml:space="preserve">   LEY DE INGRESOS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B6089F" w:rsidRPr="007721E9" w:rsidRDefault="00B6089F">
            <w:pPr>
              <w:rPr>
                <w:rFonts w:ascii="Arial" w:hAnsi="Arial" w:cs="Arial"/>
                <w:b/>
                <w:bCs/>
                <w:color w:val="000000"/>
                <w:sz w:val="20"/>
                <w:szCs w:val="20"/>
                <w:u w:val="single"/>
              </w:rPr>
            </w:pP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8110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Ley de Ingresos Estimada</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$67,719,693.00</w:t>
            </w:r>
          </w:p>
        </w:tc>
      </w:tr>
      <w:tr w:rsidR="007721E9" w:rsidRPr="007721E9" w:rsidTr="007721E9">
        <w:trPr>
          <w:trHeight w:val="177"/>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8120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Ley de Ingresos Por Ejecutar</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$47,890,633.61</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8140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Ley de Ingresos Devengada</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$19,829,059.39</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8150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Ley de Ingresos Recaudada</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$19,829,059.39</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tcPr>
          <w:p w:rsidR="00B6089F" w:rsidRPr="007721E9" w:rsidRDefault="00B6089F" w:rsidP="007721E9">
            <w:pPr>
              <w:jc w:val="center"/>
              <w:rPr>
                <w:rFonts w:ascii="Calibri" w:hAnsi="Calibri" w:cs="Calibri"/>
                <w:bCs/>
                <w:color w:val="000000"/>
                <w:sz w:val="22"/>
                <w:szCs w:val="22"/>
                <w:u w:val="single"/>
              </w:rPr>
            </w:pP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center"/>
              <w:rPr>
                <w:rFonts w:ascii="Calibri" w:hAnsi="Calibri" w:cs="Calibri"/>
                <w:sz w:val="22"/>
                <w:szCs w:val="22"/>
              </w:rPr>
            </w:pPr>
            <w:r w:rsidRPr="007721E9">
              <w:rPr>
                <w:rFonts w:ascii="Calibri" w:hAnsi="Calibri" w:cs="Calibri"/>
                <w:bCs/>
                <w:color w:val="000000"/>
                <w:sz w:val="22"/>
                <w:szCs w:val="22"/>
                <w:u w:val="single"/>
              </w:rPr>
              <w:t xml:space="preserve">   PRESUPUESTO DE EGRESOS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B6089F" w:rsidRPr="007721E9" w:rsidRDefault="00B6089F" w:rsidP="007721E9">
            <w:pPr>
              <w:pStyle w:val="Sangradetextonormal"/>
              <w:tabs>
                <w:tab w:val="left" w:pos="7655"/>
              </w:tabs>
              <w:ind w:left="0"/>
              <w:jc w:val="right"/>
              <w:rPr>
                <w:rFonts w:ascii="Calibri" w:hAnsi="Calibri"/>
                <w:b/>
                <w:sz w:val="18"/>
                <w:szCs w:val="18"/>
              </w:rPr>
            </w:pP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8210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Aprobado</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$67,895,193.00</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8220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Por Ejercer</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$51,375,867.39</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8240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Comprometido</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$16,519,325.61</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8250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Devengado</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$16,519,325.61</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8260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Ejercido</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$16,519,325.61</w:t>
            </w:r>
          </w:p>
        </w:tc>
      </w:tr>
      <w:tr w:rsidR="007721E9" w:rsidRPr="007721E9" w:rsidTr="007721E9">
        <w:trPr>
          <w:jc w:val="center"/>
        </w:trPr>
        <w:tc>
          <w:tcPr>
            <w:tcW w:w="854"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8270</w:t>
            </w:r>
          </w:p>
        </w:tc>
        <w:tc>
          <w:tcPr>
            <w:tcW w:w="3677"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pPr>
              <w:rPr>
                <w:rFonts w:ascii="Calibri" w:hAnsi="Calibri" w:cs="Calibri"/>
                <w:color w:val="000000"/>
                <w:sz w:val="20"/>
                <w:szCs w:val="20"/>
              </w:rPr>
            </w:pPr>
            <w:r w:rsidRPr="007721E9">
              <w:rPr>
                <w:rFonts w:ascii="Calibri" w:hAnsi="Calibri" w:cs="Calibri"/>
                <w:color w:val="000000"/>
                <w:sz w:val="20"/>
                <w:szCs w:val="20"/>
              </w:rPr>
              <w:t xml:space="preserve">     Presupuesto de Egresos Pagado</w:t>
            </w:r>
          </w:p>
        </w:tc>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rsidR="00B6089F" w:rsidRPr="007721E9" w:rsidRDefault="00B6089F" w:rsidP="007721E9">
            <w:pPr>
              <w:jc w:val="right"/>
              <w:rPr>
                <w:rFonts w:ascii="Calibri" w:hAnsi="Calibri" w:cs="Calibri"/>
                <w:color w:val="000000"/>
                <w:sz w:val="18"/>
                <w:szCs w:val="18"/>
              </w:rPr>
            </w:pPr>
            <w:r w:rsidRPr="007721E9">
              <w:rPr>
                <w:rFonts w:ascii="Calibri" w:hAnsi="Calibri" w:cs="Calibri"/>
                <w:color w:val="000000"/>
                <w:sz w:val="18"/>
                <w:szCs w:val="18"/>
              </w:rPr>
              <w:t>$16,519,325.61</w:t>
            </w:r>
          </w:p>
        </w:tc>
      </w:tr>
    </w:tbl>
    <w:p w:rsidR="00941BF1" w:rsidRDefault="00941BF1" w:rsidP="00941BF1">
      <w:pPr>
        <w:rPr>
          <w:rFonts w:ascii="Calibri" w:hAnsi="Calibri" w:cs="Calibri"/>
          <w:b/>
          <w:sz w:val="20"/>
          <w:szCs w:val="20"/>
        </w:rPr>
      </w:pPr>
    </w:p>
    <w:p w:rsidR="00F865DC" w:rsidRDefault="00F865DC" w:rsidP="00941BF1">
      <w:pPr>
        <w:rPr>
          <w:rFonts w:ascii="Calibri" w:hAnsi="Calibri" w:cs="Calibri"/>
          <w:b/>
          <w:sz w:val="20"/>
          <w:szCs w:val="20"/>
        </w:rPr>
      </w:pPr>
    </w:p>
    <w:p w:rsidR="00F865DC" w:rsidRDefault="00F865DC" w:rsidP="00941BF1">
      <w:pPr>
        <w:rPr>
          <w:rFonts w:ascii="Calibri" w:hAnsi="Calibri" w:cs="Calibri"/>
          <w:b/>
          <w:sz w:val="20"/>
          <w:szCs w:val="20"/>
        </w:rPr>
      </w:pPr>
    </w:p>
    <w:p w:rsidR="00941BF1" w:rsidRPr="00941BF1" w:rsidRDefault="008417F0" w:rsidP="00941BF1">
      <w:pPr>
        <w:rPr>
          <w:rFonts w:ascii="Calibri" w:hAnsi="Calibri" w:cs="Calibri"/>
          <w:sz w:val="20"/>
          <w:szCs w:val="20"/>
        </w:rPr>
      </w:pPr>
      <w:r>
        <w:rPr>
          <w:rFonts w:ascii="Calibri" w:hAnsi="Calibri" w:cs="Calibri"/>
          <w:sz w:val="20"/>
          <w:szCs w:val="20"/>
        </w:rPr>
        <w:t xml:space="preserve">Bajo protesta de decir </w:t>
      </w:r>
      <w:r w:rsidR="00941BF1" w:rsidRPr="00941BF1">
        <w:rPr>
          <w:rFonts w:ascii="Calibri" w:hAnsi="Calibri" w:cs="Calibri"/>
          <w:sz w:val="20"/>
          <w:szCs w:val="20"/>
        </w:rPr>
        <w:t>verdad declaramos que los Estados Financieros y</w:t>
      </w:r>
      <w:r w:rsidR="00941BF1">
        <w:rPr>
          <w:rFonts w:ascii="Calibri" w:hAnsi="Calibri" w:cs="Calibri"/>
          <w:sz w:val="20"/>
          <w:szCs w:val="20"/>
        </w:rPr>
        <w:t xml:space="preserve"> sus N</w:t>
      </w:r>
      <w:r w:rsidR="00941BF1" w:rsidRPr="00941BF1">
        <w:rPr>
          <w:rFonts w:ascii="Calibri" w:hAnsi="Calibri" w:cs="Calibri"/>
          <w:sz w:val="20"/>
          <w:szCs w:val="20"/>
        </w:rPr>
        <w:t>otas son razonablemente correctos y responsabilidad del emisor.</w:t>
      </w:r>
    </w:p>
    <w:p w:rsidR="004A7723" w:rsidRPr="005D36C8" w:rsidRDefault="004A7723" w:rsidP="00237F98">
      <w:pPr>
        <w:rPr>
          <w:rFonts w:ascii="Arial" w:hAnsi="Arial" w:cs="Arial"/>
          <w:b/>
          <w:sz w:val="20"/>
          <w:szCs w:val="20"/>
        </w:rPr>
      </w:pPr>
    </w:p>
    <w:p w:rsidR="004A7723" w:rsidRPr="005D36C8" w:rsidRDefault="004A7723" w:rsidP="00DF3CDB">
      <w:pPr>
        <w:pStyle w:val="Sangradetextonormal"/>
        <w:tabs>
          <w:tab w:val="left" w:pos="7655"/>
        </w:tabs>
        <w:jc w:val="both"/>
        <w:rPr>
          <w:rFonts w:ascii="Arial" w:hAnsi="Arial" w:cs="Arial"/>
          <w:b/>
          <w:sz w:val="20"/>
          <w:szCs w:val="20"/>
        </w:rPr>
      </w:pPr>
    </w:p>
    <w:sectPr w:rsidR="004A7723" w:rsidRPr="005D36C8" w:rsidSect="00982C2A">
      <w:headerReference w:type="default" r:id="rId8"/>
      <w:footerReference w:type="even" r:id="rId9"/>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E9" w:rsidRDefault="007721E9">
      <w:r>
        <w:separator/>
      </w:r>
    </w:p>
  </w:endnote>
  <w:endnote w:type="continuationSeparator" w:id="0">
    <w:p w:rsidR="007721E9" w:rsidRDefault="0077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23" w:rsidRDefault="00CA1FCD">
    <w:pPr>
      <w:pStyle w:val="Piedepgina"/>
      <w:framePr w:wrap="around" w:vAnchor="text" w:hAnchor="margin" w:xAlign="right" w:y="1"/>
      <w:rPr>
        <w:rStyle w:val="Nmerodepgina"/>
      </w:rPr>
    </w:pPr>
    <w:r>
      <w:rPr>
        <w:rStyle w:val="Nmerodepgina"/>
      </w:rPr>
      <w:fldChar w:fldCharType="begin"/>
    </w:r>
    <w:r w:rsidR="004A7723">
      <w:rPr>
        <w:rStyle w:val="Nmerodepgina"/>
      </w:rPr>
      <w:instrText xml:space="preserve">PAGE  </w:instrText>
    </w:r>
    <w:r>
      <w:rPr>
        <w:rStyle w:val="Nmerodepgina"/>
      </w:rPr>
      <w:fldChar w:fldCharType="separate"/>
    </w:r>
    <w:r w:rsidR="004A7723">
      <w:rPr>
        <w:rStyle w:val="Nmerodepgina"/>
        <w:noProof/>
      </w:rPr>
      <w:t>11</w:t>
    </w:r>
    <w:r>
      <w:rPr>
        <w:rStyle w:val="Nmerodepgina"/>
      </w:rPr>
      <w:fldChar w:fldCharType="end"/>
    </w:r>
  </w:p>
  <w:p w:rsidR="004A7723" w:rsidRDefault="004A7723">
    <w:pPr>
      <w:pStyle w:val="Piedepgina"/>
      <w:ind w:right="360"/>
    </w:pPr>
  </w:p>
  <w:p w:rsidR="004A7723" w:rsidRDefault="004A7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E9" w:rsidRDefault="007721E9">
      <w:r>
        <w:separator/>
      </w:r>
    </w:p>
  </w:footnote>
  <w:footnote w:type="continuationSeparator" w:id="0">
    <w:p w:rsidR="007721E9" w:rsidRDefault="00772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23" w:rsidRDefault="004A7723" w:rsidP="00DF3CDB">
    <w:pPr>
      <w:pStyle w:val="Encabezado"/>
      <w:jc w:val="center"/>
      <w:rPr>
        <w:rFonts w:ascii="Calibri" w:hAnsi="Calibri"/>
        <w:b/>
        <w:sz w:val="20"/>
        <w:szCs w:val="20"/>
        <w:lang w:val="es-ES"/>
      </w:rPr>
    </w:pPr>
  </w:p>
  <w:p w:rsidR="004A7723" w:rsidRPr="00DF3CDB" w:rsidRDefault="004A7723" w:rsidP="00DF3CDB">
    <w:pPr>
      <w:pStyle w:val="Encabezado"/>
      <w:jc w:val="center"/>
      <w:rPr>
        <w:rFonts w:ascii="Calibri" w:hAnsi="Calibri"/>
        <w:b/>
        <w:sz w:val="20"/>
        <w:szCs w:val="20"/>
        <w:lang w:val="es-ES"/>
      </w:rPr>
    </w:pPr>
  </w:p>
  <w:p w:rsidR="004A7723" w:rsidRPr="00DF3CDB" w:rsidRDefault="004A7723">
    <w:pPr>
      <w:rPr>
        <w:sz w:val="20"/>
        <w:szCs w:val="2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694C70"/>
    <w:multiLevelType w:val="hybridMultilevel"/>
    <w:tmpl w:val="2D9C311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5856AB6"/>
    <w:multiLevelType w:val="hybridMultilevel"/>
    <w:tmpl w:val="51CEBC2E"/>
    <w:lvl w:ilvl="0" w:tplc="080A0017">
      <w:start w:val="5"/>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26F"/>
    <w:rsid w:val="00004055"/>
    <w:rsid w:val="00010DD1"/>
    <w:rsid w:val="000122D6"/>
    <w:rsid w:val="00015AEA"/>
    <w:rsid w:val="00015BF8"/>
    <w:rsid w:val="00016B70"/>
    <w:rsid w:val="00024214"/>
    <w:rsid w:val="00026540"/>
    <w:rsid w:val="00030F86"/>
    <w:rsid w:val="000358B8"/>
    <w:rsid w:val="00035D71"/>
    <w:rsid w:val="00036289"/>
    <w:rsid w:val="000378C2"/>
    <w:rsid w:val="00044CA9"/>
    <w:rsid w:val="00045BEA"/>
    <w:rsid w:val="00051645"/>
    <w:rsid w:val="00053E92"/>
    <w:rsid w:val="00055144"/>
    <w:rsid w:val="00057F14"/>
    <w:rsid w:val="0006190C"/>
    <w:rsid w:val="0006589F"/>
    <w:rsid w:val="0007080F"/>
    <w:rsid w:val="000735A1"/>
    <w:rsid w:val="000753B8"/>
    <w:rsid w:val="00076907"/>
    <w:rsid w:val="00083582"/>
    <w:rsid w:val="00087921"/>
    <w:rsid w:val="00090808"/>
    <w:rsid w:val="00097CC6"/>
    <w:rsid w:val="000A3771"/>
    <w:rsid w:val="000A583C"/>
    <w:rsid w:val="000A705C"/>
    <w:rsid w:val="000B1283"/>
    <w:rsid w:val="000B5EB7"/>
    <w:rsid w:val="000C181A"/>
    <w:rsid w:val="000C2F0A"/>
    <w:rsid w:val="000C462E"/>
    <w:rsid w:val="000D4798"/>
    <w:rsid w:val="000D6356"/>
    <w:rsid w:val="000D7832"/>
    <w:rsid w:val="000E5D63"/>
    <w:rsid w:val="000F4D1D"/>
    <w:rsid w:val="000F6D24"/>
    <w:rsid w:val="0010217D"/>
    <w:rsid w:val="00102570"/>
    <w:rsid w:val="0011066F"/>
    <w:rsid w:val="00110FCB"/>
    <w:rsid w:val="001114D8"/>
    <w:rsid w:val="0012005E"/>
    <w:rsid w:val="00121980"/>
    <w:rsid w:val="0013095C"/>
    <w:rsid w:val="00132348"/>
    <w:rsid w:val="00134B0A"/>
    <w:rsid w:val="00136F06"/>
    <w:rsid w:val="00141A2B"/>
    <w:rsid w:val="00152275"/>
    <w:rsid w:val="00161110"/>
    <w:rsid w:val="00161814"/>
    <w:rsid w:val="00162285"/>
    <w:rsid w:val="0016654D"/>
    <w:rsid w:val="001709D5"/>
    <w:rsid w:val="001715F6"/>
    <w:rsid w:val="0017426A"/>
    <w:rsid w:val="00176BDA"/>
    <w:rsid w:val="00181821"/>
    <w:rsid w:val="0018184E"/>
    <w:rsid w:val="00196851"/>
    <w:rsid w:val="001A09D5"/>
    <w:rsid w:val="001A31A2"/>
    <w:rsid w:val="001B02D6"/>
    <w:rsid w:val="001B6E55"/>
    <w:rsid w:val="001C01F2"/>
    <w:rsid w:val="001C4FBB"/>
    <w:rsid w:val="001C53B1"/>
    <w:rsid w:val="001C6E6C"/>
    <w:rsid w:val="001D14EF"/>
    <w:rsid w:val="001D15BF"/>
    <w:rsid w:val="001D1B8C"/>
    <w:rsid w:val="001D1EFB"/>
    <w:rsid w:val="001D2772"/>
    <w:rsid w:val="001E1881"/>
    <w:rsid w:val="001E397A"/>
    <w:rsid w:val="001F1819"/>
    <w:rsid w:val="001F1C41"/>
    <w:rsid w:val="001F58E6"/>
    <w:rsid w:val="001F607A"/>
    <w:rsid w:val="00202036"/>
    <w:rsid w:val="0021669A"/>
    <w:rsid w:val="002221EB"/>
    <w:rsid w:val="00223946"/>
    <w:rsid w:val="00223DFD"/>
    <w:rsid w:val="00226448"/>
    <w:rsid w:val="002319F7"/>
    <w:rsid w:val="00232ADB"/>
    <w:rsid w:val="00232FC1"/>
    <w:rsid w:val="00236D3D"/>
    <w:rsid w:val="00237F98"/>
    <w:rsid w:val="0024052C"/>
    <w:rsid w:val="0024057C"/>
    <w:rsid w:val="00240688"/>
    <w:rsid w:val="00245C4A"/>
    <w:rsid w:val="00246196"/>
    <w:rsid w:val="002463C7"/>
    <w:rsid w:val="00250A25"/>
    <w:rsid w:val="00250B8F"/>
    <w:rsid w:val="0025291A"/>
    <w:rsid w:val="00253C68"/>
    <w:rsid w:val="002559D8"/>
    <w:rsid w:val="00255C24"/>
    <w:rsid w:val="002619D6"/>
    <w:rsid w:val="0026203E"/>
    <w:rsid w:val="00267D25"/>
    <w:rsid w:val="00272BCD"/>
    <w:rsid w:val="0027632E"/>
    <w:rsid w:val="00280C57"/>
    <w:rsid w:val="00285401"/>
    <w:rsid w:val="00287A0C"/>
    <w:rsid w:val="00293F6F"/>
    <w:rsid w:val="00293FE7"/>
    <w:rsid w:val="00296CCF"/>
    <w:rsid w:val="002A679C"/>
    <w:rsid w:val="002A6B28"/>
    <w:rsid w:val="002A7C7A"/>
    <w:rsid w:val="002B0B43"/>
    <w:rsid w:val="002C3B44"/>
    <w:rsid w:val="002D2690"/>
    <w:rsid w:val="002D3D37"/>
    <w:rsid w:val="002D59B9"/>
    <w:rsid w:val="002D681F"/>
    <w:rsid w:val="002D7594"/>
    <w:rsid w:val="002E38EB"/>
    <w:rsid w:val="002E601B"/>
    <w:rsid w:val="002E788D"/>
    <w:rsid w:val="002F1B02"/>
    <w:rsid w:val="002F24BB"/>
    <w:rsid w:val="0030130B"/>
    <w:rsid w:val="00307596"/>
    <w:rsid w:val="003110D9"/>
    <w:rsid w:val="003113FB"/>
    <w:rsid w:val="003125C8"/>
    <w:rsid w:val="0031689D"/>
    <w:rsid w:val="00322393"/>
    <w:rsid w:val="00322FFE"/>
    <w:rsid w:val="003237BB"/>
    <w:rsid w:val="00327173"/>
    <w:rsid w:val="0033126B"/>
    <w:rsid w:val="0033324B"/>
    <w:rsid w:val="00336B55"/>
    <w:rsid w:val="0033731C"/>
    <w:rsid w:val="00341471"/>
    <w:rsid w:val="00343A40"/>
    <w:rsid w:val="003563D0"/>
    <w:rsid w:val="00361760"/>
    <w:rsid w:val="003631FD"/>
    <w:rsid w:val="003633CA"/>
    <w:rsid w:val="00381B67"/>
    <w:rsid w:val="003841BB"/>
    <w:rsid w:val="00385AB5"/>
    <w:rsid w:val="0039469E"/>
    <w:rsid w:val="00396088"/>
    <w:rsid w:val="003974AC"/>
    <w:rsid w:val="00397726"/>
    <w:rsid w:val="00397C08"/>
    <w:rsid w:val="003A0965"/>
    <w:rsid w:val="003B2122"/>
    <w:rsid w:val="003C17BE"/>
    <w:rsid w:val="003C1AF8"/>
    <w:rsid w:val="003C2E59"/>
    <w:rsid w:val="003D0C1A"/>
    <w:rsid w:val="003D4D09"/>
    <w:rsid w:val="003E06CF"/>
    <w:rsid w:val="003E1B0D"/>
    <w:rsid w:val="003E46D8"/>
    <w:rsid w:val="003F0705"/>
    <w:rsid w:val="003F588D"/>
    <w:rsid w:val="003F7909"/>
    <w:rsid w:val="00400127"/>
    <w:rsid w:val="004014F8"/>
    <w:rsid w:val="00405860"/>
    <w:rsid w:val="00412AD5"/>
    <w:rsid w:val="00413B16"/>
    <w:rsid w:val="00413E5A"/>
    <w:rsid w:val="0042089B"/>
    <w:rsid w:val="00422BCD"/>
    <w:rsid w:val="004304C7"/>
    <w:rsid w:val="0043156C"/>
    <w:rsid w:val="00436118"/>
    <w:rsid w:val="00446814"/>
    <w:rsid w:val="004521C4"/>
    <w:rsid w:val="00455382"/>
    <w:rsid w:val="0046008E"/>
    <w:rsid w:val="00462597"/>
    <w:rsid w:val="00462F7A"/>
    <w:rsid w:val="00464994"/>
    <w:rsid w:val="0046540D"/>
    <w:rsid w:val="00466FE6"/>
    <w:rsid w:val="004677D4"/>
    <w:rsid w:val="00467BAA"/>
    <w:rsid w:val="00473F5D"/>
    <w:rsid w:val="00475618"/>
    <w:rsid w:val="0048507C"/>
    <w:rsid w:val="00491406"/>
    <w:rsid w:val="00497A61"/>
    <w:rsid w:val="004A1B9D"/>
    <w:rsid w:val="004A2EAE"/>
    <w:rsid w:val="004A7169"/>
    <w:rsid w:val="004A7723"/>
    <w:rsid w:val="004C6B94"/>
    <w:rsid w:val="004D1940"/>
    <w:rsid w:val="004D349B"/>
    <w:rsid w:val="004E7F84"/>
    <w:rsid w:val="004F1C1E"/>
    <w:rsid w:val="004F3D95"/>
    <w:rsid w:val="004F5034"/>
    <w:rsid w:val="004F6BEE"/>
    <w:rsid w:val="004F6D7A"/>
    <w:rsid w:val="00501917"/>
    <w:rsid w:val="00502B56"/>
    <w:rsid w:val="00505FF7"/>
    <w:rsid w:val="00506604"/>
    <w:rsid w:val="00510241"/>
    <w:rsid w:val="00511113"/>
    <w:rsid w:val="005124E4"/>
    <w:rsid w:val="00512788"/>
    <w:rsid w:val="00512E24"/>
    <w:rsid w:val="00513DE6"/>
    <w:rsid w:val="005141E3"/>
    <w:rsid w:val="005146CB"/>
    <w:rsid w:val="0051667A"/>
    <w:rsid w:val="005215C6"/>
    <w:rsid w:val="00523C41"/>
    <w:rsid w:val="00526137"/>
    <w:rsid w:val="00530D80"/>
    <w:rsid w:val="0053110D"/>
    <w:rsid w:val="00541BAB"/>
    <w:rsid w:val="005425A2"/>
    <w:rsid w:val="005430C6"/>
    <w:rsid w:val="00544389"/>
    <w:rsid w:val="0054487D"/>
    <w:rsid w:val="00545FD0"/>
    <w:rsid w:val="00551FFC"/>
    <w:rsid w:val="00552982"/>
    <w:rsid w:val="00553395"/>
    <w:rsid w:val="0055709D"/>
    <w:rsid w:val="005573BC"/>
    <w:rsid w:val="005665EE"/>
    <w:rsid w:val="00570ECF"/>
    <w:rsid w:val="0057632D"/>
    <w:rsid w:val="005807D7"/>
    <w:rsid w:val="00583713"/>
    <w:rsid w:val="00587B9B"/>
    <w:rsid w:val="00592C64"/>
    <w:rsid w:val="005A0303"/>
    <w:rsid w:val="005A5EC6"/>
    <w:rsid w:val="005A6239"/>
    <w:rsid w:val="005B1ADE"/>
    <w:rsid w:val="005B3DF1"/>
    <w:rsid w:val="005B7022"/>
    <w:rsid w:val="005C0B05"/>
    <w:rsid w:val="005D15DB"/>
    <w:rsid w:val="005D32BD"/>
    <w:rsid w:val="005D36C8"/>
    <w:rsid w:val="005D4F8F"/>
    <w:rsid w:val="005E4D8C"/>
    <w:rsid w:val="005E559B"/>
    <w:rsid w:val="005F20B9"/>
    <w:rsid w:val="005F372D"/>
    <w:rsid w:val="005F618D"/>
    <w:rsid w:val="00607DAD"/>
    <w:rsid w:val="0062201B"/>
    <w:rsid w:val="00623F5A"/>
    <w:rsid w:val="00627E72"/>
    <w:rsid w:val="00632E9B"/>
    <w:rsid w:val="00634945"/>
    <w:rsid w:val="00641989"/>
    <w:rsid w:val="00642997"/>
    <w:rsid w:val="00646262"/>
    <w:rsid w:val="00647093"/>
    <w:rsid w:val="00651353"/>
    <w:rsid w:val="00652904"/>
    <w:rsid w:val="006604BC"/>
    <w:rsid w:val="00661344"/>
    <w:rsid w:val="00663791"/>
    <w:rsid w:val="00672759"/>
    <w:rsid w:val="00674D8B"/>
    <w:rsid w:val="00676D1D"/>
    <w:rsid w:val="00677361"/>
    <w:rsid w:val="006774F7"/>
    <w:rsid w:val="00680D61"/>
    <w:rsid w:val="0068302D"/>
    <w:rsid w:val="0068515F"/>
    <w:rsid w:val="006900C9"/>
    <w:rsid w:val="006A26A8"/>
    <w:rsid w:val="006A6D9E"/>
    <w:rsid w:val="006A6E51"/>
    <w:rsid w:val="006A78D8"/>
    <w:rsid w:val="006B3168"/>
    <w:rsid w:val="006C2B4F"/>
    <w:rsid w:val="006C79A0"/>
    <w:rsid w:val="006D5E2D"/>
    <w:rsid w:val="006D6413"/>
    <w:rsid w:val="006D7AE1"/>
    <w:rsid w:val="006E122F"/>
    <w:rsid w:val="006E3265"/>
    <w:rsid w:val="006E477B"/>
    <w:rsid w:val="006E6B83"/>
    <w:rsid w:val="006F463E"/>
    <w:rsid w:val="006F5A7D"/>
    <w:rsid w:val="006F68F5"/>
    <w:rsid w:val="006F753C"/>
    <w:rsid w:val="006F7CEC"/>
    <w:rsid w:val="007008F3"/>
    <w:rsid w:val="00702128"/>
    <w:rsid w:val="00717E83"/>
    <w:rsid w:val="007215B7"/>
    <w:rsid w:val="00724BF4"/>
    <w:rsid w:val="00727027"/>
    <w:rsid w:val="00731169"/>
    <w:rsid w:val="007330F6"/>
    <w:rsid w:val="00734FE3"/>
    <w:rsid w:val="007359E6"/>
    <w:rsid w:val="007371D9"/>
    <w:rsid w:val="00737E50"/>
    <w:rsid w:val="0074191E"/>
    <w:rsid w:val="00751F52"/>
    <w:rsid w:val="007548EE"/>
    <w:rsid w:val="007563DD"/>
    <w:rsid w:val="007605C4"/>
    <w:rsid w:val="007721E9"/>
    <w:rsid w:val="0077373D"/>
    <w:rsid w:val="00774C0F"/>
    <w:rsid w:val="00781E6A"/>
    <w:rsid w:val="0078233F"/>
    <w:rsid w:val="00784AA8"/>
    <w:rsid w:val="007854B0"/>
    <w:rsid w:val="0079518E"/>
    <w:rsid w:val="007962ED"/>
    <w:rsid w:val="007A0A23"/>
    <w:rsid w:val="007A15DC"/>
    <w:rsid w:val="007A34B0"/>
    <w:rsid w:val="007A48D5"/>
    <w:rsid w:val="007A604E"/>
    <w:rsid w:val="007B5753"/>
    <w:rsid w:val="007C2A95"/>
    <w:rsid w:val="007C3C55"/>
    <w:rsid w:val="007C664D"/>
    <w:rsid w:val="007D14EF"/>
    <w:rsid w:val="007D2E6F"/>
    <w:rsid w:val="007D3E70"/>
    <w:rsid w:val="007D498E"/>
    <w:rsid w:val="007D509B"/>
    <w:rsid w:val="007E2233"/>
    <w:rsid w:val="007F0CEF"/>
    <w:rsid w:val="0080794E"/>
    <w:rsid w:val="00807A95"/>
    <w:rsid w:val="008104CF"/>
    <w:rsid w:val="0081186B"/>
    <w:rsid w:val="008141EE"/>
    <w:rsid w:val="008158B3"/>
    <w:rsid w:val="00822D59"/>
    <w:rsid w:val="00823846"/>
    <w:rsid w:val="00823E77"/>
    <w:rsid w:val="00824977"/>
    <w:rsid w:val="00830FE4"/>
    <w:rsid w:val="00831D5B"/>
    <w:rsid w:val="00832044"/>
    <w:rsid w:val="00834A92"/>
    <w:rsid w:val="00835E31"/>
    <w:rsid w:val="008406FB"/>
    <w:rsid w:val="00841537"/>
    <w:rsid w:val="008417F0"/>
    <w:rsid w:val="0084382D"/>
    <w:rsid w:val="00853A51"/>
    <w:rsid w:val="00854DFF"/>
    <w:rsid w:val="0086014C"/>
    <w:rsid w:val="008632B8"/>
    <w:rsid w:val="00863F0C"/>
    <w:rsid w:val="00864E74"/>
    <w:rsid w:val="00865360"/>
    <w:rsid w:val="0087119B"/>
    <w:rsid w:val="00872E7D"/>
    <w:rsid w:val="00875DCE"/>
    <w:rsid w:val="00876A26"/>
    <w:rsid w:val="008822B5"/>
    <w:rsid w:val="00882B61"/>
    <w:rsid w:val="00882F5B"/>
    <w:rsid w:val="00893BE8"/>
    <w:rsid w:val="008972C3"/>
    <w:rsid w:val="008A43E1"/>
    <w:rsid w:val="008B0EF9"/>
    <w:rsid w:val="008B0F21"/>
    <w:rsid w:val="008B2C4A"/>
    <w:rsid w:val="008B46E2"/>
    <w:rsid w:val="008C0206"/>
    <w:rsid w:val="008C3E06"/>
    <w:rsid w:val="008C5ED2"/>
    <w:rsid w:val="008D3FAE"/>
    <w:rsid w:val="008D4CDC"/>
    <w:rsid w:val="008D7080"/>
    <w:rsid w:val="008E3C86"/>
    <w:rsid w:val="008E405F"/>
    <w:rsid w:val="008E476E"/>
    <w:rsid w:val="008E4CC7"/>
    <w:rsid w:val="008F0A41"/>
    <w:rsid w:val="008F52E9"/>
    <w:rsid w:val="008F6211"/>
    <w:rsid w:val="009010ED"/>
    <w:rsid w:val="0090155B"/>
    <w:rsid w:val="00901F62"/>
    <w:rsid w:val="00902D4E"/>
    <w:rsid w:val="00912CAC"/>
    <w:rsid w:val="00915CF7"/>
    <w:rsid w:val="00917C0C"/>
    <w:rsid w:val="009234B8"/>
    <w:rsid w:val="0092371B"/>
    <w:rsid w:val="00927ED8"/>
    <w:rsid w:val="00933ABD"/>
    <w:rsid w:val="00941BF1"/>
    <w:rsid w:val="009509A9"/>
    <w:rsid w:val="00950E05"/>
    <w:rsid w:val="00961F58"/>
    <w:rsid w:val="00962E7A"/>
    <w:rsid w:val="00964840"/>
    <w:rsid w:val="00965328"/>
    <w:rsid w:val="0096609C"/>
    <w:rsid w:val="0097128F"/>
    <w:rsid w:val="00975F98"/>
    <w:rsid w:val="009760B7"/>
    <w:rsid w:val="00980E73"/>
    <w:rsid w:val="00982C2A"/>
    <w:rsid w:val="00987D5E"/>
    <w:rsid w:val="00996877"/>
    <w:rsid w:val="00996BE7"/>
    <w:rsid w:val="009A28CC"/>
    <w:rsid w:val="009B0975"/>
    <w:rsid w:val="009B16EB"/>
    <w:rsid w:val="009B182F"/>
    <w:rsid w:val="009B2924"/>
    <w:rsid w:val="009B7842"/>
    <w:rsid w:val="009C1424"/>
    <w:rsid w:val="009C155B"/>
    <w:rsid w:val="009C49FE"/>
    <w:rsid w:val="009C678D"/>
    <w:rsid w:val="009D018B"/>
    <w:rsid w:val="009D2AB9"/>
    <w:rsid w:val="009D404B"/>
    <w:rsid w:val="009D570C"/>
    <w:rsid w:val="009E0629"/>
    <w:rsid w:val="009E331E"/>
    <w:rsid w:val="009F0F65"/>
    <w:rsid w:val="009F44EF"/>
    <w:rsid w:val="00A001F6"/>
    <w:rsid w:val="00A044FF"/>
    <w:rsid w:val="00A06EE3"/>
    <w:rsid w:val="00A06EF8"/>
    <w:rsid w:val="00A27547"/>
    <w:rsid w:val="00A31858"/>
    <w:rsid w:val="00A3325A"/>
    <w:rsid w:val="00A33962"/>
    <w:rsid w:val="00A40C8B"/>
    <w:rsid w:val="00A4164E"/>
    <w:rsid w:val="00A41668"/>
    <w:rsid w:val="00A41A09"/>
    <w:rsid w:val="00A42CF5"/>
    <w:rsid w:val="00A43BB1"/>
    <w:rsid w:val="00A4469A"/>
    <w:rsid w:val="00A507E8"/>
    <w:rsid w:val="00A532BE"/>
    <w:rsid w:val="00A674EA"/>
    <w:rsid w:val="00A70CA9"/>
    <w:rsid w:val="00A70DAC"/>
    <w:rsid w:val="00A70DE6"/>
    <w:rsid w:val="00A73FC3"/>
    <w:rsid w:val="00A81892"/>
    <w:rsid w:val="00A8245A"/>
    <w:rsid w:val="00A842D3"/>
    <w:rsid w:val="00A93244"/>
    <w:rsid w:val="00A957FF"/>
    <w:rsid w:val="00AA0B89"/>
    <w:rsid w:val="00AB05C1"/>
    <w:rsid w:val="00AB17C1"/>
    <w:rsid w:val="00AB65DC"/>
    <w:rsid w:val="00AC0E33"/>
    <w:rsid w:val="00AC3DC9"/>
    <w:rsid w:val="00AD0A14"/>
    <w:rsid w:val="00AD295F"/>
    <w:rsid w:val="00AD494C"/>
    <w:rsid w:val="00AE20B0"/>
    <w:rsid w:val="00AE2234"/>
    <w:rsid w:val="00AE6F69"/>
    <w:rsid w:val="00AF405A"/>
    <w:rsid w:val="00AF6A49"/>
    <w:rsid w:val="00AF7941"/>
    <w:rsid w:val="00B01E06"/>
    <w:rsid w:val="00B0685E"/>
    <w:rsid w:val="00B12635"/>
    <w:rsid w:val="00B2155B"/>
    <w:rsid w:val="00B24A83"/>
    <w:rsid w:val="00B263EA"/>
    <w:rsid w:val="00B265B3"/>
    <w:rsid w:val="00B279E7"/>
    <w:rsid w:val="00B34363"/>
    <w:rsid w:val="00B41F35"/>
    <w:rsid w:val="00B45330"/>
    <w:rsid w:val="00B45883"/>
    <w:rsid w:val="00B45E34"/>
    <w:rsid w:val="00B5229E"/>
    <w:rsid w:val="00B6089F"/>
    <w:rsid w:val="00B64D77"/>
    <w:rsid w:val="00B711A3"/>
    <w:rsid w:val="00B73292"/>
    <w:rsid w:val="00B75034"/>
    <w:rsid w:val="00B812EC"/>
    <w:rsid w:val="00B833DD"/>
    <w:rsid w:val="00B849A7"/>
    <w:rsid w:val="00B87ABB"/>
    <w:rsid w:val="00B900C0"/>
    <w:rsid w:val="00B915A5"/>
    <w:rsid w:val="00B93AF4"/>
    <w:rsid w:val="00B948E2"/>
    <w:rsid w:val="00B94FD0"/>
    <w:rsid w:val="00B970A5"/>
    <w:rsid w:val="00B970D5"/>
    <w:rsid w:val="00BA0EAA"/>
    <w:rsid w:val="00BA201F"/>
    <w:rsid w:val="00BA3CC9"/>
    <w:rsid w:val="00BB4E04"/>
    <w:rsid w:val="00BC05AD"/>
    <w:rsid w:val="00BC2F26"/>
    <w:rsid w:val="00BC395F"/>
    <w:rsid w:val="00BD118B"/>
    <w:rsid w:val="00BD4A5E"/>
    <w:rsid w:val="00BE5D68"/>
    <w:rsid w:val="00BF0399"/>
    <w:rsid w:val="00BF139A"/>
    <w:rsid w:val="00BF3202"/>
    <w:rsid w:val="00C01282"/>
    <w:rsid w:val="00C10143"/>
    <w:rsid w:val="00C12E27"/>
    <w:rsid w:val="00C14A4B"/>
    <w:rsid w:val="00C16320"/>
    <w:rsid w:val="00C16A41"/>
    <w:rsid w:val="00C20666"/>
    <w:rsid w:val="00C2788A"/>
    <w:rsid w:val="00C32BA9"/>
    <w:rsid w:val="00C33883"/>
    <w:rsid w:val="00C35C6C"/>
    <w:rsid w:val="00C373B8"/>
    <w:rsid w:val="00C461DC"/>
    <w:rsid w:val="00C5135F"/>
    <w:rsid w:val="00C56AC3"/>
    <w:rsid w:val="00C62A14"/>
    <w:rsid w:val="00C635B1"/>
    <w:rsid w:val="00C63614"/>
    <w:rsid w:val="00C63C68"/>
    <w:rsid w:val="00C70A31"/>
    <w:rsid w:val="00C72FD9"/>
    <w:rsid w:val="00C73A38"/>
    <w:rsid w:val="00C76CF8"/>
    <w:rsid w:val="00C82C49"/>
    <w:rsid w:val="00C84C6C"/>
    <w:rsid w:val="00C87333"/>
    <w:rsid w:val="00C925F1"/>
    <w:rsid w:val="00C93625"/>
    <w:rsid w:val="00C93697"/>
    <w:rsid w:val="00CA16C3"/>
    <w:rsid w:val="00CA1FCD"/>
    <w:rsid w:val="00CA3855"/>
    <w:rsid w:val="00CB1010"/>
    <w:rsid w:val="00CB10F8"/>
    <w:rsid w:val="00CB2BDB"/>
    <w:rsid w:val="00CB6674"/>
    <w:rsid w:val="00CB72BC"/>
    <w:rsid w:val="00CC4710"/>
    <w:rsid w:val="00CC6FC2"/>
    <w:rsid w:val="00CD040B"/>
    <w:rsid w:val="00CD0F35"/>
    <w:rsid w:val="00CD1327"/>
    <w:rsid w:val="00CD4127"/>
    <w:rsid w:val="00CD5114"/>
    <w:rsid w:val="00CD5C21"/>
    <w:rsid w:val="00CD7180"/>
    <w:rsid w:val="00CE1192"/>
    <w:rsid w:val="00CE42EA"/>
    <w:rsid w:val="00CE6757"/>
    <w:rsid w:val="00CF16A2"/>
    <w:rsid w:val="00CF221E"/>
    <w:rsid w:val="00CF4375"/>
    <w:rsid w:val="00D0074C"/>
    <w:rsid w:val="00D027CC"/>
    <w:rsid w:val="00D035D4"/>
    <w:rsid w:val="00D038A0"/>
    <w:rsid w:val="00D06463"/>
    <w:rsid w:val="00D12D19"/>
    <w:rsid w:val="00D134DA"/>
    <w:rsid w:val="00D151F2"/>
    <w:rsid w:val="00D318C9"/>
    <w:rsid w:val="00D40D79"/>
    <w:rsid w:val="00D43F28"/>
    <w:rsid w:val="00D4611C"/>
    <w:rsid w:val="00D519CD"/>
    <w:rsid w:val="00D56CB2"/>
    <w:rsid w:val="00D57858"/>
    <w:rsid w:val="00D62FA7"/>
    <w:rsid w:val="00D7034C"/>
    <w:rsid w:val="00D70EDE"/>
    <w:rsid w:val="00D73AC8"/>
    <w:rsid w:val="00D801EF"/>
    <w:rsid w:val="00D81453"/>
    <w:rsid w:val="00D82323"/>
    <w:rsid w:val="00D82CB4"/>
    <w:rsid w:val="00D850B5"/>
    <w:rsid w:val="00D85C07"/>
    <w:rsid w:val="00D92261"/>
    <w:rsid w:val="00D9308A"/>
    <w:rsid w:val="00D93199"/>
    <w:rsid w:val="00D936DD"/>
    <w:rsid w:val="00DA3C85"/>
    <w:rsid w:val="00DA441B"/>
    <w:rsid w:val="00DA5F2F"/>
    <w:rsid w:val="00DB4444"/>
    <w:rsid w:val="00DC6CBC"/>
    <w:rsid w:val="00DD0D39"/>
    <w:rsid w:val="00DD175C"/>
    <w:rsid w:val="00DD23A1"/>
    <w:rsid w:val="00DD5679"/>
    <w:rsid w:val="00DE2119"/>
    <w:rsid w:val="00DF3CDB"/>
    <w:rsid w:val="00DF53CF"/>
    <w:rsid w:val="00E00B4C"/>
    <w:rsid w:val="00E044C6"/>
    <w:rsid w:val="00E0596E"/>
    <w:rsid w:val="00E10E47"/>
    <w:rsid w:val="00E140C3"/>
    <w:rsid w:val="00E1414F"/>
    <w:rsid w:val="00E14611"/>
    <w:rsid w:val="00E21DBE"/>
    <w:rsid w:val="00E30AA3"/>
    <w:rsid w:val="00E31921"/>
    <w:rsid w:val="00E36145"/>
    <w:rsid w:val="00E42B00"/>
    <w:rsid w:val="00E455FB"/>
    <w:rsid w:val="00E45DEB"/>
    <w:rsid w:val="00E53C0C"/>
    <w:rsid w:val="00E63418"/>
    <w:rsid w:val="00E65688"/>
    <w:rsid w:val="00E67B9C"/>
    <w:rsid w:val="00E7026F"/>
    <w:rsid w:val="00E75795"/>
    <w:rsid w:val="00E75CFF"/>
    <w:rsid w:val="00E80EAE"/>
    <w:rsid w:val="00E810FF"/>
    <w:rsid w:val="00E93713"/>
    <w:rsid w:val="00EA3230"/>
    <w:rsid w:val="00EB220B"/>
    <w:rsid w:val="00EB6B2D"/>
    <w:rsid w:val="00EC3285"/>
    <w:rsid w:val="00EC42DD"/>
    <w:rsid w:val="00EC4CA6"/>
    <w:rsid w:val="00EC59BC"/>
    <w:rsid w:val="00EC6C74"/>
    <w:rsid w:val="00ED0136"/>
    <w:rsid w:val="00ED2D23"/>
    <w:rsid w:val="00ED48B7"/>
    <w:rsid w:val="00ED493E"/>
    <w:rsid w:val="00EE3DB4"/>
    <w:rsid w:val="00EE675F"/>
    <w:rsid w:val="00EF32E1"/>
    <w:rsid w:val="00F01EB1"/>
    <w:rsid w:val="00F04111"/>
    <w:rsid w:val="00F04CFE"/>
    <w:rsid w:val="00F237E7"/>
    <w:rsid w:val="00F244AF"/>
    <w:rsid w:val="00F251CA"/>
    <w:rsid w:val="00F27B55"/>
    <w:rsid w:val="00F3185A"/>
    <w:rsid w:val="00F3310D"/>
    <w:rsid w:val="00F33D82"/>
    <w:rsid w:val="00F415CA"/>
    <w:rsid w:val="00F427EE"/>
    <w:rsid w:val="00F51432"/>
    <w:rsid w:val="00F54B85"/>
    <w:rsid w:val="00F5678C"/>
    <w:rsid w:val="00F60227"/>
    <w:rsid w:val="00F62031"/>
    <w:rsid w:val="00F6319E"/>
    <w:rsid w:val="00F633BE"/>
    <w:rsid w:val="00F7171F"/>
    <w:rsid w:val="00F7205B"/>
    <w:rsid w:val="00F732CC"/>
    <w:rsid w:val="00F745E1"/>
    <w:rsid w:val="00F80557"/>
    <w:rsid w:val="00F865DC"/>
    <w:rsid w:val="00F96001"/>
    <w:rsid w:val="00F9629D"/>
    <w:rsid w:val="00F9651B"/>
    <w:rsid w:val="00F96E65"/>
    <w:rsid w:val="00F9711A"/>
    <w:rsid w:val="00FB1E05"/>
    <w:rsid w:val="00FB2859"/>
    <w:rsid w:val="00FB3E40"/>
    <w:rsid w:val="00FB51CD"/>
    <w:rsid w:val="00FC1327"/>
    <w:rsid w:val="00FC2D6A"/>
    <w:rsid w:val="00FC71DD"/>
    <w:rsid w:val="00FD4FD4"/>
    <w:rsid w:val="00FD665E"/>
    <w:rsid w:val="00FD721D"/>
    <w:rsid w:val="00FE1084"/>
    <w:rsid w:val="00FE4003"/>
    <w:rsid w:val="00FE4ADA"/>
    <w:rsid w:val="00FF290B"/>
    <w:rsid w:val="00FF3F25"/>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link w:val="Ttulo2Car"/>
    <w:uiPriority w:val="99"/>
    <w:qFormat/>
    <w:rsid w:val="00E7026F"/>
    <w:pPr>
      <w:keepNext/>
      <w:ind w:left="360"/>
      <w:outlineLvl w:val="1"/>
    </w:pPr>
    <w:rPr>
      <w:b/>
      <w:bCs/>
    </w:rPr>
  </w:style>
  <w:style w:type="paragraph" w:styleId="Ttulo4">
    <w:name w:val="heading 4"/>
    <w:basedOn w:val="Normal"/>
    <w:next w:val="Normal"/>
    <w:link w:val="Ttulo4Car"/>
    <w:uiPriority w:val="99"/>
    <w:qFormat/>
    <w:rsid w:val="00F3185A"/>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E314D"/>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AE314D"/>
    <w:rPr>
      <w:rFonts w:ascii="Cambria" w:eastAsia="Times New Roman" w:hAnsi="Cambria" w:cs="Times New Roman"/>
      <w:b/>
      <w:bCs/>
      <w:i/>
      <w:iCs/>
      <w:sz w:val="28"/>
      <w:szCs w:val="28"/>
      <w:lang w:val="es-MX" w:eastAsia="es-ES"/>
    </w:rPr>
  </w:style>
  <w:style w:type="character" w:customStyle="1" w:styleId="Ttulo4Car">
    <w:name w:val="Título 4 Car"/>
    <w:link w:val="Ttulo4"/>
    <w:uiPriority w:val="99"/>
    <w:semiHidden/>
    <w:locked/>
    <w:rsid w:val="00F3185A"/>
    <w:rPr>
      <w:rFonts w:ascii="Cambria" w:hAnsi="Cambria" w:cs="Times New Roman"/>
      <w:b/>
      <w:bCs/>
      <w:i/>
      <w:iCs/>
      <w:color w:val="4F81BD"/>
      <w:sz w:val="24"/>
      <w:szCs w:val="24"/>
      <w:lang w:eastAsia="es-ES"/>
    </w:rPr>
  </w:style>
  <w:style w:type="character" w:customStyle="1" w:styleId="Ttulo5Car">
    <w:name w:val="Título 5 Car"/>
    <w:link w:val="Ttulo5"/>
    <w:uiPriority w:val="9"/>
    <w:semiHidden/>
    <w:rsid w:val="00AE314D"/>
    <w:rPr>
      <w:rFonts w:ascii="Calibri" w:eastAsia="Times New Roman" w:hAnsi="Calibri" w:cs="Times New Roman"/>
      <w:b/>
      <w:bCs/>
      <w:i/>
      <w:iCs/>
      <w:sz w:val="26"/>
      <w:szCs w:val="26"/>
      <w:lang w:val="es-MX" w:eastAsia="es-ES"/>
    </w:rPr>
  </w:style>
  <w:style w:type="character" w:customStyle="1" w:styleId="Ttulo6Car">
    <w:name w:val="Título 6 Car"/>
    <w:link w:val="Ttulo6"/>
    <w:semiHidden/>
    <w:rsid w:val="00AE314D"/>
    <w:rPr>
      <w:rFonts w:ascii="Calibri" w:eastAsia="Times New Roman" w:hAnsi="Calibri" w:cs="Times New Roman"/>
      <w:b/>
      <w:bCs/>
      <w:lang w:val="es-MX" w:eastAsia="es-ES"/>
    </w:rPr>
  </w:style>
  <w:style w:type="paragraph" w:styleId="Sangradetextonormal">
    <w:name w:val="Body Text Indent"/>
    <w:basedOn w:val="Normal"/>
    <w:link w:val="SangradetextonormalCar"/>
    <w:rsid w:val="00E7026F"/>
    <w:pPr>
      <w:ind w:left="180"/>
    </w:pPr>
  </w:style>
  <w:style w:type="character" w:customStyle="1" w:styleId="SangradetextonormalCar">
    <w:name w:val="Sangría de texto normal Car"/>
    <w:link w:val="Sangradetextonormal"/>
    <w:rsid w:val="00AE314D"/>
    <w:rPr>
      <w:sz w:val="24"/>
      <w:szCs w:val="24"/>
      <w:lang w:val="es-MX" w:eastAsia="es-ES"/>
    </w:rPr>
  </w:style>
  <w:style w:type="paragraph" w:styleId="Sangra2detindependiente">
    <w:name w:val="Body Text Indent 2"/>
    <w:basedOn w:val="Normal"/>
    <w:link w:val="Sangra2detindependienteCar"/>
    <w:uiPriority w:val="99"/>
    <w:rsid w:val="00E7026F"/>
    <w:pPr>
      <w:ind w:left="360"/>
    </w:pPr>
  </w:style>
  <w:style w:type="character" w:customStyle="1" w:styleId="Sangra2detindependienteCar">
    <w:name w:val="Sangría 2 de t. independiente Car"/>
    <w:link w:val="Sangra2detindependiente"/>
    <w:uiPriority w:val="99"/>
    <w:semiHidden/>
    <w:rsid w:val="00AE314D"/>
    <w:rPr>
      <w:sz w:val="24"/>
      <w:szCs w:val="24"/>
      <w:lang w:val="es-MX" w:eastAsia="es-ES"/>
    </w:rPr>
  </w:style>
  <w:style w:type="paragraph" w:styleId="Piedepgina">
    <w:name w:val="footer"/>
    <w:basedOn w:val="Normal"/>
    <w:link w:val="PiedepginaCar"/>
    <w:uiPriority w:val="99"/>
    <w:rsid w:val="00E7026F"/>
    <w:pPr>
      <w:tabs>
        <w:tab w:val="center" w:pos="4419"/>
        <w:tab w:val="right" w:pos="8838"/>
      </w:tabs>
    </w:pPr>
  </w:style>
  <w:style w:type="character" w:customStyle="1" w:styleId="PiedepginaCar">
    <w:name w:val="Pie de página Car"/>
    <w:link w:val="Piedepgina"/>
    <w:uiPriority w:val="99"/>
    <w:locked/>
    <w:rsid w:val="00237F98"/>
    <w:rPr>
      <w:rFonts w:cs="Times New Roman"/>
      <w:sz w:val="24"/>
      <w:szCs w:val="24"/>
      <w:lang w:eastAsia="es-ES"/>
    </w:rPr>
  </w:style>
  <w:style w:type="character" w:styleId="Nmerodepgina">
    <w:name w:val="page number"/>
    <w:uiPriority w:val="99"/>
    <w:rsid w:val="00E7026F"/>
    <w:rPr>
      <w:rFonts w:cs="Times New Roman"/>
    </w:rPr>
  </w:style>
  <w:style w:type="paragraph" w:styleId="Encabezado">
    <w:name w:val="header"/>
    <w:basedOn w:val="Normal"/>
    <w:link w:val="EncabezadoCar"/>
    <w:uiPriority w:val="99"/>
    <w:rsid w:val="00E7026F"/>
    <w:pPr>
      <w:tabs>
        <w:tab w:val="center" w:pos="4419"/>
        <w:tab w:val="right" w:pos="8838"/>
      </w:tabs>
    </w:pPr>
  </w:style>
  <w:style w:type="character" w:customStyle="1" w:styleId="EncabezadoCar">
    <w:name w:val="Encabezado Car"/>
    <w:link w:val="Encabezado"/>
    <w:uiPriority w:val="99"/>
    <w:semiHidden/>
    <w:rsid w:val="00AE314D"/>
    <w:rPr>
      <w:sz w:val="24"/>
      <w:szCs w:val="24"/>
      <w:lang w:val="es-MX" w:eastAsia="es-ES"/>
    </w:rPr>
  </w:style>
  <w:style w:type="paragraph" w:styleId="Textoindependiente">
    <w:name w:val="Body Text"/>
    <w:basedOn w:val="Normal"/>
    <w:link w:val="TextoindependienteCar"/>
    <w:uiPriority w:val="99"/>
    <w:rsid w:val="00E7026F"/>
    <w:pPr>
      <w:jc w:val="both"/>
    </w:pPr>
    <w:rPr>
      <w:rFonts w:ascii="Arial" w:hAnsi="Arial" w:cs="Arial"/>
      <w:bCs/>
      <w:color w:val="CCFFCC"/>
      <w:sz w:val="22"/>
      <w:szCs w:val="22"/>
    </w:rPr>
  </w:style>
  <w:style w:type="character" w:customStyle="1" w:styleId="TextoindependienteCar">
    <w:name w:val="Texto independiente Car"/>
    <w:link w:val="Textoindependiente"/>
    <w:uiPriority w:val="99"/>
    <w:semiHidden/>
    <w:rsid w:val="00AE314D"/>
    <w:rPr>
      <w:sz w:val="24"/>
      <w:szCs w:val="24"/>
      <w:lang w:val="es-MX" w:eastAsia="es-ES"/>
    </w:rPr>
  </w:style>
  <w:style w:type="paragraph" w:styleId="Textoindependiente2">
    <w:name w:val="Body Text 2"/>
    <w:basedOn w:val="Normal"/>
    <w:link w:val="Textoindependiente2Car"/>
    <w:uiPriority w:val="99"/>
    <w:rsid w:val="00E7026F"/>
    <w:pPr>
      <w:jc w:val="both"/>
    </w:pPr>
    <w:rPr>
      <w:rFonts w:ascii="Arial" w:hAnsi="Arial" w:cs="Arial"/>
      <w:sz w:val="22"/>
      <w:szCs w:val="22"/>
    </w:rPr>
  </w:style>
  <w:style w:type="character" w:customStyle="1" w:styleId="Textoindependiente2Car">
    <w:name w:val="Texto independiente 2 Car"/>
    <w:link w:val="Textoindependiente2"/>
    <w:uiPriority w:val="99"/>
    <w:semiHidden/>
    <w:rsid w:val="00AE314D"/>
    <w:rPr>
      <w:sz w:val="24"/>
      <w:szCs w:val="24"/>
      <w:lang w:val="es-MX" w:eastAsia="es-ES"/>
    </w:rPr>
  </w:style>
  <w:style w:type="paragraph" w:styleId="Sangra3detindependiente">
    <w:name w:val="Body Text Indent 3"/>
    <w:basedOn w:val="Normal"/>
    <w:link w:val="Sangra3detindependienteCar"/>
    <w:uiPriority w:val="99"/>
    <w:rsid w:val="00E7026F"/>
    <w:pPr>
      <w:ind w:firstLine="360"/>
      <w:jc w:val="both"/>
    </w:pPr>
    <w:rPr>
      <w:rFonts w:ascii="Arial" w:hAnsi="Arial"/>
      <w:sz w:val="22"/>
    </w:rPr>
  </w:style>
  <w:style w:type="character" w:customStyle="1" w:styleId="Sangra3detindependienteCar">
    <w:name w:val="Sangría 3 de t. independiente Car"/>
    <w:link w:val="Sangra3detindependiente"/>
    <w:uiPriority w:val="99"/>
    <w:semiHidden/>
    <w:rsid w:val="00AE314D"/>
    <w:rPr>
      <w:sz w:val="16"/>
      <w:szCs w:val="16"/>
      <w:lang w:val="es-MX" w:eastAsia="es-ES"/>
    </w:rPr>
  </w:style>
  <w:style w:type="paragraph" w:styleId="Textoindependiente3">
    <w:name w:val="Body Text 3"/>
    <w:basedOn w:val="Normal"/>
    <w:link w:val="Textoindependiente3Car"/>
    <w:uiPriority w:val="99"/>
    <w:rsid w:val="00E7026F"/>
    <w:pPr>
      <w:jc w:val="both"/>
    </w:pPr>
    <w:rPr>
      <w:rFonts w:ascii="Arial" w:hAnsi="Arial"/>
      <w:sz w:val="18"/>
    </w:rPr>
  </w:style>
  <w:style w:type="character" w:customStyle="1" w:styleId="Textoindependiente3Car">
    <w:name w:val="Texto independiente 3 Car"/>
    <w:link w:val="Textoindependiente3"/>
    <w:uiPriority w:val="99"/>
    <w:semiHidden/>
    <w:rsid w:val="00AE314D"/>
    <w:rPr>
      <w:sz w:val="16"/>
      <w:szCs w:val="16"/>
      <w:lang w:val="es-MX" w:eastAsia="es-ES"/>
    </w:rPr>
  </w:style>
  <w:style w:type="table" w:styleId="Tablaconcuadrcula">
    <w:name w:val="Table Grid"/>
    <w:basedOn w:val="Tablanormal"/>
    <w:rsid w:val="002D6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rsid w:val="00237F98"/>
    <w:rPr>
      <w:rFonts w:ascii="Tahoma" w:hAnsi="Tahoma" w:cs="Tahoma"/>
      <w:sz w:val="16"/>
      <w:szCs w:val="16"/>
    </w:rPr>
  </w:style>
  <w:style w:type="character" w:customStyle="1" w:styleId="TextodegloboCar">
    <w:name w:val="Texto de globo Car"/>
    <w:link w:val="Textodeglobo"/>
    <w:uiPriority w:val="99"/>
    <w:locked/>
    <w:rsid w:val="00237F98"/>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1">
      <w:marLeft w:val="0"/>
      <w:marRight w:val="0"/>
      <w:marTop w:val="0"/>
      <w:marBottom w:val="0"/>
      <w:divBdr>
        <w:top w:val="none" w:sz="0" w:space="0" w:color="auto"/>
        <w:left w:val="none" w:sz="0" w:space="0" w:color="auto"/>
        <w:bottom w:val="none" w:sz="0" w:space="0" w:color="auto"/>
        <w:right w:val="none" w:sz="0" w:space="0" w:color="auto"/>
      </w:divBdr>
    </w:div>
    <w:div w:id="41636632">
      <w:marLeft w:val="0"/>
      <w:marRight w:val="0"/>
      <w:marTop w:val="0"/>
      <w:marBottom w:val="0"/>
      <w:divBdr>
        <w:top w:val="none" w:sz="0" w:space="0" w:color="auto"/>
        <w:left w:val="none" w:sz="0" w:space="0" w:color="auto"/>
        <w:bottom w:val="none" w:sz="0" w:space="0" w:color="auto"/>
        <w:right w:val="none" w:sz="0" w:space="0" w:color="auto"/>
      </w:divBdr>
    </w:div>
    <w:div w:id="41636633">
      <w:marLeft w:val="0"/>
      <w:marRight w:val="0"/>
      <w:marTop w:val="0"/>
      <w:marBottom w:val="0"/>
      <w:divBdr>
        <w:top w:val="none" w:sz="0" w:space="0" w:color="auto"/>
        <w:left w:val="none" w:sz="0" w:space="0" w:color="auto"/>
        <w:bottom w:val="none" w:sz="0" w:space="0" w:color="auto"/>
        <w:right w:val="none" w:sz="0" w:space="0" w:color="auto"/>
      </w:divBdr>
    </w:div>
    <w:div w:id="41636634">
      <w:marLeft w:val="0"/>
      <w:marRight w:val="0"/>
      <w:marTop w:val="0"/>
      <w:marBottom w:val="0"/>
      <w:divBdr>
        <w:top w:val="none" w:sz="0" w:space="0" w:color="auto"/>
        <w:left w:val="none" w:sz="0" w:space="0" w:color="auto"/>
        <w:bottom w:val="none" w:sz="0" w:space="0" w:color="auto"/>
        <w:right w:val="none" w:sz="0" w:space="0" w:color="auto"/>
      </w:divBdr>
    </w:div>
    <w:div w:id="41636635">
      <w:marLeft w:val="0"/>
      <w:marRight w:val="0"/>
      <w:marTop w:val="0"/>
      <w:marBottom w:val="0"/>
      <w:divBdr>
        <w:top w:val="none" w:sz="0" w:space="0" w:color="auto"/>
        <w:left w:val="none" w:sz="0" w:space="0" w:color="auto"/>
        <w:bottom w:val="none" w:sz="0" w:space="0" w:color="auto"/>
        <w:right w:val="none" w:sz="0" w:space="0" w:color="auto"/>
      </w:divBdr>
    </w:div>
    <w:div w:id="41636636">
      <w:marLeft w:val="0"/>
      <w:marRight w:val="0"/>
      <w:marTop w:val="0"/>
      <w:marBottom w:val="0"/>
      <w:divBdr>
        <w:top w:val="none" w:sz="0" w:space="0" w:color="auto"/>
        <w:left w:val="none" w:sz="0" w:space="0" w:color="auto"/>
        <w:bottom w:val="none" w:sz="0" w:space="0" w:color="auto"/>
        <w:right w:val="none" w:sz="0" w:space="0" w:color="auto"/>
      </w:divBdr>
    </w:div>
    <w:div w:id="41636637">
      <w:marLeft w:val="0"/>
      <w:marRight w:val="0"/>
      <w:marTop w:val="0"/>
      <w:marBottom w:val="0"/>
      <w:divBdr>
        <w:top w:val="none" w:sz="0" w:space="0" w:color="auto"/>
        <w:left w:val="none" w:sz="0" w:space="0" w:color="auto"/>
        <w:bottom w:val="none" w:sz="0" w:space="0" w:color="auto"/>
        <w:right w:val="none" w:sz="0" w:space="0" w:color="auto"/>
      </w:divBdr>
    </w:div>
    <w:div w:id="41636638">
      <w:marLeft w:val="0"/>
      <w:marRight w:val="0"/>
      <w:marTop w:val="0"/>
      <w:marBottom w:val="0"/>
      <w:divBdr>
        <w:top w:val="none" w:sz="0" w:space="0" w:color="auto"/>
        <w:left w:val="none" w:sz="0" w:space="0" w:color="auto"/>
        <w:bottom w:val="none" w:sz="0" w:space="0" w:color="auto"/>
        <w:right w:val="none" w:sz="0" w:space="0" w:color="auto"/>
      </w:divBdr>
    </w:div>
    <w:div w:id="41636639">
      <w:marLeft w:val="0"/>
      <w:marRight w:val="0"/>
      <w:marTop w:val="0"/>
      <w:marBottom w:val="0"/>
      <w:divBdr>
        <w:top w:val="none" w:sz="0" w:space="0" w:color="auto"/>
        <w:left w:val="none" w:sz="0" w:space="0" w:color="auto"/>
        <w:bottom w:val="none" w:sz="0" w:space="0" w:color="auto"/>
        <w:right w:val="none" w:sz="0" w:space="0" w:color="auto"/>
      </w:divBdr>
    </w:div>
    <w:div w:id="41636640">
      <w:marLeft w:val="0"/>
      <w:marRight w:val="0"/>
      <w:marTop w:val="0"/>
      <w:marBottom w:val="0"/>
      <w:divBdr>
        <w:top w:val="none" w:sz="0" w:space="0" w:color="auto"/>
        <w:left w:val="none" w:sz="0" w:space="0" w:color="auto"/>
        <w:bottom w:val="none" w:sz="0" w:space="0" w:color="auto"/>
        <w:right w:val="none" w:sz="0" w:space="0" w:color="auto"/>
      </w:divBdr>
    </w:div>
    <w:div w:id="41636641">
      <w:marLeft w:val="0"/>
      <w:marRight w:val="0"/>
      <w:marTop w:val="0"/>
      <w:marBottom w:val="0"/>
      <w:divBdr>
        <w:top w:val="none" w:sz="0" w:space="0" w:color="auto"/>
        <w:left w:val="none" w:sz="0" w:space="0" w:color="auto"/>
        <w:bottom w:val="none" w:sz="0" w:space="0" w:color="auto"/>
        <w:right w:val="none" w:sz="0" w:space="0" w:color="auto"/>
      </w:divBdr>
    </w:div>
    <w:div w:id="41636642">
      <w:marLeft w:val="0"/>
      <w:marRight w:val="0"/>
      <w:marTop w:val="0"/>
      <w:marBottom w:val="0"/>
      <w:divBdr>
        <w:top w:val="none" w:sz="0" w:space="0" w:color="auto"/>
        <w:left w:val="none" w:sz="0" w:space="0" w:color="auto"/>
        <w:bottom w:val="none" w:sz="0" w:space="0" w:color="auto"/>
        <w:right w:val="none" w:sz="0" w:space="0" w:color="auto"/>
      </w:divBdr>
    </w:div>
    <w:div w:id="602953025">
      <w:bodyDiv w:val="1"/>
      <w:marLeft w:val="0"/>
      <w:marRight w:val="0"/>
      <w:marTop w:val="0"/>
      <w:marBottom w:val="0"/>
      <w:divBdr>
        <w:top w:val="none" w:sz="0" w:space="0" w:color="auto"/>
        <w:left w:val="none" w:sz="0" w:space="0" w:color="auto"/>
        <w:bottom w:val="none" w:sz="0" w:space="0" w:color="auto"/>
        <w:right w:val="none" w:sz="0" w:space="0" w:color="auto"/>
      </w:divBdr>
    </w:div>
    <w:div w:id="725641931">
      <w:bodyDiv w:val="1"/>
      <w:marLeft w:val="0"/>
      <w:marRight w:val="0"/>
      <w:marTop w:val="0"/>
      <w:marBottom w:val="0"/>
      <w:divBdr>
        <w:top w:val="none" w:sz="0" w:space="0" w:color="auto"/>
        <w:left w:val="none" w:sz="0" w:space="0" w:color="auto"/>
        <w:bottom w:val="none" w:sz="0" w:space="0" w:color="auto"/>
        <w:right w:val="none" w:sz="0" w:space="0" w:color="auto"/>
      </w:divBdr>
    </w:div>
    <w:div w:id="18861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1238</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subject/>
  <dc:creator>CMH018</dc:creator>
  <cp:keywords/>
  <dc:description/>
  <cp:lastModifiedBy>Sharon Y. Lara Medrano</cp:lastModifiedBy>
  <cp:revision>18</cp:revision>
  <cp:lastPrinted>2016-03-08T19:33:00Z</cp:lastPrinted>
  <dcterms:created xsi:type="dcterms:W3CDTF">2016-03-08T19:33:00Z</dcterms:created>
  <dcterms:modified xsi:type="dcterms:W3CDTF">2018-05-21T20:01:00Z</dcterms:modified>
</cp:coreProperties>
</file>