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CE8" w:rsidRPr="007B6DE3" w:rsidRDefault="00847CE8" w:rsidP="002D2A1B">
      <w:pPr>
        <w:jc w:val="center"/>
        <w:rPr>
          <w:b/>
          <w:sz w:val="20"/>
          <w:szCs w:val="20"/>
        </w:rPr>
      </w:pPr>
    </w:p>
    <w:p w:rsidR="007B6DE3" w:rsidRPr="00820C9E" w:rsidRDefault="007B6DE3" w:rsidP="007B6DE3">
      <w:pPr>
        <w:spacing w:line="240" w:lineRule="auto"/>
        <w:jc w:val="center"/>
        <w:rPr>
          <w:rFonts w:cs="Arial"/>
          <w:b/>
          <w:sz w:val="20"/>
          <w:szCs w:val="20"/>
        </w:rPr>
      </w:pPr>
      <w:r w:rsidRPr="00820C9E">
        <w:rPr>
          <w:rFonts w:cs="Arial"/>
          <w:b/>
          <w:sz w:val="20"/>
          <w:szCs w:val="20"/>
        </w:rPr>
        <w:t>Cuenta Pública 201</w:t>
      </w:r>
      <w:r w:rsidR="00451239">
        <w:rPr>
          <w:rFonts w:cs="Arial"/>
          <w:b/>
          <w:sz w:val="20"/>
          <w:szCs w:val="20"/>
        </w:rPr>
        <w:t>7</w:t>
      </w:r>
    </w:p>
    <w:p w:rsidR="007B6DE3" w:rsidRPr="00820C9E" w:rsidRDefault="007B6DE3" w:rsidP="007B6DE3">
      <w:pPr>
        <w:spacing w:line="240" w:lineRule="auto"/>
        <w:jc w:val="center"/>
        <w:rPr>
          <w:rFonts w:cs="Arial"/>
          <w:b/>
          <w:sz w:val="20"/>
          <w:szCs w:val="20"/>
        </w:rPr>
      </w:pPr>
      <w:r w:rsidRPr="00820C9E">
        <w:rPr>
          <w:rFonts w:cs="Arial"/>
          <w:b/>
          <w:sz w:val="20"/>
          <w:szCs w:val="20"/>
        </w:rPr>
        <w:t>Notas a los Estados Financieros</w:t>
      </w:r>
    </w:p>
    <w:p w:rsidR="007B6DE3" w:rsidRDefault="007B6DE3" w:rsidP="00DA4197">
      <w:pPr>
        <w:spacing w:line="240" w:lineRule="auto"/>
        <w:jc w:val="center"/>
        <w:rPr>
          <w:rFonts w:cs="Arial"/>
          <w:b/>
          <w:sz w:val="20"/>
          <w:szCs w:val="20"/>
        </w:rPr>
      </w:pPr>
      <w:r>
        <w:rPr>
          <w:rFonts w:cs="Arial"/>
          <w:b/>
          <w:sz w:val="20"/>
          <w:szCs w:val="20"/>
        </w:rPr>
        <w:t>Al</w:t>
      </w:r>
      <w:r w:rsidRPr="00820C9E">
        <w:rPr>
          <w:rFonts w:cs="Arial"/>
          <w:b/>
          <w:sz w:val="20"/>
          <w:szCs w:val="20"/>
        </w:rPr>
        <w:t xml:space="preserve"> </w:t>
      </w:r>
      <w:r w:rsidR="00F17ED3">
        <w:rPr>
          <w:rFonts w:cs="Arial"/>
          <w:b/>
          <w:sz w:val="20"/>
          <w:szCs w:val="20"/>
        </w:rPr>
        <w:t>31</w:t>
      </w:r>
      <w:r w:rsidRPr="00820C9E">
        <w:rPr>
          <w:rFonts w:cs="Arial"/>
          <w:b/>
          <w:sz w:val="20"/>
          <w:szCs w:val="20"/>
        </w:rPr>
        <w:t xml:space="preserve"> </w:t>
      </w:r>
      <w:r>
        <w:rPr>
          <w:rFonts w:cs="Arial"/>
          <w:b/>
          <w:sz w:val="20"/>
          <w:szCs w:val="20"/>
        </w:rPr>
        <w:t xml:space="preserve">de </w:t>
      </w:r>
      <w:r w:rsidR="00F17ED3">
        <w:rPr>
          <w:rFonts w:cs="Arial"/>
          <w:b/>
          <w:sz w:val="20"/>
          <w:szCs w:val="20"/>
        </w:rPr>
        <w:t>marz</w:t>
      </w:r>
      <w:r w:rsidR="00A33F64">
        <w:rPr>
          <w:rFonts w:cs="Arial"/>
          <w:b/>
          <w:sz w:val="20"/>
          <w:szCs w:val="20"/>
        </w:rPr>
        <w:t>o</w:t>
      </w:r>
      <w:r>
        <w:rPr>
          <w:rFonts w:cs="Arial"/>
          <w:b/>
          <w:sz w:val="20"/>
          <w:szCs w:val="20"/>
        </w:rPr>
        <w:t xml:space="preserve"> </w:t>
      </w:r>
      <w:r w:rsidRPr="00820C9E">
        <w:rPr>
          <w:rFonts w:cs="Arial"/>
          <w:b/>
          <w:sz w:val="20"/>
          <w:szCs w:val="20"/>
        </w:rPr>
        <w:t>de 201</w:t>
      </w:r>
      <w:r w:rsidR="00451239">
        <w:rPr>
          <w:rFonts w:cs="Arial"/>
          <w:b/>
          <w:sz w:val="20"/>
          <w:szCs w:val="20"/>
        </w:rPr>
        <w:t>7</w:t>
      </w:r>
    </w:p>
    <w:p w:rsidR="007B6DE3" w:rsidRPr="00EB49A6" w:rsidRDefault="007B6DE3" w:rsidP="007B6DE3">
      <w:pPr>
        <w:pStyle w:val="Texto"/>
        <w:jc w:val="center"/>
        <w:rPr>
          <w:rFonts w:ascii="Calibri" w:hAnsi="Calibri"/>
          <w:b/>
          <w:sz w:val="20"/>
        </w:rPr>
      </w:pPr>
      <w:r w:rsidRPr="00EB49A6">
        <w:rPr>
          <w:rFonts w:ascii="Calibri" w:hAnsi="Calibri"/>
          <w:b/>
          <w:sz w:val="20"/>
        </w:rPr>
        <w:t>(Pesos)</w:t>
      </w:r>
    </w:p>
    <w:p w:rsidR="00E47914" w:rsidRPr="007B6DE3" w:rsidRDefault="00E47914" w:rsidP="002D2A1B">
      <w:pPr>
        <w:spacing w:after="0"/>
        <w:jc w:val="both"/>
        <w:rPr>
          <w:rFonts w:eastAsia="Times New Roman" w:cs="Arial"/>
          <w:b/>
          <w:bCs/>
          <w:sz w:val="20"/>
          <w:szCs w:val="20"/>
          <w:lang w:eastAsia="es-ES"/>
        </w:rPr>
      </w:pPr>
    </w:p>
    <w:p w:rsidR="00E47914" w:rsidRPr="007B6DE3" w:rsidRDefault="00E47914" w:rsidP="007B6DE3">
      <w:pPr>
        <w:spacing w:after="0"/>
        <w:rPr>
          <w:rFonts w:eastAsia="Times New Roman" w:cs="Arial"/>
          <w:b/>
          <w:bCs/>
          <w:sz w:val="20"/>
          <w:szCs w:val="20"/>
          <w:u w:val="single"/>
          <w:lang w:eastAsia="es-ES"/>
        </w:rPr>
      </w:pPr>
      <w:r w:rsidRPr="007B6DE3">
        <w:rPr>
          <w:rFonts w:eastAsia="Times New Roman" w:cs="Arial"/>
          <w:b/>
          <w:bCs/>
          <w:sz w:val="20"/>
          <w:szCs w:val="20"/>
          <w:lang w:eastAsia="es-ES"/>
        </w:rPr>
        <w:t>Ente Público</w:t>
      </w:r>
      <w:r w:rsidR="00FB6A26" w:rsidRPr="007B6DE3">
        <w:rPr>
          <w:rFonts w:eastAsia="Times New Roman" w:cs="Arial"/>
          <w:b/>
          <w:bCs/>
          <w:sz w:val="20"/>
          <w:szCs w:val="20"/>
          <w:lang w:eastAsia="es-ES"/>
        </w:rPr>
        <w:t>:</w:t>
      </w:r>
      <w:r w:rsidR="000B6206">
        <w:rPr>
          <w:rFonts w:eastAsia="Times New Roman" w:cs="Arial"/>
          <w:b/>
          <w:bCs/>
          <w:sz w:val="20"/>
          <w:szCs w:val="20"/>
          <w:lang w:eastAsia="es-ES"/>
        </w:rPr>
        <w:t xml:space="preserve"> </w:t>
      </w:r>
      <w:r w:rsidR="00FB6A26">
        <w:rPr>
          <w:rFonts w:eastAsia="Times New Roman" w:cs="Arial"/>
          <w:b/>
          <w:bCs/>
          <w:sz w:val="20"/>
          <w:szCs w:val="20"/>
          <w:lang w:eastAsia="es-ES"/>
        </w:rPr>
        <w:t xml:space="preserve"> </w:t>
      </w:r>
      <w:r w:rsidR="00FB6A26" w:rsidRPr="007B6DE3">
        <w:rPr>
          <w:rFonts w:eastAsia="Times New Roman" w:cs="Arial"/>
          <w:b/>
          <w:bCs/>
          <w:sz w:val="20"/>
          <w:szCs w:val="20"/>
          <w:lang w:eastAsia="es-ES"/>
        </w:rPr>
        <w:t>TRIBUNAL</w:t>
      </w:r>
      <w:r w:rsidR="00BC31E7" w:rsidRPr="007B6DE3">
        <w:rPr>
          <w:rFonts w:eastAsia="Times New Roman" w:cs="Arial"/>
          <w:b/>
          <w:bCs/>
          <w:sz w:val="20"/>
          <w:szCs w:val="20"/>
          <w:lang w:eastAsia="es-ES"/>
        </w:rPr>
        <w:t xml:space="preserve"> ELECTORAL DEL ESTADO DE YUCATÁ</w:t>
      </w:r>
      <w:r w:rsidRPr="007B6DE3">
        <w:rPr>
          <w:rFonts w:eastAsia="Times New Roman" w:cs="Arial"/>
          <w:b/>
          <w:bCs/>
          <w:sz w:val="20"/>
          <w:szCs w:val="20"/>
          <w:lang w:eastAsia="es-ES"/>
        </w:rPr>
        <w:t>N</w:t>
      </w:r>
    </w:p>
    <w:p w:rsidR="00E47914" w:rsidRPr="007B6DE3" w:rsidRDefault="00E47914" w:rsidP="002D2A1B">
      <w:pPr>
        <w:spacing w:after="0"/>
        <w:jc w:val="both"/>
        <w:rPr>
          <w:rFonts w:eastAsia="Times New Roman" w:cs="Arial"/>
          <w:bCs/>
          <w:sz w:val="20"/>
          <w:szCs w:val="20"/>
          <w:u w:val="single"/>
          <w:lang w:eastAsia="es-ES"/>
        </w:rPr>
      </w:pPr>
    </w:p>
    <w:p w:rsidR="00E47914" w:rsidRPr="007B6DE3" w:rsidRDefault="00E47914" w:rsidP="002D2A1B">
      <w:pPr>
        <w:spacing w:after="0"/>
        <w:jc w:val="both"/>
        <w:rPr>
          <w:rFonts w:eastAsia="Times New Roman" w:cs="Arial"/>
          <w:b/>
          <w:bCs/>
          <w:sz w:val="20"/>
          <w:szCs w:val="20"/>
          <w:lang w:eastAsia="es-ES"/>
        </w:rPr>
      </w:pPr>
    </w:p>
    <w:p w:rsidR="00E47914" w:rsidRPr="007B6DE3" w:rsidRDefault="00740BF6" w:rsidP="00254A60">
      <w:pPr>
        <w:spacing w:after="0"/>
        <w:jc w:val="center"/>
        <w:rPr>
          <w:rFonts w:eastAsia="Times New Roman" w:cs="Arial"/>
          <w:b/>
          <w:bCs/>
          <w:sz w:val="20"/>
          <w:szCs w:val="20"/>
          <w:lang w:eastAsia="es-ES"/>
        </w:rPr>
      </w:pPr>
      <w:r w:rsidRPr="007B6DE3">
        <w:rPr>
          <w:rFonts w:eastAsia="Times New Roman" w:cs="Arial"/>
          <w:b/>
          <w:bCs/>
          <w:sz w:val="20"/>
          <w:szCs w:val="20"/>
          <w:lang w:eastAsia="es-ES"/>
        </w:rPr>
        <w:t xml:space="preserve">a) </w:t>
      </w:r>
      <w:r w:rsidR="008603DE" w:rsidRPr="007B6DE3">
        <w:rPr>
          <w:rFonts w:eastAsia="Times New Roman" w:cs="Arial"/>
          <w:b/>
          <w:bCs/>
          <w:sz w:val="20"/>
          <w:szCs w:val="20"/>
          <w:lang w:eastAsia="es-ES"/>
        </w:rPr>
        <w:t>NOTAS DE DESGLOSE</w:t>
      </w:r>
    </w:p>
    <w:p w:rsidR="00E47914" w:rsidRPr="007B6DE3" w:rsidRDefault="00E47914" w:rsidP="002D2A1B">
      <w:pPr>
        <w:spacing w:after="0"/>
        <w:ind w:left="142" w:hanging="142"/>
        <w:jc w:val="both"/>
        <w:rPr>
          <w:rFonts w:eastAsia="Times New Roman" w:cs="Arial"/>
          <w:b/>
          <w:bCs/>
          <w:sz w:val="20"/>
          <w:szCs w:val="20"/>
          <w:lang w:eastAsia="es-ES"/>
        </w:rPr>
      </w:pPr>
    </w:p>
    <w:p w:rsidR="00E47914" w:rsidRPr="007B6DE3" w:rsidRDefault="00740BF6" w:rsidP="002D2A1B">
      <w:pPr>
        <w:spacing w:after="0"/>
        <w:jc w:val="both"/>
        <w:rPr>
          <w:rFonts w:eastAsia="Times New Roman" w:cs="Arial"/>
          <w:b/>
          <w:bCs/>
          <w:sz w:val="20"/>
          <w:szCs w:val="20"/>
          <w:lang w:eastAsia="es-ES"/>
        </w:rPr>
      </w:pPr>
      <w:r w:rsidRPr="007B6DE3">
        <w:rPr>
          <w:rFonts w:eastAsia="Times New Roman" w:cs="Arial"/>
          <w:b/>
          <w:bCs/>
          <w:sz w:val="20"/>
          <w:szCs w:val="20"/>
          <w:lang w:eastAsia="es-ES"/>
        </w:rPr>
        <w:t xml:space="preserve">I) </w:t>
      </w:r>
      <w:r w:rsidR="008603DE" w:rsidRPr="007B6DE3">
        <w:rPr>
          <w:rFonts w:eastAsia="Times New Roman" w:cs="Arial"/>
          <w:b/>
          <w:bCs/>
          <w:sz w:val="20"/>
          <w:szCs w:val="20"/>
          <w:lang w:eastAsia="es-ES"/>
        </w:rPr>
        <w:t>NOTAS AL ESTADO DE SITUACIÓN FINANCIERA</w:t>
      </w:r>
    </w:p>
    <w:p w:rsidR="00BC31E7" w:rsidRPr="007B6DE3" w:rsidRDefault="00BC31E7" w:rsidP="002D2A1B">
      <w:pPr>
        <w:spacing w:after="0"/>
        <w:jc w:val="both"/>
        <w:rPr>
          <w:rFonts w:eastAsia="Times New Roman" w:cs="Arial"/>
          <w:bCs/>
          <w:sz w:val="20"/>
          <w:szCs w:val="20"/>
          <w:lang w:eastAsia="es-ES"/>
        </w:rPr>
      </w:pPr>
    </w:p>
    <w:p w:rsidR="00E47914" w:rsidRPr="007B6DE3" w:rsidRDefault="00E47914" w:rsidP="002D2A1B">
      <w:pPr>
        <w:spacing w:after="0"/>
        <w:jc w:val="both"/>
        <w:rPr>
          <w:rFonts w:eastAsia="Times New Roman" w:cs="Times New Roman"/>
          <w:b/>
          <w:color w:val="000000"/>
          <w:sz w:val="20"/>
          <w:szCs w:val="20"/>
          <w:lang w:eastAsia="es-ES"/>
        </w:rPr>
      </w:pPr>
      <w:r w:rsidRPr="007B6DE3">
        <w:rPr>
          <w:rFonts w:eastAsia="Times New Roman" w:cs="Times New Roman"/>
          <w:b/>
          <w:color w:val="000000"/>
          <w:sz w:val="20"/>
          <w:szCs w:val="20"/>
          <w:lang w:eastAsia="es-ES"/>
        </w:rPr>
        <w:t>Activo</w:t>
      </w:r>
    </w:p>
    <w:p w:rsidR="00BC31E7" w:rsidRPr="007B6DE3" w:rsidRDefault="00BC31E7" w:rsidP="002D2A1B">
      <w:pPr>
        <w:spacing w:after="0"/>
        <w:jc w:val="both"/>
        <w:rPr>
          <w:rFonts w:eastAsia="Times New Roman" w:cs="Times New Roman"/>
          <w:color w:val="000000"/>
          <w:sz w:val="20"/>
          <w:szCs w:val="20"/>
          <w:lang w:eastAsia="es-ES"/>
        </w:rPr>
      </w:pPr>
    </w:p>
    <w:p w:rsidR="00E47914" w:rsidRPr="007B6DE3" w:rsidRDefault="00E47914" w:rsidP="002D2A1B">
      <w:pPr>
        <w:spacing w:after="0"/>
        <w:jc w:val="both"/>
        <w:rPr>
          <w:rFonts w:eastAsia="Times New Roman" w:cs="Arial"/>
          <w:b/>
          <w:bCs/>
          <w:sz w:val="20"/>
          <w:szCs w:val="20"/>
          <w:lang w:eastAsia="es-ES"/>
        </w:rPr>
      </w:pPr>
      <w:r w:rsidRPr="007B6DE3">
        <w:rPr>
          <w:rFonts w:eastAsia="Times New Roman" w:cs="Arial"/>
          <w:b/>
          <w:bCs/>
          <w:sz w:val="20"/>
          <w:szCs w:val="20"/>
          <w:lang w:eastAsia="es-ES"/>
        </w:rPr>
        <w:t>Efectivo y equivalentes</w:t>
      </w:r>
    </w:p>
    <w:p w:rsidR="008603DE" w:rsidRPr="007B6DE3" w:rsidRDefault="008603DE" w:rsidP="008603DE">
      <w:pPr>
        <w:spacing w:after="0"/>
        <w:jc w:val="both"/>
        <w:rPr>
          <w:rFonts w:eastAsia="Times New Roman" w:cs="Arial"/>
          <w:bCs/>
          <w:sz w:val="20"/>
          <w:szCs w:val="20"/>
          <w:lang w:eastAsia="es-ES"/>
        </w:rPr>
      </w:pPr>
    </w:p>
    <w:p w:rsidR="00E47914" w:rsidRPr="007B6DE3" w:rsidRDefault="00A561FD" w:rsidP="008603DE">
      <w:pPr>
        <w:pStyle w:val="Prrafodelista"/>
        <w:numPr>
          <w:ilvl w:val="0"/>
          <w:numId w:val="6"/>
        </w:numPr>
        <w:spacing w:after="0"/>
        <w:jc w:val="both"/>
        <w:rPr>
          <w:rFonts w:eastAsia="Times New Roman" w:cs="Arial"/>
          <w:bCs/>
          <w:sz w:val="20"/>
          <w:szCs w:val="20"/>
          <w:lang w:eastAsia="es-ES"/>
        </w:rPr>
      </w:pPr>
      <w:r w:rsidRPr="007B6DE3">
        <w:rPr>
          <w:rFonts w:eastAsia="Times New Roman" w:cs="Arial"/>
          <w:bCs/>
          <w:sz w:val="20"/>
          <w:szCs w:val="20"/>
          <w:lang w:eastAsia="es-ES"/>
        </w:rPr>
        <w:t>Se aperturó la cuenta productiva bancaria 4057570483 en el banco HSBC el día 30 de octubre de 2014, esta cuenta generó</w:t>
      </w:r>
      <w:r w:rsidR="004F10F2" w:rsidRPr="007B6DE3">
        <w:rPr>
          <w:rFonts w:eastAsia="Times New Roman" w:cs="Arial"/>
          <w:bCs/>
          <w:sz w:val="20"/>
          <w:szCs w:val="20"/>
          <w:lang w:eastAsia="es-ES"/>
        </w:rPr>
        <w:t xml:space="preserve"> intereses</w:t>
      </w:r>
      <w:r w:rsidRPr="007B6DE3">
        <w:rPr>
          <w:rFonts w:eastAsia="Times New Roman" w:cs="Arial"/>
          <w:bCs/>
          <w:sz w:val="20"/>
          <w:szCs w:val="20"/>
          <w:lang w:eastAsia="es-ES"/>
        </w:rPr>
        <w:t xml:space="preserve"> en el mes de </w:t>
      </w:r>
      <w:r w:rsidR="00F17ED3">
        <w:rPr>
          <w:rFonts w:eastAsia="Times New Roman" w:cs="Arial"/>
          <w:bCs/>
          <w:sz w:val="20"/>
          <w:szCs w:val="20"/>
          <w:lang w:eastAsia="es-ES"/>
        </w:rPr>
        <w:t>marz</w:t>
      </w:r>
      <w:r w:rsidR="00451239">
        <w:rPr>
          <w:rFonts w:eastAsia="Times New Roman" w:cs="Arial"/>
          <w:bCs/>
          <w:sz w:val="20"/>
          <w:szCs w:val="20"/>
          <w:lang w:eastAsia="es-ES"/>
        </w:rPr>
        <w:t>o</w:t>
      </w:r>
      <w:r w:rsidR="00DE0F23" w:rsidRPr="007B6DE3">
        <w:rPr>
          <w:rFonts w:eastAsia="Times New Roman" w:cs="Arial"/>
          <w:bCs/>
          <w:sz w:val="20"/>
          <w:szCs w:val="20"/>
          <w:lang w:eastAsia="es-ES"/>
        </w:rPr>
        <w:t xml:space="preserve"> </w:t>
      </w:r>
      <w:r w:rsidR="00AA074B" w:rsidRPr="007B6DE3">
        <w:rPr>
          <w:rFonts w:eastAsia="Times New Roman" w:cs="Arial"/>
          <w:bCs/>
          <w:sz w:val="20"/>
          <w:szCs w:val="20"/>
          <w:lang w:eastAsia="es-ES"/>
        </w:rPr>
        <w:t>del presente ejercicio por</w:t>
      </w:r>
      <w:r w:rsidRPr="007B6DE3">
        <w:rPr>
          <w:rFonts w:eastAsia="Times New Roman" w:cs="Arial"/>
          <w:bCs/>
          <w:sz w:val="20"/>
          <w:szCs w:val="20"/>
          <w:lang w:eastAsia="es-ES"/>
        </w:rPr>
        <w:t xml:space="preserve"> $</w:t>
      </w:r>
      <w:r w:rsidR="00856135" w:rsidRPr="007B6DE3">
        <w:rPr>
          <w:rFonts w:eastAsia="Times New Roman" w:cs="Arial"/>
          <w:bCs/>
          <w:sz w:val="20"/>
          <w:szCs w:val="20"/>
          <w:lang w:eastAsia="es-ES"/>
        </w:rPr>
        <w:t xml:space="preserve"> </w:t>
      </w:r>
      <w:r w:rsidR="00A271B1">
        <w:rPr>
          <w:rFonts w:eastAsia="Times New Roman" w:cs="Arial"/>
          <w:bCs/>
          <w:sz w:val="20"/>
          <w:szCs w:val="20"/>
          <w:lang w:eastAsia="es-ES"/>
        </w:rPr>
        <w:t>2</w:t>
      </w:r>
      <w:r w:rsidR="00F17ED3">
        <w:rPr>
          <w:rFonts w:eastAsia="Times New Roman" w:cs="Arial"/>
          <w:bCs/>
          <w:sz w:val="20"/>
          <w:szCs w:val="20"/>
          <w:lang w:eastAsia="es-ES"/>
        </w:rPr>
        <w:t>88.71</w:t>
      </w:r>
    </w:p>
    <w:p w:rsidR="00BF705E" w:rsidRPr="007B6DE3" w:rsidRDefault="00BF705E" w:rsidP="00BF705E">
      <w:pPr>
        <w:spacing w:after="0"/>
        <w:jc w:val="both"/>
        <w:rPr>
          <w:rFonts w:eastAsia="Times New Roman" w:cs="Arial"/>
          <w:bCs/>
          <w:sz w:val="20"/>
          <w:szCs w:val="20"/>
          <w:lang w:eastAsia="es-ES"/>
        </w:rPr>
      </w:pPr>
    </w:p>
    <w:p w:rsidR="008603DE" w:rsidRPr="00DF206D" w:rsidRDefault="0022361A" w:rsidP="008603DE">
      <w:pPr>
        <w:pStyle w:val="Prrafodelista"/>
        <w:numPr>
          <w:ilvl w:val="0"/>
          <w:numId w:val="6"/>
        </w:numPr>
        <w:spacing w:after="0"/>
        <w:jc w:val="both"/>
        <w:rPr>
          <w:rFonts w:eastAsia="Times New Roman" w:cs="Arial"/>
          <w:bCs/>
          <w:sz w:val="20"/>
          <w:szCs w:val="20"/>
          <w:lang w:eastAsia="es-ES"/>
        </w:rPr>
      </w:pPr>
      <w:r w:rsidRPr="007B6DE3">
        <w:rPr>
          <w:rFonts w:eastAsia="Times New Roman" w:cs="Arial"/>
          <w:bCs/>
          <w:sz w:val="20"/>
          <w:szCs w:val="20"/>
          <w:lang w:eastAsia="es-ES"/>
        </w:rPr>
        <w:t>Se aperturó una cuenta de cheques y de inversión para la administración del fondo de ahorro de los trabajadores del Tribunal electoral del Estado de Yucatán con la institución bancaria Banco Mercantil del norte, S.A. con el objeto de manejar y administrar los recursos de los ahorros de los trabajadores así como la aportación patronal al mismo fondo</w:t>
      </w:r>
      <w:r w:rsidR="00CD6FAC" w:rsidRPr="007B6DE3">
        <w:rPr>
          <w:rFonts w:eastAsia="Times New Roman" w:cs="Arial"/>
          <w:bCs/>
          <w:sz w:val="20"/>
          <w:szCs w:val="20"/>
          <w:lang w:eastAsia="es-ES"/>
        </w:rPr>
        <w:t xml:space="preserve">. La cuenta de cheques al </w:t>
      </w:r>
      <w:r w:rsidR="00F17ED3">
        <w:rPr>
          <w:rFonts w:eastAsia="Times New Roman" w:cs="Arial"/>
          <w:bCs/>
          <w:sz w:val="20"/>
          <w:szCs w:val="20"/>
          <w:lang w:eastAsia="es-ES"/>
        </w:rPr>
        <w:t>31</w:t>
      </w:r>
      <w:r w:rsidR="00CD6FAC" w:rsidRPr="007B6DE3">
        <w:rPr>
          <w:rFonts w:eastAsia="Times New Roman" w:cs="Arial"/>
          <w:bCs/>
          <w:sz w:val="20"/>
          <w:szCs w:val="20"/>
          <w:lang w:eastAsia="es-ES"/>
        </w:rPr>
        <w:t xml:space="preserve"> de </w:t>
      </w:r>
      <w:r w:rsidR="00F17ED3">
        <w:rPr>
          <w:rFonts w:eastAsia="Times New Roman" w:cs="Arial"/>
          <w:bCs/>
          <w:sz w:val="20"/>
          <w:szCs w:val="20"/>
          <w:lang w:eastAsia="es-ES"/>
        </w:rPr>
        <w:t>marz</w:t>
      </w:r>
      <w:r w:rsidR="00451239">
        <w:rPr>
          <w:rFonts w:eastAsia="Times New Roman" w:cs="Arial"/>
          <w:bCs/>
          <w:sz w:val="20"/>
          <w:szCs w:val="20"/>
          <w:lang w:eastAsia="es-ES"/>
        </w:rPr>
        <w:t>o</w:t>
      </w:r>
      <w:r w:rsidR="00CD6FAC" w:rsidRPr="007B6DE3">
        <w:rPr>
          <w:rFonts w:eastAsia="Times New Roman" w:cs="Arial"/>
          <w:bCs/>
          <w:sz w:val="20"/>
          <w:szCs w:val="20"/>
          <w:lang w:eastAsia="es-ES"/>
        </w:rPr>
        <w:t xml:space="preserve"> presenta un saldo </w:t>
      </w:r>
      <w:r w:rsidR="00CD6FAC" w:rsidRPr="00277868">
        <w:rPr>
          <w:rFonts w:eastAsia="Times New Roman" w:cs="Arial"/>
          <w:bCs/>
          <w:sz w:val="20"/>
          <w:szCs w:val="20"/>
          <w:lang w:eastAsia="es-ES"/>
        </w:rPr>
        <w:t>de $</w:t>
      </w:r>
      <w:r w:rsidR="00A271B1">
        <w:rPr>
          <w:rFonts w:eastAsia="Times New Roman" w:cs="Arial"/>
          <w:bCs/>
          <w:sz w:val="20"/>
          <w:szCs w:val="20"/>
          <w:lang w:eastAsia="es-ES"/>
        </w:rPr>
        <w:t xml:space="preserve"> </w:t>
      </w:r>
      <w:r w:rsidR="00F17ED3">
        <w:rPr>
          <w:rFonts w:eastAsia="Times New Roman" w:cs="Arial"/>
          <w:bCs/>
          <w:sz w:val="20"/>
          <w:szCs w:val="20"/>
          <w:lang w:eastAsia="es-ES"/>
        </w:rPr>
        <w:t>5</w:t>
      </w:r>
      <w:r w:rsidR="00A271B1">
        <w:rPr>
          <w:rFonts w:eastAsia="Times New Roman" w:cs="Arial"/>
          <w:bCs/>
          <w:sz w:val="20"/>
          <w:szCs w:val="20"/>
          <w:lang w:eastAsia="es-ES"/>
        </w:rPr>
        <w:t>,</w:t>
      </w:r>
      <w:r w:rsidR="00F17ED3">
        <w:rPr>
          <w:rFonts w:eastAsia="Times New Roman" w:cs="Arial"/>
          <w:bCs/>
          <w:sz w:val="20"/>
          <w:szCs w:val="20"/>
          <w:lang w:eastAsia="es-ES"/>
        </w:rPr>
        <w:t>684</w:t>
      </w:r>
      <w:r w:rsidR="004D6BF7" w:rsidRPr="00277868">
        <w:rPr>
          <w:rFonts w:eastAsia="Times New Roman" w:cs="Arial"/>
          <w:bCs/>
          <w:sz w:val="20"/>
          <w:szCs w:val="20"/>
          <w:lang w:eastAsia="es-ES"/>
        </w:rPr>
        <w:t>.</w:t>
      </w:r>
      <w:r w:rsidR="00F17ED3">
        <w:rPr>
          <w:rFonts w:eastAsia="Times New Roman" w:cs="Arial"/>
          <w:bCs/>
          <w:sz w:val="20"/>
          <w:szCs w:val="20"/>
          <w:lang w:eastAsia="es-ES"/>
        </w:rPr>
        <w:t>67</w:t>
      </w:r>
      <w:r w:rsidR="00CD6FAC" w:rsidRPr="00277868">
        <w:rPr>
          <w:rFonts w:eastAsia="Times New Roman" w:cs="Arial"/>
          <w:bCs/>
          <w:sz w:val="20"/>
          <w:szCs w:val="20"/>
          <w:lang w:eastAsia="es-ES"/>
        </w:rPr>
        <w:t xml:space="preserve"> y la de inversión $</w:t>
      </w:r>
      <w:r w:rsidR="002F4E41" w:rsidRPr="00277868">
        <w:rPr>
          <w:rFonts w:eastAsia="Times New Roman" w:cs="Arial"/>
          <w:bCs/>
          <w:sz w:val="20"/>
          <w:szCs w:val="20"/>
          <w:lang w:eastAsia="es-ES"/>
        </w:rPr>
        <w:t xml:space="preserve"> </w:t>
      </w:r>
      <w:r w:rsidR="00451239">
        <w:rPr>
          <w:rFonts w:eastAsia="Times New Roman" w:cs="Arial"/>
          <w:bCs/>
          <w:sz w:val="20"/>
          <w:szCs w:val="20"/>
          <w:lang w:eastAsia="es-ES"/>
        </w:rPr>
        <w:t>1,</w:t>
      </w:r>
      <w:r w:rsidR="00F17ED3">
        <w:rPr>
          <w:rFonts w:eastAsia="Times New Roman" w:cs="Arial"/>
          <w:bCs/>
          <w:sz w:val="20"/>
          <w:szCs w:val="20"/>
          <w:lang w:eastAsia="es-ES"/>
        </w:rPr>
        <w:t>440,126.49</w:t>
      </w:r>
      <w:r w:rsidR="00AA074B" w:rsidRPr="007B6DE3">
        <w:rPr>
          <w:rFonts w:eastAsia="Times New Roman" w:cs="Arial"/>
          <w:bCs/>
          <w:sz w:val="20"/>
          <w:szCs w:val="20"/>
          <w:lang w:eastAsia="es-ES"/>
        </w:rPr>
        <w:t xml:space="preserve"> que incluyen los intereses generados en el periodo.</w:t>
      </w:r>
    </w:p>
    <w:p w:rsidR="00A561FD" w:rsidRPr="007B6DE3" w:rsidRDefault="0022361A" w:rsidP="008603DE">
      <w:pPr>
        <w:pStyle w:val="Prrafodelista"/>
        <w:numPr>
          <w:ilvl w:val="0"/>
          <w:numId w:val="6"/>
        </w:numPr>
        <w:spacing w:after="0"/>
        <w:jc w:val="both"/>
        <w:rPr>
          <w:rFonts w:eastAsia="Times New Roman" w:cs="Arial"/>
          <w:bCs/>
          <w:sz w:val="20"/>
          <w:szCs w:val="20"/>
          <w:lang w:eastAsia="es-ES"/>
        </w:rPr>
      </w:pPr>
      <w:r w:rsidRPr="007B6DE3">
        <w:rPr>
          <w:rFonts w:eastAsia="Times New Roman" w:cs="Arial"/>
          <w:bCs/>
          <w:sz w:val="20"/>
          <w:szCs w:val="20"/>
          <w:lang w:eastAsia="es-ES"/>
        </w:rPr>
        <w:lastRenderedPageBreak/>
        <w:t xml:space="preserve">Se </w:t>
      </w:r>
      <w:r w:rsidR="003D2BB4" w:rsidRPr="007B6DE3">
        <w:rPr>
          <w:rFonts w:eastAsia="Times New Roman" w:cs="Arial"/>
          <w:bCs/>
          <w:sz w:val="20"/>
          <w:szCs w:val="20"/>
          <w:lang w:eastAsia="es-ES"/>
        </w:rPr>
        <w:t xml:space="preserve">incrementó </w:t>
      </w:r>
      <w:r w:rsidRPr="007B6DE3">
        <w:rPr>
          <w:rFonts w:eastAsia="Times New Roman" w:cs="Arial"/>
          <w:bCs/>
          <w:sz w:val="20"/>
          <w:szCs w:val="20"/>
          <w:lang w:eastAsia="es-ES"/>
        </w:rPr>
        <w:t>el</w:t>
      </w:r>
      <w:r w:rsidR="00A561FD" w:rsidRPr="007B6DE3">
        <w:rPr>
          <w:rFonts w:eastAsia="Times New Roman" w:cs="Arial"/>
          <w:bCs/>
          <w:sz w:val="20"/>
          <w:szCs w:val="20"/>
          <w:lang w:eastAsia="es-ES"/>
        </w:rPr>
        <w:t xml:space="preserve"> fondo fijo por la cantidad de $5,000 pesos</w:t>
      </w:r>
      <w:r w:rsidR="003D2BB4" w:rsidRPr="007B6DE3">
        <w:rPr>
          <w:rFonts w:eastAsia="Times New Roman" w:cs="Arial"/>
          <w:bCs/>
          <w:sz w:val="20"/>
          <w:szCs w:val="20"/>
          <w:lang w:eastAsia="es-ES"/>
        </w:rPr>
        <w:t>, llegando al importe de $10,000</w:t>
      </w:r>
      <w:r w:rsidR="00A561FD" w:rsidRPr="007B6DE3">
        <w:rPr>
          <w:rFonts w:eastAsia="Times New Roman" w:cs="Arial"/>
          <w:bCs/>
          <w:sz w:val="20"/>
          <w:szCs w:val="20"/>
          <w:lang w:eastAsia="es-ES"/>
        </w:rPr>
        <w:t xml:space="preserve"> para los gastos de operación.</w:t>
      </w:r>
    </w:p>
    <w:p w:rsidR="0005623B" w:rsidRPr="007B6DE3" w:rsidRDefault="0005623B" w:rsidP="0005623B">
      <w:pPr>
        <w:spacing w:after="0"/>
        <w:jc w:val="both"/>
        <w:rPr>
          <w:rFonts w:eastAsia="Times New Roman" w:cs="Arial"/>
          <w:bCs/>
          <w:sz w:val="20"/>
          <w:szCs w:val="20"/>
          <w:lang w:eastAsia="es-ES"/>
        </w:rPr>
      </w:pPr>
    </w:p>
    <w:p w:rsidR="00A561FD" w:rsidRDefault="00A561FD" w:rsidP="002D2A1B">
      <w:pPr>
        <w:spacing w:after="0"/>
        <w:jc w:val="both"/>
        <w:rPr>
          <w:rFonts w:eastAsia="Times New Roman" w:cs="Arial"/>
          <w:b/>
          <w:bCs/>
          <w:sz w:val="20"/>
          <w:szCs w:val="20"/>
          <w:lang w:eastAsia="es-ES"/>
        </w:rPr>
      </w:pPr>
    </w:p>
    <w:p w:rsidR="007B6DE3" w:rsidRPr="007B6DE3" w:rsidRDefault="007B6DE3" w:rsidP="002D2A1B">
      <w:pPr>
        <w:spacing w:after="0"/>
        <w:jc w:val="both"/>
        <w:rPr>
          <w:rFonts w:eastAsia="Times New Roman" w:cs="Arial"/>
          <w:b/>
          <w:bCs/>
          <w:sz w:val="20"/>
          <w:szCs w:val="20"/>
          <w:lang w:eastAsia="es-ES"/>
        </w:rPr>
      </w:pPr>
    </w:p>
    <w:p w:rsidR="00A561FD" w:rsidRPr="007B6DE3" w:rsidRDefault="00A561FD" w:rsidP="002D2A1B">
      <w:pPr>
        <w:spacing w:after="0"/>
        <w:jc w:val="both"/>
        <w:rPr>
          <w:rFonts w:eastAsia="Times New Roman" w:cs="Times New Roman"/>
          <w:b/>
          <w:color w:val="000000"/>
          <w:sz w:val="20"/>
          <w:szCs w:val="20"/>
          <w:lang w:eastAsia="es-ES"/>
        </w:rPr>
      </w:pPr>
      <w:r w:rsidRPr="007B6DE3">
        <w:rPr>
          <w:rFonts w:eastAsia="Times New Roman" w:cs="Times New Roman"/>
          <w:b/>
          <w:color w:val="000000"/>
          <w:sz w:val="20"/>
          <w:szCs w:val="20"/>
          <w:lang w:eastAsia="es-ES"/>
        </w:rPr>
        <w:t>Pasivo</w:t>
      </w:r>
    </w:p>
    <w:p w:rsidR="00BC31E7" w:rsidRPr="007B6DE3" w:rsidRDefault="00BC31E7" w:rsidP="002D2A1B">
      <w:pPr>
        <w:spacing w:after="0"/>
        <w:jc w:val="both"/>
        <w:rPr>
          <w:rFonts w:eastAsia="Times New Roman" w:cs="Times New Roman"/>
          <w:b/>
          <w:color w:val="000000"/>
          <w:sz w:val="20"/>
          <w:szCs w:val="20"/>
          <w:lang w:eastAsia="es-ES"/>
        </w:rPr>
      </w:pPr>
    </w:p>
    <w:p w:rsidR="00A561FD" w:rsidRPr="007B6DE3" w:rsidRDefault="00A561FD" w:rsidP="002D2A1B">
      <w:pPr>
        <w:spacing w:after="0"/>
        <w:jc w:val="both"/>
        <w:rPr>
          <w:rFonts w:eastAsia="Times New Roman" w:cs="Arial"/>
          <w:b/>
          <w:bCs/>
          <w:sz w:val="20"/>
          <w:szCs w:val="20"/>
          <w:lang w:eastAsia="es-ES"/>
        </w:rPr>
      </w:pPr>
      <w:r w:rsidRPr="007B6DE3">
        <w:rPr>
          <w:rFonts w:eastAsia="Times New Roman" w:cs="Arial"/>
          <w:b/>
          <w:bCs/>
          <w:sz w:val="20"/>
          <w:szCs w:val="20"/>
          <w:lang w:eastAsia="es-ES"/>
        </w:rPr>
        <w:t>Fondos y bienes de terceros</w:t>
      </w:r>
    </w:p>
    <w:p w:rsidR="00BC31E7" w:rsidRPr="007B6DE3" w:rsidRDefault="00BC31E7" w:rsidP="002D2A1B">
      <w:pPr>
        <w:spacing w:after="0"/>
        <w:jc w:val="both"/>
        <w:rPr>
          <w:rFonts w:eastAsia="Times New Roman" w:cs="Arial"/>
          <w:bCs/>
          <w:sz w:val="20"/>
          <w:szCs w:val="20"/>
          <w:lang w:eastAsia="es-ES"/>
        </w:rPr>
      </w:pPr>
    </w:p>
    <w:p w:rsidR="00E47914" w:rsidRDefault="00A561FD" w:rsidP="00FC3256">
      <w:pPr>
        <w:pStyle w:val="Prrafodelista"/>
        <w:numPr>
          <w:ilvl w:val="0"/>
          <w:numId w:val="7"/>
        </w:numPr>
        <w:spacing w:after="0"/>
        <w:jc w:val="both"/>
        <w:rPr>
          <w:rFonts w:eastAsia="Times New Roman" w:cs="Arial"/>
          <w:bCs/>
          <w:sz w:val="20"/>
          <w:szCs w:val="20"/>
          <w:lang w:eastAsia="es-ES"/>
        </w:rPr>
      </w:pPr>
      <w:r w:rsidRPr="0037248D">
        <w:rPr>
          <w:rFonts w:eastAsia="Times New Roman" w:cs="Arial"/>
          <w:bCs/>
          <w:sz w:val="20"/>
          <w:szCs w:val="20"/>
          <w:lang w:eastAsia="es-ES"/>
        </w:rPr>
        <w:t>Se acumuló un pasivo a favor de los trabajadores del Tribunal por la cantidad de $</w:t>
      </w:r>
      <w:r w:rsidR="00856135" w:rsidRPr="0037248D">
        <w:rPr>
          <w:rFonts w:eastAsia="Times New Roman" w:cs="Arial"/>
          <w:bCs/>
          <w:sz w:val="20"/>
          <w:szCs w:val="20"/>
          <w:lang w:eastAsia="es-ES"/>
        </w:rPr>
        <w:t xml:space="preserve"> </w:t>
      </w:r>
      <w:r w:rsidR="00B346EB">
        <w:rPr>
          <w:rFonts w:eastAsia="Times New Roman" w:cs="Arial"/>
          <w:bCs/>
          <w:sz w:val="20"/>
          <w:szCs w:val="20"/>
          <w:lang w:eastAsia="es-ES"/>
        </w:rPr>
        <w:t>1,</w:t>
      </w:r>
      <w:r w:rsidR="0003082F">
        <w:rPr>
          <w:rFonts w:eastAsia="Times New Roman" w:cs="Arial"/>
          <w:bCs/>
          <w:sz w:val="20"/>
          <w:szCs w:val="20"/>
          <w:lang w:eastAsia="es-ES"/>
        </w:rPr>
        <w:t>438</w:t>
      </w:r>
      <w:r w:rsidR="009C7198">
        <w:rPr>
          <w:rFonts w:eastAsia="Times New Roman" w:cs="Arial"/>
          <w:bCs/>
          <w:sz w:val="20"/>
          <w:szCs w:val="20"/>
          <w:lang w:eastAsia="es-ES"/>
        </w:rPr>
        <w:t>,</w:t>
      </w:r>
      <w:r w:rsidR="0003082F">
        <w:rPr>
          <w:rFonts w:eastAsia="Times New Roman" w:cs="Arial"/>
          <w:bCs/>
          <w:sz w:val="20"/>
          <w:szCs w:val="20"/>
          <w:lang w:eastAsia="es-ES"/>
        </w:rPr>
        <w:t>714.95</w:t>
      </w:r>
      <w:r w:rsidR="00AF7536">
        <w:rPr>
          <w:rFonts w:eastAsia="Times New Roman" w:cs="Arial"/>
          <w:bCs/>
          <w:sz w:val="20"/>
          <w:szCs w:val="20"/>
          <w:lang w:eastAsia="es-ES"/>
        </w:rPr>
        <w:t xml:space="preserve"> </w:t>
      </w:r>
      <w:r w:rsidRPr="0037248D">
        <w:rPr>
          <w:rFonts w:eastAsia="Times New Roman" w:cs="Arial"/>
          <w:bCs/>
          <w:sz w:val="20"/>
          <w:szCs w:val="20"/>
          <w:lang w:eastAsia="es-ES"/>
        </w:rPr>
        <w:t xml:space="preserve">mismo que se formó por el ahorro de los mismos más una aportación igual del </w:t>
      </w:r>
      <w:r w:rsidR="006E494D" w:rsidRPr="0037248D">
        <w:rPr>
          <w:rFonts w:eastAsia="Times New Roman" w:cs="Arial"/>
          <w:bCs/>
          <w:sz w:val="20"/>
          <w:szCs w:val="20"/>
          <w:lang w:eastAsia="es-ES"/>
        </w:rPr>
        <w:t>patrón,</w:t>
      </w:r>
      <w:r w:rsidRPr="0037248D">
        <w:rPr>
          <w:rFonts w:eastAsia="Times New Roman" w:cs="Arial"/>
          <w:bCs/>
          <w:sz w:val="20"/>
          <w:szCs w:val="20"/>
          <w:lang w:eastAsia="es-ES"/>
        </w:rPr>
        <w:t xml:space="preserve"> como fondo de ahorro como parte de la previsión social aprobada para t</w:t>
      </w:r>
      <w:r w:rsidR="00444F88" w:rsidRPr="0037248D">
        <w:rPr>
          <w:rFonts w:eastAsia="Times New Roman" w:cs="Arial"/>
          <w:bCs/>
          <w:sz w:val="20"/>
          <w:szCs w:val="20"/>
          <w:lang w:eastAsia="es-ES"/>
        </w:rPr>
        <w:t>odos los empleados del Tribunal</w:t>
      </w:r>
      <w:r w:rsidR="00FB6A26" w:rsidRPr="0037248D">
        <w:rPr>
          <w:rFonts w:eastAsia="Times New Roman" w:cs="Arial"/>
          <w:bCs/>
          <w:sz w:val="20"/>
          <w:szCs w:val="20"/>
          <w:lang w:eastAsia="es-ES"/>
        </w:rPr>
        <w:t xml:space="preserve">. </w:t>
      </w:r>
    </w:p>
    <w:p w:rsidR="008421B6" w:rsidRDefault="008421B6" w:rsidP="008421B6">
      <w:pPr>
        <w:spacing w:after="0"/>
        <w:jc w:val="both"/>
        <w:rPr>
          <w:rFonts w:eastAsia="Times New Roman" w:cs="Arial"/>
          <w:bCs/>
          <w:sz w:val="20"/>
          <w:szCs w:val="20"/>
          <w:lang w:eastAsia="es-ES"/>
        </w:rPr>
      </w:pPr>
    </w:p>
    <w:p w:rsidR="008421B6" w:rsidRPr="008421B6" w:rsidRDefault="008421B6" w:rsidP="008421B6">
      <w:pPr>
        <w:spacing w:after="0"/>
        <w:jc w:val="both"/>
        <w:rPr>
          <w:rFonts w:eastAsia="Times New Roman" w:cs="Arial"/>
          <w:bCs/>
          <w:sz w:val="20"/>
          <w:szCs w:val="20"/>
          <w:lang w:eastAsia="es-ES"/>
        </w:rPr>
      </w:pPr>
    </w:p>
    <w:p w:rsidR="00BB62E2" w:rsidRPr="007B6DE3" w:rsidRDefault="00A5590F" w:rsidP="002D2A1B">
      <w:pPr>
        <w:spacing w:after="0"/>
        <w:jc w:val="both"/>
        <w:rPr>
          <w:rFonts w:eastAsia="Times New Roman" w:cs="Arial"/>
          <w:b/>
          <w:bCs/>
          <w:sz w:val="20"/>
          <w:szCs w:val="20"/>
          <w:lang w:eastAsia="es-ES"/>
        </w:rPr>
      </w:pPr>
      <w:r w:rsidRPr="007B6DE3">
        <w:rPr>
          <w:rFonts w:eastAsia="Times New Roman" w:cs="Arial"/>
          <w:b/>
          <w:bCs/>
          <w:sz w:val="20"/>
          <w:szCs w:val="20"/>
          <w:lang w:eastAsia="es-ES"/>
        </w:rPr>
        <w:t xml:space="preserve">Cuentas por pagar a </w:t>
      </w:r>
      <w:r w:rsidR="00BB62E2" w:rsidRPr="007B6DE3">
        <w:rPr>
          <w:rFonts w:eastAsia="Times New Roman" w:cs="Arial"/>
          <w:b/>
          <w:bCs/>
          <w:sz w:val="20"/>
          <w:szCs w:val="20"/>
          <w:lang w:eastAsia="es-ES"/>
        </w:rPr>
        <w:t>corto plazo</w:t>
      </w:r>
    </w:p>
    <w:p w:rsidR="00BC31E7" w:rsidRPr="007B6DE3" w:rsidRDefault="00BC31E7" w:rsidP="002D2A1B">
      <w:pPr>
        <w:spacing w:after="0"/>
        <w:jc w:val="both"/>
        <w:rPr>
          <w:rFonts w:eastAsia="Times New Roman" w:cs="Arial"/>
          <w:bCs/>
          <w:sz w:val="20"/>
          <w:szCs w:val="20"/>
          <w:lang w:eastAsia="es-ES"/>
        </w:rPr>
      </w:pPr>
    </w:p>
    <w:p w:rsidR="00BB62E2" w:rsidRPr="007B6DE3" w:rsidRDefault="00BB62E2" w:rsidP="008603DE">
      <w:pPr>
        <w:pStyle w:val="Prrafodelista"/>
        <w:numPr>
          <w:ilvl w:val="0"/>
          <w:numId w:val="8"/>
        </w:numPr>
        <w:spacing w:after="0"/>
        <w:jc w:val="both"/>
        <w:rPr>
          <w:rFonts w:eastAsia="Times New Roman" w:cs="Arial"/>
          <w:bCs/>
          <w:sz w:val="20"/>
          <w:szCs w:val="20"/>
          <w:lang w:eastAsia="es-ES"/>
        </w:rPr>
      </w:pPr>
      <w:r w:rsidRPr="007B6DE3">
        <w:rPr>
          <w:rFonts w:eastAsia="Times New Roman" w:cs="Arial"/>
          <w:bCs/>
          <w:sz w:val="20"/>
          <w:szCs w:val="20"/>
          <w:lang w:eastAsia="es-ES"/>
        </w:rPr>
        <w:t xml:space="preserve">Se </w:t>
      </w:r>
      <w:r w:rsidR="00A5590F" w:rsidRPr="007B6DE3">
        <w:rPr>
          <w:rFonts w:eastAsia="Times New Roman" w:cs="Arial"/>
          <w:bCs/>
          <w:sz w:val="20"/>
          <w:szCs w:val="20"/>
          <w:lang w:eastAsia="es-ES"/>
        </w:rPr>
        <w:t>acumuló un pasivo a favor de proveedores por un importe de $</w:t>
      </w:r>
      <w:r w:rsidR="006247F2" w:rsidRPr="007B6DE3">
        <w:rPr>
          <w:rFonts w:eastAsia="Times New Roman" w:cs="Arial"/>
          <w:bCs/>
          <w:sz w:val="20"/>
          <w:szCs w:val="20"/>
          <w:lang w:eastAsia="es-ES"/>
        </w:rPr>
        <w:t xml:space="preserve"> </w:t>
      </w:r>
      <w:r w:rsidR="003D364A">
        <w:rPr>
          <w:rFonts w:eastAsia="Times New Roman" w:cs="Arial"/>
          <w:bCs/>
          <w:sz w:val="20"/>
          <w:szCs w:val="20"/>
          <w:lang w:eastAsia="es-ES"/>
        </w:rPr>
        <w:t>1</w:t>
      </w:r>
      <w:r w:rsidR="009C7198">
        <w:rPr>
          <w:rFonts w:eastAsia="Times New Roman" w:cs="Arial"/>
          <w:bCs/>
          <w:sz w:val="20"/>
          <w:szCs w:val="20"/>
          <w:lang w:eastAsia="es-ES"/>
        </w:rPr>
        <w:t>1</w:t>
      </w:r>
      <w:r w:rsidR="00985CBA">
        <w:rPr>
          <w:rFonts w:eastAsia="Times New Roman" w:cs="Arial"/>
          <w:bCs/>
          <w:sz w:val="20"/>
          <w:szCs w:val="20"/>
          <w:lang w:eastAsia="es-ES"/>
        </w:rPr>
        <w:t>4</w:t>
      </w:r>
      <w:r w:rsidR="009C7198">
        <w:rPr>
          <w:rFonts w:eastAsia="Times New Roman" w:cs="Arial"/>
          <w:bCs/>
          <w:sz w:val="20"/>
          <w:szCs w:val="20"/>
          <w:lang w:eastAsia="es-ES"/>
        </w:rPr>
        <w:t>,</w:t>
      </w:r>
      <w:r w:rsidR="00985CBA">
        <w:rPr>
          <w:rFonts w:eastAsia="Times New Roman" w:cs="Arial"/>
          <w:bCs/>
          <w:sz w:val="20"/>
          <w:szCs w:val="20"/>
          <w:lang w:eastAsia="es-ES"/>
        </w:rPr>
        <w:t>02</w:t>
      </w:r>
      <w:r w:rsidR="009C7198">
        <w:rPr>
          <w:rFonts w:eastAsia="Times New Roman" w:cs="Arial"/>
          <w:bCs/>
          <w:sz w:val="20"/>
          <w:szCs w:val="20"/>
          <w:lang w:eastAsia="es-ES"/>
        </w:rPr>
        <w:t>9.</w:t>
      </w:r>
      <w:r w:rsidR="00985CBA">
        <w:rPr>
          <w:rFonts w:eastAsia="Times New Roman" w:cs="Arial"/>
          <w:bCs/>
          <w:sz w:val="20"/>
          <w:szCs w:val="20"/>
          <w:lang w:eastAsia="es-ES"/>
        </w:rPr>
        <w:t>99</w:t>
      </w:r>
    </w:p>
    <w:p w:rsidR="00740BF6" w:rsidRPr="007B6DE3" w:rsidRDefault="00740BF6" w:rsidP="002D2A1B">
      <w:pPr>
        <w:spacing w:after="0"/>
        <w:ind w:firstLine="708"/>
        <w:jc w:val="both"/>
        <w:rPr>
          <w:rFonts w:eastAsia="Times New Roman" w:cs="Arial"/>
          <w:bCs/>
          <w:sz w:val="20"/>
          <w:szCs w:val="20"/>
          <w:lang w:eastAsia="es-ES"/>
        </w:rPr>
      </w:pPr>
    </w:p>
    <w:p w:rsidR="007C07ED" w:rsidRPr="008421B6" w:rsidRDefault="00A5590F" w:rsidP="002D2A1B">
      <w:pPr>
        <w:pStyle w:val="Prrafodelista"/>
        <w:numPr>
          <w:ilvl w:val="0"/>
          <w:numId w:val="8"/>
        </w:numPr>
        <w:spacing w:after="0"/>
        <w:jc w:val="both"/>
        <w:rPr>
          <w:rFonts w:eastAsia="Times New Roman" w:cs="Arial"/>
          <w:bCs/>
          <w:sz w:val="20"/>
          <w:szCs w:val="20"/>
          <w:lang w:eastAsia="es-ES"/>
        </w:rPr>
      </w:pPr>
      <w:r w:rsidRPr="007B6DE3">
        <w:rPr>
          <w:rFonts w:eastAsia="Times New Roman" w:cs="Arial"/>
          <w:bCs/>
          <w:sz w:val="20"/>
          <w:szCs w:val="20"/>
          <w:lang w:eastAsia="es-ES"/>
        </w:rPr>
        <w:t xml:space="preserve">De igual manera se </w:t>
      </w:r>
      <w:r w:rsidR="00CD6FAC" w:rsidRPr="007B6DE3">
        <w:rPr>
          <w:rFonts w:eastAsia="Times New Roman" w:cs="Arial"/>
          <w:bCs/>
          <w:sz w:val="20"/>
          <w:szCs w:val="20"/>
          <w:lang w:eastAsia="es-ES"/>
        </w:rPr>
        <w:t xml:space="preserve">provisionó el pago de retenciones </w:t>
      </w:r>
      <w:r w:rsidR="00DC0896" w:rsidRPr="007B6DE3">
        <w:rPr>
          <w:rFonts w:eastAsia="Times New Roman" w:cs="Arial"/>
          <w:bCs/>
          <w:sz w:val="20"/>
          <w:szCs w:val="20"/>
          <w:lang w:eastAsia="es-ES"/>
        </w:rPr>
        <w:t xml:space="preserve">y contribuciones </w:t>
      </w:r>
      <w:r w:rsidR="00CD6FAC" w:rsidRPr="007B6DE3">
        <w:rPr>
          <w:rFonts w:eastAsia="Times New Roman" w:cs="Arial"/>
          <w:bCs/>
          <w:sz w:val="20"/>
          <w:szCs w:val="20"/>
          <w:lang w:eastAsia="es-ES"/>
        </w:rPr>
        <w:t xml:space="preserve">al SAT y el pago del IMSS, RCV e INFONAVIT del mes de </w:t>
      </w:r>
      <w:r w:rsidR="008C112B">
        <w:rPr>
          <w:rFonts w:eastAsia="Times New Roman" w:cs="Arial"/>
          <w:bCs/>
          <w:sz w:val="20"/>
          <w:szCs w:val="20"/>
          <w:lang w:eastAsia="es-ES"/>
        </w:rPr>
        <w:t>marz</w:t>
      </w:r>
      <w:r w:rsidR="009C7198">
        <w:rPr>
          <w:rFonts w:eastAsia="Times New Roman" w:cs="Arial"/>
          <w:bCs/>
          <w:sz w:val="20"/>
          <w:szCs w:val="20"/>
          <w:lang w:eastAsia="es-ES"/>
        </w:rPr>
        <w:t>o</w:t>
      </w:r>
      <w:r w:rsidR="00CD6FAC" w:rsidRPr="007B6DE3">
        <w:rPr>
          <w:rFonts w:eastAsia="Times New Roman" w:cs="Arial"/>
          <w:bCs/>
          <w:sz w:val="20"/>
          <w:szCs w:val="20"/>
          <w:lang w:eastAsia="es-ES"/>
        </w:rPr>
        <w:t xml:space="preserve"> por</w:t>
      </w:r>
      <w:r w:rsidRPr="007B6DE3">
        <w:rPr>
          <w:rFonts w:eastAsia="Times New Roman" w:cs="Arial"/>
          <w:bCs/>
          <w:sz w:val="20"/>
          <w:szCs w:val="20"/>
          <w:lang w:eastAsia="es-ES"/>
        </w:rPr>
        <w:t xml:space="preserve"> el importe de $</w:t>
      </w:r>
      <w:r w:rsidR="006247F2" w:rsidRPr="007B6DE3">
        <w:rPr>
          <w:rFonts w:eastAsia="Times New Roman" w:cs="Arial"/>
          <w:bCs/>
          <w:sz w:val="20"/>
          <w:szCs w:val="20"/>
          <w:lang w:eastAsia="es-ES"/>
        </w:rPr>
        <w:t xml:space="preserve"> </w:t>
      </w:r>
      <w:r w:rsidR="003D364A">
        <w:rPr>
          <w:rFonts w:eastAsia="Times New Roman" w:cs="Arial"/>
          <w:bCs/>
          <w:sz w:val="20"/>
          <w:szCs w:val="20"/>
          <w:lang w:eastAsia="es-ES"/>
        </w:rPr>
        <w:t>23</w:t>
      </w:r>
      <w:r w:rsidR="009C7198">
        <w:rPr>
          <w:rFonts w:eastAsia="Times New Roman" w:cs="Arial"/>
          <w:bCs/>
          <w:sz w:val="20"/>
          <w:szCs w:val="20"/>
          <w:lang w:eastAsia="es-ES"/>
        </w:rPr>
        <w:t>5,</w:t>
      </w:r>
      <w:r w:rsidR="008C112B">
        <w:rPr>
          <w:rFonts w:eastAsia="Times New Roman" w:cs="Arial"/>
          <w:bCs/>
          <w:sz w:val="20"/>
          <w:szCs w:val="20"/>
          <w:lang w:eastAsia="es-ES"/>
        </w:rPr>
        <w:t>735.34</w:t>
      </w:r>
      <w:r w:rsidR="00DC0896" w:rsidRPr="007B6DE3">
        <w:rPr>
          <w:rFonts w:eastAsia="Times New Roman" w:cs="Arial"/>
          <w:bCs/>
          <w:sz w:val="20"/>
          <w:szCs w:val="20"/>
          <w:lang w:eastAsia="es-ES"/>
        </w:rPr>
        <w:t xml:space="preserve"> y $ </w:t>
      </w:r>
      <w:r w:rsidR="008C112B">
        <w:rPr>
          <w:rFonts w:eastAsia="Times New Roman" w:cs="Arial"/>
          <w:bCs/>
          <w:sz w:val="20"/>
          <w:szCs w:val="20"/>
          <w:lang w:eastAsia="es-ES"/>
        </w:rPr>
        <w:t>59</w:t>
      </w:r>
      <w:r w:rsidR="009C7198">
        <w:rPr>
          <w:rFonts w:eastAsia="Times New Roman" w:cs="Arial"/>
          <w:bCs/>
          <w:sz w:val="20"/>
          <w:szCs w:val="20"/>
          <w:lang w:eastAsia="es-ES"/>
        </w:rPr>
        <w:t>,</w:t>
      </w:r>
      <w:r w:rsidR="008C112B">
        <w:rPr>
          <w:rFonts w:eastAsia="Times New Roman" w:cs="Arial"/>
          <w:bCs/>
          <w:sz w:val="20"/>
          <w:szCs w:val="20"/>
          <w:lang w:eastAsia="es-ES"/>
        </w:rPr>
        <w:t>905.25</w:t>
      </w:r>
      <w:r w:rsidR="00EF3738" w:rsidRPr="007B6DE3">
        <w:rPr>
          <w:rFonts w:eastAsia="Times New Roman" w:cs="Arial"/>
          <w:bCs/>
          <w:sz w:val="20"/>
          <w:szCs w:val="20"/>
          <w:lang w:eastAsia="es-ES"/>
        </w:rPr>
        <w:t xml:space="preserve"> respectivamente</w:t>
      </w:r>
      <w:r w:rsidR="00DC0896" w:rsidRPr="007B6DE3">
        <w:rPr>
          <w:rFonts w:eastAsia="Times New Roman" w:cs="Arial"/>
          <w:bCs/>
          <w:sz w:val="20"/>
          <w:szCs w:val="20"/>
          <w:lang w:eastAsia="es-ES"/>
        </w:rPr>
        <w:t>,</w:t>
      </w:r>
      <w:r w:rsidRPr="007B6DE3">
        <w:rPr>
          <w:rFonts w:eastAsia="Times New Roman" w:cs="Arial"/>
          <w:bCs/>
          <w:sz w:val="20"/>
          <w:szCs w:val="20"/>
          <w:lang w:eastAsia="es-ES"/>
        </w:rPr>
        <w:t xml:space="preserve"> que serán pagadas en el mes de </w:t>
      </w:r>
      <w:r w:rsidR="008C112B">
        <w:rPr>
          <w:rFonts w:eastAsia="Times New Roman" w:cs="Arial"/>
          <w:bCs/>
          <w:sz w:val="20"/>
          <w:szCs w:val="20"/>
          <w:lang w:eastAsia="es-ES"/>
        </w:rPr>
        <w:t>abril</w:t>
      </w:r>
      <w:r w:rsidR="00DC0896" w:rsidRPr="007B6DE3">
        <w:rPr>
          <w:rFonts w:eastAsia="Times New Roman" w:cs="Arial"/>
          <w:bCs/>
          <w:sz w:val="20"/>
          <w:szCs w:val="20"/>
          <w:lang w:eastAsia="es-ES"/>
        </w:rPr>
        <w:t xml:space="preserve"> del </w:t>
      </w:r>
      <w:r w:rsidR="003D364A">
        <w:rPr>
          <w:rFonts w:eastAsia="Times New Roman" w:cs="Arial"/>
          <w:bCs/>
          <w:sz w:val="20"/>
          <w:szCs w:val="20"/>
          <w:lang w:eastAsia="es-ES"/>
        </w:rPr>
        <w:t>presente</w:t>
      </w:r>
      <w:r w:rsidR="00EE5301" w:rsidRPr="007B6DE3">
        <w:rPr>
          <w:rFonts w:eastAsia="Times New Roman" w:cs="Arial"/>
          <w:bCs/>
          <w:sz w:val="20"/>
          <w:szCs w:val="20"/>
          <w:lang w:eastAsia="es-ES"/>
        </w:rPr>
        <w:t>.</w:t>
      </w:r>
    </w:p>
    <w:p w:rsidR="007C07ED" w:rsidRPr="007B6DE3" w:rsidRDefault="007C07ED" w:rsidP="002D2A1B">
      <w:pPr>
        <w:spacing w:after="0"/>
        <w:jc w:val="both"/>
        <w:rPr>
          <w:rFonts w:eastAsia="Times New Roman" w:cs="Arial"/>
          <w:b/>
          <w:bCs/>
          <w:sz w:val="20"/>
          <w:szCs w:val="20"/>
          <w:lang w:eastAsia="es-ES"/>
        </w:rPr>
      </w:pPr>
    </w:p>
    <w:p w:rsidR="007C07ED" w:rsidRPr="007B6DE3" w:rsidRDefault="007C07ED" w:rsidP="002D2A1B">
      <w:pPr>
        <w:spacing w:after="0"/>
        <w:jc w:val="both"/>
        <w:rPr>
          <w:rFonts w:eastAsia="Times New Roman" w:cs="Arial"/>
          <w:b/>
          <w:bCs/>
          <w:sz w:val="20"/>
          <w:szCs w:val="20"/>
          <w:lang w:eastAsia="es-ES"/>
        </w:rPr>
      </w:pPr>
    </w:p>
    <w:p w:rsidR="00E81BAA" w:rsidRPr="007B6DE3" w:rsidRDefault="00E81BAA" w:rsidP="002D2A1B">
      <w:pPr>
        <w:spacing w:after="0"/>
        <w:jc w:val="both"/>
        <w:rPr>
          <w:rFonts w:eastAsia="Times New Roman" w:cs="Arial"/>
          <w:b/>
          <w:bCs/>
          <w:sz w:val="20"/>
          <w:szCs w:val="20"/>
          <w:lang w:eastAsia="es-ES"/>
        </w:rPr>
      </w:pPr>
      <w:r w:rsidRPr="007B6DE3">
        <w:rPr>
          <w:rFonts w:eastAsia="Times New Roman" w:cs="Arial"/>
          <w:b/>
          <w:bCs/>
          <w:sz w:val="20"/>
          <w:szCs w:val="20"/>
          <w:lang w:eastAsia="es-ES"/>
        </w:rPr>
        <w:t xml:space="preserve">II) </w:t>
      </w:r>
      <w:r w:rsidR="00B510F2" w:rsidRPr="007B6DE3">
        <w:rPr>
          <w:rFonts w:eastAsia="Times New Roman" w:cs="Arial"/>
          <w:b/>
          <w:bCs/>
          <w:sz w:val="20"/>
          <w:szCs w:val="20"/>
          <w:lang w:eastAsia="es-ES"/>
        </w:rPr>
        <w:t>NOTAS AL ESTADO DE ACTIVIDADES</w:t>
      </w:r>
    </w:p>
    <w:p w:rsidR="00E47914" w:rsidRPr="007B6DE3" w:rsidRDefault="00E47914" w:rsidP="002D2A1B">
      <w:pPr>
        <w:spacing w:after="0"/>
        <w:rPr>
          <w:rFonts w:eastAsia="Times New Roman" w:cs="Arial"/>
          <w:bCs/>
          <w:sz w:val="20"/>
          <w:szCs w:val="20"/>
          <w:lang w:eastAsia="es-ES"/>
        </w:rPr>
      </w:pPr>
    </w:p>
    <w:p w:rsidR="00E47914" w:rsidRPr="007B6DE3" w:rsidRDefault="00E81BAA" w:rsidP="002D2A1B">
      <w:pPr>
        <w:spacing w:after="0"/>
        <w:rPr>
          <w:rFonts w:eastAsia="Times New Roman" w:cs="Arial"/>
          <w:b/>
          <w:bCs/>
          <w:sz w:val="20"/>
          <w:szCs w:val="20"/>
          <w:lang w:eastAsia="es-ES"/>
        </w:rPr>
      </w:pPr>
      <w:r w:rsidRPr="008A49C3">
        <w:rPr>
          <w:rFonts w:eastAsia="Times New Roman" w:cs="Arial"/>
          <w:b/>
          <w:bCs/>
          <w:sz w:val="20"/>
          <w:szCs w:val="20"/>
          <w:lang w:eastAsia="es-ES"/>
        </w:rPr>
        <w:t>Ingresos de gestión.</w:t>
      </w:r>
    </w:p>
    <w:p w:rsidR="00E81BAA" w:rsidRPr="007B6DE3" w:rsidRDefault="00E81BAA" w:rsidP="002D2A1B">
      <w:pPr>
        <w:spacing w:after="0"/>
        <w:rPr>
          <w:rFonts w:eastAsia="Times New Roman" w:cs="Arial"/>
          <w:b/>
          <w:bCs/>
          <w:sz w:val="20"/>
          <w:szCs w:val="20"/>
          <w:lang w:eastAsia="es-ES"/>
        </w:rPr>
      </w:pPr>
    </w:p>
    <w:p w:rsidR="00E81BAA" w:rsidRPr="007B6DE3" w:rsidRDefault="001F2C89" w:rsidP="00B510F2">
      <w:pPr>
        <w:pStyle w:val="Prrafodelista"/>
        <w:numPr>
          <w:ilvl w:val="0"/>
          <w:numId w:val="9"/>
        </w:numPr>
        <w:spacing w:after="0"/>
        <w:jc w:val="both"/>
        <w:rPr>
          <w:rFonts w:eastAsia="Times New Roman" w:cs="Arial"/>
          <w:bCs/>
          <w:sz w:val="20"/>
          <w:szCs w:val="20"/>
          <w:lang w:eastAsia="es-ES"/>
        </w:rPr>
      </w:pPr>
      <w:r w:rsidRPr="007B6DE3">
        <w:rPr>
          <w:rFonts w:eastAsia="Times New Roman" w:cs="Arial"/>
          <w:bCs/>
          <w:sz w:val="20"/>
          <w:szCs w:val="20"/>
          <w:lang w:eastAsia="es-ES"/>
        </w:rPr>
        <w:t xml:space="preserve">Se recibieron las transferencias de acuerdo a lo calendarizado de recursos para el </w:t>
      </w:r>
      <w:r w:rsidR="006247F2" w:rsidRPr="007B6DE3">
        <w:rPr>
          <w:rFonts w:eastAsia="Times New Roman" w:cs="Arial"/>
          <w:bCs/>
          <w:sz w:val="20"/>
          <w:szCs w:val="20"/>
          <w:lang w:eastAsia="es-ES"/>
        </w:rPr>
        <w:t xml:space="preserve">mes de </w:t>
      </w:r>
      <w:r w:rsidR="008C112B">
        <w:rPr>
          <w:rFonts w:eastAsia="Times New Roman" w:cs="Arial"/>
          <w:bCs/>
          <w:sz w:val="20"/>
          <w:szCs w:val="20"/>
          <w:lang w:eastAsia="es-ES"/>
        </w:rPr>
        <w:t>marz</w:t>
      </w:r>
      <w:r w:rsidR="005014C9">
        <w:rPr>
          <w:rFonts w:eastAsia="Times New Roman" w:cs="Arial"/>
          <w:bCs/>
          <w:sz w:val="20"/>
          <w:szCs w:val="20"/>
          <w:lang w:eastAsia="es-ES"/>
        </w:rPr>
        <w:t>o</w:t>
      </w:r>
      <w:r w:rsidR="00856135" w:rsidRPr="007B6DE3">
        <w:rPr>
          <w:rFonts w:eastAsia="Times New Roman" w:cs="Arial"/>
          <w:bCs/>
          <w:sz w:val="20"/>
          <w:szCs w:val="20"/>
          <w:lang w:eastAsia="es-ES"/>
        </w:rPr>
        <w:t xml:space="preserve"> de</w:t>
      </w:r>
      <w:r w:rsidRPr="007B6DE3">
        <w:rPr>
          <w:rFonts w:eastAsia="Times New Roman" w:cs="Arial"/>
          <w:bCs/>
          <w:sz w:val="20"/>
          <w:szCs w:val="20"/>
          <w:lang w:eastAsia="es-ES"/>
        </w:rPr>
        <w:t xml:space="preserve"> 201</w:t>
      </w:r>
      <w:r w:rsidR="005014C9">
        <w:rPr>
          <w:rFonts w:eastAsia="Times New Roman" w:cs="Arial"/>
          <w:bCs/>
          <w:sz w:val="20"/>
          <w:szCs w:val="20"/>
          <w:lang w:eastAsia="es-ES"/>
        </w:rPr>
        <w:t>7</w:t>
      </w:r>
      <w:r w:rsidRPr="007B6DE3">
        <w:rPr>
          <w:rFonts w:eastAsia="Times New Roman" w:cs="Arial"/>
          <w:bCs/>
          <w:sz w:val="20"/>
          <w:szCs w:val="20"/>
          <w:lang w:eastAsia="es-ES"/>
        </w:rPr>
        <w:t>.</w:t>
      </w:r>
    </w:p>
    <w:p w:rsidR="00740BF6" w:rsidRPr="007B6DE3" w:rsidRDefault="00740BF6" w:rsidP="002D2A1B">
      <w:pPr>
        <w:spacing w:after="0"/>
        <w:ind w:firstLine="708"/>
        <w:jc w:val="both"/>
        <w:rPr>
          <w:rFonts w:eastAsia="Times New Roman" w:cs="Arial"/>
          <w:bCs/>
          <w:sz w:val="20"/>
          <w:szCs w:val="20"/>
          <w:lang w:eastAsia="es-ES"/>
        </w:rPr>
      </w:pPr>
    </w:p>
    <w:p w:rsidR="00740BF6" w:rsidRPr="00DF206D" w:rsidRDefault="006267B6" w:rsidP="002D2A1B">
      <w:pPr>
        <w:pStyle w:val="Prrafodelista"/>
        <w:numPr>
          <w:ilvl w:val="0"/>
          <w:numId w:val="9"/>
        </w:numPr>
        <w:spacing w:after="0"/>
        <w:jc w:val="both"/>
        <w:rPr>
          <w:rFonts w:eastAsia="Times New Roman" w:cs="Arial"/>
          <w:bCs/>
          <w:sz w:val="20"/>
          <w:szCs w:val="20"/>
          <w:lang w:eastAsia="es-ES"/>
        </w:rPr>
      </w:pPr>
      <w:r w:rsidRPr="007B6DE3">
        <w:rPr>
          <w:rFonts w:eastAsia="Times New Roman" w:cs="Arial"/>
          <w:bCs/>
          <w:sz w:val="20"/>
          <w:szCs w:val="20"/>
          <w:lang w:eastAsia="es-ES"/>
        </w:rPr>
        <w:t xml:space="preserve">En el </w:t>
      </w:r>
      <w:r w:rsidR="00856135" w:rsidRPr="007B6DE3">
        <w:rPr>
          <w:rFonts w:eastAsia="Times New Roman" w:cs="Arial"/>
          <w:bCs/>
          <w:sz w:val="20"/>
          <w:szCs w:val="20"/>
          <w:lang w:eastAsia="es-ES"/>
        </w:rPr>
        <w:t>mes de</w:t>
      </w:r>
      <w:r w:rsidRPr="007B6DE3">
        <w:rPr>
          <w:rFonts w:eastAsia="Times New Roman" w:cs="Arial"/>
          <w:bCs/>
          <w:sz w:val="20"/>
          <w:szCs w:val="20"/>
          <w:lang w:eastAsia="es-ES"/>
        </w:rPr>
        <w:t xml:space="preserve"> </w:t>
      </w:r>
      <w:r w:rsidR="008C112B">
        <w:rPr>
          <w:rFonts w:eastAsia="Times New Roman" w:cs="Arial"/>
          <w:bCs/>
          <w:sz w:val="20"/>
          <w:szCs w:val="20"/>
          <w:lang w:eastAsia="es-ES"/>
        </w:rPr>
        <w:t>marz</w:t>
      </w:r>
      <w:r w:rsidR="005014C9">
        <w:rPr>
          <w:rFonts w:eastAsia="Times New Roman" w:cs="Arial"/>
          <w:bCs/>
          <w:sz w:val="20"/>
          <w:szCs w:val="20"/>
          <w:lang w:eastAsia="es-ES"/>
        </w:rPr>
        <w:t>o</w:t>
      </w:r>
      <w:r w:rsidR="00856135" w:rsidRPr="007B6DE3">
        <w:rPr>
          <w:rFonts w:eastAsia="Times New Roman" w:cs="Arial"/>
          <w:bCs/>
          <w:sz w:val="20"/>
          <w:szCs w:val="20"/>
          <w:lang w:eastAsia="es-ES"/>
        </w:rPr>
        <w:t xml:space="preserve"> se</w:t>
      </w:r>
      <w:r w:rsidRPr="007B6DE3">
        <w:rPr>
          <w:rFonts w:eastAsia="Times New Roman" w:cs="Arial"/>
          <w:bCs/>
          <w:sz w:val="20"/>
          <w:szCs w:val="20"/>
          <w:lang w:eastAsia="es-ES"/>
        </w:rPr>
        <w:t xml:space="preserve"> recibieron los días 1</w:t>
      </w:r>
      <w:r w:rsidR="0097065C">
        <w:rPr>
          <w:rFonts w:eastAsia="Times New Roman" w:cs="Arial"/>
          <w:bCs/>
          <w:sz w:val="20"/>
          <w:szCs w:val="20"/>
          <w:lang w:eastAsia="es-ES"/>
        </w:rPr>
        <w:t>4</w:t>
      </w:r>
      <w:r w:rsidRPr="007B6DE3">
        <w:rPr>
          <w:rFonts w:eastAsia="Times New Roman" w:cs="Arial"/>
          <w:bCs/>
          <w:sz w:val="20"/>
          <w:szCs w:val="20"/>
          <w:lang w:eastAsia="es-ES"/>
        </w:rPr>
        <w:t xml:space="preserve"> y </w:t>
      </w:r>
      <w:r w:rsidR="0097065C">
        <w:rPr>
          <w:rFonts w:eastAsia="Times New Roman" w:cs="Arial"/>
          <w:bCs/>
          <w:sz w:val="20"/>
          <w:szCs w:val="20"/>
          <w:lang w:eastAsia="es-ES"/>
        </w:rPr>
        <w:t>2</w:t>
      </w:r>
      <w:r w:rsidR="00985CBA">
        <w:rPr>
          <w:rFonts w:eastAsia="Times New Roman" w:cs="Arial"/>
          <w:bCs/>
          <w:sz w:val="20"/>
          <w:szCs w:val="20"/>
          <w:lang w:eastAsia="es-ES"/>
        </w:rPr>
        <w:t>9</w:t>
      </w:r>
      <w:r w:rsidR="0097065C">
        <w:rPr>
          <w:rFonts w:eastAsia="Times New Roman" w:cs="Arial"/>
          <w:bCs/>
          <w:sz w:val="20"/>
          <w:szCs w:val="20"/>
          <w:lang w:eastAsia="es-ES"/>
        </w:rPr>
        <w:t xml:space="preserve"> </w:t>
      </w:r>
      <w:r w:rsidR="00171FE1" w:rsidRPr="007B6DE3">
        <w:rPr>
          <w:rFonts w:eastAsia="Times New Roman" w:cs="Arial"/>
          <w:bCs/>
          <w:sz w:val="20"/>
          <w:szCs w:val="20"/>
          <w:lang w:eastAsia="es-ES"/>
        </w:rPr>
        <w:t xml:space="preserve">del mes, </w:t>
      </w:r>
      <w:r w:rsidR="008A49C3">
        <w:rPr>
          <w:rFonts w:eastAsia="Times New Roman" w:cs="Arial"/>
          <w:bCs/>
          <w:sz w:val="20"/>
          <w:szCs w:val="20"/>
          <w:lang w:eastAsia="es-ES"/>
        </w:rPr>
        <w:t>el</w:t>
      </w:r>
      <w:r w:rsidR="00D124E9">
        <w:rPr>
          <w:rFonts w:eastAsia="Times New Roman" w:cs="Arial"/>
          <w:bCs/>
          <w:sz w:val="20"/>
          <w:szCs w:val="20"/>
          <w:lang w:eastAsia="es-ES"/>
        </w:rPr>
        <w:t xml:space="preserve"> </w:t>
      </w:r>
      <w:r w:rsidR="00171FE1" w:rsidRPr="007B6DE3">
        <w:rPr>
          <w:rFonts w:eastAsia="Times New Roman" w:cs="Arial"/>
          <w:bCs/>
          <w:sz w:val="20"/>
          <w:szCs w:val="20"/>
          <w:lang w:eastAsia="es-ES"/>
        </w:rPr>
        <w:t xml:space="preserve">importe </w:t>
      </w:r>
      <w:r w:rsidR="00076437" w:rsidRPr="007B6DE3">
        <w:rPr>
          <w:rFonts w:eastAsia="Times New Roman" w:cs="Arial"/>
          <w:bCs/>
          <w:sz w:val="20"/>
          <w:szCs w:val="20"/>
          <w:lang w:eastAsia="es-ES"/>
        </w:rPr>
        <w:t>de $</w:t>
      </w:r>
      <w:r w:rsidR="00985CBA">
        <w:rPr>
          <w:rFonts w:eastAsia="Times New Roman" w:cs="Arial"/>
          <w:bCs/>
          <w:sz w:val="20"/>
          <w:szCs w:val="20"/>
          <w:lang w:eastAsia="es-ES"/>
        </w:rPr>
        <w:t xml:space="preserve"> 1, 165</w:t>
      </w:r>
      <w:r w:rsidR="0097065C">
        <w:rPr>
          <w:rFonts w:eastAsia="Times New Roman" w:cs="Arial"/>
          <w:bCs/>
          <w:sz w:val="20"/>
          <w:szCs w:val="20"/>
          <w:lang w:eastAsia="es-ES"/>
        </w:rPr>
        <w:t>,8</w:t>
      </w:r>
      <w:r w:rsidR="00985CBA">
        <w:rPr>
          <w:rFonts w:eastAsia="Times New Roman" w:cs="Arial"/>
          <w:bCs/>
          <w:sz w:val="20"/>
          <w:szCs w:val="20"/>
          <w:lang w:eastAsia="es-ES"/>
        </w:rPr>
        <w:t>37</w:t>
      </w:r>
      <w:r w:rsidR="00853DFF">
        <w:rPr>
          <w:rFonts w:eastAsia="Times New Roman" w:cs="Arial"/>
          <w:bCs/>
          <w:sz w:val="20"/>
          <w:szCs w:val="20"/>
          <w:lang w:eastAsia="es-ES"/>
        </w:rPr>
        <w:t>.00</w:t>
      </w:r>
      <w:r w:rsidR="00D124E9">
        <w:rPr>
          <w:rFonts w:eastAsia="Times New Roman" w:cs="Arial"/>
          <w:bCs/>
          <w:sz w:val="20"/>
          <w:szCs w:val="20"/>
          <w:lang w:eastAsia="es-ES"/>
        </w:rPr>
        <w:t xml:space="preserve">. </w:t>
      </w:r>
    </w:p>
    <w:p w:rsidR="004F10F2" w:rsidRPr="007B6DE3" w:rsidRDefault="004F10F2" w:rsidP="002D2A1B">
      <w:pPr>
        <w:spacing w:after="0"/>
        <w:jc w:val="both"/>
        <w:rPr>
          <w:rFonts w:eastAsia="Times New Roman" w:cs="Arial"/>
          <w:bCs/>
          <w:sz w:val="20"/>
          <w:szCs w:val="20"/>
          <w:lang w:eastAsia="es-ES"/>
        </w:rPr>
      </w:pPr>
    </w:p>
    <w:p w:rsidR="004F10F2" w:rsidRPr="007B6DE3" w:rsidRDefault="004F10F2" w:rsidP="002D2A1B">
      <w:pPr>
        <w:spacing w:after="0"/>
        <w:jc w:val="both"/>
        <w:rPr>
          <w:rFonts w:eastAsia="Times New Roman" w:cs="Arial"/>
          <w:bCs/>
          <w:sz w:val="20"/>
          <w:szCs w:val="20"/>
          <w:lang w:eastAsia="es-ES"/>
        </w:rPr>
      </w:pPr>
    </w:p>
    <w:p w:rsidR="004C328E" w:rsidRPr="007B6DE3" w:rsidRDefault="00740BF6" w:rsidP="002D2A1B">
      <w:pPr>
        <w:spacing w:after="0"/>
        <w:jc w:val="both"/>
        <w:rPr>
          <w:rFonts w:eastAsia="Times New Roman" w:cs="Arial"/>
          <w:b/>
          <w:bCs/>
          <w:sz w:val="20"/>
          <w:szCs w:val="20"/>
          <w:lang w:eastAsia="es-ES"/>
        </w:rPr>
      </w:pPr>
      <w:r w:rsidRPr="007B6DE3">
        <w:rPr>
          <w:rFonts w:eastAsia="Times New Roman" w:cs="Arial"/>
          <w:b/>
          <w:bCs/>
          <w:sz w:val="20"/>
          <w:szCs w:val="20"/>
          <w:lang w:eastAsia="es-ES"/>
        </w:rPr>
        <w:t xml:space="preserve">III) </w:t>
      </w:r>
      <w:r w:rsidR="008603DE" w:rsidRPr="007B6DE3">
        <w:rPr>
          <w:rFonts w:eastAsia="Times New Roman" w:cs="Arial"/>
          <w:b/>
          <w:bCs/>
          <w:sz w:val="20"/>
          <w:szCs w:val="20"/>
          <w:lang w:eastAsia="es-ES"/>
        </w:rPr>
        <w:t>NOTAS AL ESTADO</w:t>
      </w:r>
      <w:r w:rsidR="00B510F2" w:rsidRPr="007B6DE3">
        <w:rPr>
          <w:rFonts w:eastAsia="Times New Roman" w:cs="Arial"/>
          <w:b/>
          <w:bCs/>
          <w:sz w:val="20"/>
          <w:szCs w:val="20"/>
          <w:lang w:eastAsia="es-ES"/>
        </w:rPr>
        <w:t xml:space="preserve"> DE VARIACIÓN DE LA HACIENDA PÚBLICA</w:t>
      </w:r>
      <w:r w:rsidR="004C328E" w:rsidRPr="007B6DE3">
        <w:rPr>
          <w:rFonts w:eastAsia="Times New Roman" w:cs="Arial"/>
          <w:b/>
          <w:bCs/>
          <w:sz w:val="20"/>
          <w:szCs w:val="20"/>
          <w:lang w:eastAsia="es-ES"/>
        </w:rPr>
        <w:t>.</w:t>
      </w:r>
    </w:p>
    <w:p w:rsidR="00740BF6" w:rsidRPr="007B6DE3" w:rsidRDefault="00740BF6" w:rsidP="002D2A1B">
      <w:pPr>
        <w:pStyle w:val="Prrafodelista"/>
        <w:spacing w:after="0"/>
        <w:jc w:val="both"/>
        <w:rPr>
          <w:rFonts w:eastAsia="Times New Roman" w:cs="Arial"/>
          <w:bCs/>
          <w:sz w:val="20"/>
          <w:szCs w:val="20"/>
          <w:lang w:eastAsia="es-ES"/>
        </w:rPr>
      </w:pPr>
    </w:p>
    <w:p w:rsidR="00AC1323" w:rsidRPr="007B6DE3" w:rsidRDefault="00AC1323" w:rsidP="00B510F2">
      <w:pPr>
        <w:pStyle w:val="Prrafodelista"/>
        <w:numPr>
          <w:ilvl w:val="0"/>
          <w:numId w:val="11"/>
        </w:numPr>
        <w:spacing w:after="0"/>
        <w:jc w:val="both"/>
        <w:rPr>
          <w:rFonts w:eastAsia="Times New Roman" w:cs="Arial"/>
          <w:bCs/>
          <w:sz w:val="20"/>
          <w:szCs w:val="20"/>
          <w:lang w:eastAsia="es-ES"/>
        </w:rPr>
      </w:pPr>
      <w:r w:rsidRPr="007B6DE3">
        <w:rPr>
          <w:rFonts w:eastAsia="Times New Roman" w:cs="Arial"/>
          <w:bCs/>
          <w:sz w:val="20"/>
          <w:szCs w:val="20"/>
          <w:lang w:eastAsia="es-ES"/>
        </w:rPr>
        <w:t xml:space="preserve">Se generó un patrimonio </w:t>
      </w:r>
      <w:r w:rsidR="006247F2" w:rsidRPr="007B6DE3">
        <w:rPr>
          <w:rFonts w:eastAsia="Times New Roman" w:cs="Arial"/>
          <w:bCs/>
          <w:sz w:val="20"/>
          <w:szCs w:val="20"/>
          <w:lang w:eastAsia="es-ES"/>
        </w:rPr>
        <w:t xml:space="preserve">al mes de </w:t>
      </w:r>
      <w:r w:rsidR="0052076C">
        <w:rPr>
          <w:rFonts w:eastAsia="Times New Roman" w:cs="Arial"/>
          <w:bCs/>
          <w:sz w:val="20"/>
          <w:szCs w:val="20"/>
          <w:lang w:eastAsia="es-ES"/>
        </w:rPr>
        <w:t>marz</w:t>
      </w:r>
      <w:r w:rsidR="00BB1C6B">
        <w:rPr>
          <w:rFonts w:eastAsia="Times New Roman" w:cs="Arial"/>
          <w:bCs/>
          <w:sz w:val="20"/>
          <w:szCs w:val="20"/>
          <w:lang w:eastAsia="es-ES"/>
        </w:rPr>
        <w:t>o</w:t>
      </w:r>
      <w:r w:rsidR="00DA4A2A" w:rsidRPr="007B6DE3">
        <w:rPr>
          <w:rFonts w:eastAsia="Times New Roman" w:cs="Arial"/>
          <w:bCs/>
          <w:sz w:val="20"/>
          <w:szCs w:val="20"/>
          <w:lang w:eastAsia="es-ES"/>
        </w:rPr>
        <w:t xml:space="preserve"> d</w:t>
      </w:r>
      <w:r w:rsidRPr="007B6DE3">
        <w:rPr>
          <w:rFonts w:eastAsia="Times New Roman" w:cs="Arial"/>
          <w:bCs/>
          <w:sz w:val="20"/>
          <w:szCs w:val="20"/>
          <w:lang w:eastAsia="es-ES"/>
        </w:rPr>
        <w:t>e $</w:t>
      </w:r>
      <w:r w:rsidR="006267B6" w:rsidRPr="007B6DE3">
        <w:rPr>
          <w:rFonts w:eastAsia="Times New Roman" w:cs="Arial"/>
          <w:bCs/>
          <w:sz w:val="20"/>
          <w:szCs w:val="20"/>
          <w:lang w:eastAsia="es-ES"/>
        </w:rPr>
        <w:t xml:space="preserve"> </w:t>
      </w:r>
      <w:r w:rsidR="0052076C">
        <w:rPr>
          <w:rFonts w:eastAsia="Times New Roman" w:cs="Arial"/>
          <w:bCs/>
          <w:sz w:val="20"/>
          <w:szCs w:val="20"/>
          <w:lang w:eastAsia="es-ES"/>
        </w:rPr>
        <w:t>3</w:t>
      </w:r>
      <w:r w:rsidR="00BB1C6B">
        <w:rPr>
          <w:rFonts w:eastAsia="Times New Roman" w:cs="Arial"/>
          <w:bCs/>
          <w:sz w:val="20"/>
          <w:szCs w:val="20"/>
          <w:lang w:eastAsia="es-ES"/>
        </w:rPr>
        <w:t>,</w:t>
      </w:r>
      <w:r w:rsidR="0052076C">
        <w:rPr>
          <w:rFonts w:eastAsia="Times New Roman" w:cs="Arial"/>
          <w:bCs/>
          <w:sz w:val="20"/>
          <w:szCs w:val="20"/>
          <w:lang w:eastAsia="es-ES"/>
        </w:rPr>
        <w:t>121</w:t>
      </w:r>
      <w:r w:rsidR="004C0800">
        <w:rPr>
          <w:rFonts w:eastAsia="Times New Roman" w:cs="Arial"/>
          <w:bCs/>
          <w:sz w:val="20"/>
          <w:szCs w:val="20"/>
          <w:lang w:eastAsia="es-ES"/>
        </w:rPr>
        <w:t>,</w:t>
      </w:r>
      <w:r w:rsidR="0052076C">
        <w:rPr>
          <w:rFonts w:eastAsia="Times New Roman" w:cs="Arial"/>
          <w:bCs/>
          <w:sz w:val="20"/>
          <w:szCs w:val="20"/>
          <w:lang w:eastAsia="es-ES"/>
        </w:rPr>
        <w:t>807</w:t>
      </w:r>
      <w:r w:rsidR="00017D85">
        <w:rPr>
          <w:rFonts w:eastAsia="Times New Roman" w:cs="Arial"/>
          <w:bCs/>
          <w:sz w:val="20"/>
          <w:szCs w:val="20"/>
          <w:lang w:eastAsia="es-ES"/>
        </w:rPr>
        <w:t>.</w:t>
      </w:r>
      <w:r w:rsidR="0052076C">
        <w:rPr>
          <w:rFonts w:eastAsia="Times New Roman" w:cs="Arial"/>
          <w:bCs/>
          <w:sz w:val="20"/>
          <w:szCs w:val="20"/>
          <w:lang w:eastAsia="es-ES"/>
        </w:rPr>
        <w:t>79</w:t>
      </w:r>
    </w:p>
    <w:p w:rsidR="00AC1323" w:rsidRPr="007B6DE3" w:rsidRDefault="00AC1323" w:rsidP="002D2A1B">
      <w:pPr>
        <w:spacing w:after="0"/>
        <w:jc w:val="both"/>
        <w:rPr>
          <w:rFonts w:eastAsia="Times New Roman" w:cs="Arial"/>
          <w:bCs/>
          <w:sz w:val="20"/>
          <w:szCs w:val="20"/>
          <w:lang w:eastAsia="es-ES"/>
        </w:rPr>
      </w:pPr>
    </w:p>
    <w:p w:rsidR="00740BF6" w:rsidRPr="007B6DE3" w:rsidRDefault="00740BF6" w:rsidP="002D2A1B">
      <w:pPr>
        <w:spacing w:after="0"/>
        <w:jc w:val="both"/>
        <w:rPr>
          <w:rFonts w:eastAsia="Times New Roman" w:cs="Arial"/>
          <w:bCs/>
          <w:sz w:val="20"/>
          <w:szCs w:val="20"/>
          <w:lang w:eastAsia="es-ES"/>
        </w:rPr>
      </w:pPr>
    </w:p>
    <w:p w:rsidR="00AC1323" w:rsidRPr="007B6DE3" w:rsidRDefault="00AC1323" w:rsidP="002D2A1B">
      <w:pPr>
        <w:spacing w:after="0"/>
        <w:jc w:val="both"/>
        <w:rPr>
          <w:rFonts w:eastAsia="Times New Roman" w:cs="Arial"/>
          <w:bCs/>
          <w:sz w:val="20"/>
          <w:szCs w:val="20"/>
          <w:lang w:eastAsia="es-ES"/>
        </w:rPr>
      </w:pPr>
      <w:r w:rsidRPr="007B6DE3">
        <w:rPr>
          <w:rFonts w:eastAsia="Times New Roman" w:cs="Arial"/>
          <w:b/>
          <w:bCs/>
          <w:sz w:val="20"/>
          <w:szCs w:val="20"/>
          <w:lang w:eastAsia="es-ES"/>
        </w:rPr>
        <w:t xml:space="preserve">IV) </w:t>
      </w:r>
      <w:r w:rsidR="00E43E32" w:rsidRPr="007B6DE3">
        <w:rPr>
          <w:rFonts w:eastAsia="Times New Roman" w:cs="Arial"/>
          <w:b/>
          <w:bCs/>
          <w:sz w:val="20"/>
          <w:szCs w:val="20"/>
          <w:lang w:eastAsia="es-ES"/>
        </w:rPr>
        <w:t>NOTAS AL ESTADO DE FLUJO DE E</w:t>
      </w:r>
      <w:r w:rsidR="00B510F2" w:rsidRPr="007B6DE3">
        <w:rPr>
          <w:rFonts w:eastAsia="Times New Roman" w:cs="Arial"/>
          <w:b/>
          <w:bCs/>
          <w:sz w:val="20"/>
          <w:szCs w:val="20"/>
          <w:lang w:eastAsia="es-ES"/>
        </w:rPr>
        <w:t>FECTIVO</w:t>
      </w:r>
      <w:r w:rsidRPr="007B6DE3">
        <w:rPr>
          <w:rFonts w:eastAsia="Times New Roman" w:cs="Arial"/>
          <w:bCs/>
          <w:sz w:val="20"/>
          <w:szCs w:val="20"/>
          <w:lang w:eastAsia="es-ES"/>
        </w:rPr>
        <w:t>.</w:t>
      </w:r>
    </w:p>
    <w:p w:rsidR="00740BF6" w:rsidRPr="007B6DE3" w:rsidRDefault="00740BF6" w:rsidP="002D2A1B">
      <w:pPr>
        <w:spacing w:after="0"/>
        <w:jc w:val="both"/>
        <w:rPr>
          <w:rFonts w:eastAsia="Times New Roman" w:cs="Arial"/>
          <w:bCs/>
          <w:sz w:val="20"/>
          <w:szCs w:val="20"/>
          <w:lang w:eastAsia="es-ES"/>
        </w:rPr>
      </w:pPr>
    </w:p>
    <w:p w:rsidR="0005623B" w:rsidRPr="007B6DE3" w:rsidRDefault="0005623B" w:rsidP="002D2A1B">
      <w:pPr>
        <w:spacing w:after="0"/>
        <w:jc w:val="both"/>
        <w:rPr>
          <w:rFonts w:eastAsia="Times New Roman" w:cs="Arial"/>
          <w:bCs/>
          <w:sz w:val="20"/>
          <w:szCs w:val="20"/>
          <w:lang w:eastAsia="es-ES"/>
        </w:rPr>
      </w:pPr>
    </w:p>
    <w:p w:rsidR="00AC1323" w:rsidRPr="007B6DE3" w:rsidRDefault="00AC1323" w:rsidP="002D2A1B">
      <w:pPr>
        <w:spacing w:after="0"/>
        <w:jc w:val="both"/>
        <w:rPr>
          <w:rFonts w:eastAsia="Times New Roman" w:cs="Arial"/>
          <w:b/>
          <w:bCs/>
          <w:sz w:val="20"/>
          <w:szCs w:val="20"/>
          <w:lang w:eastAsia="es-ES"/>
        </w:rPr>
      </w:pPr>
      <w:r w:rsidRPr="007B6DE3">
        <w:rPr>
          <w:rFonts w:eastAsia="Times New Roman" w:cs="Arial"/>
          <w:b/>
          <w:bCs/>
          <w:sz w:val="20"/>
          <w:szCs w:val="20"/>
          <w:lang w:eastAsia="es-ES"/>
        </w:rPr>
        <w:t>Efectivo y equivalentes</w:t>
      </w:r>
    </w:p>
    <w:p w:rsidR="0005623B" w:rsidRPr="007B6DE3" w:rsidRDefault="0005623B" w:rsidP="002D2A1B">
      <w:pPr>
        <w:spacing w:after="0"/>
        <w:jc w:val="both"/>
        <w:rPr>
          <w:rFonts w:eastAsia="Times New Roman" w:cs="Arial"/>
          <w:b/>
          <w:bCs/>
          <w:sz w:val="20"/>
          <w:szCs w:val="20"/>
          <w:lang w:eastAsia="es-ES"/>
        </w:rPr>
      </w:pPr>
    </w:p>
    <w:p w:rsidR="00740BF6" w:rsidRPr="007B6DE3" w:rsidRDefault="00740BF6" w:rsidP="002D2A1B">
      <w:pPr>
        <w:spacing w:after="0"/>
        <w:jc w:val="both"/>
        <w:rPr>
          <w:rFonts w:eastAsia="Times New Roman" w:cs="Arial"/>
          <w:bCs/>
          <w:sz w:val="20"/>
          <w:szCs w:val="20"/>
          <w:lang w:eastAsia="es-ES"/>
        </w:rPr>
      </w:pPr>
    </w:p>
    <w:p w:rsidR="00AC1323" w:rsidRPr="007B6DE3" w:rsidRDefault="006247F2" w:rsidP="00B510F2">
      <w:pPr>
        <w:pStyle w:val="Prrafodelista"/>
        <w:numPr>
          <w:ilvl w:val="0"/>
          <w:numId w:val="12"/>
        </w:numPr>
        <w:spacing w:after="0"/>
        <w:jc w:val="both"/>
        <w:rPr>
          <w:rFonts w:eastAsia="Times New Roman" w:cs="Arial"/>
          <w:bCs/>
          <w:sz w:val="20"/>
          <w:szCs w:val="20"/>
          <w:lang w:eastAsia="es-ES"/>
        </w:rPr>
      </w:pPr>
      <w:r w:rsidRPr="007B6DE3">
        <w:rPr>
          <w:rFonts w:eastAsia="Times New Roman" w:cs="Arial"/>
          <w:bCs/>
          <w:sz w:val="20"/>
          <w:szCs w:val="20"/>
          <w:lang w:eastAsia="es-ES"/>
        </w:rPr>
        <w:t xml:space="preserve">Al mes de </w:t>
      </w:r>
      <w:r w:rsidR="0052076C">
        <w:rPr>
          <w:rFonts w:eastAsia="Times New Roman" w:cs="Arial"/>
          <w:bCs/>
          <w:sz w:val="20"/>
          <w:szCs w:val="20"/>
          <w:lang w:eastAsia="es-ES"/>
        </w:rPr>
        <w:t>marz</w:t>
      </w:r>
      <w:r w:rsidR="003A12E7">
        <w:rPr>
          <w:rFonts w:eastAsia="Times New Roman" w:cs="Arial"/>
          <w:bCs/>
          <w:sz w:val="20"/>
          <w:szCs w:val="20"/>
          <w:lang w:eastAsia="es-ES"/>
        </w:rPr>
        <w:t>o</w:t>
      </w:r>
      <w:r w:rsidRPr="007B6DE3">
        <w:rPr>
          <w:rFonts w:eastAsia="Times New Roman" w:cs="Arial"/>
          <w:bCs/>
          <w:sz w:val="20"/>
          <w:szCs w:val="20"/>
          <w:lang w:eastAsia="es-ES"/>
        </w:rPr>
        <w:t>, s</w:t>
      </w:r>
      <w:r w:rsidR="0045587C" w:rsidRPr="007B6DE3">
        <w:rPr>
          <w:rFonts w:eastAsia="Times New Roman" w:cs="Arial"/>
          <w:bCs/>
          <w:sz w:val="20"/>
          <w:szCs w:val="20"/>
          <w:lang w:eastAsia="es-ES"/>
        </w:rPr>
        <w:t>e ingresaron $</w:t>
      </w:r>
      <w:r w:rsidR="00171FE1" w:rsidRPr="007B6DE3">
        <w:rPr>
          <w:rFonts w:eastAsia="Times New Roman" w:cs="Arial"/>
          <w:bCs/>
          <w:sz w:val="20"/>
          <w:szCs w:val="20"/>
          <w:lang w:eastAsia="es-ES"/>
        </w:rPr>
        <w:t xml:space="preserve"> </w:t>
      </w:r>
      <w:r w:rsidR="00D84F32">
        <w:rPr>
          <w:rFonts w:eastAsia="Times New Roman" w:cs="Arial"/>
          <w:bCs/>
          <w:sz w:val="20"/>
          <w:szCs w:val="20"/>
          <w:lang w:eastAsia="es-ES"/>
        </w:rPr>
        <w:t>7</w:t>
      </w:r>
      <w:r w:rsidR="00952418">
        <w:rPr>
          <w:rFonts w:eastAsia="Times New Roman" w:cs="Arial"/>
          <w:bCs/>
          <w:sz w:val="20"/>
          <w:szCs w:val="20"/>
          <w:lang w:eastAsia="es-ES"/>
        </w:rPr>
        <w:t xml:space="preserve">, </w:t>
      </w:r>
      <w:r w:rsidR="00D84F32">
        <w:rPr>
          <w:rFonts w:eastAsia="Times New Roman" w:cs="Arial"/>
          <w:bCs/>
          <w:sz w:val="20"/>
          <w:szCs w:val="20"/>
          <w:lang w:eastAsia="es-ES"/>
        </w:rPr>
        <w:t>995,296</w:t>
      </w:r>
      <w:r w:rsidR="005759B0" w:rsidRPr="007B6DE3">
        <w:rPr>
          <w:rFonts w:eastAsia="Times New Roman" w:cs="Arial"/>
          <w:bCs/>
          <w:sz w:val="20"/>
          <w:szCs w:val="20"/>
          <w:lang w:eastAsia="es-ES"/>
        </w:rPr>
        <w:t>.00</w:t>
      </w:r>
      <w:r w:rsidR="00DA4A2A" w:rsidRPr="007B6DE3">
        <w:rPr>
          <w:rFonts w:eastAsia="Times New Roman" w:cs="Arial"/>
          <w:bCs/>
          <w:sz w:val="20"/>
          <w:szCs w:val="20"/>
          <w:lang w:eastAsia="es-ES"/>
        </w:rPr>
        <w:t xml:space="preserve"> </w:t>
      </w:r>
      <w:r w:rsidRPr="007B6DE3">
        <w:rPr>
          <w:rFonts w:eastAsia="Times New Roman" w:cs="Arial"/>
          <w:bCs/>
          <w:sz w:val="20"/>
          <w:szCs w:val="20"/>
          <w:lang w:eastAsia="es-ES"/>
        </w:rPr>
        <w:t>de pesos al Tribunal</w:t>
      </w:r>
      <w:r w:rsidR="0045587C" w:rsidRPr="007B6DE3">
        <w:rPr>
          <w:rFonts w:eastAsia="Times New Roman" w:cs="Arial"/>
          <w:bCs/>
          <w:sz w:val="20"/>
          <w:szCs w:val="20"/>
          <w:lang w:eastAsia="es-ES"/>
        </w:rPr>
        <w:t>.</w:t>
      </w:r>
    </w:p>
    <w:p w:rsidR="00740BF6" w:rsidRPr="007B6DE3" w:rsidRDefault="00740BF6" w:rsidP="002D2A1B">
      <w:pPr>
        <w:spacing w:after="0"/>
        <w:ind w:firstLine="708"/>
        <w:jc w:val="both"/>
        <w:rPr>
          <w:rFonts w:eastAsia="Times New Roman" w:cs="Arial"/>
          <w:bCs/>
          <w:sz w:val="20"/>
          <w:szCs w:val="20"/>
          <w:lang w:eastAsia="es-ES"/>
        </w:rPr>
      </w:pPr>
    </w:p>
    <w:p w:rsidR="008A54F9" w:rsidRPr="007B6DE3" w:rsidRDefault="008A54F9" w:rsidP="00B510F2">
      <w:pPr>
        <w:pStyle w:val="Prrafodelista"/>
        <w:numPr>
          <w:ilvl w:val="0"/>
          <w:numId w:val="12"/>
        </w:numPr>
        <w:spacing w:after="0"/>
        <w:jc w:val="both"/>
        <w:rPr>
          <w:rFonts w:eastAsia="Times New Roman" w:cs="Arial"/>
          <w:bCs/>
          <w:sz w:val="20"/>
          <w:szCs w:val="20"/>
          <w:lang w:eastAsia="es-ES"/>
        </w:rPr>
      </w:pPr>
      <w:r w:rsidRPr="007B6DE3">
        <w:rPr>
          <w:rFonts w:eastAsia="Times New Roman" w:cs="Arial"/>
          <w:bCs/>
          <w:sz w:val="20"/>
          <w:szCs w:val="20"/>
          <w:lang w:eastAsia="es-ES"/>
        </w:rPr>
        <w:t>El análisis de los saldos inicial y final que figuran en la última parte del Estado de Flujo de Efectivo en la cuenta de efectivo y equivalentes es como sigue:</w:t>
      </w:r>
    </w:p>
    <w:p w:rsidR="008A54F9" w:rsidRPr="007B6DE3" w:rsidRDefault="008A54F9" w:rsidP="002D2A1B">
      <w:pPr>
        <w:spacing w:after="0"/>
        <w:jc w:val="both"/>
        <w:rPr>
          <w:rFonts w:eastAsia="Times New Roman" w:cs="Arial"/>
          <w:bCs/>
          <w:sz w:val="20"/>
          <w:szCs w:val="20"/>
          <w:lang w:eastAsia="es-ES"/>
        </w:rPr>
      </w:pPr>
    </w:p>
    <w:p w:rsidR="00740BF6" w:rsidRPr="007B6DE3" w:rsidRDefault="00740BF6" w:rsidP="002D2A1B">
      <w:pPr>
        <w:spacing w:after="0"/>
        <w:jc w:val="both"/>
        <w:rPr>
          <w:rFonts w:eastAsia="Times New Roman" w:cs="Arial"/>
          <w:bCs/>
          <w:sz w:val="20"/>
          <w:szCs w:val="20"/>
          <w:lang w:eastAsia="es-ES"/>
        </w:rPr>
      </w:pPr>
      <w:r w:rsidRPr="007B6DE3">
        <w:rPr>
          <w:rFonts w:eastAsia="Times New Roman" w:cs="Arial"/>
          <w:bCs/>
          <w:sz w:val="20"/>
          <w:szCs w:val="20"/>
          <w:lang w:eastAsia="es-ES"/>
        </w:rPr>
        <w:t xml:space="preserve">                             </w:t>
      </w:r>
      <w:r w:rsidR="00D35187" w:rsidRPr="007B6DE3">
        <w:rPr>
          <w:rFonts w:eastAsia="Times New Roman" w:cs="Arial"/>
          <w:bCs/>
          <w:sz w:val="20"/>
          <w:szCs w:val="20"/>
          <w:lang w:eastAsia="es-ES"/>
        </w:rPr>
        <w:t xml:space="preserve">                            </w:t>
      </w:r>
    </w:p>
    <w:tbl>
      <w:tblPr>
        <w:tblStyle w:val="Tablaconcuadrcula"/>
        <w:tblW w:w="0" w:type="auto"/>
        <w:tblInd w:w="1784" w:type="dxa"/>
        <w:tblLook w:val="04A0" w:firstRow="1" w:lastRow="0" w:firstColumn="1" w:lastColumn="0" w:noHBand="0" w:noVBand="1"/>
      </w:tblPr>
      <w:tblGrid>
        <w:gridCol w:w="2347"/>
        <w:gridCol w:w="1622"/>
        <w:gridCol w:w="1279"/>
      </w:tblGrid>
      <w:tr w:rsidR="00277739" w:rsidRPr="007B6DE3" w:rsidTr="002C662B">
        <w:tc>
          <w:tcPr>
            <w:tcW w:w="2347" w:type="dxa"/>
          </w:tcPr>
          <w:p w:rsidR="00277739" w:rsidRPr="007B6DE3" w:rsidRDefault="00277739" w:rsidP="002D2A1B">
            <w:pPr>
              <w:jc w:val="both"/>
              <w:rPr>
                <w:rFonts w:eastAsia="Times New Roman" w:cs="Arial"/>
                <w:bCs/>
                <w:sz w:val="20"/>
                <w:szCs w:val="20"/>
                <w:lang w:eastAsia="es-ES"/>
              </w:rPr>
            </w:pPr>
          </w:p>
        </w:tc>
        <w:tc>
          <w:tcPr>
            <w:tcW w:w="1622" w:type="dxa"/>
          </w:tcPr>
          <w:p w:rsidR="00277739" w:rsidRPr="007B6DE3" w:rsidRDefault="002C662B" w:rsidP="003A12E7">
            <w:pPr>
              <w:jc w:val="center"/>
              <w:rPr>
                <w:rFonts w:eastAsia="Times New Roman" w:cs="Arial"/>
                <w:bCs/>
                <w:sz w:val="20"/>
                <w:szCs w:val="20"/>
                <w:lang w:eastAsia="es-ES"/>
              </w:rPr>
            </w:pPr>
            <w:r w:rsidRPr="007B6DE3">
              <w:rPr>
                <w:rFonts w:eastAsia="Times New Roman" w:cs="Arial"/>
                <w:bCs/>
                <w:sz w:val="20"/>
                <w:szCs w:val="20"/>
                <w:lang w:eastAsia="es-ES"/>
              </w:rPr>
              <w:t>201</w:t>
            </w:r>
            <w:r w:rsidR="003A12E7">
              <w:rPr>
                <w:rFonts w:eastAsia="Times New Roman" w:cs="Arial"/>
                <w:bCs/>
                <w:sz w:val="20"/>
                <w:szCs w:val="20"/>
                <w:lang w:eastAsia="es-ES"/>
              </w:rPr>
              <w:t>7</w:t>
            </w:r>
          </w:p>
        </w:tc>
        <w:tc>
          <w:tcPr>
            <w:tcW w:w="1117" w:type="dxa"/>
          </w:tcPr>
          <w:p w:rsidR="00D35187" w:rsidRPr="007B6DE3" w:rsidRDefault="00D35187" w:rsidP="003A12E7">
            <w:pPr>
              <w:jc w:val="center"/>
              <w:rPr>
                <w:rFonts w:eastAsia="Times New Roman" w:cs="Arial"/>
                <w:bCs/>
                <w:sz w:val="20"/>
                <w:szCs w:val="20"/>
                <w:lang w:eastAsia="es-ES"/>
              </w:rPr>
            </w:pPr>
            <w:r w:rsidRPr="007B6DE3">
              <w:rPr>
                <w:rFonts w:eastAsia="Times New Roman" w:cs="Arial"/>
                <w:bCs/>
                <w:sz w:val="20"/>
                <w:szCs w:val="20"/>
                <w:lang w:eastAsia="es-ES"/>
              </w:rPr>
              <w:t>201</w:t>
            </w:r>
            <w:r w:rsidR="003A12E7">
              <w:rPr>
                <w:rFonts w:eastAsia="Times New Roman" w:cs="Arial"/>
                <w:bCs/>
                <w:sz w:val="20"/>
                <w:szCs w:val="20"/>
                <w:lang w:eastAsia="es-ES"/>
              </w:rPr>
              <w:t>6</w:t>
            </w:r>
          </w:p>
        </w:tc>
      </w:tr>
      <w:tr w:rsidR="00D35187" w:rsidRPr="007B6DE3" w:rsidTr="002C662B">
        <w:tc>
          <w:tcPr>
            <w:tcW w:w="2347" w:type="dxa"/>
          </w:tcPr>
          <w:p w:rsidR="00D35187" w:rsidRPr="007B6DE3" w:rsidRDefault="00D35187" w:rsidP="009A4AAF">
            <w:pPr>
              <w:jc w:val="both"/>
              <w:rPr>
                <w:rFonts w:eastAsia="Times New Roman" w:cs="Arial"/>
                <w:bCs/>
                <w:sz w:val="20"/>
                <w:szCs w:val="20"/>
                <w:lang w:eastAsia="es-ES"/>
              </w:rPr>
            </w:pPr>
          </w:p>
        </w:tc>
        <w:tc>
          <w:tcPr>
            <w:tcW w:w="1622" w:type="dxa"/>
          </w:tcPr>
          <w:p w:rsidR="00D35187" w:rsidRPr="007B6DE3" w:rsidRDefault="00D35187" w:rsidP="009A4AAF">
            <w:pPr>
              <w:jc w:val="right"/>
              <w:rPr>
                <w:rFonts w:eastAsia="Times New Roman" w:cs="Arial"/>
                <w:bCs/>
                <w:sz w:val="20"/>
                <w:szCs w:val="20"/>
                <w:lang w:eastAsia="es-ES"/>
              </w:rPr>
            </w:pPr>
          </w:p>
        </w:tc>
        <w:tc>
          <w:tcPr>
            <w:tcW w:w="1117" w:type="dxa"/>
          </w:tcPr>
          <w:p w:rsidR="00D35187" w:rsidRPr="007B6DE3" w:rsidRDefault="00D35187" w:rsidP="002D2A1B">
            <w:pPr>
              <w:jc w:val="both"/>
              <w:rPr>
                <w:rFonts w:eastAsia="Times New Roman" w:cs="Arial"/>
                <w:bCs/>
                <w:sz w:val="20"/>
                <w:szCs w:val="20"/>
                <w:lang w:eastAsia="es-ES"/>
              </w:rPr>
            </w:pPr>
          </w:p>
        </w:tc>
      </w:tr>
      <w:tr w:rsidR="00D35187" w:rsidRPr="007B6DE3" w:rsidTr="002C662B">
        <w:tc>
          <w:tcPr>
            <w:tcW w:w="2347" w:type="dxa"/>
          </w:tcPr>
          <w:p w:rsidR="00D35187" w:rsidRPr="007B6DE3" w:rsidRDefault="00D35187" w:rsidP="009A4AAF">
            <w:pPr>
              <w:jc w:val="both"/>
              <w:rPr>
                <w:rFonts w:eastAsia="Times New Roman" w:cs="Arial"/>
                <w:bCs/>
                <w:sz w:val="20"/>
                <w:szCs w:val="20"/>
                <w:lang w:eastAsia="es-ES"/>
              </w:rPr>
            </w:pPr>
            <w:r w:rsidRPr="007B6DE3">
              <w:rPr>
                <w:rFonts w:eastAsia="Times New Roman" w:cs="Arial"/>
                <w:bCs/>
                <w:sz w:val="20"/>
                <w:szCs w:val="20"/>
                <w:lang w:eastAsia="es-ES"/>
              </w:rPr>
              <w:t>Efectivo en Bancos</w:t>
            </w:r>
          </w:p>
        </w:tc>
        <w:tc>
          <w:tcPr>
            <w:tcW w:w="1622" w:type="dxa"/>
          </w:tcPr>
          <w:p w:rsidR="00D35187" w:rsidRPr="007B6DE3" w:rsidRDefault="003A12E7" w:rsidP="00D84F32">
            <w:pPr>
              <w:jc w:val="right"/>
              <w:rPr>
                <w:rFonts w:eastAsia="Times New Roman" w:cs="Arial"/>
                <w:bCs/>
                <w:sz w:val="20"/>
                <w:szCs w:val="20"/>
                <w:lang w:eastAsia="es-ES"/>
              </w:rPr>
            </w:pPr>
            <w:r>
              <w:rPr>
                <w:rFonts w:eastAsia="Times New Roman" w:cs="Arial"/>
                <w:bCs/>
                <w:sz w:val="20"/>
                <w:szCs w:val="20"/>
                <w:lang w:eastAsia="es-ES"/>
              </w:rPr>
              <w:t>3,</w:t>
            </w:r>
            <w:r w:rsidR="00D84F32">
              <w:rPr>
                <w:rFonts w:eastAsia="Times New Roman" w:cs="Arial"/>
                <w:bCs/>
                <w:sz w:val="20"/>
                <w:szCs w:val="20"/>
                <w:lang w:eastAsia="es-ES"/>
              </w:rPr>
              <w:t>855</w:t>
            </w:r>
            <w:r>
              <w:rPr>
                <w:rFonts w:eastAsia="Times New Roman" w:cs="Arial"/>
                <w:bCs/>
                <w:sz w:val="20"/>
                <w:szCs w:val="20"/>
                <w:lang w:eastAsia="es-ES"/>
              </w:rPr>
              <w:t>,</w:t>
            </w:r>
            <w:r w:rsidR="00D84F32">
              <w:rPr>
                <w:rFonts w:eastAsia="Times New Roman" w:cs="Arial"/>
                <w:bCs/>
                <w:sz w:val="20"/>
                <w:szCs w:val="20"/>
                <w:lang w:eastAsia="es-ES"/>
              </w:rPr>
              <w:t>008</w:t>
            </w:r>
            <w:r w:rsidR="00952418">
              <w:rPr>
                <w:rFonts w:eastAsia="Times New Roman" w:cs="Arial"/>
                <w:bCs/>
                <w:sz w:val="20"/>
                <w:szCs w:val="20"/>
                <w:lang w:eastAsia="es-ES"/>
              </w:rPr>
              <w:t>.</w:t>
            </w:r>
            <w:r w:rsidR="00D84F32">
              <w:rPr>
                <w:rFonts w:eastAsia="Times New Roman" w:cs="Arial"/>
                <w:bCs/>
                <w:sz w:val="20"/>
                <w:szCs w:val="20"/>
                <w:lang w:eastAsia="es-ES"/>
              </w:rPr>
              <w:t>92</w:t>
            </w:r>
          </w:p>
        </w:tc>
        <w:tc>
          <w:tcPr>
            <w:tcW w:w="1117" w:type="dxa"/>
          </w:tcPr>
          <w:p w:rsidR="00D35187" w:rsidRPr="007B6DE3" w:rsidRDefault="005759B0" w:rsidP="00286B2C">
            <w:pPr>
              <w:jc w:val="both"/>
              <w:rPr>
                <w:rFonts w:eastAsia="Times New Roman" w:cs="Arial"/>
                <w:bCs/>
                <w:sz w:val="20"/>
                <w:szCs w:val="20"/>
                <w:lang w:eastAsia="es-ES"/>
              </w:rPr>
            </w:pPr>
            <w:r w:rsidRPr="007B6DE3">
              <w:rPr>
                <w:rFonts w:eastAsia="Times New Roman" w:cs="Arial"/>
                <w:bCs/>
                <w:sz w:val="20"/>
                <w:szCs w:val="20"/>
                <w:lang w:eastAsia="es-ES"/>
              </w:rPr>
              <w:t>1</w:t>
            </w:r>
            <w:r w:rsidR="002C662B" w:rsidRPr="007B6DE3">
              <w:rPr>
                <w:rFonts w:eastAsia="Times New Roman" w:cs="Arial"/>
                <w:bCs/>
                <w:sz w:val="20"/>
                <w:szCs w:val="20"/>
                <w:lang w:eastAsia="es-ES"/>
              </w:rPr>
              <w:t>,</w:t>
            </w:r>
            <w:r w:rsidR="00286B2C">
              <w:rPr>
                <w:rFonts w:eastAsia="Times New Roman" w:cs="Arial"/>
                <w:bCs/>
                <w:sz w:val="20"/>
                <w:szCs w:val="20"/>
                <w:lang w:eastAsia="es-ES"/>
              </w:rPr>
              <w:t>545,857.19</w:t>
            </w:r>
          </w:p>
        </w:tc>
      </w:tr>
      <w:tr w:rsidR="00D35187" w:rsidRPr="007B6DE3" w:rsidTr="002C662B">
        <w:tc>
          <w:tcPr>
            <w:tcW w:w="2347" w:type="dxa"/>
          </w:tcPr>
          <w:p w:rsidR="00D35187" w:rsidRPr="007B6DE3" w:rsidRDefault="00D35187" w:rsidP="009A4AAF">
            <w:pPr>
              <w:jc w:val="both"/>
              <w:rPr>
                <w:rFonts w:eastAsia="Times New Roman" w:cs="Arial"/>
                <w:bCs/>
                <w:sz w:val="20"/>
                <w:szCs w:val="20"/>
                <w:lang w:eastAsia="es-ES"/>
              </w:rPr>
            </w:pPr>
          </w:p>
        </w:tc>
        <w:tc>
          <w:tcPr>
            <w:tcW w:w="1622" w:type="dxa"/>
          </w:tcPr>
          <w:p w:rsidR="00D35187" w:rsidRPr="007B6DE3" w:rsidRDefault="00D35187" w:rsidP="009A4AAF">
            <w:pPr>
              <w:jc w:val="both"/>
              <w:rPr>
                <w:rFonts w:eastAsia="Times New Roman" w:cs="Arial"/>
                <w:bCs/>
                <w:sz w:val="20"/>
                <w:szCs w:val="20"/>
                <w:lang w:eastAsia="es-ES"/>
              </w:rPr>
            </w:pPr>
          </w:p>
        </w:tc>
        <w:tc>
          <w:tcPr>
            <w:tcW w:w="1117" w:type="dxa"/>
          </w:tcPr>
          <w:p w:rsidR="00D35187" w:rsidRPr="007B6DE3" w:rsidRDefault="00D35187" w:rsidP="002D2A1B">
            <w:pPr>
              <w:jc w:val="both"/>
              <w:rPr>
                <w:rFonts w:eastAsia="Times New Roman" w:cs="Arial"/>
                <w:bCs/>
                <w:sz w:val="20"/>
                <w:szCs w:val="20"/>
                <w:lang w:eastAsia="es-ES"/>
              </w:rPr>
            </w:pPr>
          </w:p>
        </w:tc>
      </w:tr>
    </w:tbl>
    <w:p w:rsidR="008A54F9" w:rsidRPr="007B6DE3" w:rsidRDefault="008A54F9" w:rsidP="002D2A1B">
      <w:pPr>
        <w:spacing w:after="0"/>
        <w:jc w:val="both"/>
        <w:rPr>
          <w:rFonts w:eastAsia="Times New Roman" w:cs="Arial"/>
          <w:bCs/>
          <w:sz w:val="20"/>
          <w:szCs w:val="20"/>
          <w:lang w:eastAsia="es-ES"/>
        </w:rPr>
      </w:pPr>
    </w:p>
    <w:p w:rsidR="008A54F9" w:rsidRPr="007B6DE3" w:rsidRDefault="008A54F9" w:rsidP="002D2A1B">
      <w:pPr>
        <w:spacing w:after="0"/>
        <w:jc w:val="both"/>
        <w:rPr>
          <w:rFonts w:eastAsia="Times New Roman" w:cs="Arial"/>
          <w:bCs/>
          <w:sz w:val="20"/>
          <w:szCs w:val="20"/>
          <w:lang w:eastAsia="es-ES"/>
        </w:rPr>
      </w:pPr>
    </w:p>
    <w:p w:rsidR="008A54F9" w:rsidRPr="007B6DE3" w:rsidRDefault="008A54F9" w:rsidP="002D2A1B">
      <w:pPr>
        <w:spacing w:after="0"/>
        <w:jc w:val="both"/>
        <w:rPr>
          <w:rFonts w:eastAsia="Times New Roman" w:cs="Arial"/>
          <w:bCs/>
          <w:sz w:val="20"/>
          <w:szCs w:val="20"/>
          <w:lang w:eastAsia="es-ES"/>
        </w:rPr>
      </w:pPr>
    </w:p>
    <w:p w:rsidR="008A54F9" w:rsidRPr="007B6DE3" w:rsidRDefault="008A54F9" w:rsidP="002D2A1B">
      <w:pPr>
        <w:spacing w:after="0"/>
        <w:jc w:val="both"/>
        <w:rPr>
          <w:rFonts w:eastAsia="Times New Roman" w:cs="Arial"/>
          <w:bCs/>
          <w:sz w:val="20"/>
          <w:szCs w:val="20"/>
          <w:lang w:eastAsia="es-ES"/>
        </w:rPr>
      </w:pPr>
    </w:p>
    <w:p w:rsidR="008A54F9" w:rsidRPr="007B6DE3" w:rsidRDefault="00952418" w:rsidP="00B510F2">
      <w:pPr>
        <w:pStyle w:val="Prrafodelista"/>
        <w:numPr>
          <w:ilvl w:val="0"/>
          <w:numId w:val="12"/>
        </w:numPr>
        <w:spacing w:after="0"/>
        <w:jc w:val="both"/>
        <w:rPr>
          <w:rFonts w:eastAsia="Times New Roman" w:cs="Arial"/>
          <w:bCs/>
          <w:sz w:val="20"/>
          <w:szCs w:val="20"/>
          <w:lang w:eastAsia="es-ES"/>
        </w:rPr>
      </w:pPr>
      <w:r>
        <w:rPr>
          <w:rFonts w:eastAsia="Times New Roman" w:cs="Arial"/>
          <w:bCs/>
          <w:sz w:val="20"/>
          <w:szCs w:val="20"/>
          <w:lang w:eastAsia="es-ES"/>
        </w:rPr>
        <w:lastRenderedPageBreak/>
        <w:t>A</w:t>
      </w:r>
      <w:r w:rsidR="00286B2C">
        <w:rPr>
          <w:rFonts w:eastAsia="Times New Roman" w:cs="Arial"/>
          <w:bCs/>
          <w:sz w:val="20"/>
          <w:szCs w:val="20"/>
          <w:lang w:eastAsia="es-ES"/>
        </w:rPr>
        <w:t>l</w:t>
      </w:r>
      <w:r w:rsidR="006247F2" w:rsidRPr="007B6DE3">
        <w:rPr>
          <w:rFonts w:eastAsia="Times New Roman" w:cs="Arial"/>
          <w:bCs/>
          <w:sz w:val="20"/>
          <w:szCs w:val="20"/>
          <w:lang w:eastAsia="es-ES"/>
        </w:rPr>
        <w:t xml:space="preserve"> mes de </w:t>
      </w:r>
      <w:r w:rsidR="00D84F32">
        <w:rPr>
          <w:rFonts w:eastAsia="Times New Roman" w:cs="Arial"/>
          <w:bCs/>
          <w:sz w:val="20"/>
          <w:szCs w:val="20"/>
          <w:lang w:eastAsia="es-ES"/>
        </w:rPr>
        <w:t>marz</w:t>
      </w:r>
      <w:r w:rsidR="00286B2C">
        <w:rPr>
          <w:rFonts w:eastAsia="Times New Roman" w:cs="Arial"/>
          <w:bCs/>
          <w:sz w:val="20"/>
          <w:szCs w:val="20"/>
          <w:lang w:eastAsia="es-ES"/>
        </w:rPr>
        <w:t>o,</w:t>
      </w:r>
      <w:r w:rsidR="006247F2" w:rsidRPr="007B6DE3">
        <w:rPr>
          <w:rFonts w:eastAsia="Times New Roman" w:cs="Arial"/>
          <w:bCs/>
          <w:sz w:val="20"/>
          <w:szCs w:val="20"/>
          <w:lang w:eastAsia="es-ES"/>
        </w:rPr>
        <w:t xml:space="preserve"> s</w:t>
      </w:r>
      <w:r w:rsidR="009C300D" w:rsidRPr="007B6DE3">
        <w:rPr>
          <w:rFonts w:eastAsia="Times New Roman" w:cs="Arial"/>
          <w:bCs/>
          <w:sz w:val="20"/>
          <w:szCs w:val="20"/>
          <w:lang w:eastAsia="es-ES"/>
        </w:rPr>
        <w:t>e</w:t>
      </w:r>
      <w:r w:rsidR="006247F2" w:rsidRPr="007B6DE3">
        <w:rPr>
          <w:rFonts w:eastAsia="Times New Roman" w:cs="Arial"/>
          <w:bCs/>
          <w:sz w:val="20"/>
          <w:szCs w:val="20"/>
          <w:lang w:eastAsia="es-ES"/>
        </w:rPr>
        <w:t xml:space="preserve"> </w:t>
      </w:r>
      <w:r w:rsidR="00286B2C">
        <w:rPr>
          <w:rFonts w:eastAsia="Times New Roman" w:cs="Arial"/>
          <w:bCs/>
          <w:sz w:val="20"/>
          <w:szCs w:val="20"/>
          <w:lang w:eastAsia="es-ES"/>
        </w:rPr>
        <w:t>adquirieron</w:t>
      </w:r>
      <w:r w:rsidR="009C300D" w:rsidRPr="007B6DE3">
        <w:rPr>
          <w:rFonts w:eastAsia="Times New Roman" w:cs="Arial"/>
          <w:bCs/>
          <w:sz w:val="20"/>
          <w:szCs w:val="20"/>
          <w:lang w:eastAsia="es-ES"/>
        </w:rPr>
        <w:t xml:space="preserve"> </w:t>
      </w:r>
      <w:r w:rsidR="002C662B" w:rsidRPr="007B6DE3">
        <w:rPr>
          <w:rFonts w:eastAsia="Times New Roman" w:cs="Arial"/>
          <w:bCs/>
          <w:sz w:val="20"/>
          <w:szCs w:val="20"/>
          <w:lang w:eastAsia="es-ES"/>
        </w:rPr>
        <w:t xml:space="preserve">bienes muebles por un importe de $ </w:t>
      </w:r>
      <w:r w:rsidR="00D84F32">
        <w:rPr>
          <w:rFonts w:eastAsia="Times New Roman" w:cs="Arial"/>
          <w:bCs/>
          <w:sz w:val="20"/>
          <w:szCs w:val="20"/>
          <w:lang w:eastAsia="es-ES"/>
        </w:rPr>
        <w:t>47</w:t>
      </w:r>
      <w:r w:rsidR="00286B2C">
        <w:rPr>
          <w:rFonts w:eastAsia="Times New Roman" w:cs="Arial"/>
          <w:bCs/>
          <w:sz w:val="20"/>
          <w:szCs w:val="20"/>
          <w:lang w:eastAsia="es-ES"/>
        </w:rPr>
        <w:t>,</w:t>
      </w:r>
      <w:r w:rsidR="00D84F32">
        <w:rPr>
          <w:rFonts w:eastAsia="Times New Roman" w:cs="Arial"/>
          <w:bCs/>
          <w:sz w:val="20"/>
          <w:szCs w:val="20"/>
          <w:lang w:eastAsia="es-ES"/>
        </w:rPr>
        <w:t>648</w:t>
      </w:r>
      <w:r w:rsidR="00286B2C">
        <w:rPr>
          <w:rFonts w:eastAsia="Times New Roman" w:cs="Arial"/>
          <w:bCs/>
          <w:sz w:val="20"/>
          <w:szCs w:val="20"/>
          <w:lang w:eastAsia="es-ES"/>
        </w:rPr>
        <w:t>.</w:t>
      </w:r>
      <w:r w:rsidR="00D84F32">
        <w:rPr>
          <w:rFonts w:eastAsia="Times New Roman" w:cs="Arial"/>
          <w:bCs/>
          <w:sz w:val="20"/>
          <w:szCs w:val="20"/>
          <w:lang w:eastAsia="es-ES"/>
        </w:rPr>
        <w:t>3</w:t>
      </w:r>
      <w:r w:rsidR="00EC7EB2">
        <w:rPr>
          <w:rFonts w:eastAsia="Times New Roman" w:cs="Arial"/>
          <w:bCs/>
          <w:sz w:val="20"/>
          <w:szCs w:val="20"/>
          <w:lang w:eastAsia="es-ES"/>
        </w:rPr>
        <w:t>0</w:t>
      </w:r>
      <w:r w:rsidR="00EF14A5" w:rsidRPr="007B6DE3">
        <w:rPr>
          <w:rFonts w:eastAsia="Times New Roman" w:cs="Arial"/>
          <w:bCs/>
          <w:sz w:val="20"/>
          <w:szCs w:val="20"/>
          <w:lang w:eastAsia="es-ES"/>
        </w:rPr>
        <w:t xml:space="preserve"> </w:t>
      </w:r>
      <w:r w:rsidR="0040656D" w:rsidRPr="007B6DE3">
        <w:rPr>
          <w:rFonts w:eastAsia="Times New Roman" w:cs="Arial"/>
          <w:bCs/>
          <w:sz w:val="20"/>
          <w:szCs w:val="20"/>
          <w:lang w:eastAsia="es-ES"/>
        </w:rPr>
        <w:t>con el fin de</w:t>
      </w:r>
      <w:r w:rsidR="002C662B" w:rsidRPr="007B6DE3">
        <w:rPr>
          <w:rFonts w:eastAsia="Times New Roman" w:cs="Arial"/>
          <w:bCs/>
          <w:sz w:val="20"/>
          <w:szCs w:val="20"/>
          <w:lang w:eastAsia="es-ES"/>
        </w:rPr>
        <w:t xml:space="preserve"> amueblar las instalaciones y otorgar herramientas de trabajo</w:t>
      </w:r>
      <w:r w:rsidR="0040656D" w:rsidRPr="007B6DE3">
        <w:rPr>
          <w:rFonts w:eastAsia="Times New Roman" w:cs="Arial"/>
          <w:bCs/>
          <w:sz w:val="20"/>
          <w:szCs w:val="20"/>
          <w:lang w:eastAsia="es-ES"/>
        </w:rPr>
        <w:t xml:space="preserve"> a los colaboradores y poder cumplir con las funciones encomendadas</w:t>
      </w:r>
      <w:r w:rsidR="009C300D" w:rsidRPr="007B6DE3">
        <w:rPr>
          <w:rFonts w:eastAsia="Times New Roman" w:cs="Arial"/>
          <w:bCs/>
          <w:sz w:val="20"/>
          <w:szCs w:val="20"/>
          <w:lang w:eastAsia="es-ES"/>
        </w:rPr>
        <w:t>.</w:t>
      </w:r>
    </w:p>
    <w:p w:rsidR="0005623B" w:rsidRPr="007B6DE3" w:rsidRDefault="0005623B" w:rsidP="002D2A1B">
      <w:pPr>
        <w:spacing w:after="0"/>
        <w:jc w:val="both"/>
        <w:rPr>
          <w:rFonts w:eastAsia="Times New Roman" w:cs="Arial"/>
          <w:bCs/>
          <w:sz w:val="20"/>
          <w:szCs w:val="20"/>
          <w:lang w:eastAsia="es-ES"/>
        </w:rPr>
      </w:pPr>
    </w:p>
    <w:p w:rsidR="0005623B" w:rsidRPr="007B6DE3" w:rsidRDefault="0005623B" w:rsidP="002D2A1B">
      <w:pPr>
        <w:spacing w:after="0"/>
        <w:jc w:val="both"/>
        <w:rPr>
          <w:rFonts w:eastAsia="Times New Roman" w:cs="Arial"/>
          <w:bCs/>
          <w:sz w:val="20"/>
          <w:szCs w:val="20"/>
          <w:lang w:eastAsia="es-ES"/>
        </w:rPr>
      </w:pPr>
    </w:p>
    <w:p w:rsidR="002D2A1B" w:rsidRPr="007B6DE3" w:rsidRDefault="002D2A1B" w:rsidP="002D2A1B">
      <w:pPr>
        <w:spacing w:after="0"/>
        <w:jc w:val="both"/>
        <w:rPr>
          <w:rFonts w:eastAsia="Times New Roman" w:cs="Arial"/>
          <w:bCs/>
          <w:sz w:val="20"/>
          <w:szCs w:val="20"/>
          <w:lang w:eastAsia="es-ES"/>
        </w:rPr>
      </w:pPr>
    </w:p>
    <w:p w:rsidR="00BC31E7" w:rsidRPr="007B6DE3" w:rsidRDefault="00BC31E7" w:rsidP="00254A60">
      <w:pPr>
        <w:spacing w:after="0"/>
        <w:jc w:val="center"/>
        <w:rPr>
          <w:rFonts w:eastAsia="Times New Roman" w:cs="Arial"/>
          <w:b/>
          <w:bCs/>
          <w:sz w:val="20"/>
          <w:szCs w:val="20"/>
          <w:lang w:eastAsia="es-ES"/>
        </w:rPr>
      </w:pPr>
      <w:r w:rsidRPr="007B6DE3">
        <w:rPr>
          <w:rFonts w:eastAsia="Times New Roman" w:cs="Arial"/>
          <w:b/>
          <w:bCs/>
          <w:sz w:val="20"/>
          <w:szCs w:val="20"/>
          <w:lang w:eastAsia="es-ES"/>
        </w:rPr>
        <w:t>c) N</w:t>
      </w:r>
      <w:r w:rsidR="00B510F2" w:rsidRPr="007B6DE3">
        <w:rPr>
          <w:rFonts w:eastAsia="Times New Roman" w:cs="Arial"/>
          <w:b/>
          <w:bCs/>
          <w:sz w:val="20"/>
          <w:szCs w:val="20"/>
          <w:lang w:eastAsia="es-ES"/>
        </w:rPr>
        <w:t>OTAS DE GESTIÓN ADMINISTRATIVA</w:t>
      </w:r>
    </w:p>
    <w:p w:rsidR="0005623B" w:rsidRPr="007B6DE3" w:rsidRDefault="0005623B" w:rsidP="00254A60">
      <w:pPr>
        <w:spacing w:after="0"/>
        <w:jc w:val="center"/>
        <w:rPr>
          <w:rFonts w:eastAsia="Times New Roman" w:cs="Arial"/>
          <w:b/>
          <w:bCs/>
          <w:sz w:val="20"/>
          <w:szCs w:val="20"/>
          <w:lang w:eastAsia="es-ES"/>
        </w:rPr>
      </w:pPr>
    </w:p>
    <w:p w:rsidR="00052DD7" w:rsidRPr="007B6DE3" w:rsidRDefault="00052DD7" w:rsidP="00254A60">
      <w:pPr>
        <w:spacing w:after="0"/>
        <w:jc w:val="center"/>
        <w:rPr>
          <w:rFonts w:eastAsia="Times New Roman" w:cs="Arial"/>
          <w:b/>
          <w:bCs/>
          <w:sz w:val="20"/>
          <w:szCs w:val="20"/>
          <w:lang w:eastAsia="es-ES"/>
        </w:rPr>
      </w:pPr>
    </w:p>
    <w:p w:rsidR="00052DD7" w:rsidRPr="007B6DE3" w:rsidRDefault="00052DD7" w:rsidP="00AD2FAE">
      <w:pPr>
        <w:pStyle w:val="Prrafodelista"/>
        <w:numPr>
          <w:ilvl w:val="0"/>
          <w:numId w:val="14"/>
        </w:numPr>
        <w:spacing w:after="0"/>
        <w:ind w:left="426" w:hanging="426"/>
        <w:rPr>
          <w:rFonts w:eastAsia="Times New Roman" w:cs="Arial"/>
          <w:b/>
          <w:bCs/>
          <w:sz w:val="20"/>
          <w:szCs w:val="20"/>
          <w:lang w:eastAsia="es-ES"/>
        </w:rPr>
      </w:pPr>
      <w:r w:rsidRPr="007B6DE3">
        <w:rPr>
          <w:rFonts w:eastAsia="Times New Roman" w:cs="Arial"/>
          <w:b/>
          <w:bCs/>
          <w:sz w:val="20"/>
          <w:szCs w:val="20"/>
          <w:lang w:eastAsia="es-ES"/>
        </w:rPr>
        <w:t>Autorización e historia</w:t>
      </w:r>
    </w:p>
    <w:p w:rsidR="00E43E32" w:rsidRPr="007B6DE3" w:rsidRDefault="00E43E32" w:rsidP="00E43E32">
      <w:pPr>
        <w:spacing w:after="0"/>
        <w:rPr>
          <w:rFonts w:eastAsia="Times New Roman" w:cs="Arial"/>
          <w:b/>
          <w:bCs/>
          <w:sz w:val="20"/>
          <w:szCs w:val="20"/>
          <w:lang w:eastAsia="es-ES"/>
        </w:rPr>
      </w:pPr>
    </w:p>
    <w:p w:rsidR="00E43E32" w:rsidRPr="007B6DE3" w:rsidRDefault="00E43E32" w:rsidP="007550FD">
      <w:pPr>
        <w:spacing w:after="0" w:line="240" w:lineRule="auto"/>
        <w:ind w:firstLine="426"/>
        <w:jc w:val="both"/>
        <w:rPr>
          <w:rFonts w:cs="Arial"/>
          <w:sz w:val="20"/>
          <w:szCs w:val="20"/>
        </w:rPr>
      </w:pPr>
      <w:r w:rsidRPr="007B6DE3">
        <w:rPr>
          <w:rFonts w:cs="Arial"/>
          <w:sz w:val="20"/>
          <w:szCs w:val="20"/>
        </w:rPr>
        <w:t>Como producto de la implementación de la última reforma político-electoral, promulgada mediante los decretos de</w:t>
      </w:r>
      <w:r w:rsidR="00271DB1" w:rsidRPr="007B6DE3">
        <w:rPr>
          <w:rFonts w:cs="Arial"/>
          <w:sz w:val="20"/>
          <w:szCs w:val="20"/>
        </w:rPr>
        <w:t xml:space="preserve"> fecha</w:t>
      </w:r>
      <w:r w:rsidRPr="007B6DE3">
        <w:rPr>
          <w:rFonts w:cs="Arial"/>
          <w:sz w:val="20"/>
          <w:szCs w:val="20"/>
        </w:rPr>
        <w:t xml:space="preserve"> 10 de febrero  y de 23 de mayo </w:t>
      </w:r>
      <w:r w:rsidR="00271DB1" w:rsidRPr="007B6DE3">
        <w:rPr>
          <w:rFonts w:cs="Arial"/>
          <w:sz w:val="20"/>
          <w:szCs w:val="20"/>
        </w:rPr>
        <w:t xml:space="preserve">, ambos </w:t>
      </w:r>
      <w:r w:rsidRPr="007B6DE3">
        <w:rPr>
          <w:rFonts w:cs="Arial"/>
          <w:sz w:val="20"/>
          <w:szCs w:val="20"/>
        </w:rPr>
        <w:t xml:space="preserve">de 2014, que reformaron la Constitución </w:t>
      </w:r>
      <w:r w:rsidR="00271DB1" w:rsidRPr="007B6DE3">
        <w:rPr>
          <w:rFonts w:cs="Arial"/>
          <w:sz w:val="20"/>
          <w:szCs w:val="20"/>
        </w:rPr>
        <w:t xml:space="preserve">Política de los Estados Unidos Mexicanos </w:t>
      </w:r>
      <w:r w:rsidRPr="007B6DE3">
        <w:rPr>
          <w:rFonts w:cs="Arial"/>
          <w:sz w:val="20"/>
          <w:szCs w:val="20"/>
        </w:rPr>
        <w:t xml:space="preserve"> y la Ley General de Instituciones y Procedimientos Electorales, el H. Congreso de Yucatán, previo análisis y debate de las iniciativas correspondientes, aprobó los decretos números 195 y 198 que reforman la Constitución </w:t>
      </w:r>
      <w:r w:rsidR="0005623B" w:rsidRPr="007B6DE3">
        <w:rPr>
          <w:rFonts w:cs="Arial"/>
          <w:sz w:val="20"/>
          <w:szCs w:val="20"/>
        </w:rPr>
        <w:t>Política del Estado de Yucatán</w:t>
      </w:r>
      <w:r w:rsidRPr="007B6DE3">
        <w:rPr>
          <w:rFonts w:cs="Arial"/>
          <w:sz w:val="20"/>
          <w:szCs w:val="20"/>
        </w:rPr>
        <w:t xml:space="preserve"> y </w:t>
      </w:r>
      <w:r w:rsidR="0005623B" w:rsidRPr="007B6DE3">
        <w:rPr>
          <w:rFonts w:cs="Arial"/>
          <w:sz w:val="20"/>
          <w:szCs w:val="20"/>
        </w:rPr>
        <w:t>la</w:t>
      </w:r>
      <w:r w:rsidRPr="007B6DE3">
        <w:rPr>
          <w:rFonts w:cs="Arial"/>
          <w:sz w:val="20"/>
          <w:szCs w:val="20"/>
        </w:rPr>
        <w:t xml:space="preserve"> Ley de Instituciones y Procedimientos Electorales del Estado de Yucatán, respectivamente.</w:t>
      </w:r>
    </w:p>
    <w:p w:rsidR="00192E74" w:rsidRPr="007B6DE3" w:rsidRDefault="00192E74" w:rsidP="00E43E32">
      <w:pPr>
        <w:spacing w:after="0" w:line="240" w:lineRule="auto"/>
        <w:jc w:val="both"/>
        <w:rPr>
          <w:rFonts w:cs="Arial"/>
          <w:sz w:val="20"/>
          <w:szCs w:val="20"/>
        </w:rPr>
      </w:pPr>
    </w:p>
    <w:p w:rsidR="00192E74" w:rsidRPr="007B6DE3" w:rsidRDefault="00192E74" w:rsidP="00E43E32">
      <w:pPr>
        <w:spacing w:after="0" w:line="240" w:lineRule="auto"/>
        <w:jc w:val="both"/>
        <w:rPr>
          <w:rFonts w:cs="Arial"/>
          <w:sz w:val="20"/>
          <w:szCs w:val="20"/>
        </w:rPr>
      </w:pPr>
    </w:p>
    <w:p w:rsidR="0005623B" w:rsidRPr="007B6DE3" w:rsidRDefault="00E43E32" w:rsidP="00076437">
      <w:pPr>
        <w:ind w:firstLine="426"/>
        <w:jc w:val="both"/>
        <w:rPr>
          <w:rFonts w:cs="Arial"/>
          <w:sz w:val="20"/>
          <w:szCs w:val="20"/>
        </w:rPr>
      </w:pPr>
      <w:r w:rsidRPr="007B6DE3">
        <w:rPr>
          <w:rFonts w:cs="Arial"/>
          <w:sz w:val="20"/>
          <w:szCs w:val="20"/>
        </w:rPr>
        <w:t>El libro Quinto, de la Ley de Instituciones y Procedimientos Electorales del Estado de Yucatán, que inicia con el artículo 349 de la citada normativa, crea, entre otras instituciones y procesos electorales el Tribunal Electoral del Estado de Yucatán, específicamente con apoyo en los artículos 73 y 75 Ter de la Constitución de Yucatán adecuada.</w:t>
      </w:r>
    </w:p>
    <w:p w:rsidR="0005623B" w:rsidRPr="007B6DE3" w:rsidRDefault="00E43E32" w:rsidP="00632287">
      <w:pPr>
        <w:ind w:firstLine="426"/>
        <w:jc w:val="both"/>
        <w:rPr>
          <w:rFonts w:cs="Arial"/>
          <w:sz w:val="20"/>
          <w:szCs w:val="20"/>
        </w:rPr>
      </w:pPr>
      <w:r w:rsidRPr="007B6DE3">
        <w:rPr>
          <w:rFonts w:cs="Arial"/>
          <w:sz w:val="20"/>
          <w:szCs w:val="20"/>
        </w:rPr>
        <w:t>Con fecha 15 de octubre de</w:t>
      </w:r>
      <w:r w:rsidR="00076437" w:rsidRPr="007B6DE3">
        <w:rPr>
          <w:rFonts w:cs="Arial"/>
          <w:sz w:val="20"/>
          <w:szCs w:val="20"/>
        </w:rPr>
        <w:t>l 2014</w:t>
      </w:r>
      <w:r w:rsidRPr="007B6DE3">
        <w:rPr>
          <w:rFonts w:cs="Arial"/>
          <w:sz w:val="20"/>
          <w:szCs w:val="20"/>
        </w:rPr>
        <w:t>, en cumplimiento del artículo 73 Ter, último párrafo, de la Constitución de Yucatán</w:t>
      </w:r>
      <w:r w:rsidR="00BE4EEF" w:rsidRPr="007B6DE3">
        <w:rPr>
          <w:rFonts w:cs="Arial"/>
          <w:sz w:val="20"/>
          <w:szCs w:val="20"/>
        </w:rPr>
        <w:t>, se</w:t>
      </w:r>
      <w:r w:rsidR="00192E74" w:rsidRPr="007B6DE3">
        <w:rPr>
          <w:rFonts w:cs="Arial"/>
          <w:sz w:val="20"/>
          <w:szCs w:val="20"/>
        </w:rPr>
        <w:t xml:space="preserve"> instaló el pleno del Tribunal Electoral del Estado de Yucat</w:t>
      </w:r>
      <w:r w:rsidR="0005623B" w:rsidRPr="007B6DE3">
        <w:rPr>
          <w:rFonts w:cs="Arial"/>
          <w:sz w:val="20"/>
          <w:szCs w:val="20"/>
        </w:rPr>
        <w:t>án nombrando al primer Presidente, el M</w:t>
      </w:r>
      <w:r w:rsidR="00192E74" w:rsidRPr="007B6DE3">
        <w:rPr>
          <w:rFonts w:cs="Arial"/>
          <w:sz w:val="20"/>
          <w:szCs w:val="20"/>
        </w:rPr>
        <w:t>agistrado Fernando Javier Bolio Vales.</w:t>
      </w:r>
    </w:p>
    <w:p w:rsidR="00192E74" w:rsidRPr="007B6DE3" w:rsidRDefault="00192E74" w:rsidP="00271DB1">
      <w:pPr>
        <w:ind w:firstLine="426"/>
        <w:jc w:val="both"/>
        <w:rPr>
          <w:rFonts w:cs="Arial"/>
          <w:sz w:val="20"/>
          <w:szCs w:val="20"/>
        </w:rPr>
      </w:pPr>
      <w:r w:rsidRPr="007B6DE3">
        <w:rPr>
          <w:rFonts w:cs="Arial"/>
          <w:sz w:val="20"/>
          <w:szCs w:val="20"/>
        </w:rPr>
        <w:t xml:space="preserve">Por razones presupuestales, únicamente se contó con 7 </w:t>
      </w:r>
      <w:r w:rsidR="0005623B" w:rsidRPr="007B6DE3">
        <w:rPr>
          <w:rFonts w:cs="Arial"/>
          <w:sz w:val="20"/>
          <w:szCs w:val="20"/>
        </w:rPr>
        <w:t>personas incluyendo a los tres Magistrados, el S</w:t>
      </w:r>
      <w:r w:rsidRPr="007B6DE3">
        <w:rPr>
          <w:rFonts w:cs="Arial"/>
          <w:sz w:val="20"/>
          <w:szCs w:val="20"/>
        </w:rPr>
        <w:t xml:space="preserve">ecretario </w:t>
      </w:r>
      <w:r w:rsidR="0005623B" w:rsidRPr="007B6DE3">
        <w:rPr>
          <w:rFonts w:cs="Arial"/>
          <w:sz w:val="20"/>
          <w:szCs w:val="20"/>
        </w:rPr>
        <w:t>de Acuerdos y a tres D</w:t>
      </w:r>
      <w:r w:rsidRPr="007B6DE3">
        <w:rPr>
          <w:rFonts w:cs="Arial"/>
          <w:sz w:val="20"/>
          <w:szCs w:val="20"/>
        </w:rPr>
        <w:t xml:space="preserve">irectores contemplados en la Ley de Instituciones </w:t>
      </w:r>
      <w:r w:rsidR="0005623B" w:rsidRPr="007B6DE3">
        <w:rPr>
          <w:rFonts w:cs="Arial"/>
          <w:sz w:val="20"/>
          <w:szCs w:val="20"/>
        </w:rPr>
        <w:t xml:space="preserve">y Procedimientos </w:t>
      </w:r>
      <w:r w:rsidRPr="007B6DE3">
        <w:rPr>
          <w:rFonts w:cs="Arial"/>
          <w:sz w:val="20"/>
          <w:szCs w:val="20"/>
        </w:rPr>
        <w:t>Electorales</w:t>
      </w:r>
      <w:r w:rsidR="0005623B" w:rsidRPr="007B6DE3">
        <w:rPr>
          <w:rFonts w:cs="Arial"/>
          <w:sz w:val="20"/>
          <w:szCs w:val="20"/>
        </w:rPr>
        <w:t xml:space="preserve"> del Estado de Yucatán</w:t>
      </w:r>
      <w:r w:rsidRPr="007B6DE3">
        <w:rPr>
          <w:rFonts w:cs="Arial"/>
          <w:sz w:val="20"/>
          <w:szCs w:val="20"/>
        </w:rPr>
        <w:t>.</w:t>
      </w:r>
    </w:p>
    <w:p w:rsidR="00FB6A26" w:rsidRPr="007B6DE3" w:rsidRDefault="00076437" w:rsidP="00DF206D">
      <w:pPr>
        <w:ind w:firstLine="426"/>
        <w:jc w:val="both"/>
        <w:rPr>
          <w:rFonts w:cs="Arial"/>
          <w:sz w:val="20"/>
          <w:szCs w:val="20"/>
        </w:rPr>
      </w:pPr>
      <w:r w:rsidRPr="007B6DE3">
        <w:rPr>
          <w:rFonts w:cs="Arial"/>
          <w:sz w:val="20"/>
          <w:szCs w:val="20"/>
        </w:rPr>
        <w:t>El 14 de octubre del presente, se nombró a</w:t>
      </w:r>
      <w:r w:rsidR="007B4A3C">
        <w:rPr>
          <w:rFonts w:cs="Arial"/>
          <w:sz w:val="20"/>
          <w:szCs w:val="20"/>
        </w:rPr>
        <w:t xml:space="preserve"> </w:t>
      </w:r>
      <w:r w:rsidRPr="007B6DE3">
        <w:rPr>
          <w:rFonts w:cs="Arial"/>
          <w:sz w:val="20"/>
          <w:szCs w:val="20"/>
        </w:rPr>
        <w:t>l</w:t>
      </w:r>
      <w:r w:rsidR="007B4A3C">
        <w:rPr>
          <w:rFonts w:cs="Arial"/>
          <w:sz w:val="20"/>
          <w:szCs w:val="20"/>
        </w:rPr>
        <w:t>a Magistrada</w:t>
      </w:r>
      <w:r w:rsidRPr="007B6DE3">
        <w:rPr>
          <w:rFonts w:cs="Arial"/>
          <w:sz w:val="20"/>
          <w:szCs w:val="20"/>
        </w:rPr>
        <w:t xml:space="preserve"> </w:t>
      </w:r>
      <w:r w:rsidR="007B4A3C">
        <w:rPr>
          <w:rFonts w:cs="Arial"/>
          <w:sz w:val="20"/>
          <w:szCs w:val="20"/>
        </w:rPr>
        <w:t>Lissette Guadalupe Cetz Canché</w:t>
      </w:r>
      <w:r w:rsidRPr="007B6DE3">
        <w:rPr>
          <w:rFonts w:cs="Arial"/>
          <w:sz w:val="20"/>
          <w:szCs w:val="20"/>
        </w:rPr>
        <w:t xml:space="preserve"> como</w:t>
      </w:r>
      <w:r w:rsidR="007B4A3C">
        <w:rPr>
          <w:rFonts w:cs="Arial"/>
          <w:sz w:val="20"/>
          <w:szCs w:val="20"/>
        </w:rPr>
        <w:t xml:space="preserve"> Magistrada Presidenta</w:t>
      </w:r>
      <w:r w:rsidRPr="007B6DE3">
        <w:rPr>
          <w:rFonts w:cs="Arial"/>
          <w:sz w:val="20"/>
          <w:szCs w:val="20"/>
        </w:rPr>
        <w:t xml:space="preserve"> durante el periodo del 15 de octubre del 201</w:t>
      </w:r>
      <w:r w:rsidR="007B4A3C">
        <w:rPr>
          <w:rFonts w:cs="Arial"/>
          <w:sz w:val="20"/>
          <w:szCs w:val="20"/>
        </w:rPr>
        <w:t>6</w:t>
      </w:r>
      <w:r w:rsidRPr="007B6DE3">
        <w:rPr>
          <w:rFonts w:cs="Arial"/>
          <w:sz w:val="20"/>
          <w:szCs w:val="20"/>
        </w:rPr>
        <w:t xml:space="preserve"> al 14 de octubre del 201</w:t>
      </w:r>
      <w:r w:rsidR="007B4A3C">
        <w:rPr>
          <w:rFonts w:cs="Arial"/>
          <w:sz w:val="20"/>
          <w:szCs w:val="20"/>
        </w:rPr>
        <w:t>7</w:t>
      </w:r>
      <w:r w:rsidRPr="007B6DE3">
        <w:rPr>
          <w:rFonts w:cs="Arial"/>
          <w:sz w:val="20"/>
          <w:szCs w:val="20"/>
        </w:rPr>
        <w:t>.</w:t>
      </w:r>
    </w:p>
    <w:p w:rsidR="00192E74" w:rsidRPr="007B6DE3" w:rsidRDefault="00192E74" w:rsidP="00E43E32">
      <w:pPr>
        <w:pStyle w:val="Prrafodelista"/>
        <w:numPr>
          <w:ilvl w:val="0"/>
          <w:numId w:val="14"/>
        </w:numPr>
        <w:ind w:left="284" w:hanging="284"/>
        <w:jc w:val="both"/>
        <w:rPr>
          <w:rFonts w:cs="Arial"/>
          <w:b/>
          <w:sz w:val="20"/>
          <w:szCs w:val="20"/>
        </w:rPr>
      </w:pPr>
      <w:r w:rsidRPr="007B6DE3">
        <w:rPr>
          <w:rFonts w:cs="Arial"/>
          <w:b/>
          <w:sz w:val="20"/>
          <w:szCs w:val="20"/>
        </w:rPr>
        <w:lastRenderedPageBreak/>
        <w:t>Organización y Objeto Social.</w:t>
      </w:r>
    </w:p>
    <w:p w:rsidR="00192E74" w:rsidRPr="007B6DE3" w:rsidRDefault="00192E74" w:rsidP="00271DB1">
      <w:pPr>
        <w:ind w:firstLine="426"/>
        <w:jc w:val="both"/>
        <w:rPr>
          <w:rFonts w:cs="Arial"/>
          <w:sz w:val="20"/>
          <w:szCs w:val="20"/>
        </w:rPr>
      </w:pPr>
      <w:r w:rsidRPr="007B6DE3">
        <w:rPr>
          <w:rFonts w:cs="Arial"/>
          <w:sz w:val="20"/>
          <w:szCs w:val="20"/>
        </w:rPr>
        <w:t>El objeto social es dirimir los recursos de impugnación que se presenten en contra de las resoluciones y actos del Instituto Electoral, así como para la protección de los derechos político electorales d</w:t>
      </w:r>
      <w:r w:rsidR="0005623B" w:rsidRPr="007B6DE3">
        <w:rPr>
          <w:rFonts w:cs="Arial"/>
          <w:sz w:val="20"/>
          <w:szCs w:val="20"/>
        </w:rPr>
        <w:t>e</w:t>
      </w:r>
      <w:r w:rsidRPr="007B6DE3">
        <w:rPr>
          <w:rFonts w:cs="Arial"/>
          <w:sz w:val="20"/>
          <w:szCs w:val="20"/>
        </w:rPr>
        <w:t>l ciudadano y en contra de los cómputos de cada una de las elecciones, entre otros asuntos.</w:t>
      </w:r>
    </w:p>
    <w:p w:rsidR="00742AC5" w:rsidRDefault="00192E74" w:rsidP="00617F3D">
      <w:pPr>
        <w:ind w:firstLine="426"/>
        <w:jc w:val="both"/>
        <w:rPr>
          <w:rFonts w:cs="Arial"/>
          <w:sz w:val="20"/>
          <w:szCs w:val="20"/>
        </w:rPr>
      </w:pPr>
      <w:r w:rsidRPr="007B6DE3">
        <w:rPr>
          <w:rFonts w:cs="Arial"/>
          <w:sz w:val="20"/>
          <w:szCs w:val="20"/>
        </w:rPr>
        <w:t>El Tribunal</w:t>
      </w:r>
      <w:r w:rsidR="0005623B" w:rsidRPr="007B6DE3">
        <w:rPr>
          <w:rFonts w:cs="Arial"/>
          <w:sz w:val="20"/>
          <w:szCs w:val="20"/>
        </w:rPr>
        <w:t xml:space="preserve"> Electoral del Estado de Yucatán es un organismo público</w:t>
      </w:r>
      <w:r w:rsidR="00096DDC" w:rsidRPr="007B6DE3">
        <w:rPr>
          <w:rFonts w:cs="Arial"/>
          <w:sz w:val="20"/>
          <w:szCs w:val="20"/>
        </w:rPr>
        <w:t>, autónomo</w:t>
      </w:r>
      <w:r w:rsidRPr="007B6DE3">
        <w:rPr>
          <w:rFonts w:cs="Arial"/>
          <w:sz w:val="20"/>
          <w:szCs w:val="20"/>
        </w:rPr>
        <w:t>, con patrimonio propio</w:t>
      </w:r>
      <w:r w:rsidR="0005623B" w:rsidRPr="007B6DE3">
        <w:rPr>
          <w:rFonts w:cs="Arial"/>
          <w:sz w:val="20"/>
          <w:szCs w:val="20"/>
        </w:rPr>
        <w:t xml:space="preserve"> contemplado en el artículo 73 T</w:t>
      </w:r>
      <w:r w:rsidRPr="007B6DE3">
        <w:rPr>
          <w:rFonts w:cs="Arial"/>
          <w:sz w:val="20"/>
          <w:szCs w:val="20"/>
        </w:rPr>
        <w:t>er de la Constitución</w:t>
      </w:r>
      <w:r w:rsidR="007550FD" w:rsidRPr="007B6DE3">
        <w:rPr>
          <w:rFonts w:cs="Arial"/>
          <w:sz w:val="20"/>
          <w:szCs w:val="20"/>
        </w:rPr>
        <w:t xml:space="preserve"> Política del Estado de Yucatán.</w:t>
      </w:r>
    </w:p>
    <w:p w:rsidR="008421B6" w:rsidRPr="007B6DE3" w:rsidRDefault="008421B6" w:rsidP="00DF206D">
      <w:pPr>
        <w:jc w:val="both"/>
        <w:rPr>
          <w:rFonts w:cs="Arial"/>
          <w:sz w:val="20"/>
          <w:szCs w:val="20"/>
        </w:rPr>
      </w:pPr>
    </w:p>
    <w:p w:rsidR="00742AC5" w:rsidRPr="007B6DE3" w:rsidRDefault="00742AC5" w:rsidP="00B537F5">
      <w:pPr>
        <w:pStyle w:val="Prrafodelista"/>
        <w:numPr>
          <w:ilvl w:val="0"/>
          <w:numId w:val="14"/>
        </w:numPr>
        <w:spacing w:after="0"/>
        <w:ind w:left="284" w:hanging="284"/>
        <w:jc w:val="both"/>
        <w:rPr>
          <w:rFonts w:cs="Arial"/>
          <w:b/>
          <w:bCs/>
          <w:sz w:val="20"/>
          <w:szCs w:val="20"/>
        </w:rPr>
      </w:pPr>
      <w:r w:rsidRPr="007B6DE3">
        <w:rPr>
          <w:rFonts w:cs="Arial"/>
          <w:b/>
          <w:bCs/>
          <w:sz w:val="20"/>
          <w:szCs w:val="20"/>
        </w:rPr>
        <w:t>Bases de Preparación de los Estados Financieros</w:t>
      </w:r>
    </w:p>
    <w:p w:rsidR="00742AC5" w:rsidRPr="007B6DE3" w:rsidRDefault="00742AC5" w:rsidP="002D2A1B">
      <w:pPr>
        <w:spacing w:after="0"/>
        <w:jc w:val="both"/>
        <w:rPr>
          <w:rFonts w:cs="Arial"/>
          <w:bCs/>
          <w:sz w:val="20"/>
          <w:szCs w:val="20"/>
        </w:rPr>
      </w:pPr>
    </w:p>
    <w:p w:rsidR="00742AC5" w:rsidRPr="007B6DE3" w:rsidRDefault="00742AC5" w:rsidP="00271DB1">
      <w:pPr>
        <w:spacing w:after="0"/>
        <w:ind w:firstLine="426"/>
        <w:jc w:val="both"/>
        <w:rPr>
          <w:rFonts w:cs="Arial"/>
          <w:bCs/>
          <w:sz w:val="20"/>
          <w:szCs w:val="20"/>
        </w:rPr>
      </w:pPr>
      <w:r w:rsidRPr="007B6DE3">
        <w:rPr>
          <w:rFonts w:cs="Arial"/>
          <w:bCs/>
          <w:sz w:val="20"/>
          <w:szCs w:val="20"/>
        </w:rPr>
        <w:t>Los Estados Financieros</w:t>
      </w:r>
      <w:r w:rsidR="00481158" w:rsidRPr="007B6DE3">
        <w:rPr>
          <w:rFonts w:cs="Arial"/>
          <w:bCs/>
          <w:sz w:val="20"/>
          <w:szCs w:val="20"/>
        </w:rPr>
        <w:t xml:space="preserve"> se prepararon de acuerdo a la norm</w:t>
      </w:r>
      <w:r w:rsidR="002C56E7" w:rsidRPr="007B6DE3">
        <w:rPr>
          <w:rFonts w:cs="Arial"/>
          <w:bCs/>
          <w:sz w:val="20"/>
          <w:szCs w:val="20"/>
        </w:rPr>
        <w:t xml:space="preserve">atividad emitida por la CONAC, </w:t>
      </w:r>
      <w:r w:rsidR="00481158" w:rsidRPr="007B6DE3">
        <w:rPr>
          <w:rFonts w:cs="Arial"/>
          <w:bCs/>
          <w:sz w:val="20"/>
          <w:szCs w:val="20"/>
        </w:rPr>
        <w:t xml:space="preserve">las </w:t>
      </w:r>
      <w:r w:rsidR="001969F2" w:rsidRPr="007B6DE3">
        <w:rPr>
          <w:rFonts w:cs="Arial"/>
          <w:bCs/>
          <w:sz w:val="20"/>
          <w:szCs w:val="20"/>
        </w:rPr>
        <w:t>disposiciones</w:t>
      </w:r>
      <w:r w:rsidR="00481158" w:rsidRPr="007B6DE3">
        <w:rPr>
          <w:rFonts w:cs="Arial"/>
          <w:bCs/>
          <w:sz w:val="20"/>
          <w:szCs w:val="20"/>
        </w:rPr>
        <w:t xml:space="preserve"> legales </w:t>
      </w:r>
      <w:r w:rsidR="001969F2" w:rsidRPr="007B6DE3">
        <w:rPr>
          <w:rFonts w:cs="Arial"/>
          <w:bCs/>
          <w:sz w:val="20"/>
          <w:szCs w:val="20"/>
        </w:rPr>
        <w:t>aplicables</w:t>
      </w:r>
      <w:r w:rsidR="00481158" w:rsidRPr="007B6DE3">
        <w:rPr>
          <w:rFonts w:cs="Arial"/>
          <w:bCs/>
          <w:sz w:val="20"/>
          <w:szCs w:val="20"/>
        </w:rPr>
        <w:t xml:space="preserve"> y a los Postulados Básicos de la Contabilidad Gubernamental.</w:t>
      </w:r>
    </w:p>
    <w:p w:rsidR="00254A60" w:rsidRPr="007B6DE3" w:rsidRDefault="00254A60" w:rsidP="00096DDC">
      <w:pPr>
        <w:spacing w:after="0"/>
        <w:jc w:val="both"/>
        <w:rPr>
          <w:rFonts w:cs="Arial"/>
          <w:bCs/>
          <w:sz w:val="20"/>
          <w:szCs w:val="20"/>
        </w:rPr>
      </w:pPr>
    </w:p>
    <w:p w:rsidR="00254A60" w:rsidRPr="007B6DE3" w:rsidRDefault="00254A60" w:rsidP="002C56E7">
      <w:pPr>
        <w:spacing w:after="0"/>
        <w:jc w:val="both"/>
        <w:rPr>
          <w:rFonts w:cs="Arial"/>
          <w:b/>
          <w:bCs/>
          <w:sz w:val="20"/>
          <w:szCs w:val="20"/>
        </w:rPr>
      </w:pPr>
    </w:p>
    <w:p w:rsidR="00254A60" w:rsidRPr="007B6DE3" w:rsidRDefault="00254A60" w:rsidP="00B537F5">
      <w:pPr>
        <w:pStyle w:val="Prrafodelista"/>
        <w:numPr>
          <w:ilvl w:val="0"/>
          <w:numId w:val="14"/>
        </w:numPr>
        <w:spacing w:after="0"/>
        <w:ind w:left="284" w:hanging="284"/>
        <w:jc w:val="both"/>
        <w:rPr>
          <w:rFonts w:eastAsia="Times New Roman" w:cs="Arial"/>
          <w:b/>
          <w:bCs/>
          <w:sz w:val="20"/>
          <w:szCs w:val="20"/>
          <w:lang w:eastAsia="es-ES"/>
        </w:rPr>
      </w:pPr>
      <w:r w:rsidRPr="007B6DE3">
        <w:rPr>
          <w:rFonts w:cs="Arial"/>
          <w:b/>
          <w:bCs/>
          <w:sz w:val="20"/>
          <w:szCs w:val="20"/>
        </w:rPr>
        <w:t>Procesos de Mejora</w:t>
      </w:r>
    </w:p>
    <w:p w:rsidR="00DD4DDA" w:rsidRPr="007B6DE3" w:rsidRDefault="00DD4DDA" w:rsidP="00DD4DDA">
      <w:pPr>
        <w:spacing w:after="0"/>
        <w:ind w:left="360"/>
        <w:jc w:val="both"/>
        <w:rPr>
          <w:rFonts w:eastAsia="Times New Roman" w:cs="Arial"/>
          <w:b/>
          <w:bCs/>
          <w:sz w:val="20"/>
          <w:szCs w:val="20"/>
          <w:lang w:eastAsia="es-ES"/>
        </w:rPr>
      </w:pPr>
    </w:p>
    <w:p w:rsidR="00DD4DDA" w:rsidRPr="007B6DE3" w:rsidRDefault="00DD4DDA" w:rsidP="00271DB1">
      <w:pPr>
        <w:spacing w:after="0"/>
        <w:ind w:firstLine="426"/>
        <w:jc w:val="both"/>
        <w:rPr>
          <w:rFonts w:eastAsia="Times New Roman" w:cs="Arial"/>
          <w:bCs/>
          <w:sz w:val="20"/>
          <w:szCs w:val="20"/>
          <w:lang w:eastAsia="es-ES"/>
        </w:rPr>
      </w:pPr>
      <w:r w:rsidRPr="007B6DE3">
        <w:rPr>
          <w:rFonts w:eastAsia="Times New Roman" w:cs="Arial"/>
          <w:bCs/>
          <w:sz w:val="20"/>
          <w:szCs w:val="20"/>
          <w:lang w:eastAsia="es-ES"/>
        </w:rPr>
        <w:t xml:space="preserve">El </w:t>
      </w:r>
      <w:r w:rsidR="00CD320C" w:rsidRPr="007B6DE3">
        <w:rPr>
          <w:rFonts w:eastAsia="Times New Roman" w:cs="Arial"/>
          <w:bCs/>
          <w:sz w:val="20"/>
          <w:szCs w:val="20"/>
          <w:lang w:eastAsia="es-ES"/>
        </w:rPr>
        <w:t>Tribunal</w:t>
      </w:r>
      <w:r w:rsidRPr="007B6DE3">
        <w:rPr>
          <w:rFonts w:eastAsia="Times New Roman" w:cs="Arial"/>
          <w:bCs/>
          <w:sz w:val="20"/>
          <w:szCs w:val="20"/>
          <w:lang w:eastAsia="es-ES"/>
        </w:rPr>
        <w:t xml:space="preserve"> Electoral del Estado de Yucatán cue</w:t>
      </w:r>
      <w:r w:rsidR="00B537F5" w:rsidRPr="007B6DE3">
        <w:rPr>
          <w:rFonts w:eastAsia="Times New Roman" w:cs="Arial"/>
          <w:bCs/>
          <w:sz w:val="20"/>
          <w:szCs w:val="20"/>
          <w:lang w:eastAsia="es-ES"/>
        </w:rPr>
        <w:t xml:space="preserve">nta con los siguientes manuales, </w:t>
      </w:r>
      <w:r w:rsidRPr="007B6DE3">
        <w:rPr>
          <w:rFonts w:eastAsia="Times New Roman" w:cs="Arial"/>
          <w:bCs/>
          <w:sz w:val="20"/>
          <w:szCs w:val="20"/>
          <w:lang w:eastAsia="es-ES"/>
        </w:rPr>
        <w:t xml:space="preserve">reglamentos </w:t>
      </w:r>
      <w:r w:rsidR="00B537F5" w:rsidRPr="007B6DE3">
        <w:rPr>
          <w:rFonts w:eastAsia="Times New Roman" w:cs="Arial"/>
          <w:bCs/>
          <w:sz w:val="20"/>
          <w:szCs w:val="20"/>
          <w:lang w:eastAsia="es-ES"/>
        </w:rPr>
        <w:t xml:space="preserve"> y planes </w:t>
      </w:r>
      <w:r w:rsidRPr="007B6DE3">
        <w:rPr>
          <w:rFonts w:eastAsia="Times New Roman" w:cs="Arial"/>
          <w:bCs/>
          <w:sz w:val="20"/>
          <w:szCs w:val="20"/>
          <w:lang w:eastAsia="es-ES"/>
        </w:rPr>
        <w:t>de control interno:</w:t>
      </w:r>
    </w:p>
    <w:p w:rsidR="00DD4DDA" w:rsidRPr="007B6DE3" w:rsidRDefault="00271DB1" w:rsidP="00DD4DDA">
      <w:pPr>
        <w:pStyle w:val="Prrafodelista"/>
        <w:numPr>
          <w:ilvl w:val="0"/>
          <w:numId w:val="16"/>
        </w:numPr>
        <w:spacing w:after="0"/>
        <w:jc w:val="both"/>
        <w:rPr>
          <w:rFonts w:eastAsia="Times New Roman" w:cs="Arial"/>
          <w:bCs/>
          <w:sz w:val="20"/>
          <w:szCs w:val="20"/>
          <w:lang w:eastAsia="es-ES"/>
        </w:rPr>
      </w:pPr>
      <w:r w:rsidRPr="007B6DE3">
        <w:rPr>
          <w:rFonts w:eastAsia="Times New Roman" w:cs="Arial"/>
          <w:bCs/>
          <w:sz w:val="20"/>
          <w:szCs w:val="20"/>
          <w:lang w:eastAsia="es-ES"/>
        </w:rPr>
        <w:t>Reglamento del Fondo de Ahorro de los trabajadores del Tribunal Electoral del Estado de Yucatán.</w:t>
      </w:r>
    </w:p>
    <w:p w:rsidR="00271DB1" w:rsidRPr="007B6DE3" w:rsidRDefault="00271DB1" w:rsidP="00271DB1">
      <w:pPr>
        <w:pStyle w:val="Prrafodelista"/>
        <w:numPr>
          <w:ilvl w:val="0"/>
          <w:numId w:val="16"/>
        </w:numPr>
        <w:spacing w:after="0"/>
        <w:jc w:val="both"/>
        <w:rPr>
          <w:rFonts w:eastAsia="Times New Roman" w:cs="Arial"/>
          <w:bCs/>
          <w:sz w:val="20"/>
          <w:szCs w:val="20"/>
          <w:lang w:eastAsia="es-ES"/>
        </w:rPr>
      </w:pPr>
      <w:r w:rsidRPr="007B6DE3">
        <w:rPr>
          <w:rFonts w:eastAsia="Times New Roman" w:cs="Arial"/>
          <w:bCs/>
          <w:sz w:val="20"/>
          <w:szCs w:val="20"/>
          <w:lang w:eastAsia="es-ES"/>
        </w:rPr>
        <w:t xml:space="preserve">Plan </w:t>
      </w:r>
      <w:r w:rsidR="00FD178E" w:rsidRPr="007B6DE3">
        <w:rPr>
          <w:rFonts w:eastAsia="Times New Roman" w:cs="Arial"/>
          <w:bCs/>
          <w:sz w:val="20"/>
          <w:szCs w:val="20"/>
          <w:lang w:eastAsia="es-ES"/>
        </w:rPr>
        <w:t>de Previsión Social para los</w:t>
      </w:r>
      <w:r w:rsidRPr="007B6DE3">
        <w:rPr>
          <w:rFonts w:eastAsia="Times New Roman" w:cs="Arial"/>
          <w:bCs/>
          <w:sz w:val="20"/>
          <w:szCs w:val="20"/>
          <w:lang w:eastAsia="es-ES"/>
        </w:rPr>
        <w:t xml:space="preserve"> trabajadores del Tribunal Electoral del Estado de Yucatán.</w:t>
      </w:r>
    </w:p>
    <w:p w:rsidR="00271DB1" w:rsidRPr="007B6DE3" w:rsidRDefault="00271DB1" w:rsidP="00DD4DDA">
      <w:pPr>
        <w:pStyle w:val="Prrafodelista"/>
        <w:numPr>
          <w:ilvl w:val="0"/>
          <w:numId w:val="16"/>
        </w:numPr>
        <w:spacing w:after="0"/>
        <w:jc w:val="both"/>
        <w:rPr>
          <w:rFonts w:eastAsia="Times New Roman" w:cs="Arial"/>
          <w:bCs/>
          <w:sz w:val="20"/>
          <w:szCs w:val="20"/>
          <w:lang w:eastAsia="es-ES"/>
        </w:rPr>
      </w:pPr>
      <w:r w:rsidRPr="007B6DE3">
        <w:rPr>
          <w:rFonts w:eastAsia="Times New Roman" w:cs="Arial"/>
          <w:bCs/>
          <w:sz w:val="20"/>
          <w:szCs w:val="20"/>
          <w:lang w:eastAsia="es-ES"/>
        </w:rPr>
        <w:t>Manual de Aplicación y Comprobación de Viáticos para el Interior del Estado.</w:t>
      </w:r>
    </w:p>
    <w:p w:rsidR="00271DB1" w:rsidRPr="007B6DE3" w:rsidRDefault="00271DB1" w:rsidP="00DD4DDA">
      <w:pPr>
        <w:pStyle w:val="Prrafodelista"/>
        <w:numPr>
          <w:ilvl w:val="0"/>
          <w:numId w:val="16"/>
        </w:numPr>
        <w:spacing w:after="0"/>
        <w:jc w:val="both"/>
        <w:rPr>
          <w:rFonts w:eastAsia="Times New Roman" w:cs="Arial"/>
          <w:bCs/>
          <w:sz w:val="20"/>
          <w:szCs w:val="20"/>
          <w:lang w:eastAsia="es-ES"/>
        </w:rPr>
      </w:pPr>
      <w:r w:rsidRPr="007B6DE3">
        <w:rPr>
          <w:rFonts w:eastAsia="Times New Roman" w:cs="Arial"/>
          <w:bCs/>
          <w:sz w:val="20"/>
          <w:szCs w:val="20"/>
          <w:lang w:eastAsia="es-ES"/>
        </w:rPr>
        <w:t>Manual de Reembolso por concepto de alimentos a funcionarios y personal del Tribunal Electoral del Estado de Yucatán.</w:t>
      </w:r>
    </w:p>
    <w:p w:rsidR="00271DB1" w:rsidRPr="007B6DE3" w:rsidRDefault="00271DB1" w:rsidP="00DD4DDA">
      <w:pPr>
        <w:pStyle w:val="Prrafodelista"/>
        <w:numPr>
          <w:ilvl w:val="0"/>
          <w:numId w:val="16"/>
        </w:numPr>
        <w:spacing w:after="0"/>
        <w:jc w:val="both"/>
        <w:rPr>
          <w:rFonts w:eastAsia="Times New Roman" w:cs="Arial"/>
          <w:bCs/>
          <w:sz w:val="20"/>
          <w:szCs w:val="20"/>
          <w:lang w:eastAsia="es-ES"/>
        </w:rPr>
      </w:pPr>
      <w:r w:rsidRPr="007B6DE3">
        <w:rPr>
          <w:rFonts w:eastAsia="Times New Roman" w:cs="Arial"/>
          <w:bCs/>
          <w:sz w:val="20"/>
          <w:szCs w:val="20"/>
          <w:lang w:eastAsia="es-ES"/>
        </w:rPr>
        <w:t>Manual de Procedimientos para la asignación y comprobación de viáticos y pasajes fuera del Estado.</w:t>
      </w:r>
    </w:p>
    <w:p w:rsidR="00271DB1" w:rsidRDefault="00271DB1" w:rsidP="00DD4DDA">
      <w:pPr>
        <w:pStyle w:val="Prrafodelista"/>
        <w:numPr>
          <w:ilvl w:val="0"/>
          <w:numId w:val="16"/>
        </w:numPr>
        <w:spacing w:after="0"/>
        <w:jc w:val="both"/>
        <w:rPr>
          <w:rFonts w:eastAsia="Times New Roman" w:cs="Arial"/>
          <w:bCs/>
          <w:sz w:val="20"/>
          <w:szCs w:val="20"/>
          <w:lang w:eastAsia="es-ES"/>
        </w:rPr>
      </w:pPr>
      <w:r w:rsidRPr="007B6DE3">
        <w:rPr>
          <w:rFonts w:eastAsia="Times New Roman" w:cs="Arial"/>
          <w:bCs/>
          <w:sz w:val="20"/>
          <w:szCs w:val="20"/>
          <w:lang w:eastAsia="es-ES"/>
        </w:rPr>
        <w:t>Manual de Reembolso de gastos médicos menores del Tribunal Electoral del Estado de Yucatán.</w:t>
      </w:r>
    </w:p>
    <w:p w:rsidR="00CD6A45" w:rsidRPr="007B6DE3" w:rsidRDefault="00CD6A45" w:rsidP="00DD4DDA">
      <w:pPr>
        <w:pStyle w:val="Prrafodelista"/>
        <w:numPr>
          <w:ilvl w:val="0"/>
          <w:numId w:val="16"/>
        </w:numPr>
        <w:spacing w:after="0"/>
        <w:jc w:val="both"/>
        <w:rPr>
          <w:rFonts w:eastAsia="Times New Roman" w:cs="Arial"/>
          <w:bCs/>
          <w:sz w:val="20"/>
          <w:szCs w:val="20"/>
          <w:lang w:eastAsia="es-ES"/>
        </w:rPr>
      </w:pPr>
      <w:r>
        <w:rPr>
          <w:rFonts w:eastAsia="Times New Roman" w:cs="Arial"/>
          <w:bCs/>
          <w:sz w:val="20"/>
          <w:szCs w:val="20"/>
          <w:lang w:eastAsia="es-ES"/>
        </w:rPr>
        <w:t>Reglamento Interno del Tribunal Electoral del Estado de Yucatán</w:t>
      </w:r>
    </w:p>
    <w:p w:rsidR="003828B4" w:rsidRPr="007B6DE3" w:rsidRDefault="003828B4" w:rsidP="002D2A1B">
      <w:pPr>
        <w:spacing w:after="0"/>
        <w:jc w:val="both"/>
        <w:rPr>
          <w:rFonts w:eastAsia="Times New Roman" w:cs="Arial"/>
          <w:bCs/>
          <w:sz w:val="20"/>
          <w:szCs w:val="20"/>
          <w:lang w:eastAsia="es-ES"/>
        </w:rPr>
      </w:pPr>
    </w:p>
    <w:p w:rsidR="008421B6" w:rsidRDefault="003828B4" w:rsidP="002D2A1B">
      <w:pPr>
        <w:spacing w:after="0"/>
        <w:jc w:val="both"/>
        <w:rPr>
          <w:sz w:val="20"/>
          <w:szCs w:val="20"/>
        </w:rPr>
      </w:pPr>
      <w:r w:rsidRPr="007B6DE3">
        <w:rPr>
          <w:sz w:val="20"/>
          <w:szCs w:val="20"/>
        </w:rPr>
        <w:t>Bajo protesta de decir verdad declaramos que los E</w:t>
      </w:r>
      <w:r w:rsidR="00DF206D">
        <w:rPr>
          <w:sz w:val="20"/>
          <w:szCs w:val="20"/>
        </w:rPr>
        <w:t xml:space="preserve">stados Financieros y sus Notas </w:t>
      </w:r>
      <w:r w:rsidRPr="007B6DE3">
        <w:rPr>
          <w:sz w:val="20"/>
          <w:szCs w:val="20"/>
        </w:rPr>
        <w:t>son razonablemente correctos y</w:t>
      </w:r>
      <w:r w:rsidR="000B6206">
        <w:rPr>
          <w:sz w:val="20"/>
          <w:szCs w:val="20"/>
        </w:rPr>
        <w:t xml:space="preserve"> son responsabilidad del emisor</w:t>
      </w:r>
      <w:r w:rsidRPr="007B6DE3">
        <w:rPr>
          <w:sz w:val="20"/>
          <w:szCs w:val="20"/>
        </w:rPr>
        <w:t>.</w:t>
      </w:r>
      <w:bookmarkStart w:id="0" w:name="_GoBack"/>
      <w:bookmarkEnd w:id="0"/>
    </w:p>
    <w:sectPr w:rsidR="008421B6" w:rsidSect="00DF206D">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4FA"/>
    <w:multiLevelType w:val="hybridMultilevel"/>
    <w:tmpl w:val="AD02A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412B12"/>
    <w:multiLevelType w:val="hybridMultilevel"/>
    <w:tmpl w:val="6C4888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4B3080"/>
    <w:multiLevelType w:val="hybridMultilevel"/>
    <w:tmpl w:val="8BA80CA2"/>
    <w:lvl w:ilvl="0" w:tplc="FFFAB1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2D175F"/>
    <w:multiLevelType w:val="hybridMultilevel"/>
    <w:tmpl w:val="A6849EE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nsid w:val="25FA1126"/>
    <w:multiLevelType w:val="hybridMultilevel"/>
    <w:tmpl w:val="E57670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710051"/>
    <w:multiLevelType w:val="hybridMultilevel"/>
    <w:tmpl w:val="5526E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57504D9"/>
    <w:multiLevelType w:val="hybridMultilevel"/>
    <w:tmpl w:val="66CC23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353084D"/>
    <w:multiLevelType w:val="hybridMultilevel"/>
    <w:tmpl w:val="412CC0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E93AF3"/>
    <w:multiLevelType w:val="hybridMultilevel"/>
    <w:tmpl w:val="66761562"/>
    <w:lvl w:ilvl="0" w:tplc="5B9E3B9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C6C2147"/>
    <w:multiLevelType w:val="hybridMultilevel"/>
    <w:tmpl w:val="9A9E4DBA"/>
    <w:lvl w:ilvl="0" w:tplc="3CB452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CF471DF"/>
    <w:multiLevelType w:val="hybridMultilevel"/>
    <w:tmpl w:val="AB16F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4A0588B"/>
    <w:multiLevelType w:val="hybridMultilevel"/>
    <w:tmpl w:val="2ACC5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70D4CB4"/>
    <w:multiLevelType w:val="hybridMultilevel"/>
    <w:tmpl w:val="73608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751752"/>
    <w:multiLevelType w:val="hybridMultilevel"/>
    <w:tmpl w:val="AA4CBF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B0D1D09"/>
    <w:multiLevelType w:val="hybridMultilevel"/>
    <w:tmpl w:val="5F92CA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BA5297F"/>
    <w:multiLevelType w:val="hybridMultilevel"/>
    <w:tmpl w:val="7E5060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2"/>
  </w:num>
  <w:num w:numId="5">
    <w:abstractNumId w:val="11"/>
  </w:num>
  <w:num w:numId="6">
    <w:abstractNumId w:val="0"/>
  </w:num>
  <w:num w:numId="7">
    <w:abstractNumId w:val="4"/>
  </w:num>
  <w:num w:numId="8">
    <w:abstractNumId w:val="5"/>
  </w:num>
  <w:num w:numId="9">
    <w:abstractNumId w:val="12"/>
  </w:num>
  <w:num w:numId="10">
    <w:abstractNumId w:val="15"/>
  </w:num>
  <w:num w:numId="11">
    <w:abstractNumId w:val="6"/>
  </w:num>
  <w:num w:numId="12">
    <w:abstractNumId w:val="14"/>
  </w:num>
  <w:num w:numId="13">
    <w:abstractNumId w:val="13"/>
  </w:num>
  <w:num w:numId="14">
    <w:abstractNumId w:val="7"/>
  </w:num>
  <w:num w:numId="15">
    <w:abstractNumId w:val="3"/>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14"/>
    <w:rsid w:val="00017D85"/>
    <w:rsid w:val="00020ED2"/>
    <w:rsid w:val="0003082F"/>
    <w:rsid w:val="00052DD7"/>
    <w:rsid w:val="0005623B"/>
    <w:rsid w:val="00076437"/>
    <w:rsid w:val="00096DDC"/>
    <w:rsid w:val="000B6206"/>
    <w:rsid w:val="00101E0B"/>
    <w:rsid w:val="00103691"/>
    <w:rsid w:val="001058FE"/>
    <w:rsid w:val="00114E6B"/>
    <w:rsid w:val="00125606"/>
    <w:rsid w:val="00136B43"/>
    <w:rsid w:val="00171FE1"/>
    <w:rsid w:val="00192E74"/>
    <w:rsid w:val="001969F2"/>
    <w:rsid w:val="001C205A"/>
    <w:rsid w:val="001C25C6"/>
    <w:rsid w:val="001D17DB"/>
    <w:rsid w:val="001F2C89"/>
    <w:rsid w:val="001F4FED"/>
    <w:rsid w:val="001F5347"/>
    <w:rsid w:val="00217F58"/>
    <w:rsid w:val="0022361A"/>
    <w:rsid w:val="00230C2B"/>
    <w:rsid w:val="00246406"/>
    <w:rsid w:val="00254A60"/>
    <w:rsid w:val="00271DB1"/>
    <w:rsid w:val="00276A5B"/>
    <w:rsid w:val="00277739"/>
    <w:rsid w:val="00277868"/>
    <w:rsid w:val="00277C80"/>
    <w:rsid w:val="00286B2C"/>
    <w:rsid w:val="00295865"/>
    <w:rsid w:val="002C0B02"/>
    <w:rsid w:val="002C56E7"/>
    <w:rsid w:val="002C662B"/>
    <w:rsid w:val="002D2A1B"/>
    <w:rsid w:val="002F4E41"/>
    <w:rsid w:val="003243FF"/>
    <w:rsid w:val="003576E1"/>
    <w:rsid w:val="0037248D"/>
    <w:rsid w:val="00375020"/>
    <w:rsid w:val="003828B4"/>
    <w:rsid w:val="0039014F"/>
    <w:rsid w:val="003A12E7"/>
    <w:rsid w:val="003B13FF"/>
    <w:rsid w:val="003C4251"/>
    <w:rsid w:val="003C45FC"/>
    <w:rsid w:val="003D2BB4"/>
    <w:rsid w:val="003D364A"/>
    <w:rsid w:val="0040656D"/>
    <w:rsid w:val="00406C89"/>
    <w:rsid w:val="004357DE"/>
    <w:rsid w:val="00444F88"/>
    <w:rsid w:val="00451239"/>
    <w:rsid w:val="0045587C"/>
    <w:rsid w:val="00481158"/>
    <w:rsid w:val="004A25FA"/>
    <w:rsid w:val="004C0800"/>
    <w:rsid w:val="004C27AF"/>
    <w:rsid w:val="004C328E"/>
    <w:rsid w:val="004C72EE"/>
    <w:rsid w:val="004D6BF7"/>
    <w:rsid w:val="004E5FB7"/>
    <w:rsid w:val="004E72C7"/>
    <w:rsid w:val="004F10F2"/>
    <w:rsid w:val="005014C9"/>
    <w:rsid w:val="00516C63"/>
    <w:rsid w:val="0052076C"/>
    <w:rsid w:val="0052093F"/>
    <w:rsid w:val="00522E6F"/>
    <w:rsid w:val="00546EC4"/>
    <w:rsid w:val="00566463"/>
    <w:rsid w:val="005759B0"/>
    <w:rsid w:val="005962E3"/>
    <w:rsid w:val="005D3804"/>
    <w:rsid w:val="005D5ADA"/>
    <w:rsid w:val="0061532A"/>
    <w:rsid w:val="00617F3D"/>
    <w:rsid w:val="006229DF"/>
    <w:rsid w:val="006247F2"/>
    <w:rsid w:val="006255DD"/>
    <w:rsid w:val="006267B6"/>
    <w:rsid w:val="00632287"/>
    <w:rsid w:val="006516CF"/>
    <w:rsid w:val="00665040"/>
    <w:rsid w:val="006A0E55"/>
    <w:rsid w:val="006C0A3D"/>
    <w:rsid w:val="006E494D"/>
    <w:rsid w:val="006F76B1"/>
    <w:rsid w:val="0070612A"/>
    <w:rsid w:val="00712923"/>
    <w:rsid w:val="00716F9C"/>
    <w:rsid w:val="00720AEE"/>
    <w:rsid w:val="00732B76"/>
    <w:rsid w:val="00740BF6"/>
    <w:rsid w:val="00742AC5"/>
    <w:rsid w:val="00744549"/>
    <w:rsid w:val="00746A18"/>
    <w:rsid w:val="007550FD"/>
    <w:rsid w:val="007A087B"/>
    <w:rsid w:val="007B2C6F"/>
    <w:rsid w:val="007B4A3C"/>
    <w:rsid w:val="007B6DE3"/>
    <w:rsid w:val="007C07ED"/>
    <w:rsid w:val="00821753"/>
    <w:rsid w:val="008421B6"/>
    <w:rsid w:val="00847CE8"/>
    <w:rsid w:val="00853DFF"/>
    <w:rsid w:val="00856135"/>
    <w:rsid w:val="008603DE"/>
    <w:rsid w:val="008808DE"/>
    <w:rsid w:val="008A49C3"/>
    <w:rsid w:val="008A54F9"/>
    <w:rsid w:val="008B32E3"/>
    <w:rsid w:val="008C112B"/>
    <w:rsid w:val="008C390E"/>
    <w:rsid w:val="00904E23"/>
    <w:rsid w:val="00912821"/>
    <w:rsid w:val="00936FAB"/>
    <w:rsid w:val="0094229B"/>
    <w:rsid w:val="00952418"/>
    <w:rsid w:val="00964D46"/>
    <w:rsid w:val="0097065C"/>
    <w:rsid w:val="00977D25"/>
    <w:rsid w:val="009840AD"/>
    <w:rsid w:val="00985CBA"/>
    <w:rsid w:val="009A31EB"/>
    <w:rsid w:val="009A32FC"/>
    <w:rsid w:val="009A388A"/>
    <w:rsid w:val="009A4CDA"/>
    <w:rsid w:val="009C097E"/>
    <w:rsid w:val="009C300D"/>
    <w:rsid w:val="009C7198"/>
    <w:rsid w:val="009E2EAA"/>
    <w:rsid w:val="009E407E"/>
    <w:rsid w:val="009F644C"/>
    <w:rsid w:val="00A271B1"/>
    <w:rsid w:val="00A33F64"/>
    <w:rsid w:val="00A44007"/>
    <w:rsid w:val="00A5590F"/>
    <w:rsid w:val="00A55F99"/>
    <w:rsid w:val="00A561FD"/>
    <w:rsid w:val="00AA074B"/>
    <w:rsid w:val="00AC1323"/>
    <w:rsid w:val="00AD2FAE"/>
    <w:rsid w:val="00AE1816"/>
    <w:rsid w:val="00AF7536"/>
    <w:rsid w:val="00B346EB"/>
    <w:rsid w:val="00B510F2"/>
    <w:rsid w:val="00B537F5"/>
    <w:rsid w:val="00BB1C6B"/>
    <w:rsid w:val="00BB3228"/>
    <w:rsid w:val="00BB62E2"/>
    <w:rsid w:val="00BB6A70"/>
    <w:rsid w:val="00BB7645"/>
    <w:rsid w:val="00BC1C68"/>
    <w:rsid w:val="00BC31E7"/>
    <w:rsid w:val="00BE2232"/>
    <w:rsid w:val="00BE4EEF"/>
    <w:rsid w:val="00BE539D"/>
    <w:rsid w:val="00BF705E"/>
    <w:rsid w:val="00C255BC"/>
    <w:rsid w:val="00C25C04"/>
    <w:rsid w:val="00C27E1A"/>
    <w:rsid w:val="00C4527E"/>
    <w:rsid w:val="00C7563E"/>
    <w:rsid w:val="00C762ED"/>
    <w:rsid w:val="00C8582E"/>
    <w:rsid w:val="00C93C34"/>
    <w:rsid w:val="00CC13C9"/>
    <w:rsid w:val="00CD1C31"/>
    <w:rsid w:val="00CD320C"/>
    <w:rsid w:val="00CD6A45"/>
    <w:rsid w:val="00CD6FAC"/>
    <w:rsid w:val="00D124E9"/>
    <w:rsid w:val="00D35187"/>
    <w:rsid w:val="00D40016"/>
    <w:rsid w:val="00D43220"/>
    <w:rsid w:val="00D54029"/>
    <w:rsid w:val="00D57183"/>
    <w:rsid w:val="00D70041"/>
    <w:rsid w:val="00D84F32"/>
    <w:rsid w:val="00D903C1"/>
    <w:rsid w:val="00DA1224"/>
    <w:rsid w:val="00DA21F0"/>
    <w:rsid w:val="00DA4197"/>
    <w:rsid w:val="00DA44C3"/>
    <w:rsid w:val="00DA4A2A"/>
    <w:rsid w:val="00DB2717"/>
    <w:rsid w:val="00DB4982"/>
    <w:rsid w:val="00DC0896"/>
    <w:rsid w:val="00DD0BEF"/>
    <w:rsid w:val="00DD4DDA"/>
    <w:rsid w:val="00DE0F23"/>
    <w:rsid w:val="00DF206D"/>
    <w:rsid w:val="00E06FC4"/>
    <w:rsid w:val="00E20C8D"/>
    <w:rsid w:val="00E213C0"/>
    <w:rsid w:val="00E43E32"/>
    <w:rsid w:val="00E47914"/>
    <w:rsid w:val="00E765DE"/>
    <w:rsid w:val="00E81BAA"/>
    <w:rsid w:val="00E928C1"/>
    <w:rsid w:val="00EC3FB5"/>
    <w:rsid w:val="00EC7EB2"/>
    <w:rsid w:val="00EE5301"/>
    <w:rsid w:val="00EF14A5"/>
    <w:rsid w:val="00EF3738"/>
    <w:rsid w:val="00EF58C7"/>
    <w:rsid w:val="00F02DE6"/>
    <w:rsid w:val="00F1225E"/>
    <w:rsid w:val="00F17ED3"/>
    <w:rsid w:val="00F21ADB"/>
    <w:rsid w:val="00F22211"/>
    <w:rsid w:val="00F300DF"/>
    <w:rsid w:val="00F34567"/>
    <w:rsid w:val="00F43004"/>
    <w:rsid w:val="00F4360C"/>
    <w:rsid w:val="00F602F1"/>
    <w:rsid w:val="00F64221"/>
    <w:rsid w:val="00F679A1"/>
    <w:rsid w:val="00FB6A26"/>
    <w:rsid w:val="00FD178E"/>
    <w:rsid w:val="00FD68C9"/>
    <w:rsid w:val="00FE5C38"/>
    <w:rsid w:val="00FE7703"/>
    <w:rsid w:val="00FF4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7914"/>
    <w:pPr>
      <w:ind w:left="720"/>
      <w:contextualSpacing/>
    </w:pPr>
  </w:style>
  <w:style w:type="paragraph" w:customStyle="1" w:styleId="Default">
    <w:name w:val="Default"/>
    <w:rsid w:val="00742AC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77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D17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7DB"/>
    <w:rPr>
      <w:rFonts w:ascii="Segoe UI" w:hAnsi="Segoe UI" w:cs="Segoe UI"/>
      <w:sz w:val="18"/>
      <w:szCs w:val="18"/>
    </w:rPr>
  </w:style>
  <w:style w:type="paragraph" w:customStyle="1" w:styleId="Texto">
    <w:name w:val="Texto"/>
    <w:basedOn w:val="Normal"/>
    <w:link w:val="TextoCar"/>
    <w:qFormat/>
    <w:rsid w:val="007B6DE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7B6DE3"/>
    <w:rPr>
      <w:rFonts w:ascii="Arial" w:eastAsia="Times New Roman" w:hAnsi="Arial" w:cs="Arial"/>
      <w:sz w:val="18"/>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7914"/>
    <w:pPr>
      <w:ind w:left="720"/>
      <w:contextualSpacing/>
    </w:pPr>
  </w:style>
  <w:style w:type="paragraph" w:customStyle="1" w:styleId="Default">
    <w:name w:val="Default"/>
    <w:rsid w:val="00742AC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77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D17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7DB"/>
    <w:rPr>
      <w:rFonts w:ascii="Segoe UI" w:hAnsi="Segoe UI" w:cs="Segoe UI"/>
      <w:sz w:val="18"/>
      <w:szCs w:val="18"/>
    </w:rPr>
  </w:style>
  <w:style w:type="paragraph" w:customStyle="1" w:styleId="Texto">
    <w:name w:val="Texto"/>
    <w:basedOn w:val="Normal"/>
    <w:link w:val="TextoCar"/>
    <w:qFormat/>
    <w:rsid w:val="007B6DE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7B6DE3"/>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7116">
      <w:bodyDiv w:val="1"/>
      <w:marLeft w:val="0"/>
      <w:marRight w:val="0"/>
      <w:marTop w:val="0"/>
      <w:marBottom w:val="0"/>
      <w:divBdr>
        <w:top w:val="none" w:sz="0" w:space="0" w:color="auto"/>
        <w:left w:val="none" w:sz="0" w:space="0" w:color="auto"/>
        <w:bottom w:val="none" w:sz="0" w:space="0" w:color="auto"/>
        <w:right w:val="none" w:sz="0" w:space="0" w:color="auto"/>
      </w:divBdr>
    </w:div>
    <w:div w:id="288360294">
      <w:bodyDiv w:val="1"/>
      <w:marLeft w:val="0"/>
      <w:marRight w:val="0"/>
      <w:marTop w:val="0"/>
      <w:marBottom w:val="0"/>
      <w:divBdr>
        <w:top w:val="none" w:sz="0" w:space="0" w:color="auto"/>
        <w:left w:val="none" w:sz="0" w:space="0" w:color="auto"/>
        <w:bottom w:val="none" w:sz="0" w:space="0" w:color="auto"/>
        <w:right w:val="none" w:sz="0" w:space="0" w:color="auto"/>
      </w:divBdr>
    </w:div>
    <w:div w:id="306864294">
      <w:bodyDiv w:val="1"/>
      <w:marLeft w:val="0"/>
      <w:marRight w:val="0"/>
      <w:marTop w:val="0"/>
      <w:marBottom w:val="0"/>
      <w:divBdr>
        <w:top w:val="none" w:sz="0" w:space="0" w:color="auto"/>
        <w:left w:val="none" w:sz="0" w:space="0" w:color="auto"/>
        <w:bottom w:val="none" w:sz="0" w:space="0" w:color="auto"/>
        <w:right w:val="none" w:sz="0" w:space="0" w:color="auto"/>
      </w:divBdr>
    </w:div>
    <w:div w:id="345913107">
      <w:bodyDiv w:val="1"/>
      <w:marLeft w:val="0"/>
      <w:marRight w:val="0"/>
      <w:marTop w:val="0"/>
      <w:marBottom w:val="0"/>
      <w:divBdr>
        <w:top w:val="none" w:sz="0" w:space="0" w:color="auto"/>
        <w:left w:val="none" w:sz="0" w:space="0" w:color="auto"/>
        <w:bottom w:val="none" w:sz="0" w:space="0" w:color="auto"/>
        <w:right w:val="none" w:sz="0" w:space="0" w:color="auto"/>
      </w:divBdr>
    </w:div>
    <w:div w:id="668752469">
      <w:bodyDiv w:val="1"/>
      <w:marLeft w:val="0"/>
      <w:marRight w:val="0"/>
      <w:marTop w:val="0"/>
      <w:marBottom w:val="0"/>
      <w:divBdr>
        <w:top w:val="none" w:sz="0" w:space="0" w:color="auto"/>
        <w:left w:val="none" w:sz="0" w:space="0" w:color="auto"/>
        <w:bottom w:val="none" w:sz="0" w:space="0" w:color="auto"/>
        <w:right w:val="none" w:sz="0" w:space="0" w:color="auto"/>
      </w:divBdr>
    </w:div>
    <w:div w:id="707223603">
      <w:bodyDiv w:val="1"/>
      <w:marLeft w:val="0"/>
      <w:marRight w:val="0"/>
      <w:marTop w:val="0"/>
      <w:marBottom w:val="0"/>
      <w:divBdr>
        <w:top w:val="none" w:sz="0" w:space="0" w:color="auto"/>
        <w:left w:val="none" w:sz="0" w:space="0" w:color="auto"/>
        <w:bottom w:val="none" w:sz="0" w:space="0" w:color="auto"/>
        <w:right w:val="none" w:sz="0" w:space="0" w:color="auto"/>
      </w:divBdr>
    </w:div>
    <w:div w:id="857505410">
      <w:bodyDiv w:val="1"/>
      <w:marLeft w:val="0"/>
      <w:marRight w:val="0"/>
      <w:marTop w:val="0"/>
      <w:marBottom w:val="0"/>
      <w:divBdr>
        <w:top w:val="none" w:sz="0" w:space="0" w:color="auto"/>
        <w:left w:val="none" w:sz="0" w:space="0" w:color="auto"/>
        <w:bottom w:val="none" w:sz="0" w:space="0" w:color="auto"/>
        <w:right w:val="none" w:sz="0" w:space="0" w:color="auto"/>
      </w:divBdr>
    </w:div>
    <w:div w:id="12171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Alvar Ricardo Cachón Pérez</cp:lastModifiedBy>
  <cp:revision>3</cp:revision>
  <cp:lastPrinted>2016-04-29T19:05:00Z</cp:lastPrinted>
  <dcterms:created xsi:type="dcterms:W3CDTF">2017-04-26T17:02:00Z</dcterms:created>
  <dcterms:modified xsi:type="dcterms:W3CDTF">2018-05-07T18:44:00Z</dcterms:modified>
</cp:coreProperties>
</file>