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2341"/>
        <w:tblW w:w="15053" w:type="dxa"/>
        <w:tblCellMar>
          <w:left w:w="70" w:type="dxa"/>
          <w:right w:w="70" w:type="dxa"/>
        </w:tblCellMar>
        <w:tblLook w:val="04A0" w:firstRow="1" w:lastRow="0" w:firstColumn="1" w:lastColumn="0" w:noHBand="0" w:noVBand="1"/>
      </w:tblPr>
      <w:tblGrid>
        <w:gridCol w:w="1159"/>
        <w:gridCol w:w="4074"/>
        <w:gridCol w:w="2303"/>
        <w:gridCol w:w="2978"/>
        <w:gridCol w:w="2695"/>
        <w:gridCol w:w="1844"/>
      </w:tblGrid>
      <w:tr w:rsidR="008939F8" w:rsidRPr="00596BA3" w:rsidTr="00AE158E">
        <w:trPr>
          <w:trHeight w:val="104"/>
        </w:trPr>
        <w:tc>
          <w:tcPr>
            <w:tcW w:w="15053" w:type="dxa"/>
            <w:gridSpan w:val="6"/>
            <w:tcBorders>
              <w:top w:val="nil"/>
              <w:left w:val="nil"/>
              <w:bottom w:val="nil"/>
              <w:right w:val="nil"/>
            </w:tcBorders>
            <w:shd w:val="clear" w:color="auto" w:fill="auto"/>
            <w:noWrap/>
            <w:vAlign w:val="center"/>
            <w:hideMark/>
          </w:tcPr>
          <w:p w:rsidR="00596BA3" w:rsidRPr="006D5405" w:rsidRDefault="00596BA3" w:rsidP="00596BA3">
            <w:pPr>
              <w:spacing w:line="240" w:lineRule="auto"/>
              <w:jc w:val="center"/>
              <w:rPr>
                <w:rFonts w:cs="Arial"/>
                <w:b/>
                <w:sz w:val="20"/>
                <w:szCs w:val="20"/>
              </w:rPr>
            </w:pPr>
            <w:bookmarkStart w:id="0" w:name="RANGE!A2:F445"/>
            <w:r>
              <w:rPr>
                <w:rFonts w:cs="Arial"/>
                <w:b/>
                <w:sz w:val="20"/>
                <w:szCs w:val="20"/>
              </w:rPr>
              <w:t>Cuenta Pública 2017</w:t>
            </w:r>
          </w:p>
          <w:p w:rsidR="00596BA3" w:rsidRPr="006D5405" w:rsidRDefault="00596BA3" w:rsidP="00596BA3">
            <w:pPr>
              <w:spacing w:line="240" w:lineRule="auto"/>
              <w:jc w:val="center"/>
              <w:rPr>
                <w:rFonts w:cs="Arial"/>
                <w:b/>
                <w:sz w:val="20"/>
                <w:szCs w:val="20"/>
              </w:rPr>
            </w:pPr>
            <w:r w:rsidRPr="006D5405">
              <w:rPr>
                <w:rFonts w:cs="Arial"/>
                <w:b/>
                <w:sz w:val="20"/>
                <w:szCs w:val="20"/>
              </w:rPr>
              <w:t>Notas a los Estados Financieros</w:t>
            </w:r>
          </w:p>
          <w:p w:rsidR="00596BA3" w:rsidRPr="006D5405" w:rsidRDefault="00596BA3" w:rsidP="00596BA3">
            <w:pPr>
              <w:spacing w:line="240" w:lineRule="auto"/>
              <w:jc w:val="center"/>
              <w:rPr>
                <w:rFonts w:cs="Arial"/>
                <w:b/>
                <w:sz w:val="20"/>
                <w:szCs w:val="20"/>
              </w:rPr>
            </w:pPr>
            <w:r>
              <w:rPr>
                <w:rFonts w:cs="Arial"/>
                <w:b/>
                <w:sz w:val="20"/>
                <w:szCs w:val="20"/>
              </w:rPr>
              <w:t>Al  31 de Marzo de 2017</w:t>
            </w:r>
          </w:p>
          <w:p w:rsidR="00596BA3" w:rsidRPr="006D5405" w:rsidRDefault="00596BA3" w:rsidP="00596BA3">
            <w:pPr>
              <w:pStyle w:val="Texto"/>
              <w:jc w:val="center"/>
              <w:rPr>
                <w:rFonts w:asciiTheme="minorHAnsi" w:hAnsiTheme="minorHAnsi"/>
                <w:b/>
                <w:sz w:val="20"/>
              </w:rPr>
            </w:pPr>
            <w:r w:rsidRPr="006D5405">
              <w:rPr>
                <w:rFonts w:asciiTheme="minorHAnsi" w:hAnsiTheme="minorHAnsi"/>
                <w:b/>
                <w:sz w:val="20"/>
              </w:rPr>
              <w:t>(Pesos)</w:t>
            </w:r>
          </w:p>
          <w:p w:rsidR="00596BA3" w:rsidRPr="006D5405" w:rsidRDefault="00596BA3" w:rsidP="00596BA3">
            <w:pPr>
              <w:tabs>
                <w:tab w:val="left" w:pos="6060"/>
              </w:tabs>
              <w:spacing w:after="0"/>
              <w:jc w:val="both"/>
              <w:rPr>
                <w:b/>
                <w:sz w:val="20"/>
                <w:szCs w:val="20"/>
                <w:lang w:val="es-ES"/>
              </w:rPr>
            </w:pPr>
          </w:p>
          <w:p w:rsidR="00596BA3" w:rsidRPr="006D5405" w:rsidRDefault="00596BA3" w:rsidP="00596BA3">
            <w:pPr>
              <w:tabs>
                <w:tab w:val="left" w:pos="6060"/>
              </w:tabs>
              <w:spacing w:after="0"/>
              <w:jc w:val="both"/>
              <w:rPr>
                <w:b/>
                <w:sz w:val="20"/>
                <w:szCs w:val="20"/>
                <w:lang w:val="es-ES"/>
              </w:rPr>
            </w:pPr>
            <w:r w:rsidRPr="006D5405">
              <w:rPr>
                <w:b/>
                <w:sz w:val="20"/>
                <w:szCs w:val="20"/>
                <w:lang w:val="es-ES"/>
              </w:rPr>
              <w:t>Ente Público:  UNIVERSIDAD AUTÓNOMA DE YUCATÁN</w:t>
            </w:r>
          </w:p>
          <w:bookmarkEnd w:id="0"/>
          <w:p w:rsidR="008939F8" w:rsidRPr="00596BA3" w:rsidRDefault="008939F8" w:rsidP="00596BA3">
            <w:pPr>
              <w:spacing w:after="0" w:line="240" w:lineRule="auto"/>
              <w:jc w:val="center"/>
              <w:rPr>
                <w:rFonts w:eastAsia="Times New Roman" w:cs="Times New Roman"/>
                <w:b/>
                <w:bCs/>
                <w:color w:val="000000"/>
                <w:sz w:val="20"/>
                <w:szCs w:val="20"/>
                <w:lang w:eastAsia="es-MX"/>
              </w:rPr>
            </w:pPr>
          </w:p>
        </w:tc>
      </w:tr>
      <w:tr w:rsidR="008939F8" w:rsidRPr="00596BA3" w:rsidTr="00AE158E">
        <w:trPr>
          <w:trHeight w:val="104"/>
        </w:trPr>
        <w:tc>
          <w:tcPr>
            <w:tcW w:w="15053" w:type="dxa"/>
            <w:gridSpan w:val="6"/>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i/>
                <w:iCs/>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b/>
                <w:bCs/>
                <w:i/>
                <w:iCs/>
                <w:sz w:val="20"/>
                <w:szCs w:val="20"/>
                <w:lang w:eastAsia="es-MX"/>
              </w:rPr>
            </w:pPr>
          </w:p>
        </w:tc>
        <w:tc>
          <w:tcPr>
            <w:tcW w:w="407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1. NOTAS DE GESTION ADMINISTRATIVA</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Introducción</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r>
      <w:tr w:rsidR="008939F8" w:rsidRPr="00596BA3" w:rsidTr="00AE158E">
        <w:trPr>
          <w:trHeight w:val="468"/>
        </w:trPr>
        <w:tc>
          <w:tcPr>
            <w:tcW w:w="15053" w:type="dxa"/>
            <w:gridSpan w:val="6"/>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r w:rsidRPr="00596BA3">
              <w:rPr>
                <w:rFonts w:eastAsia="Times New Roman" w:cs="Times New Roman"/>
                <w:sz w:val="20"/>
                <w:szCs w:val="20"/>
                <w:lang w:eastAsia="es-MX"/>
              </w:rPr>
              <w:t>Los estados financieros de la Universidad Autónoma de Yucatán, proveen información financiera a los principales usuarios de la misma, al congreso y a los ciudadanos. El objetivo del presente documento es la revelación del contexto y de los aspectos económicos financieros más relevantes que influyeron en las decisiones del período y que deberán ser considerados en la elaboración de los estados financieros para mayor comprensión de los mismos y sus particularidades. De esta manera, se informa y explica la respuesta de la Universidad Autónoma de Yucatán a las condiciones relacionadas con la información financiera de cada período de gestión; además de exponer aquellas políticas que podrían afectar la toma de decisiones en períodos posteriores.</w:t>
            </w:r>
          </w:p>
        </w:tc>
      </w:tr>
      <w:tr w:rsidR="008939F8" w:rsidRPr="00596BA3" w:rsidTr="00AE158E">
        <w:trPr>
          <w:trHeight w:val="122"/>
        </w:trPr>
        <w:tc>
          <w:tcPr>
            <w:tcW w:w="1159"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407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978"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695"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1.1 Autorización e Historia</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336"/>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En septiembre de 1984, siendo Rector de la Universidad el Ing. Alvaro J. Mimenza Cuevas, el Gobernador del estado, Sr. Víctor Cervera Pacheco, promulgó una nueva Ley Orgánica y el nombre de Universidad Autónoma de Yucatán rige a la Casa de Altos Estudios hasta la fecha.</w:t>
            </w:r>
          </w:p>
        </w:tc>
      </w:tr>
      <w:tr w:rsidR="008939F8" w:rsidRPr="00596BA3" w:rsidTr="00AE158E">
        <w:trPr>
          <w:trHeight w:val="232"/>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La Universidad Autónoma de Yucatán es una institución de enseñanza superior, Autónoma por Ley, descentralizada del Estado, para organizar, administrar y desarrollar sus fines, con plena capacidad, personalidad jurídica y patrimonio propio.</w:t>
            </w:r>
          </w:p>
        </w:tc>
      </w:tr>
      <w:tr w:rsidR="008939F8" w:rsidRPr="00596BA3" w:rsidTr="00AE158E">
        <w:trPr>
          <w:trHeight w:val="269"/>
        </w:trPr>
        <w:tc>
          <w:tcPr>
            <w:tcW w:w="15053" w:type="dxa"/>
            <w:gridSpan w:val="6"/>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La Universidad Autónoma de Yucatán tiene por finalidades: Educar, generar el conocimiento y difundir la cultura en beneficio de la sociedad, para lo cual debe:</w:t>
            </w:r>
          </w:p>
        </w:tc>
      </w:tr>
      <w:tr w:rsidR="008939F8" w:rsidRPr="00596BA3" w:rsidTr="00AE158E">
        <w:trPr>
          <w:trHeight w:val="220"/>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I.- Formar profesionales, Investigadores y maestros universitarios de acuerdo a las necesidades económicas, sociales y políticas de la entidad, de la región y de la Nación.</w:t>
            </w:r>
          </w:p>
        </w:tc>
      </w:tr>
      <w:tr w:rsidR="008939F8" w:rsidRPr="00596BA3" w:rsidTr="00AE158E">
        <w:trPr>
          <w:trHeight w:val="171"/>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II.- Fomentar y realizar investigación científica y humanística.</w:t>
            </w:r>
          </w:p>
        </w:tc>
      </w:tr>
      <w:tr w:rsidR="008939F8" w:rsidRPr="00596BA3" w:rsidTr="00AE158E">
        <w:trPr>
          <w:trHeight w:val="165"/>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III.- Extender los beneficios de la cultura a la sociedad.</w:t>
            </w:r>
          </w:p>
        </w:tc>
      </w:tr>
      <w:tr w:rsidR="008939F8" w:rsidRPr="00596BA3" w:rsidTr="00AE158E">
        <w:trPr>
          <w:trHeight w:val="177"/>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Para realizar sus fines, la Universidad Autónoma de Yucatán se fundamenta en los principios de la libertad de cátedra e investigación y de libre examen y discusión de las ideas, conforme a lo establecido en la fracción VIII del Artículo 3° constitucional.</w:t>
            </w:r>
          </w:p>
        </w:tc>
      </w:tr>
      <w:tr w:rsidR="008939F8" w:rsidRPr="00596BA3" w:rsidTr="00AE158E">
        <w:trPr>
          <w:trHeight w:val="122"/>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89"/>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lastRenderedPageBreak/>
              <w:t>Para el logro de sus fines, La Universidad Autónoma de Yucatán, ejercerá las siguientes funciones:</w:t>
            </w:r>
          </w:p>
        </w:tc>
      </w:tr>
      <w:tr w:rsidR="008939F8" w:rsidRPr="00596BA3" w:rsidTr="00AE158E">
        <w:trPr>
          <w:trHeight w:val="189"/>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I.- La docente, que consiste en la transmisión y avance del conocimiento. </w:t>
            </w:r>
          </w:p>
        </w:tc>
      </w:tr>
      <w:tr w:rsidR="008939F8" w:rsidRPr="00596BA3" w:rsidTr="00AE158E">
        <w:trPr>
          <w:trHeight w:val="195"/>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II.- La investigadora, que consiste en la generación y avance del conocimiento.</w:t>
            </w:r>
          </w:p>
        </w:tc>
      </w:tr>
      <w:tr w:rsidR="008939F8" w:rsidRPr="00596BA3" w:rsidTr="00AE158E">
        <w:trPr>
          <w:trHeight w:val="177"/>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III.- La difusora, que consiste en la divulgación del conocimiento y la cultura a la sociedad; y</w:t>
            </w:r>
          </w:p>
        </w:tc>
      </w:tr>
      <w:tr w:rsidR="008939F8" w:rsidRPr="00596BA3" w:rsidTr="00AE158E">
        <w:trPr>
          <w:trHeight w:val="214"/>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IV.- La de servicio, que comprende aquellas actividades con las que la Universidad directamente promueve el desarrollo y el bienestar de su comunidad.</w:t>
            </w:r>
          </w:p>
        </w:tc>
      </w:tr>
      <w:tr w:rsidR="008939F8" w:rsidRPr="00596BA3" w:rsidTr="00AE158E">
        <w:trPr>
          <w:trHeight w:val="159"/>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269"/>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La Universidad Autónoma de Yucatán imparte educación superior de licenciatura, maestría y doctorado, cursos de actualización y especialización, en sus modalidades escolar y extraescolar, así como la de bachillerato o su equivalente.</w:t>
            </w:r>
          </w:p>
        </w:tc>
      </w:tr>
      <w:tr w:rsidR="008939F8" w:rsidRPr="00596BA3" w:rsidTr="00AE158E">
        <w:trPr>
          <w:trHeight w:val="122"/>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263"/>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A partir del 2007 se inicia la integración de las áreas del conocimiento mediante su agrupamiento físico en campus agrupando las dependencias universitarias como sigue:</w:t>
            </w:r>
          </w:p>
        </w:tc>
      </w:tr>
      <w:tr w:rsidR="008939F8" w:rsidRPr="00596BA3" w:rsidTr="00AE158E">
        <w:trPr>
          <w:trHeight w:val="122"/>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r w:rsidRPr="00596BA3">
              <w:rPr>
                <w:rFonts w:eastAsia="Times New Roman" w:cs="Times New Roman"/>
                <w:b/>
                <w:bCs/>
                <w:color w:val="000000"/>
                <w:sz w:val="20"/>
                <w:szCs w:val="20"/>
                <w:u w:val="single"/>
                <w:lang w:eastAsia="es-MX"/>
              </w:rPr>
              <w:t>Campus de Ingeniería y Ciencias Exactas</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Facultad de Ingeniería</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Facultad de Ingeniería Química</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Facultad de Matemáticas</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7536" w:type="dxa"/>
            <w:gridSpan w:val="3"/>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r w:rsidRPr="00596BA3">
              <w:rPr>
                <w:rFonts w:eastAsia="Times New Roman" w:cs="Times New Roman"/>
                <w:b/>
                <w:bCs/>
                <w:color w:val="000000"/>
                <w:sz w:val="20"/>
                <w:szCs w:val="20"/>
                <w:u w:val="single"/>
                <w:lang w:eastAsia="es-MX"/>
              </w:rPr>
              <w:t>Campus de Ciencias Biológicas y Agropecuarias</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7536" w:type="dxa"/>
            <w:gridSpan w:val="3"/>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Facultad de Medicina Veterinaria y Zootecnia</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r w:rsidRPr="00596BA3">
              <w:rPr>
                <w:rFonts w:eastAsia="Times New Roman" w:cs="Times New Roman"/>
                <w:b/>
                <w:bCs/>
                <w:color w:val="000000"/>
                <w:sz w:val="20"/>
                <w:szCs w:val="20"/>
                <w:u w:val="single"/>
                <w:lang w:eastAsia="es-MX"/>
              </w:rPr>
              <w:t>Campus de Ciencias de la Salud</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Facultad de Enfermería</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Facultad de Medicina</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Facultad de Odontología </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Facultad de Química</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r w:rsidRPr="00596BA3">
              <w:rPr>
                <w:rFonts w:eastAsia="Times New Roman" w:cs="Times New Roman"/>
                <w:b/>
                <w:bCs/>
                <w:color w:val="000000"/>
                <w:sz w:val="20"/>
                <w:szCs w:val="20"/>
                <w:u w:val="single"/>
                <w:lang w:eastAsia="es-MX"/>
              </w:rPr>
              <w:t xml:space="preserve">Campus de Ciencias Sociales </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Facultad de Ciencias Antropológicas</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7536" w:type="dxa"/>
            <w:gridSpan w:val="3"/>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Facultad de Contaduría  y Administración</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Facultad de Educación</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Facultad de Derecho</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Facultad de Economía</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Facultad de Psicología</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303160" w:rsidRPr="00596BA3" w:rsidTr="00613B90">
        <w:trPr>
          <w:trHeight w:val="122"/>
        </w:trPr>
        <w:tc>
          <w:tcPr>
            <w:tcW w:w="5233" w:type="dxa"/>
            <w:gridSpan w:val="2"/>
            <w:tcBorders>
              <w:top w:val="nil"/>
              <w:left w:val="nil"/>
              <w:bottom w:val="nil"/>
              <w:right w:val="nil"/>
            </w:tcBorders>
            <w:shd w:val="clear" w:color="auto" w:fill="auto"/>
            <w:noWrap/>
            <w:vAlign w:val="center"/>
          </w:tcPr>
          <w:p w:rsidR="00303160" w:rsidRPr="00596BA3" w:rsidRDefault="00303160" w:rsidP="00596BA3">
            <w:pPr>
              <w:spacing w:after="0" w:line="240" w:lineRule="auto"/>
              <w:rPr>
                <w:rFonts w:eastAsia="Times New Roman" w:cs="Times New Roman"/>
                <w:b/>
                <w:bCs/>
                <w:color w:val="000000"/>
                <w:sz w:val="20"/>
                <w:szCs w:val="20"/>
                <w:u w:val="single"/>
                <w:lang w:eastAsia="es-MX"/>
              </w:rPr>
            </w:pPr>
          </w:p>
        </w:tc>
        <w:tc>
          <w:tcPr>
            <w:tcW w:w="2303" w:type="dxa"/>
            <w:tcBorders>
              <w:top w:val="nil"/>
              <w:left w:val="nil"/>
              <w:bottom w:val="nil"/>
              <w:right w:val="nil"/>
            </w:tcBorders>
            <w:shd w:val="clear" w:color="auto" w:fill="auto"/>
            <w:noWrap/>
            <w:vAlign w:val="bottom"/>
          </w:tcPr>
          <w:p w:rsidR="00303160" w:rsidRPr="00596BA3" w:rsidRDefault="00303160" w:rsidP="00596BA3">
            <w:pPr>
              <w:spacing w:after="0" w:line="240" w:lineRule="auto"/>
              <w:rPr>
                <w:rFonts w:eastAsia="Times New Roman" w:cs="Times New Roman"/>
                <w:b/>
                <w:bCs/>
                <w:color w:val="000000"/>
                <w:sz w:val="20"/>
                <w:szCs w:val="20"/>
                <w:u w:val="single"/>
                <w:lang w:eastAsia="es-MX"/>
              </w:rPr>
            </w:pPr>
          </w:p>
        </w:tc>
        <w:tc>
          <w:tcPr>
            <w:tcW w:w="2978" w:type="dxa"/>
            <w:tcBorders>
              <w:top w:val="nil"/>
              <w:left w:val="nil"/>
              <w:bottom w:val="nil"/>
              <w:right w:val="nil"/>
            </w:tcBorders>
            <w:shd w:val="clear" w:color="auto" w:fill="auto"/>
            <w:noWrap/>
            <w:vAlign w:val="bottom"/>
          </w:tcPr>
          <w:p w:rsidR="00303160" w:rsidRPr="00596BA3" w:rsidRDefault="00303160"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tcPr>
          <w:p w:rsidR="00303160" w:rsidRPr="00596BA3" w:rsidRDefault="00303160"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303160" w:rsidRPr="00596BA3" w:rsidRDefault="00303160"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r w:rsidRPr="00596BA3">
              <w:rPr>
                <w:rFonts w:eastAsia="Times New Roman" w:cs="Times New Roman"/>
                <w:b/>
                <w:bCs/>
                <w:color w:val="000000"/>
                <w:sz w:val="20"/>
                <w:szCs w:val="20"/>
                <w:u w:val="single"/>
                <w:lang w:eastAsia="es-MX"/>
              </w:rPr>
              <w:lastRenderedPageBreak/>
              <w:t>Campus de Arquitectura, Arte y Diseño</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Facultad de Arquitectura</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7536" w:type="dxa"/>
            <w:gridSpan w:val="3"/>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Campus Tizimín</w:t>
            </w:r>
            <w:r w:rsidRPr="00596BA3">
              <w:rPr>
                <w:rFonts w:eastAsia="Times New Roman" w:cs="Times New Roman"/>
                <w:color w:val="000000"/>
                <w:sz w:val="20"/>
                <w:szCs w:val="20"/>
                <w:lang w:eastAsia="es-MX"/>
              </w:rPr>
              <w:t xml:space="preserve"> y un </w:t>
            </w:r>
            <w:r w:rsidRPr="00596BA3">
              <w:rPr>
                <w:rFonts w:eastAsia="Times New Roman" w:cs="Times New Roman"/>
                <w:b/>
                <w:bCs/>
                <w:color w:val="000000"/>
                <w:sz w:val="20"/>
                <w:szCs w:val="20"/>
                <w:lang w:eastAsia="es-MX"/>
              </w:rPr>
              <w:t>Centro de Investigaciones Regionales</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1.2 Fuentes de financiamiento.</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303160" w:rsidRPr="00596BA3" w:rsidTr="00613B90">
        <w:trPr>
          <w:trHeight w:val="122"/>
        </w:trPr>
        <w:tc>
          <w:tcPr>
            <w:tcW w:w="13209" w:type="dxa"/>
            <w:gridSpan w:val="5"/>
            <w:tcBorders>
              <w:top w:val="nil"/>
              <w:left w:val="nil"/>
              <w:bottom w:val="nil"/>
              <w:right w:val="nil"/>
            </w:tcBorders>
            <w:shd w:val="clear" w:color="auto" w:fill="auto"/>
            <w:noWrap/>
            <w:vAlign w:val="center"/>
          </w:tcPr>
          <w:p w:rsidR="00303160" w:rsidRPr="00596BA3" w:rsidRDefault="00303160" w:rsidP="00596BA3">
            <w:pPr>
              <w:spacing w:after="0" w:line="240" w:lineRule="auto"/>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tcPr>
          <w:p w:rsidR="00303160" w:rsidRPr="00596BA3" w:rsidRDefault="00303160" w:rsidP="00596BA3">
            <w:pPr>
              <w:spacing w:after="0" w:line="240" w:lineRule="auto"/>
              <w:rPr>
                <w:rFonts w:eastAsia="Times New Roman" w:cs="Times New Roman"/>
                <w:color w:val="000000"/>
                <w:sz w:val="20"/>
                <w:szCs w:val="20"/>
                <w:lang w:eastAsia="es-MX"/>
              </w:rPr>
            </w:pPr>
          </w:p>
        </w:tc>
      </w:tr>
      <w:tr w:rsidR="008939F8" w:rsidRPr="00596BA3" w:rsidTr="00613B90">
        <w:trPr>
          <w:trHeight w:val="122"/>
        </w:trPr>
        <w:tc>
          <w:tcPr>
            <w:tcW w:w="13209" w:type="dxa"/>
            <w:gridSpan w:val="5"/>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En el aspecto económico la Universidad Autónoma de Yucatán cuenta con los siguientes ingresos:</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Aportaciones del gobierno federal.</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Aportaciones del gobierno estatal.</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Ingresos propios.</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95"/>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Aportaciones de diversas instituciones y fundaciones para programas de investigación, programas específicos de acuerdo a los convenios que se celebren con estos organismos.</w:t>
            </w:r>
          </w:p>
        </w:tc>
      </w:tr>
      <w:tr w:rsidR="008939F8" w:rsidRPr="00596BA3" w:rsidTr="00AE158E">
        <w:trPr>
          <w:trHeight w:val="122"/>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83"/>
        </w:trPr>
        <w:tc>
          <w:tcPr>
            <w:tcW w:w="7536" w:type="dxa"/>
            <w:gridSpan w:val="3"/>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1.3 Bases de preparación de los estados financieros</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214"/>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i/>
                <w:iCs/>
                <w:color w:val="000000"/>
                <w:sz w:val="20"/>
                <w:szCs w:val="20"/>
                <w:lang w:eastAsia="es-MX"/>
              </w:rPr>
            </w:pPr>
            <w:r w:rsidRPr="00596BA3">
              <w:rPr>
                <w:rFonts w:eastAsia="Times New Roman" w:cs="Times New Roman"/>
                <w:i/>
                <w:iCs/>
                <w:color w:val="000000"/>
                <w:sz w:val="20"/>
                <w:szCs w:val="20"/>
                <w:lang w:eastAsia="es-MX"/>
              </w:rPr>
              <w:t>Unidad monetaria.</w:t>
            </w:r>
            <w:r w:rsidRPr="00596BA3">
              <w:rPr>
                <w:rFonts w:eastAsia="Times New Roman" w:cs="Times New Roman"/>
                <w:color w:val="000000"/>
                <w:sz w:val="20"/>
                <w:szCs w:val="20"/>
                <w:lang w:eastAsia="es-MX"/>
              </w:rPr>
              <w:t xml:space="preserve"> Los estados financieros están presentados en pesos,  unidad monetaria vigente en nuestro país y expresados en miles de pesos.</w:t>
            </w:r>
          </w:p>
        </w:tc>
      </w:tr>
      <w:tr w:rsidR="008939F8" w:rsidRPr="00596BA3" w:rsidTr="00AE158E">
        <w:trPr>
          <w:trHeight w:val="446"/>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i/>
                <w:iCs/>
                <w:color w:val="000000"/>
                <w:sz w:val="20"/>
                <w:szCs w:val="20"/>
                <w:lang w:eastAsia="es-MX"/>
              </w:rPr>
            </w:pPr>
            <w:r w:rsidRPr="00596BA3">
              <w:rPr>
                <w:rFonts w:eastAsia="Times New Roman" w:cs="Times New Roman"/>
                <w:i/>
                <w:iCs/>
                <w:color w:val="000000"/>
                <w:sz w:val="20"/>
                <w:szCs w:val="20"/>
                <w:lang w:eastAsia="es-MX"/>
              </w:rPr>
              <w:t xml:space="preserve">Sistema de registro. </w:t>
            </w:r>
            <w:r w:rsidRPr="00596BA3">
              <w:rPr>
                <w:rFonts w:eastAsia="Times New Roman" w:cs="Times New Roman"/>
                <w:color w:val="000000"/>
                <w:sz w:val="20"/>
                <w:szCs w:val="20"/>
                <w:lang w:eastAsia="es-MX"/>
              </w:rPr>
              <w:t>En el año del 2000 la Universidad Autónoma de Yucatán adopta el “Sistema de Contabilidad de Fondos” que consiste en registrar los recursos financieros clasificándolos para propósitos contables y de reporte, de acuerdo a su utilización y en concordancia con las leyes, normas, restricciones o limitaciones impuestas por las fuentes externas de la institución.</w:t>
            </w:r>
          </w:p>
        </w:tc>
      </w:tr>
      <w:tr w:rsidR="008939F8" w:rsidRPr="00596BA3" w:rsidTr="00AE158E">
        <w:trPr>
          <w:trHeight w:val="275"/>
        </w:trPr>
        <w:tc>
          <w:tcPr>
            <w:tcW w:w="15053" w:type="dxa"/>
            <w:gridSpan w:val="6"/>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El criterio esencial para la clasificación de los fondos es el destino o aplicación de los recursos que lo componen. La contabilidad consolidada de la Institución consiste en la suma de estos fondos.</w:t>
            </w:r>
          </w:p>
        </w:tc>
      </w:tr>
      <w:tr w:rsidR="008939F8" w:rsidRPr="00596BA3" w:rsidTr="00AE158E">
        <w:trPr>
          <w:trHeight w:val="122"/>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303160" w:rsidRPr="00596BA3" w:rsidTr="00AE158E">
        <w:trPr>
          <w:trHeight w:val="269"/>
        </w:trPr>
        <w:tc>
          <w:tcPr>
            <w:tcW w:w="10514" w:type="dxa"/>
            <w:gridSpan w:val="4"/>
            <w:tcBorders>
              <w:top w:val="nil"/>
              <w:left w:val="nil"/>
              <w:bottom w:val="nil"/>
              <w:right w:val="nil"/>
            </w:tcBorders>
            <w:shd w:val="clear" w:color="auto" w:fill="auto"/>
            <w:noWrap/>
            <w:vAlign w:val="center"/>
          </w:tcPr>
          <w:p w:rsidR="00303160" w:rsidRPr="00596BA3" w:rsidRDefault="00303160" w:rsidP="00596BA3">
            <w:pPr>
              <w:spacing w:after="0" w:line="240" w:lineRule="auto"/>
              <w:rPr>
                <w:rFonts w:eastAsia="Times New Roman" w:cs="Times New Roman"/>
                <w:b/>
                <w:bCs/>
                <w:color w:val="000000"/>
                <w:sz w:val="20"/>
                <w:szCs w:val="20"/>
                <w:lang w:eastAsia="es-MX"/>
              </w:rPr>
            </w:pPr>
          </w:p>
        </w:tc>
        <w:tc>
          <w:tcPr>
            <w:tcW w:w="2695" w:type="dxa"/>
            <w:tcBorders>
              <w:top w:val="nil"/>
              <w:left w:val="nil"/>
              <w:bottom w:val="nil"/>
              <w:right w:val="nil"/>
            </w:tcBorders>
            <w:shd w:val="clear" w:color="auto" w:fill="auto"/>
            <w:noWrap/>
            <w:vAlign w:val="bottom"/>
          </w:tcPr>
          <w:p w:rsidR="00303160" w:rsidRPr="00596BA3" w:rsidRDefault="00303160" w:rsidP="00596BA3">
            <w:pPr>
              <w:spacing w:after="0" w:line="240" w:lineRule="auto"/>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noWrap/>
            <w:vAlign w:val="bottom"/>
          </w:tcPr>
          <w:p w:rsidR="00303160" w:rsidRPr="00596BA3" w:rsidRDefault="00303160" w:rsidP="00596BA3">
            <w:pPr>
              <w:spacing w:after="0" w:line="240" w:lineRule="auto"/>
              <w:rPr>
                <w:rFonts w:eastAsia="Times New Roman" w:cs="Times New Roman"/>
                <w:sz w:val="20"/>
                <w:szCs w:val="20"/>
                <w:lang w:eastAsia="es-MX"/>
              </w:rPr>
            </w:pPr>
          </w:p>
        </w:tc>
      </w:tr>
      <w:tr w:rsidR="008939F8" w:rsidRPr="00596BA3" w:rsidTr="00AE158E">
        <w:trPr>
          <w:trHeight w:val="269"/>
        </w:trPr>
        <w:tc>
          <w:tcPr>
            <w:tcW w:w="10514" w:type="dxa"/>
            <w:gridSpan w:val="4"/>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1.4 Cambios contables, Ley General de Contabilidad Gubernamental:</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300"/>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A partir del ejercicio 2013 entran en vigor las disposiciones de la Ley General de Contabilidad Gubernamental, misma  que se publicó en Diciembre de 2008 y fue reformada en noviembre de 2012; esta ley tiene como fin primordial armonizar la contabilidad de todo el sector público en los tres niveles de gobierno, Federal, Estatal, Municipal, así como en los organismos descentralizados. La reforma de 2012 enfatiza la transparencia y rendición de cuentas de los entes públicos y describe el marco legal que regula la transparencia y rendición de cuentas públicas, conformado por seis ordenamientos jurídicos: Ley General de Transparencia y Acceso a la Información Pública Gubernamental, Ley General de Presupuesto y Responsabilidad Hacendaria, Ley General de Contabilidad Gubernamental, Ley de Fiscalización y Rendición de Cuentas de la Federación, Ley federal de Responsabilidades Administrativas y Decreto del Presupuesto de Egresos de la Federación. La Universidad Autónoma de Yucatán ha implementado y adoptado dicha normatividad, quedando pendiente la aplicación del documento emitido por la CONAC "Acuerdo por el que se emiten las reglas específicas del registro y valoración del patrimonio" pues se está en proceso de incorporar en sus registros contables, el resultado del trabajo de identificación y valuación física de los bienes muebles de la institución, procediendo a la cancelación de los saldos en libros y a cargar los saldos que arroje el subsistema de patrimonio de a</w:t>
            </w:r>
            <w:r w:rsidR="00303160" w:rsidRPr="00596BA3">
              <w:rPr>
                <w:rFonts w:eastAsia="Times New Roman" w:cs="Times New Roman"/>
                <w:color w:val="000000"/>
                <w:sz w:val="20"/>
                <w:szCs w:val="20"/>
                <w:lang w:eastAsia="es-MX"/>
              </w:rPr>
              <w:t>cuerdo al listado institucional</w:t>
            </w:r>
            <w:r w:rsidRPr="00596BA3">
              <w:rPr>
                <w:rFonts w:eastAsia="Times New Roman" w:cs="Times New Roman"/>
                <w:color w:val="000000"/>
                <w:sz w:val="20"/>
                <w:szCs w:val="20"/>
                <w:lang w:eastAsia="es-MX"/>
              </w:rPr>
              <w:t xml:space="preserve"> de bienes muebles "Inventario contable gubernamental" realizado al 31 de diciembre de 2016. Los valores que se tomarán en consideración serán los campos de valor histórico, importe de revaluación y depreciación acumulada, la diferencia resultante de </w:t>
            </w:r>
            <w:r w:rsidRPr="00596BA3">
              <w:rPr>
                <w:rFonts w:eastAsia="Times New Roman" w:cs="Times New Roman"/>
                <w:color w:val="000000"/>
                <w:sz w:val="20"/>
                <w:szCs w:val="20"/>
                <w:lang w:eastAsia="es-MX"/>
              </w:rPr>
              <w:lastRenderedPageBreak/>
              <w:t>esta comparación, se afectará en el patrimonio.  Respecto de los bienes inmuebles la administración se encuentra todavía en el proceso de elaborar el inventario e identificación de los mismos respecto de los registros contables a efectos de proceder, en su caso, a la cuantificación y registro del efecto que pudiera determinarse al realizar ese mismo proceso.</w:t>
            </w:r>
          </w:p>
        </w:tc>
      </w:tr>
      <w:tr w:rsidR="008939F8" w:rsidRPr="00596BA3" w:rsidTr="00AE158E">
        <w:trPr>
          <w:trHeight w:val="122"/>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41"/>
        </w:trPr>
        <w:tc>
          <w:tcPr>
            <w:tcW w:w="7536" w:type="dxa"/>
            <w:gridSpan w:val="3"/>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1.5 Políticas de Contabilidad Significativas</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238"/>
        </w:trPr>
        <w:tc>
          <w:tcPr>
            <w:tcW w:w="7536" w:type="dxa"/>
            <w:gridSpan w:val="3"/>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Reconocimiento de la inflación en la información financiera.</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446"/>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La NIF B-10 promulgada, vigente a partir del 1º de enero de 2008, deja sin efecto al Boletín B-10, sus cinco documentos de adecuaciones y circulares relativas, y establece que una entidad puede operar en un entorno inflacionario cuando la inflación acumulada en los tres ejercicios anuales inmediatos anteriores es igual o mayor que el 26%, y no inflacionario, cuando la inflación es menor que el 26% en el período citado.</w:t>
            </w:r>
          </w:p>
        </w:tc>
      </w:tr>
      <w:tr w:rsidR="008939F8" w:rsidRPr="00596BA3" w:rsidTr="00AE158E">
        <w:trPr>
          <w:trHeight w:val="819"/>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La inflación anualizada del trienio que concluyó en 2016 y 2014, califica como un entorno económico no inflacionario, por lo que los estados financieros al 31 de diciembre de esos años no incorporan el efecto de la inflación del año transcurrido, y se mantiene en los registros contables la actualización de sus estados financieros realizada hasta el 31 de diciembre de 2007, fecha base en lo futuro. En los términos de la citada NIF B-10, las cifras de ambos ejercicios se consideran actualizadas y en consecuencia comparables. En caso que se vuelva a estar en un entorno inflacionario, se deben reconocer los efectos acumulados de la inflación no reconocidos en los períodos en los que el entorno fue calificado como no inflacionario, de manera retrospectiva.</w:t>
            </w:r>
          </w:p>
        </w:tc>
      </w:tr>
      <w:tr w:rsidR="008939F8" w:rsidRPr="00596BA3" w:rsidTr="00AE158E">
        <w:trPr>
          <w:trHeight w:val="122"/>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5053" w:type="dxa"/>
            <w:gridSpan w:val="6"/>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Los índices que se utilizaron para efectos de determinar un entorno económico no inflacionario fueron los siguientes:</w:t>
            </w:r>
          </w:p>
        </w:tc>
      </w:tr>
      <w:tr w:rsidR="008939F8" w:rsidRPr="00596BA3" w:rsidTr="00AE158E">
        <w:trPr>
          <w:trHeight w:val="122"/>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31 de diciembre</w:t>
            </w:r>
          </w:p>
        </w:tc>
        <w:tc>
          <w:tcPr>
            <w:tcW w:w="2303"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INPC</w:t>
            </w:r>
          </w:p>
        </w:tc>
        <w:tc>
          <w:tcPr>
            <w:tcW w:w="2978"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Inflación</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color w:val="000000"/>
                <w:sz w:val="20"/>
                <w:szCs w:val="20"/>
                <w:lang w:eastAsia="es-MX"/>
              </w:rPr>
            </w:pPr>
            <w:r w:rsidRPr="00596BA3">
              <w:rPr>
                <w:rFonts w:eastAsia="Times New Roman" w:cs="Times New Roman"/>
                <w:color w:val="000000"/>
                <w:sz w:val="20"/>
                <w:szCs w:val="20"/>
                <w:lang w:eastAsia="es-MX"/>
              </w:rPr>
              <w:t>2016</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color w:val="000000"/>
                <w:sz w:val="20"/>
                <w:szCs w:val="20"/>
                <w:lang w:eastAsia="es-MX"/>
              </w:rPr>
            </w:pPr>
            <w:r w:rsidRPr="00596BA3">
              <w:rPr>
                <w:rFonts w:eastAsia="Times New Roman" w:cs="Times New Roman"/>
                <w:color w:val="000000"/>
                <w:sz w:val="20"/>
                <w:szCs w:val="20"/>
                <w:lang w:eastAsia="es-MX"/>
              </w:rPr>
              <w:t>116.059</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color w:val="000000"/>
                <w:sz w:val="20"/>
                <w:szCs w:val="20"/>
                <w:lang w:eastAsia="es-MX"/>
              </w:rPr>
            </w:pPr>
            <w:r w:rsidRPr="00596BA3">
              <w:rPr>
                <w:rFonts w:eastAsia="Times New Roman" w:cs="Times New Roman"/>
                <w:color w:val="000000"/>
                <w:sz w:val="20"/>
                <w:szCs w:val="20"/>
                <w:lang w:eastAsia="es-MX"/>
              </w:rPr>
              <w:t>3.36%</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color w:val="000000"/>
                <w:sz w:val="20"/>
                <w:szCs w:val="20"/>
                <w:lang w:eastAsia="es-MX"/>
              </w:rPr>
            </w:pPr>
            <w:r w:rsidRPr="00596BA3">
              <w:rPr>
                <w:rFonts w:eastAsia="Times New Roman" w:cs="Times New Roman"/>
                <w:color w:val="000000"/>
                <w:sz w:val="20"/>
                <w:szCs w:val="20"/>
                <w:lang w:eastAsia="es-MX"/>
              </w:rPr>
              <w:t>2015</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color w:val="000000"/>
                <w:sz w:val="20"/>
                <w:szCs w:val="20"/>
                <w:lang w:eastAsia="es-MX"/>
              </w:rPr>
            </w:pPr>
            <w:r w:rsidRPr="00596BA3">
              <w:rPr>
                <w:rFonts w:eastAsia="Times New Roman" w:cs="Times New Roman"/>
                <w:color w:val="000000"/>
                <w:sz w:val="20"/>
                <w:szCs w:val="20"/>
                <w:lang w:eastAsia="es-MX"/>
              </w:rPr>
              <w:t>118.532</w:t>
            </w:r>
          </w:p>
        </w:tc>
        <w:tc>
          <w:tcPr>
            <w:tcW w:w="2978"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color w:val="000000"/>
                <w:sz w:val="20"/>
                <w:szCs w:val="20"/>
                <w:lang w:eastAsia="es-MX"/>
              </w:rPr>
            </w:pPr>
            <w:r w:rsidRPr="00596BA3">
              <w:rPr>
                <w:rFonts w:eastAsia="Times New Roman" w:cs="Times New Roman"/>
                <w:color w:val="000000"/>
                <w:sz w:val="20"/>
                <w:szCs w:val="20"/>
                <w:lang w:eastAsia="es-MX"/>
              </w:rPr>
              <w:t>2.13%</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color w:val="000000"/>
                <w:sz w:val="20"/>
                <w:szCs w:val="20"/>
                <w:lang w:eastAsia="es-MX"/>
              </w:rPr>
            </w:pPr>
            <w:r w:rsidRPr="00596BA3">
              <w:rPr>
                <w:rFonts w:eastAsia="Times New Roman" w:cs="Times New Roman"/>
                <w:color w:val="000000"/>
                <w:sz w:val="20"/>
                <w:szCs w:val="20"/>
                <w:lang w:eastAsia="es-MX"/>
              </w:rPr>
              <w:t>2014</w:t>
            </w:r>
          </w:p>
        </w:tc>
        <w:tc>
          <w:tcPr>
            <w:tcW w:w="2303"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color w:val="000000"/>
                <w:sz w:val="20"/>
                <w:szCs w:val="20"/>
                <w:lang w:eastAsia="es-MX"/>
              </w:rPr>
            </w:pPr>
            <w:r w:rsidRPr="00596BA3">
              <w:rPr>
                <w:rFonts w:eastAsia="Times New Roman" w:cs="Times New Roman"/>
                <w:color w:val="000000"/>
                <w:sz w:val="20"/>
                <w:szCs w:val="20"/>
                <w:lang w:eastAsia="es-MX"/>
              </w:rPr>
              <w:t>116.059</w:t>
            </w:r>
          </w:p>
        </w:tc>
        <w:tc>
          <w:tcPr>
            <w:tcW w:w="2978"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color w:val="000000"/>
                <w:sz w:val="20"/>
                <w:szCs w:val="20"/>
                <w:lang w:eastAsia="es-MX"/>
              </w:rPr>
            </w:pPr>
            <w:r w:rsidRPr="00596BA3">
              <w:rPr>
                <w:rFonts w:eastAsia="Times New Roman" w:cs="Times New Roman"/>
                <w:color w:val="000000"/>
                <w:sz w:val="20"/>
                <w:szCs w:val="20"/>
                <w:lang w:eastAsia="es-MX"/>
              </w:rPr>
              <w:t>4.08%</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u w:val="single"/>
                <w:lang w:eastAsia="es-MX"/>
              </w:rPr>
            </w:pPr>
            <w:r w:rsidRPr="00596BA3">
              <w:rPr>
                <w:rFonts w:eastAsia="Times New Roman" w:cs="Times New Roman"/>
                <w:color w:val="000000"/>
                <w:sz w:val="20"/>
                <w:szCs w:val="20"/>
                <w:u w:val="single"/>
                <w:lang w:eastAsia="es-MX"/>
              </w:rPr>
              <w:t>Almacén.</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u w:val="single"/>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324"/>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Los diversos almacenes se encuentran registrados a su costo de adquisición y debido a su alta rotación se consideran actualizados a pesos de poder adquisitivo de la fecha de cierre. El método de valuación utilizado para su control contable y su aplicación a resultados es el de “promedios”</w:t>
            </w:r>
          </w:p>
        </w:tc>
      </w:tr>
      <w:tr w:rsidR="008939F8" w:rsidRPr="00596BA3" w:rsidTr="00AE158E">
        <w:trPr>
          <w:trHeight w:val="122"/>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u w:val="single"/>
                <w:lang w:eastAsia="es-MX"/>
              </w:rPr>
            </w:pPr>
            <w:r w:rsidRPr="00596BA3">
              <w:rPr>
                <w:rFonts w:eastAsia="Times New Roman" w:cs="Times New Roman"/>
                <w:color w:val="000000"/>
                <w:sz w:val="20"/>
                <w:szCs w:val="20"/>
                <w:u w:val="single"/>
                <w:lang w:eastAsia="es-MX"/>
              </w:rPr>
              <w:t xml:space="preserve"> Activos fijos. Registro y depreciación.</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u w:val="single"/>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348"/>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Los inmuebles propiedad de la Universidad fueron incorporados al sistema de control de bienes conforme al avalúo realizado por perito independiente mediante estudio realizado en 1986. A partir de esa fecha se han incorporado a la contabilidad a su costo histórico de adquisición o construcción.</w:t>
            </w:r>
          </w:p>
        </w:tc>
      </w:tr>
      <w:tr w:rsidR="008939F8" w:rsidRPr="00596BA3" w:rsidTr="00AE158E">
        <w:trPr>
          <w:trHeight w:val="299"/>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El mobiliario y equipo fue inicialmente controlado mediante un inventario físico realizado en 1985 y valuado en base a precios de mercado de ese año. A partir de esa fecha se han venido registrando las adiciones a su valor de adquisición.</w:t>
            </w:r>
          </w:p>
        </w:tc>
      </w:tr>
      <w:tr w:rsidR="008939F8" w:rsidRPr="00596BA3" w:rsidTr="00AE158E">
        <w:trPr>
          <w:trHeight w:val="428"/>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lastRenderedPageBreak/>
              <w:t>Para efectos de su actualización, en el ejercicio de 1997, se determinó el valor neto de cada bien mediante la aplicación de la reserva por depreciación conforme a la vida útil estimada de los mismos en base al método de línea recta, y en ambos casos dichos valores de referencia de registro original fueron  actualizados a pesos de poder adquisitivo a la fecha del balance al 31 de diciembre de 2007 por el método de cambios en el nivel general de precios.</w:t>
            </w:r>
          </w:p>
        </w:tc>
      </w:tr>
      <w:tr w:rsidR="008939F8" w:rsidRPr="00596BA3" w:rsidTr="00AE158E">
        <w:trPr>
          <w:trHeight w:val="122"/>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7536" w:type="dxa"/>
            <w:gridSpan w:val="3"/>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Las tasas de depreciación utilizadas son: </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Edificios</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3%</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6377" w:type="dxa"/>
            <w:gridSpan w:val="2"/>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Mobiliario</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5%</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6377" w:type="dxa"/>
            <w:gridSpan w:val="2"/>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Maquinaria y equipo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10%</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6377" w:type="dxa"/>
            <w:gridSpan w:val="2"/>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Equipo de transporte y de cómputo</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20%</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0514" w:type="dxa"/>
            <w:gridSpan w:val="4"/>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AE158E">
        <w:trPr>
          <w:trHeight w:val="122"/>
        </w:trPr>
        <w:tc>
          <w:tcPr>
            <w:tcW w:w="10514" w:type="dxa"/>
            <w:gridSpan w:val="4"/>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1.6 Fideicomisos</w:t>
            </w:r>
          </w:p>
        </w:tc>
        <w:tc>
          <w:tcPr>
            <w:tcW w:w="2695" w:type="dxa"/>
            <w:tcBorders>
              <w:top w:val="nil"/>
              <w:left w:val="nil"/>
              <w:bottom w:val="nil"/>
              <w:right w:val="nil"/>
            </w:tcBorders>
            <w:shd w:val="clear" w:color="auto" w:fill="auto"/>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AE158E">
        <w:trPr>
          <w:trHeight w:val="232"/>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La universidad crea los fideicomisos sin estructura orgánica con la finalidad de administrar los recursos otorgados para fines específicos. Cuyos importes a la fecha se relacionan a continuación</w:t>
            </w:r>
          </w:p>
        </w:tc>
      </w:tr>
      <w:tr w:rsidR="008939F8" w:rsidRPr="00596BA3" w:rsidTr="00AE158E">
        <w:trPr>
          <w:trHeight w:val="122"/>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r>
      <w:tr w:rsidR="008939F8" w:rsidRPr="00596BA3" w:rsidTr="00613B90">
        <w:trPr>
          <w:trHeight w:val="122"/>
        </w:trPr>
        <w:tc>
          <w:tcPr>
            <w:tcW w:w="7536" w:type="dxa"/>
            <w:gridSpan w:val="3"/>
            <w:tcBorders>
              <w:top w:val="nil"/>
              <w:left w:val="nil"/>
              <w:bottom w:val="nil"/>
              <w:right w:val="nil"/>
            </w:tcBorders>
            <w:shd w:val="clear" w:color="auto" w:fill="auto"/>
            <w:vAlign w:val="bottom"/>
            <w:hideMark/>
          </w:tcPr>
          <w:p w:rsidR="008939F8" w:rsidRPr="00596BA3" w:rsidRDefault="008939F8" w:rsidP="00596BA3">
            <w:pPr>
              <w:spacing w:after="0" w:line="240" w:lineRule="auto"/>
              <w:rPr>
                <w:rFonts w:eastAsia="Times New Roman" w:cs="Times New Roman"/>
                <w:sz w:val="20"/>
                <w:szCs w:val="20"/>
                <w:lang w:eastAsia="es-MX"/>
              </w:rPr>
            </w:pPr>
            <w:r w:rsidRPr="00596BA3">
              <w:rPr>
                <w:rFonts w:eastAsia="Times New Roman" w:cs="Times New Roman"/>
                <w:sz w:val="20"/>
                <w:szCs w:val="20"/>
                <w:lang w:eastAsia="es-MX"/>
              </w:rPr>
              <w:t>Fideicomiso 2000991-22 PFCE 2016</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r w:rsidRPr="00596BA3">
              <w:rPr>
                <w:rFonts w:eastAsia="Times New Roman" w:cs="Times New Roman"/>
                <w:sz w:val="20"/>
                <w:szCs w:val="20"/>
                <w:lang w:eastAsia="es-MX"/>
              </w:rPr>
              <w:t xml:space="preserve">             33,222,806.53 </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7536" w:type="dxa"/>
            <w:gridSpan w:val="3"/>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r w:rsidRPr="00596BA3">
              <w:rPr>
                <w:rFonts w:eastAsia="Times New Roman" w:cs="Times New Roman"/>
                <w:sz w:val="20"/>
                <w:szCs w:val="20"/>
                <w:lang w:eastAsia="es-MX"/>
              </w:rPr>
              <w:t>Fideicomiso 160425-0 UADY PRODEP</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r w:rsidRPr="00596BA3">
              <w:rPr>
                <w:rFonts w:eastAsia="Times New Roman" w:cs="Times New Roman"/>
                <w:sz w:val="20"/>
                <w:szCs w:val="20"/>
                <w:lang w:eastAsia="es-MX"/>
              </w:rPr>
              <w:t xml:space="preserve">             21,865,904.83 </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7536" w:type="dxa"/>
            <w:gridSpan w:val="3"/>
            <w:tcBorders>
              <w:top w:val="nil"/>
              <w:left w:val="nil"/>
              <w:bottom w:val="nil"/>
              <w:right w:val="nil"/>
            </w:tcBorders>
            <w:shd w:val="clear" w:color="auto" w:fill="auto"/>
            <w:vAlign w:val="bottom"/>
            <w:hideMark/>
          </w:tcPr>
          <w:p w:rsidR="008939F8" w:rsidRPr="00596BA3" w:rsidRDefault="008939F8" w:rsidP="00596BA3">
            <w:pPr>
              <w:spacing w:after="0" w:line="240" w:lineRule="auto"/>
              <w:rPr>
                <w:rFonts w:eastAsia="Times New Roman" w:cs="Times New Roman"/>
                <w:sz w:val="20"/>
                <w:szCs w:val="20"/>
                <w:lang w:eastAsia="es-MX"/>
              </w:rPr>
            </w:pPr>
            <w:r w:rsidRPr="00596BA3">
              <w:rPr>
                <w:rFonts w:eastAsia="Times New Roman" w:cs="Times New Roman"/>
                <w:sz w:val="20"/>
                <w:szCs w:val="20"/>
                <w:lang w:eastAsia="es-MX"/>
              </w:rPr>
              <w:t>Fideicomiso 175445 Jóvenes de excelencia Banamex</w:t>
            </w:r>
          </w:p>
        </w:tc>
        <w:tc>
          <w:tcPr>
            <w:tcW w:w="2978" w:type="dxa"/>
            <w:tcBorders>
              <w:top w:val="nil"/>
              <w:left w:val="nil"/>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r w:rsidRPr="00596BA3">
              <w:rPr>
                <w:rFonts w:eastAsia="Times New Roman" w:cs="Times New Roman"/>
                <w:sz w:val="20"/>
                <w:szCs w:val="20"/>
                <w:lang w:eastAsia="es-MX"/>
              </w:rPr>
              <w:t xml:space="preserve">                   230,801.24 </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7536" w:type="dxa"/>
            <w:gridSpan w:val="3"/>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978"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b/>
                <w:bCs/>
                <w:sz w:val="20"/>
                <w:szCs w:val="20"/>
                <w:lang w:eastAsia="es-MX"/>
              </w:rPr>
            </w:pPr>
            <w:r w:rsidRPr="00596BA3">
              <w:rPr>
                <w:rFonts w:eastAsia="Times New Roman" w:cs="Times New Roman"/>
                <w:b/>
                <w:bCs/>
                <w:sz w:val="20"/>
                <w:szCs w:val="20"/>
                <w:lang w:eastAsia="es-MX"/>
              </w:rPr>
              <w:t xml:space="preserve">             55,319,512.60 </w:t>
            </w:r>
          </w:p>
        </w:tc>
        <w:tc>
          <w:tcPr>
            <w:tcW w:w="2695"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b/>
                <w:bCs/>
                <w:sz w:val="20"/>
                <w:szCs w:val="20"/>
                <w:lang w:eastAsia="es-MX"/>
              </w:rPr>
            </w:pPr>
          </w:p>
        </w:tc>
        <w:tc>
          <w:tcPr>
            <w:tcW w:w="184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4074" w:type="dxa"/>
            <w:tcBorders>
              <w:top w:val="nil"/>
              <w:left w:val="nil"/>
              <w:bottom w:val="nil"/>
              <w:right w:val="nil"/>
            </w:tcBorders>
            <w:shd w:val="clear" w:color="auto" w:fill="auto"/>
            <w:vAlign w:val="bottom"/>
            <w:hideMark/>
          </w:tcPr>
          <w:p w:rsidR="008939F8" w:rsidRDefault="008939F8" w:rsidP="00596BA3">
            <w:pPr>
              <w:spacing w:after="0" w:line="240" w:lineRule="auto"/>
              <w:jc w:val="both"/>
              <w:rPr>
                <w:rFonts w:eastAsia="Times New Roman" w:cs="Times New Roman"/>
                <w:sz w:val="20"/>
                <w:szCs w:val="20"/>
                <w:lang w:eastAsia="es-MX"/>
              </w:rPr>
            </w:pPr>
          </w:p>
          <w:p w:rsidR="00613B90" w:rsidRDefault="00613B90" w:rsidP="00596BA3">
            <w:pPr>
              <w:spacing w:after="0" w:line="240" w:lineRule="auto"/>
              <w:jc w:val="both"/>
              <w:rPr>
                <w:rFonts w:eastAsia="Times New Roman" w:cs="Times New Roman"/>
                <w:sz w:val="20"/>
                <w:szCs w:val="20"/>
                <w:lang w:eastAsia="es-MX"/>
              </w:rPr>
            </w:pPr>
          </w:p>
          <w:p w:rsidR="00613B90" w:rsidRPr="00596BA3" w:rsidRDefault="00613B90"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978"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695"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AE158E">
        <w:trPr>
          <w:trHeight w:val="122"/>
        </w:trPr>
        <w:tc>
          <w:tcPr>
            <w:tcW w:w="10514" w:type="dxa"/>
            <w:gridSpan w:val="4"/>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1.7 Beneficios a empleados (Obligaciones laborales)</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362"/>
        </w:trPr>
        <w:tc>
          <w:tcPr>
            <w:tcW w:w="15053" w:type="dxa"/>
            <w:gridSpan w:val="6"/>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Los estados financieros de la Institución no reconocen el monto del pasivo laboral generado por las obligaciones emanadas de las prestaciones contingentes incluidas en los Contratos Colectivos de Trabajo celebrados con la Asociación Única de Trabajadores Administrativos y Manuales, y con la Asociación del Personal Académico de la UADY,  cuyo monto, estimado en base al resultado de la Valuación Actuarial Estandarizada practicada por, Valuaciones Actuariales del Norte, S.C. al 31 de diciembre de 2016  es de un pasivo total en concepto de pensiones y jubilaciones de $23,456,454,006.41 ($21,490,645,859 en 2015 de acuerdo a la valuación realizada por Valuaciones Actuariales del Norte, S.C.)</w:t>
            </w:r>
          </w:p>
        </w:tc>
      </w:tr>
      <w:tr w:rsidR="008939F8" w:rsidRPr="00596BA3" w:rsidTr="00AE158E">
        <w:trPr>
          <w:trHeight w:val="79"/>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237"/>
        </w:trPr>
        <w:tc>
          <w:tcPr>
            <w:tcW w:w="15053" w:type="dxa"/>
            <w:gridSpan w:val="6"/>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En la búsqueda de soluciones de fondo al problema, las autoridades de la Universidad y las representaciones sindicales trabajaron sobre una propuesta integral de reforma encaminada al saneamiento financiero del sistema de pensiones y jubilaciones, mismo que tal y como se comenta, había demostrado  mediante estudios actuariales su inviabilidad económica en el corto y largo plazo.</w:t>
            </w:r>
          </w:p>
        </w:tc>
      </w:tr>
      <w:tr w:rsidR="008939F8" w:rsidRPr="00596BA3" w:rsidTr="00AE158E">
        <w:trPr>
          <w:trHeight w:val="56"/>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301"/>
        </w:trPr>
        <w:tc>
          <w:tcPr>
            <w:tcW w:w="15053" w:type="dxa"/>
            <w:gridSpan w:val="6"/>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Derivado de estas gestiones, las normas relativas al sistema de pensiones y jubilaciones de la UADY sufrieron reformas importantes que entraron en vigor a partir del 1 de enero de 2004 en lo que se refiere al contrato colectivo de trabajo del personal Académico y a partir del 1 de enero de 2008 en lo que se refiere al contrato colectivo de trabajo del personal </w:t>
            </w:r>
            <w:r w:rsidRPr="00596BA3">
              <w:rPr>
                <w:rFonts w:eastAsia="Times New Roman" w:cs="Times New Roman"/>
                <w:color w:val="000000"/>
                <w:sz w:val="20"/>
                <w:szCs w:val="20"/>
                <w:lang w:eastAsia="es-MX"/>
              </w:rPr>
              <w:lastRenderedPageBreak/>
              <w:t>Administrativo y Manual.</w:t>
            </w:r>
          </w:p>
        </w:tc>
      </w:tr>
      <w:tr w:rsidR="008939F8" w:rsidRPr="00596BA3" w:rsidTr="00AE158E">
        <w:trPr>
          <w:trHeight w:val="104"/>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41"/>
        </w:trPr>
        <w:tc>
          <w:tcPr>
            <w:tcW w:w="15053" w:type="dxa"/>
            <w:gridSpan w:val="6"/>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La universidad optó por una reforma integral al sistema, misma que puede resumirse  de la siguiente manera:</w:t>
            </w:r>
          </w:p>
        </w:tc>
      </w:tr>
      <w:tr w:rsidR="008939F8" w:rsidRPr="00596BA3" w:rsidTr="00AE158E">
        <w:trPr>
          <w:trHeight w:val="122"/>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r w:rsidRPr="00596BA3">
              <w:rPr>
                <w:rFonts w:eastAsia="Times New Roman" w:cs="Times New Roman"/>
                <w:b/>
                <w:bCs/>
                <w:color w:val="000000"/>
                <w:sz w:val="20"/>
                <w:szCs w:val="20"/>
                <w:u w:val="single"/>
                <w:lang w:eastAsia="es-MX"/>
              </w:rPr>
              <w:t>PERSONAL ACADEMICO</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Personal actual</w:t>
            </w:r>
          </w:p>
        </w:tc>
        <w:tc>
          <w:tcPr>
            <w:tcW w:w="528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Futuras generaciones</w:t>
            </w:r>
          </w:p>
        </w:tc>
        <w:tc>
          <w:tcPr>
            <w:tcW w:w="453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Personal Jubilado</w:t>
            </w:r>
          </w:p>
        </w:tc>
      </w:tr>
      <w:tr w:rsidR="008939F8" w:rsidRPr="00596BA3" w:rsidTr="00613B90">
        <w:trPr>
          <w:trHeight w:val="352"/>
        </w:trPr>
        <w:tc>
          <w:tcPr>
            <w:tcW w:w="523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Se elimina la prestación de pensionarse con 15 años de servicios, sin importar la edad.       </w:t>
            </w:r>
          </w:p>
        </w:tc>
        <w:tc>
          <w:tcPr>
            <w:tcW w:w="5281" w:type="dxa"/>
            <w:gridSpan w:val="2"/>
            <w:tcBorders>
              <w:top w:val="single" w:sz="4" w:space="0" w:color="auto"/>
              <w:left w:val="nil"/>
              <w:bottom w:val="single" w:sz="4" w:space="0" w:color="auto"/>
              <w:right w:val="single" w:sz="4" w:space="0" w:color="000000"/>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Se establece que como requisito para jubilarse la suma de  la edad más la antigüedad deberá ser de 95 años, con un mínimo de 65 años de edad</w:t>
            </w:r>
          </w:p>
        </w:tc>
        <w:tc>
          <w:tcPr>
            <w:tcW w:w="4539" w:type="dxa"/>
            <w:gridSpan w:val="2"/>
            <w:tcBorders>
              <w:top w:val="single" w:sz="4" w:space="0" w:color="auto"/>
              <w:left w:val="nil"/>
              <w:bottom w:val="single" w:sz="4" w:space="0" w:color="auto"/>
              <w:right w:val="single" w:sz="4" w:space="0" w:color="000000"/>
            </w:tcBorders>
            <w:shd w:val="clear" w:color="auto" w:fill="auto"/>
            <w:vAlign w:val="center"/>
            <w:hideMark/>
          </w:tcPr>
          <w:p w:rsidR="008939F8" w:rsidRPr="00596BA3" w:rsidRDefault="008939F8" w:rsidP="00596BA3">
            <w:pPr>
              <w:spacing w:after="0" w:line="240" w:lineRule="auto"/>
              <w:jc w:val="center"/>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r>
      <w:tr w:rsidR="008939F8" w:rsidRPr="00596BA3" w:rsidTr="00613B90">
        <w:trPr>
          <w:trHeight w:val="346"/>
        </w:trPr>
        <w:tc>
          <w:tcPr>
            <w:tcW w:w="523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Se conserva y mantiene el fondo de jubilación con aportación bipartita de un 10% quincenal.</w:t>
            </w:r>
          </w:p>
        </w:tc>
        <w:tc>
          <w:tcPr>
            <w:tcW w:w="5281" w:type="dxa"/>
            <w:gridSpan w:val="2"/>
            <w:tcBorders>
              <w:top w:val="single" w:sz="4" w:space="0" w:color="auto"/>
              <w:left w:val="nil"/>
              <w:bottom w:val="single" w:sz="4" w:space="0" w:color="auto"/>
              <w:right w:val="single" w:sz="4" w:space="0" w:color="000000"/>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Se crea un nuevo sistema de pensiones y jubilaciones con beneficio definido, conformado por el salario regulador</w:t>
            </w:r>
          </w:p>
        </w:tc>
        <w:tc>
          <w:tcPr>
            <w:tcW w:w="4539" w:type="dxa"/>
            <w:gridSpan w:val="2"/>
            <w:tcBorders>
              <w:top w:val="single" w:sz="4" w:space="0" w:color="auto"/>
              <w:left w:val="nil"/>
              <w:bottom w:val="single" w:sz="4" w:space="0" w:color="auto"/>
              <w:right w:val="single" w:sz="4" w:space="0" w:color="000000"/>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Se acuerda que todo el personal jubilado deberá aportar al fondo de jubilaciones en los mismos montos y condiciones que el personal activo</w:t>
            </w:r>
          </w:p>
        </w:tc>
      </w:tr>
      <w:tr w:rsidR="008939F8" w:rsidRPr="00596BA3" w:rsidTr="00613B90">
        <w:trPr>
          <w:trHeight w:val="476"/>
        </w:trPr>
        <w:tc>
          <w:tcPr>
            <w:tcW w:w="523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Se estimula la permanencia del trabajador  que ha cumplido 30 años de servicio con un estímulo como sigue: A partir de 30 años un 30% de su salario tabulado que se irá incrementando en un 2% anual hasta llegar a los 40 años de servicio. Esta prestación procederá durante el tiempo que el trabajador permanezca laborando ininterrumpidamente.</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453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r>
      <w:tr w:rsidR="008939F8" w:rsidRPr="00596BA3" w:rsidTr="00613B90">
        <w:trPr>
          <w:trHeight w:val="269"/>
        </w:trPr>
        <w:tc>
          <w:tcPr>
            <w:tcW w:w="5233" w:type="dxa"/>
            <w:gridSpan w:val="2"/>
            <w:vMerge/>
            <w:tcBorders>
              <w:top w:val="single" w:sz="4" w:space="0" w:color="auto"/>
              <w:left w:val="single" w:sz="4" w:space="0" w:color="auto"/>
              <w:bottom w:val="single" w:sz="4" w:space="0" w:color="000000"/>
              <w:right w:val="single" w:sz="4" w:space="0" w:color="000000"/>
            </w:tcBorders>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4539" w:type="dxa"/>
            <w:gridSpan w:val="2"/>
            <w:vMerge/>
            <w:tcBorders>
              <w:top w:val="single" w:sz="4" w:space="0" w:color="auto"/>
              <w:left w:val="single" w:sz="4" w:space="0" w:color="auto"/>
              <w:bottom w:val="single" w:sz="4" w:space="0" w:color="000000"/>
              <w:right w:val="single" w:sz="4" w:space="0" w:color="000000"/>
            </w:tcBorders>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613B90">
        <w:trPr>
          <w:trHeight w:val="244"/>
        </w:trPr>
        <w:tc>
          <w:tcPr>
            <w:tcW w:w="5233" w:type="dxa"/>
            <w:gridSpan w:val="2"/>
            <w:vMerge/>
            <w:tcBorders>
              <w:top w:val="single" w:sz="4" w:space="0" w:color="auto"/>
              <w:left w:val="single" w:sz="4" w:space="0" w:color="auto"/>
              <w:bottom w:val="single" w:sz="4" w:space="0" w:color="000000"/>
              <w:right w:val="single" w:sz="4" w:space="0" w:color="000000"/>
            </w:tcBorders>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4539" w:type="dxa"/>
            <w:gridSpan w:val="2"/>
            <w:vMerge/>
            <w:tcBorders>
              <w:top w:val="single" w:sz="4" w:space="0" w:color="auto"/>
              <w:left w:val="single" w:sz="4" w:space="0" w:color="auto"/>
              <w:bottom w:val="single" w:sz="4" w:space="0" w:color="000000"/>
              <w:right w:val="single" w:sz="4" w:space="0" w:color="000000"/>
            </w:tcBorders>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613B90">
        <w:trPr>
          <w:trHeight w:val="227"/>
        </w:trPr>
        <w:tc>
          <w:tcPr>
            <w:tcW w:w="523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5281" w:type="dxa"/>
            <w:gridSpan w:val="2"/>
            <w:tcBorders>
              <w:top w:val="single" w:sz="4" w:space="0" w:color="auto"/>
              <w:left w:val="nil"/>
              <w:bottom w:val="single" w:sz="4" w:space="0" w:color="auto"/>
              <w:right w:val="single" w:sz="4" w:space="0" w:color="000000"/>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Se adecuan las prestaciones de aguinaldo, prima vacacional y prima de antigüedad </w:t>
            </w:r>
          </w:p>
        </w:tc>
        <w:tc>
          <w:tcPr>
            <w:tcW w:w="453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r>
      <w:tr w:rsidR="008939F8" w:rsidRPr="00596BA3" w:rsidTr="00AE158E">
        <w:trPr>
          <w:trHeight w:val="122"/>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7536" w:type="dxa"/>
            <w:gridSpan w:val="3"/>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r w:rsidRPr="00596BA3">
              <w:rPr>
                <w:rFonts w:eastAsia="Times New Roman" w:cs="Times New Roman"/>
                <w:b/>
                <w:bCs/>
                <w:color w:val="000000"/>
                <w:sz w:val="20"/>
                <w:szCs w:val="20"/>
                <w:u w:val="single"/>
                <w:lang w:eastAsia="es-MX"/>
              </w:rPr>
              <w:t>PERSONAL ADMINISTRATIVO Y MANUAL</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Personal actual</w:t>
            </w:r>
          </w:p>
        </w:tc>
        <w:tc>
          <w:tcPr>
            <w:tcW w:w="528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Futuras generaciones</w:t>
            </w:r>
          </w:p>
        </w:tc>
        <w:tc>
          <w:tcPr>
            <w:tcW w:w="453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Personal Jubilado</w:t>
            </w:r>
          </w:p>
        </w:tc>
      </w:tr>
      <w:tr w:rsidR="008939F8" w:rsidRPr="00596BA3" w:rsidTr="00613B90">
        <w:trPr>
          <w:trHeight w:val="428"/>
        </w:trPr>
        <w:tc>
          <w:tcPr>
            <w:tcW w:w="523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5281" w:type="dxa"/>
            <w:gridSpan w:val="2"/>
            <w:tcBorders>
              <w:top w:val="single" w:sz="4" w:space="0" w:color="auto"/>
              <w:left w:val="nil"/>
              <w:bottom w:val="single" w:sz="4" w:space="0" w:color="auto"/>
              <w:right w:val="single" w:sz="4" w:space="0" w:color="000000"/>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Se establece que como requisito para jubilarse la suma de  la edad más la antigüedad deberá ser de 95 años. Con mínimo 60 años de edad.</w:t>
            </w:r>
          </w:p>
        </w:tc>
        <w:tc>
          <w:tcPr>
            <w:tcW w:w="453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r>
      <w:tr w:rsidR="008939F8" w:rsidRPr="00596BA3" w:rsidTr="00613B90">
        <w:trPr>
          <w:trHeight w:val="501"/>
        </w:trPr>
        <w:tc>
          <w:tcPr>
            <w:tcW w:w="523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Se aumenta la aportación bipartita al fondo en un 1% adicional cada año, hasta llegar un 10 % por cada parte, al término de 8 años, a partir del 2008</w:t>
            </w:r>
          </w:p>
        </w:tc>
        <w:tc>
          <w:tcPr>
            <w:tcW w:w="5281" w:type="dxa"/>
            <w:gridSpan w:val="2"/>
            <w:tcBorders>
              <w:top w:val="single" w:sz="4" w:space="0" w:color="auto"/>
              <w:left w:val="nil"/>
              <w:bottom w:val="single" w:sz="4" w:space="0" w:color="auto"/>
              <w:right w:val="single" w:sz="4" w:space="0" w:color="000000"/>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Se crea un nuevo sistema de pensiones y jubilaciones con beneficio definido, conformado por el salario regulador </w:t>
            </w:r>
          </w:p>
        </w:tc>
        <w:tc>
          <w:tcPr>
            <w:tcW w:w="4539" w:type="dxa"/>
            <w:gridSpan w:val="2"/>
            <w:tcBorders>
              <w:top w:val="single" w:sz="4" w:space="0" w:color="auto"/>
              <w:left w:val="nil"/>
              <w:bottom w:val="single" w:sz="4" w:space="0" w:color="auto"/>
              <w:right w:val="single" w:sz="4" w:space="0" w:color="000000"/>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Se acuerda que todo el personal jubilado deberá aportar al fondo de jubilaciones en los mismos montos y condiciones que el personal activo</w:t>
            </w:r>
          </w:p>
        </w:tc>
      </w:tr>
      <w:tr w:rsidR="008939F8" w:rsidRPr="00596BA3" w:rsidTr="00613B90">
        <w:trPr>
          <w:trHeight w:val="464"/>
        </w:trPr>
        <w:tc>
          <w:tcPr>
            <w:tcW w:w="523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Se estimula la permanencia del trabajador  que ha cumplido 30 años de servicio con un estímulo como sigue:</w:t>
            </w:r>
          </w:p>
        </w:tc>
        <w:tc>
          <w:tcPr>
            <w:tcW w:w="528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453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r>
      <w:tr w:rsidR="008939F8" w:rsidRPr="00596BA3" w:rsidTr="00613B90">
        <w:trPr>
          <w:trHeight w:val="464"/>
        </w:trPr>
        <w:tc>
          <w:tcPr>
            <w:tcW w:w="523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lastRenderedPageBreak/>
              <w:t xml:space="preserve"> A partir de 30 años un 30% de su salario tabulado que se irá incrementando en un 2% anual hasta llegar a los 40 años de servicio.</w:t>
            </w:r>
          </w:p>
        </w:tc>
        <w:tc>
          <w:tcPr>
            <w:tcW w:w="528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453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r>
      <w:tr w:rsidR="008939F8" w:rsidRPr="00596BA3" w:rsidTr="00613B90">
        <w:trPr>
          <w:trHeight w:val="385"/>
        </w:trPr>
        <w:tc>
          <w:tcPr>
            <w:tcW w:w="523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Esta prestación procederá durante el tiempo que el trabajador permanezca laborando ininterrumpidamente</w:t>
            </w:r>
          </w:p>
        </w:tc>
        <w:tc>
          <w:tcPr>
            <w:tcW w:w="528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453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r>
      <w:tr w:rsidR="008939F8" w:rsidRPr="00596BA3" w:rsidTr="00613B90">
        <w:trPr>
          <w:trHeight w:val="269"/>
        </w:trPr>
        <w:tc>
          <w:tcPr>
            <w:tcW w:w="523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5281" w:type="dxa"/>
            <w:gridSpan w:val="2"/>
            <w:tcBorders>
              <w:top w:val="single" w:sz="4" w:space="0" w:color="auto"/>
              <w:left w:val="nil"/>
              <w:bottom w:val="single" w:sz="4" w:space="0" w:color="auto"/>
              <w:right w:val="single" w:sz="4" w:space="0" w:color="000000"/>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Se adecuan las prestaciones de aguinaldo, prima vacacional y prima de antigüedad </w:t>
            </w:r>
          </w:p>
        </w:tc>
        <w:tc>
          <w:tcPr>
            <w:tcW w:w="4539" w:type="dxa"/>
            <w:gridSpan w:val="2"/>
            <w:tcBorders>
              <w:top w:val="single" w:sz="4" w:space="0" w:color="auto"/>
              <w:left w:val="nil"/>
              <w:bottom w:val="single" w:sz="4" w:space="0" w:color="auto"/>
              <w:right w:val="single" w:sz="4" w:space="0" w:color="000000"/>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r>
      <w:tr w:rsidR="008939F8" w:rsidRPr="00596BA3" w:rsidTr="00AE158E">
        <w:trPr>
          <w:trHeight w:val="122"/>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D35C0E" w:rsidRPr="00596BA3" w:rsidTr="00AE158E">
        <w:trPr>
          <w:trHeight w:val="122"/>
        </w:trPr>
        <w:tc>
          <w:tcPr>
            <w:tcW w:w="1159" w:type="dxa"/>
            <w:tcBorders>
              <w:top w:val="nil"/>
              <w:left w:val="nil"/>
              <w:bottom w:val="nil"/>
              <w:right w:val="nil"/>
            </w:tcBorders>
            <w:shd w:val="clear" w:color="auto" w:fill="auto"/>
            <w:noWrap/>
            <w:vAlign w:val="bottom"/>
          </w:tcPr>
          <w:p w:rsidR="00D35C0E" w:rsidRPr="00596BA3" w:rsidRDefault="00D35C0E"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noWrap/>
            <w:vAlign w:val="bottom"/>
          </w:tcPr>
          <w:p w:rsidR="00D35C0E" w:rsidRPr="00596BA3" w:rsidRDefault="00D35C0E"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tcPr>
          <w:p w:rsidR="00D35C0E" w:rsidRPr="00596BA3" w:rsidRDefault="00D35C0E"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tcPr>
          <w:p w:rsidR="00D35C0E" w:rsidRPr="00596BA3" w:rsidRDefault="00D35C0E"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tcPr>
          <w:p w:rsidR="00D35C0E" w:rsidRPr="00596BA3" w:rsidRDefault="00D35C0E"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D35C0E" w:rsidRPr="00596BA3" w:rsidRDefault="00D35C0E" w:rsidP="00596BA3">
            <w:pPr>
              <w:spacing w:after="0" w:line="240" w:lineRule="auto"/>
              <w:rPr>
                <w:rFonts w:eastAsia="Times New Roman" w:cs="Times New Roman"/>
                <w:sz w:val="20"/>
                <w:szCs w:val="20"/>
                <w:lang w:eastAsia="es-MX"/>
              </w:rPr>
            </w:pPr>
          </w:p>
        </w:tc>
      </w:tr>
      <w:tr w:rsidR="008939F8" w:rsidRPr="00596BA3" w:rsidTr="00AE158E">
        <w:trPr>
          <w:trHeight w:val="332"/>
        </w:trPr>
        <w:tc>
          <w:tcPr>
            <w:tcW w:w="15053" w:type="dxa"/>
            <w:gridSpan w:val="6"/>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Con el propósito de cuantificar el impacto financiero inherente a la reforma se presenta un resumen de los resultados de la valuación actuarial estandarizada practicada al 31 de diciembre del 2016 y 2015, expresado en miles de pesos, con una tasa del 3.5% y 5% como supuestos, en donde se incluye el monto del pasivo por concepto de pensiones por jubilación, invalidez y viudez, el saldo del Fondo existente y el déficit determinado.</w:t>
            </w:r>
          </w:p>
        </w:tc>
      </w:tr>
      <w:tr w:rsidR="008939F8" w:rsidRPr="00596BA3" w:rsidTr="00AE158E">
        <w:trPr>
          <w:trHeight w:val="122"/>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D35C0E" w:rsidRPr="00596BA3" w:rsidTr="00AE158E">
        <w:trPr>
          <w:trHeight w:val="122"/>
        </w:trPr>
        <w:tc>
          <w:tcPr>
            <w:tcW w:w="1159" w:type="dxa"/>
            <w:tcBorders>
              <w:top w:val="nil"/>
              <w:left w:val="nil"/>
              <w:bottom w:val="nil"/>
              <w:right w:val="nil"/>
            </w:tcBorders>
            <w:shd w:val="clear" w:color="auto" w:fill="auto"/>
            <w:noWrap/>
            <w:vAlign w:val="bottom"/>
          </w:tcPr>
          <w:p w:rsidR="00D35C0E" w:rsidRPr="00596BA3" w:rsidRDefault="00D35C0E"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noWrap/>
            <w:vAlign w:val="bottom"/>
          </w:tcPr>
          <w:p w:rsidR="00D35C0E" w:rsidRPr="00596BA3" w:rsidRDefault="00D35C0E"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tcPr>
          <w:p w:rsidR="00D35C0E" w:rsidRPr="00596BA3" w:rsidRDefault="00D35C0E"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tcPr>
          <w:p w:rsidR="00D35C0E" w:rsidRPr="00596BA3" w:rsidRDefault="00D35C0E"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tcPr>
          <w:p w:rsidR="00D35C0E" w:rsidRPr="00596BA3" w:rsidRDefault="00D35C0E"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D35C0E" w:rsidRPr="00596BA3" w:rsidRDefault="00D35C0E" w:rsidP="00596BA3">
            <w:pPr>
              <w:spacing w:after="0" w:line="240" w:lineRule="auto"/>
              <w:rPr>
                <w:rFonts w:eastAsia="Times New Roman" w:cs="Times New Roman"/>
                <w:sz w:val="20"/>
                <w:szCs w:val="20"/>
                <w:lang w:eastAsia="es-MX"/>
              </w:rPr>
            </w:pPr>
          </w:p>
        </w:tc>
      </w:tr>
      <w:tr w:rsidR="00D35C0E" w:rsidRPr="00596BA3" w:rsidTr="00AE158E">
        <w:trPr>
          <w:trHeight w:val="122"/>
        </w:trPr>
        <w:tc>
          <w:tcPr>
            <w:tcW w:w="1159" w:type="dxa"/>
            <w:tcBorders>
              <w:top w:val="nil"/>
              <w:left w:val="nil"/>
              <w:bottom w:val="nil"/>
              <w:right w:val="nil"/>
            </w:tcBorders>
            <w:shd w:val="clear" w:color="auto" w:fill="auto"/>
            <w:noWrap/>
            <w:vAlign w:val="bottom"/>
          </w:tcPr>
          <w:p w:rsidR="00D35C0E" w:rsidRPr="00596BA3" w:rsidRDefault="00D35C0E"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noWrap/>
            <w:vAlign w:val="bottom"/>
          </w:tcPr>
          <w:p w:rsidR="00D35C0E" w:rsidRPr="00596BA3" w:rsidRDefault="00D35C0E"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tcPr>
          <w:p w:rsidR="00D35C0E" w:rsidRPr="00596BA3" w:rsidRDefault="00D35C0E"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tcPr>
          <w:p w:rsidR="00D35C0E" w:rsidRPr="00596BA3" w:rsidRDefault="00D35C0E"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tcPr>
          <w:p w:rsidR="00D35C0E" w:rsidRPr="00596BA3" w:rsidRDefault="00D35C0E"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D35C0E" w:rsidRPr="00596BA3" w:rsidRDefault="00D35C0E"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Tasa del 3.5%</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2016</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2015</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Pensiones determinadas</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23,456,454,066.41 </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21,490,645,859.55 </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Importe del Fondo </w:t>
            </w:r>
          </w:p>
        </w:tc>
        <w:tc>
          <w:tcPr>
            <w:tcW w:w="2303" w:type="dxa"/>
            <w:tcBorders>
              <w:top w:val="nil"/>
              <w:left w:val="nil"/>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1,551,301,686.69 </w:t>
            </w:r>
          </w:p>
        </w:tc>
        <w:tc>
          <w:tcPr>
            <w:tcW w:w="2978" w:type="dxa"/>
            <w:tcBorders>
              <w:top w:val="nil"/>
              <w:left w:val="nil"/>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1,410,310,348.60 </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Déficit</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  21,905,152,379.72 </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20,080,335,510.95 </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Tasa del 5.0%</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2016</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2015</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Pensiones determinadas</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14,368,620,926.02 </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13,091,600,739.24 </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Importe del Fondo </w:t>
            </w:r>
          </w:p>
        </w:tc>
        <w:tc>
          <w:tcPr>
            <w:tcW w:w="2303" w:type="dxa"/>
            <w:tcBorders>
              <w:top w:val="nil"/>
              <w:left w:val="nil"/>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1,551,301,686.69 </w:t>
            </w:r>
          </w:p>
        </w:tc>
        <w:tc>
          <w:tcPr>
            <w:tcW w:w="2978" w:type="dxa"/>
            <w:tcBorders>
              <w:top w:val="nil"/>
              <w:left w:val="nil"/>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1,410,310,348.60 </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Déficit</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  12,817,319,239.33 </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11,681,290,390.64 </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0514" w:type="dxa"/>
            <w:gridSpan w:val="4"/>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1.8 Procesos de Mejora</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978"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695"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AE158E">
        <w:trPr>
          <w:trHeight w:val="224"/>
        </w:trPr>
        <w:tc>
          <w:tcPr>
            <w:tcW w:w="15053" w:type="dxa"/>
            <w:gridSpan w:val="6"/>
            <w:tcBorders>
              <w:top w:val="nil"/>
              <w:left w:val="nil"/>
              <w:bottom w:val="nil"/>
              <w:right w:val="nil"/>
            </w:tcBorders>
            <w:shd w:val="clear" w:color="auto" w:fill="auto"/>
            <w:vAlign w:val="bottom"/>
            <w:hideMark/>
          </w:tcPr>
          <w:p w:rsidR="008939F8"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La Universidad Autónoma de Yucatán (UADY) juega un papel preponderante en la educación superior en el Estado. Y es por ello que quiere trascender socialmente, dejar huella, ser crítica con opinión y tomada en cuenta para la construcción de una mejor sociedad. Por ende, respondiendo a las demandas de la comunidad universitaria y de la sociedad, se implementa un Sistema de Gestión de la Calidad, entendido éste como el conjunto de procedimientos o procesos que se implantan en una institución, para su mejora.</w:t>
            </w:r>
          </w:p>
          <w:p w:rsidR="00613B90" w:rsidRDefault="00613B90" w:rsidP="00596BA3">
            <w:pPr>
              <w:spacing w:after="0" w:line="240" w:lineRule="auto"/>
              <w:jc w:val="both"/>
              <w:rPr>
                <w:rFonts w:eastAsia="Times New Roman" w:cs="Times New Roman"/>
                <w:color w:val="000000"/>
                <w:sz w:val="20"/>
                <w:szCs w:val="20"/>
                <w:lang w:eastAsia="es-MX"/>
              </w:rPr>
            </w:pPr>
          </w:p>
          <w:p w:rsidR="00613B90" w:rsidRDefault="00613B90" w:rsidP="00596BA3">
            <w:pPr>
              <w:spacing w:after="0" w:line="240" w:lineRule="auto"/>
              <w:jc w:val="both"/>
              <w:rPr>
                <w:rFonts w:eastAsia="Times New Roman" w:cs="Times New Roman"/>
                <w:color w:val="000000"/>
                <w:sz w:val="20"/>
                <w:szCs w:val="20"/>
                <w:lang w:eastAsia="es-MX"/>
              </w:rPr>
            </w:pPr>
          </w:p>
          <w:p w:rsidR="00613B90" w:rsidRPr="00596BA3" w:rsidRDefault="00613B90" w:rsidP="00596BA3">
            <w:pPr>
              <w:spacing w:after="0" w:line="240" w:lineRule="auto"/>
              <w:jc w:val="both"/>
              <w:rPr>
                <w:rFonts w:eastAsia="Times New Roman" w:cs="Times New Roman"/>
                <w:color w:val="000000"/>
                <w:sz w:val="20"/>
                <w:szCs w:val="20"/>
                <w:lang w:eastAsia="es-MX"/>
              </w:rPr>
            </w:pPr>
          </w:p>
        </w:tc>
      </w:tr>
      <w:tr w:rsidR="008939F8" w:rsidRPr="00596BA3" w:rsidTr="00AE158E">
        <w:trPr>
          <w:trHeight w:val="67"/>
        </w:trPr>
        <w:tc>
          <w:tcPr>
            <w:tcW w:w="1159"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978"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695"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AE158E">
        <w:trPr>
          <w:trHeight w:val="147"/>
        </w:trPr>
        <w:tc>
          <w:tcPr>
            <w:tcW w:w="15053" w:type="dxa"/>
            <w:gridSpan w:val="6"/>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r w:rsidRPr="00596BA3">
              <w:rPr>
                <w:rFonts w:eastAsia="Times New Roman" w:cs="Times New Roman"/>
                <w:sz w:val="20"/>
                <w:szCs w:val="20"/>
                <w:lang w:eastAsia="es-MX"/>
              </w:rPr>
              <w:lastRenderedPageBreak/>
              <w:t>Actualmente la Universidad cuenta con el certificado en ISO 9001-2008 de los siguientes procesos:</w:t>
            </w:r>
          </w:p>
        </w:tc>
      </w:tr>
      <w:tr w:rsidR="008939F8" w:rsidRPr="00596BA3" w:rsidTr="00AE158E">
        <w:trPr>
          <w:trHeight w:val="98"/>
        </w:trPr>
        <w:tc>
          <w:tcPr>
            <w:tcW w:w="1159" w:type="dxa"/>
            <w:tcBorders>
              <w:top w:val="nil"/>
              <w:left w:val="nil"/>
              <w:bottom w:val="nil"/>
              <w:right w:val="nil"/>
            </w:tcBorders>
            <w:shd w:val="clear" w:color="auto" w:fill="auto"/>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978"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695"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613B90">
        <w:trPr>
          <w:trHeight w:val="122"/>
        </w:trPr>
        <w:tc>
          <w:tcPr>
            <w:tcW w:w="7536" w:type="dxa"/>
            <w:gridSpan w:val="3"/>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sz w:val="20"/>
                <w:szCs w:val="20"/>
                <w:lang w:eastAsia="es-MX"/>
              </w:rPr>
            </w:pPr>
            <w:r w:rsidRPr="00596BA3">
              <w:rPr>
                <w:rFonts w:eastAsia="Times New Roman" w:cs="Times New Roman"/>
                <w:sz w:val="20"/>
                <w:szCs w:val="20"/>
                <w:lang w:eastAsia="es-MX"/>
              </w:rPr>
              <w:t>Selección de aspirantes</w:t>
            </w:r>
          </w:p>
        </w:tc>
        <w:tc>
          <w:tcPr>
            <w:tcW w:w="2978" w:type="dxa"/>
            <w:tcBorders>
              <w:top w:val="nil"/>
              <w:left w:val="nil"/>
              <w:bottom w:val="nil"/>
              <w:right w:val="nil"/>
            </w:tcBorders>
            <w:shd w:val="clear" w:color="auto" w:fill="auto"/>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AE158E">
        <w:trPr>
          <w:trHeight w:val="122"/>
        </w:trPr>
        <w:tc>
          <w:tcPr>
            <w:tcW w:w="10514" w:type="dxa"/>
            <w:gridSpan w:val="4"/>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r w:rsidRPr="00596BA3">
              <w:rPr>
                <w:rFonts w:eastAsia="Times New Roman" w:cs="Times New Roman"/>
                <w:sz w:val="20"/>
                <w:szCs w:val="20"/>
                <w:lang w:eastAsia="es-MX"/>
              </w:rPr>
              <w:t>Diseño y provisión de servicios de tecnologías de la información y comunicaciones</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613B90">
        <w:trPr>
          <w:trHeight w:val="122"/>
        </w:trPr>
        <w:tc>
          <w:tcPr>
            <w:tcW w:w="7536" w:type="dxa"/>
            <w:gridSpan w:val="3"/>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sz w:val="20"/>
                <w:szCs w:val="20"/>
                <w:lang w:eastAsia="es-MX"/>
              </w:rPr>
            </w:pPr>
            <w:r w:rsidRPr="00596BA3">
              <w:rPr>
                <w:rFonts w:eastAsia="Times New Roman" w:cs="Times New Roman"/>
                <w:sz w:val="20"/>
                <w:szCs w:val="20"/>
                <w:lang w:eastAsia="es-MX"/>
              </w:rPr>
              <w:t>Provisión de servicios bibliotecarios</w:t>
            </w:r>
          </w:p>
        </w:tc>
        <w:tc>
          <w:tcPr>
            <w:tcW w:w="2978" w:type="dxa"/>
            <w:tcBorders>
              <w:top w:val="nil"/>
              <w:left w:val="nil"/>
              <w:bottom w:val="nil"/>
              <w:right w:val="nil"/>
            </w:tcBorders>
            <w:shd w:val="clear" w:color="auto" w:fill="auto"/>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613B90">
        <w:trPr>
          <w:trHeight w:val="122"/>
        </w:trPr>
        <w:tc>
          <w:tcPr>
            <w:tcW w:w="7536" w:type="dxa"/>
            <w:gridSpan w:val="3"/>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sz w:val="20"/>
                <w:szCs w:val="20"/>
                <w:lang w:eastAsia="es-MX"/>
              </w:rPr>
            </w:pPr>
            <w:r w:rsidRPr="00596BA3">
              <w:rPr>
                <w:rFonts w:eastAsia="Times New Roman" w:cs="Times New Roman"/>
                <w:sz w:val="20"/>
                <w:szCs w:val="20"/>
                <w:lang w:eastAsia="es-MX"/>
              </w:rPr>
              <w:t>Provisión de servicios financieros, materiales y humanos</w:t>
            </w:r>
          </w:p>
        </w:tc>
        <w:tc>
          <w:tcPr>
            <w:tcW w:w="2978" w:type="dxa"/>
            <w:tcBorders>
              <w:top w:val="nil"/>
              <w:left w:val="nil"/>
              <w:bottom w:val="nil"/>
              <w:right w:val="nil"/>
            </w:tcBorders>
            <w:shd w:val="clear" w:color="auto" w:fill="auto"/>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613B90">
        <w:trPr>
          <w:trHeight w:val="122"/>
        </w:trPr>
        <w:tc>
          <w:tcPr>
            <w:tcW w:w="7536" w:type="dxa"/>
            <w:gridSpan w:val="3"/>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sz w:val="20"/>
                <w:szCs w:val="20"/>
                <w:lang w:eastAsia="es-MX"/>
              </w:rPr>
            </w:pPr>
            <w:r w:rsidRPr="00596BA3">
              <w:rPr>
                <w:rFonts w:eastAsia="Times New Roman" w:cs="Times New Roman"/>
                <w:sz w:val="20"/>
                <w:szCs w:val="20"/>
                <w:lang w:eastAsia="es-MX"/>
              </w:rPr>
              <w:t>Provisión de servicios de salud</w:t>
            </w:r>
          </w:p>
        </w:tc>
        <w:tc>
          <w:tcPr>
            <w:tcW w:w="2978" w:type="dxa"/>
            <w:tcBorders>
              <w:top w:val="nil"/>
              <w:left w:val="nil"/>
              <w:bottom w:val="nil"/>
              <w:right w:val="nil"/>
            </w:tcBorders>
            <w:shd w:val="clear" w:color="auto" w:fill="auto"/>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613B90">
        <w:trPr>
          <w:trHeight w:val="122"/>
        </w:trPr>
        <w:tc>
          <w:tcPr>
            <w:tcW w:w="7536" w:type="dxa"/>
            <w:gridSpan w:val="3"/>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sz w:val="20"/>
                <w:szCs w:val="20"/>
                <w:lang w:eastAsia="es-MX"/>
              </w:rPr>
            </w:pPr>
            <w:r w:rsidRPr="00596BA3">
              <w:rPr>
                <w:rFonts w:eastAsia="Times New Roman" w:cs="Times New Roman"/>
                <w:sz w:val="20"/>
                <w:szCs w:val="20"/>
                <w:lang w:eastAsia="es-MX"/>
              </w:rPr>
              <w:t>Administración del sistema de gestión de la calidad</w:t>
            </w:r>
          </w:p>
        </w:tc>
        <w:tc>
          <w:tcPr>
            <w:tcW w:w="2978" w:type="dxa"/>
            <w:tcBorders>
              <w:top w:val="nil"/>
              <w:left w:val="nil"/>
              <w:bottom w:val="nil"/>
              <w:right w:val="nil"/>
            </w:tcBorders>
            <w:shd w:val="clear" w:color="auto" w:fill="auto"/>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613B90">
        <w:trPr>
          <w:trHeight w:val="122"/>
        </w:trPr>
        <w:tc>
          <w:tcPr>
            <w:tcW w:w="7536" w:type="dxa"/>
            <w:gridSpan w:val="3"/>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sz w:val="20"/>
                <w:szCs w:val="20"/>
                <w:lang w:eastAsia="es-MX"/>
              </w:rPr>
            </w:pPr>
            <w:r w:rsidRPr="00596BA3">
              <w:rPr>
                <w:rFonts w:eastAsia="Times New Roman" w:cs="Times New Roman"/>
                <w:sz w:val="20"/>
                <w:szCs w:val="20"/>
                <w:lang w:eastAsia="es-MX"/>
              </w:rPr>
              <w:t>Provisión y gestión de servicios escolares y servicio social</w:t>
            </w:r>
          </w:p>
        </w:tc>
        <w:tc>
          <w:tcPr>
            <w:tcW w:w="2978" w:type="dxa"/>
            <w:tcBorders>
              <w:top w:val="nil"/>
              <w:left w:val="nil"/>
              <w:bottom w:val="nil"/>
              <w:right w:val="nil"/>
            </w:tcBorders>
            <w:shd w:val="clear" w:color="auto" w:fill="auto"/>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AE158E">
        <w:trPr>
          <w:trHeight w:val="98"/>
        </w:trPr>
        <w:tc>
          <w:tcPr>
            <w:tcW w:w="1159"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407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978"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695"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2. NOTAS DE DESGLOSE</w:t>
            </w:r>
          </w:p>
        </w:tc>
        <w:tc>
          <w:tcPr>
            <w:tcW w:w="2303"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2978"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(2.1.1)Efectivo y equivalentes</w:t>
            </w:r>
          </w:p>
        </w:tc>
      </w:tr>
      <w:tr w:rsidR="008939F8" w:rsidRPr="00596BA3" w:rsidTr="00AE158E">
        <w:trPr>
          <w:trHeight w:val="434"/>
        </w:trPr>
        <w:tc>
          <w:tcPr>
            <w:tcW w:w="15053" w:type="dxa"/>
            <w:gridSpan w:val="6"/>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Los saldos de efectivo y equivalentes que se presentan en este rubro del Estado de situación financiera, por $716,919,388.89 corresponden a transferencias federales, estatales, ingresos propios de las dependencias así como aportaciones de  diversas  Instituciones públicas y/o privadas otorgadas a la Universidad para el aseguramiento de la calidad en infraestructura académica, nuevas construcciones  y apoyo a la investigación entre otros mismos que corresponden a fondos  que se tienen en custodia sin poder disponer de ellos, más que para la realización de los Proyectos y Programas para los cuales fueron asignados.</w:t>
            </w:r>
          </w:p>
        </w:tc>
      </w:tr>
      <w:tr w:rsidR="00D35C0E" w:rsidRPr="00596BA3" w:rsidTr="00613B90">
        <w:trPr>
          <w:trHeight w:val="214"/>
        </w:trPr>
        <w:tc>
          <w:tcPr>
            <w:tcW w:w="5233" w:type="dxa"/>
            <w:gridSpan w:val="2"/>
            <w:tcBorders>
              <w:top w:val="nil"/>
              <w:left w:val="nil"/>
              <w:bottom w:val="nil"/>
              <w:right w:val="nil"/>
            </w:tcBorders>
            <w:shd w:val="clear" w:color="auto" w:fill="auto"/>
          </w:tcPr>
          <w:p w:rsidR="00D35C0E" w:rsidRPr="00596BA3" w:rsidRDefault="00D35C0E" w:rsidP="00596BA3">
            <w:pPr>
              <w:spacing w:after="0" w:line="240" w:lineRule="auto"/>
              <w:rPr>
                <w:rFonts w:eastAsia="Times New Roman" w:cs="Times New Roman"/>
                <w:b/>
                <w:bCs/>
                <w:color w:val="000000"/>
                <w:sz w:val="20"/>
                <w:szCs w:val="20"/>
                <w:lang w:eastAsia="es-MX"/>
              </w:rPr>
            </w:pPr>
          </w:p>
        </w:tc>
        <w:tc>
          <w:tcPr>
            <w:tcW w:w="2303" w:type="dxa"/>
            <w:tcBorders>
              <w:top w:val="nil"/>
              <w:left w:val="nil"/>
              <w:bottom w:val="nil"/>
              <w:right w:val="nil"/>
            </w:tcBorders>
            <w:shd w:val="clear" w:color="auto" w:fill="auto"/>
            <w:noWrap/>
            <w:vAlign w:val="bottom"/>
          </w:tcPr>
          <w:p w:rsidR="00D35C0E" w:rsidRPr="00596BA3" w:rsidRDefault="00D35C0E" w:rsidP="00596BA3">
            <w:pPr>
              <w:spacing w:after="0" w:line="240" w:lineRule="auto"/>
              <w:rPr>
                <w:rFonts w:eastAsia="Times New Roman" w:cs="Times New Roman"/>
                <w:b/>
                <w:bCs/>
                <w:color w:val="000000"/>
                <w:sz w:val="20"/>
                <w:szCs w:val="20"/>
                <w:lang w:eastAsia="es-MX"/>
              </w:rPr>
            </w:pPr>
          </w:p>
        </w:tc>
        <w:tc>
          <w:tcPr>
            <w:tcW w:w="2978" w:type="dxa"/>
            <w:tcBorders>
              <w:top w:val="nil"/>
              <w:left w:val="nil"/>
              <w:bottom w:val="nil"/>
              <w:right w:val="nil"/>
            </w:tcBorders>
            <w:shd w:val="clear" w:color="auto" w:fill="auto"/>
          </w:tcPr>
          <w:p w:rsidR="00D35C0E" w:rsidRPr="00596BA3" w:rsidRDefault="00D35C0E" w:rsidP="00596BA3">
            <w:pPr>
              <w:spacing w:after="0" w:line="240" w:lineRule="auto"/>
              <w:jc w:val="both"/>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tcPr>
          <w:p w:rsidR="00D35C0E" w:rsidRPr="00596BA3" w:rsidRDefault="00D35C0E" w:rsidP="00596BA3">
            <w:pPr>
              <w:spacing w:after="0" w:line="240" w:lineRule="auto"/>
              <w:jc w:val="both"/>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tcPr>
          <w:p w:rsidR="00D35C0E" w:rsidRPr="00596BA3" w:rsidRDefault="00D35C0E" w:rsidP="00596BA3">
            <w:pPr>
              <w:spacing w:after="0" w:line="240" w:lineRule="auto"/>
              <w:jc w:val="both"/>
              <w:rPr>
                <w:rFonts w:eastAsia="Times New Roman" w:cs="Times New Roman"/>
                <w:sz w:val="20"/>
                <w:szCs w:val="20"/>
                <w:lang w:eastAsia="es-MX"/>
              </w:rPr>
            </w:pPr>
          </w:p>
        </w:tc>
      </w:tr>
      <w:tr w:rsidR="00D35C0E" w:rsidRPr="00596BA3" w:rsidTr="00613B90">
        <w:trPr>
          <w:trHeight w:val="87"/>
        </w:trPr>
        <w:tc>
          <w:tcPr>
            <w:tcW w:w="5233" w:type="dxa"/>
            <w:gridSpan w:val="2"/>
            <w:tcBorders>
              <w:top w:val="nil"/>
              <w:left w:val="nil"/>
              <w:bottom w:val="nil"/>
              <w:right w:val="nil"/>
            </w:tcBorders>
            <w:shd w:val="clear" w:color="auto" w:fill="auto"/>
          </w:tcPr>
          <w:p w:rsidR="00D35C0E" w:rsidRPr="00596BA3" w:rsidRDefault="00D35C0E" w:rsidP="00596BA3">
            <w:pPr>
              <w:spacing w:after="0" w:line="240" w:lineRule="auto"/>
              <w:rPr>
                <w:rFonts w:eastAsia="Times New Roman" w:cs="Times New Roman"/>
                <w:b/>
                <w:bCs/>
                <w:color w:val="000000"/>
                <w:sz w:val="20"/>
                <w:szCs w:val="20"/>
                <w:lang w:eastAsia="es-MX"/>
              </w:rPr>
            </w:pPr>
          </w:p>
        </w:tc>
        <w:tc>
          <w:tcPr>
            <w:tcW w:w="2303" w:type="dxa"/>
            <w:tcBorders>
              <w:top w:val="nil"/>
              <w:left w:val="nil"/>
              <w:bottom w:val="nil"/>
              <w:right w:val="nil"/>
            </w:tcBorders>
            <w:shd w:val="clear" w:color="auto" w:fill="auto"/>
            <w:noWrap/>
            <w:vAlign w:val="bottom"/>
          </w:tcPr>
          <w:p w:rsidR="00D35C0E" w:rsidRPr="00596BA3" w:rsidRDefault="00D35C0E" w:rsidP="00596BA3">
            <w:pPr>
              <w:spacing w:after="0" w:line="240" w:lineRule="auto"/>
              <w:rPr>
                <w:rFonts w:eastAsia="Times New Roman" w:cs="Times New Roman"/>
                <w:b/>
                <w:bCs/>
                <w:color w:val="000000"/>
                <w:sz w:val="20"/>
                <w:szCs w:val="20"/>
                <w:lang w:eastAsia="es-MX"/>
              </w:rPr>
            </w:pPr>
          </w:p>
        </w:tc>
        <w:tc>
          <w:tcPr>
            <w:tcW w:w="2978" w:type="dxa"/>
            <w:tcBorders>
              <w:top w:val="nil"/>
              <w:left w:val="nil"/>
              <w:bottom w:val="nil"/>
              <w:right w:val="nil"/>
            </w:tcBorders>
            <w:shd w:val="clear" w:color="auto" w:fill="auto"/>
          </w:tcPr>
          <w:p w:rsidR="00D35C0E" w:rsidRPr="00596BA3" w:rsidRDefault="00D35C0E" w:rsidP="00596BA3">
            <w:pPr>
              <w:spacing w:after="0" w:line="240" w:lineRule="auto"/>
              <w:jc w:val="both"/>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tcPr>
          <w:p w:rsidR="00D35C0E" w:rsidRPr="00596BA3" w:rsidRDefault="00D35C0E" w:rsidP="00596BA3">
            <w:pPr>
              <w:spacing w:after="0" w:line="240" w:lineRule="auto"/>
              <w:jc w:val="both"/>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tcPr>
          <w:p w:rsidR="00D35C0E" w:rsidRPr="00596BA3" w:rsidRDefault="00D35C0E" w:rsidP="00596BA3">
            <w:pPr>
              <w:spacing w:after="0" w:line="240" w:lineRule="auto"/>
              <w:jc w:val="both"/>
              <w:rPr>
                <w:rFonts w:eastAsia="Times New Roman" w:cs="Times New Roman"/>
                <w:sz w:val="20"/>
                <w:szCs w:val="20"/>
                <w:lang w:eastAsia="es-MX"/>
              </w:rPr>
            </w:pPr>
          </w:p>
        </w:tc>
      </w:tr>
      <w:tr w:rsidR="008939F8" w:rsidRPr="00596BA3" w:rsidTr="00613B90">
        <w:trPr>
          <w:trHeight w:val="87"/>
        </w:trPr>
        <w:tc>
          <w:tcPr>
            <w:tcW w:w="5233" w:type="dxa"/>
            <w:gridSpan w:val="2"/>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Efectivo y equivalentes de recursos propios generados</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2978"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354,898,749.96 </w:t>
            </w:r>
          </w:p>
        </w:tc>
        <w:tc>
          <w:tcPr>
            <w:tcW w:w="2695"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613B90">
        <w:trPr>
          <w:trHeight w:val="100"/>
        </w:trPr>
        <w:tc>
          <w:tcPr>
            <w:tcW w:w="5233" w:type="dxa"/>
            <w:gridSpan w:val="2"/>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Efectivo y equivalentes de recursos transferidos</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2978"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164,827,402.38 </w:t>
            </w:r>
          </w:p>
        </w:tc>
        <w:tc>
          <w:tcPr>
            <w:tcW w:w="2695"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Efectivo y equivalentes restringidos</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2978"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197,193,236.55 </w:t>
            </w:r>
          </w:p>
        </w:tc>
        <w:tc>
          <w:tcPr>
            <w:tcW w:w="2695"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613B90">
        <w:trPr>
          <w:trHeight w:val="104"/>
        </w:trPr>
        <w:tc>
          <w:tcPr>
            <w:tcW w:w="5233" w:type="dxa"/>
            <w:gridSpan w:val="2"/>
            <w:vMerge w:val="restart"/>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Aportado por fuentes de financiamiento para programas específicos</w:t>
            </w:r>
          </w:p>
        </w:tc>
        <w:tc>
          <w:tcPr>
            <w:tcW w:w="2303" w:type="dxa"/>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695"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613B90">
        <w:trPr>
          <w:trHeight w:val="104"/>
        </w:trPr>
        <w:tc>
          <w:tcPr>
            <w:tcW w:w="5233" w:type="dxa"/>
            <w:gridSpan w:val="2"/>
            <w:vMerge/>
            <w:tcBorders>
              <w:top w:val="nil"/>
              <w:left w:val="nil"/>
              <w:bottom w:val="nil"/>
              <w:right w:val="nil"/>
            </w:tcBorders>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303"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141,873,723.95 </w:t>
            </w:r>
          </w:p>
        </w:tc>
        <w:tc>
          <w:tcPr>
            <w:tcW w:w="2978"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Fideicomisos</w:t>
            </w:r>
          </w:p>
        </w:tc>
        <w:tc>
          <w:tcPr>
            <w:tcW w:w="2303"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55,319,512.60 </w:t>
            </w:r>
          </w:p>
        </w:tc>
        <w:tc>
          <w:tcPr>
            <w:tcW w:w="2978" w:type="dxa"/>
            <w:tcBorders>
              <w:top w:val="nil"/>
              <w:left w:val="nil"/>
              <w:bottom w:val="single" w:sz="4" w:space="0" w:color="auto"/>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Total</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        716,919,388.89 </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202"/>
        </w:trPr>
        <w:tc>
          <w:tcPr>
            <w:tcW w:w="7536" w:type="dxa"/>
            <w:gridSpan w:val="3"/>
            <w:tcBorders>
              <w:top w:val="nil"/>
              <w:left w:val="nil"/>
              <w:bottom w:val="nil"/>
              <w:right w:val="nil"/>
            </w:tcBorders>
            <w:shd w:val="clear" w:color="auto" w:fill="auto"/>
            <w:vAlign w:val="center"/>
            <w:hideMark/>
          </w:tcPr>
          <w:p w:rsidR="00613B90" w:rsidRDefault="00613B90" w:rsidP="00596BA3">
            <w:pPr>
              <w:spacing w:after="0" w:line="240" w:lineRule="auto"/>
              <w:rPr>
                <w:rFonts w:eastAsia="Times New Roman" w:cs="Times New Roman"/>
                <w:b/>
                <w:bCs/>
                <w:color w:val="000000"/>
                <w:sz w:val="20"/>
                <w:szCs w:val="20"/>
                <w:lang w:eastAsia="es-MX"/>
              </w:rPr>
            </w:pPr>
          </w:p>
          <w:p w:rsidR="00613B90" w:rsidRDefault="00613B90" w:rsidP="00596BA3">
            <w:pPr>
              <w:spacing w:after="0" w:line="240" w:lineRule="auto"/>
              <w:rPr>
                <w:rFonts w:eastAsia="Times New Roman" w:cs="Times New Roman"/>
                <w:b/>
                <w:bCs/>
                <w:color w:val="000000"/>
                <w:sz w:val="20"/>
                <w:szCs w:val="20"/>
                <w:lang w:eastAsia="es-MX"/>
              </w:rPr>
            </w:pPr>
          </w:p>
          <w:p w:rsidR="00613B90" w:rsidRDefault="00613B90" w:rsidP="00596BA3">
            <w:pPr>
              <w:spacing w:after="0" w:line="240" w:lineRule="auto"/>
              <w:rPr>
                <w:rFonts w:eastAsia="Times New Roman" w:cs="Times New Roman"/>
                <w:b/>
                <w:bCs/>
                <w:color w:val="000000"/>
                <w:sz w:val="20"/>
                <w:szCs w:val="20"/>
                <w:lang w:eastAsia="es-MX"/>
              </w:rPr>
            </w:pPr>
          </w:p>
          <w:p w:rsidR="00AE158E" w:rsidRDefault="00AE158E" w:rsidP="00596BA3">
            <w:pPr>
              <w:spacing w:after="0" w:line="240" w:lineRule="auto"/>
              <w:rPr>
                <w:rFonts w:eastAsia="Times New Roman" w:cs="Times New Roman"/>
                <w:b/>
                <w:bCs/>
                <w:color w:val="000000"/>
                <w:sz w:val="20"/>
                <w:szCs w:val="20"/>
                <w:lang w:eastAsia="es-MX"/>
              </w:rPr>
            </w:pPr>
          </w:p>
          <w:p w:rsidR="00AE158E" w:rsidRDefault="00AE158E" w:rsidP="00596BA3">
            <w:pPr>
              <w:spacing w:after="0" w:line="240" w:lineRule="auto"/>
              <w:rPr>
                <w:rFonts w:eastAsia="Times New Roman" w:cs="Times New Roman"/>
                <w:b/>
                <w:bCs/>
                <w:color w:val="000000"/>
                <w:sz w:val="20"/>
                <w:szCs w:val="20"/>
                <w:lang w:eastAsia="es-MX"/>
              </w:rPr>
            </w:pPr>
          </w:p>
          <w:p w:rsidR="00613B90" w:rsidRDefault="00613B90" w:rsidP="00596BA3">
            <w:pPr>
              <w:spacing w:after="0" w:line="240" w:lineRule="auto"/>
              <w:rPr>
                <w:rFonts w:eastAsia="Times New Roman" w:cs="Times New Roman"/>
                <w:b/>
                <w:bCs/>
                <w:color w:val="000000"/>
                <w:sz w:val="20"/>
                <w:szCs w:val="20"/>
                <w:lang w:eastAsia="es-MX"/>
              </w:rPr>
            </w:pPr>
          </w:p>
          <w:p w:rsidR="00613B90" w:rsidRDefault="00613B90" w:rsidP="00596BA3">
            <w:pPr>
              <w:spacing w:after="0" w:line="240" w:lineRule="auto"/>
              <w:rPr>
                <w:rFonts w:eastAsia="Times New Roman" w:cs="Times New Roman"/>
                <w:b/>
                <w:bCs/>
                <w:color w:val="000000"/>
                <w:sz w:val="20"/>
                <w:szCs w:val="20"/>
                <w:lang w:eastAsia="es-MX"/>
              </w:rPr>
            </w:pPr>
          </w:p>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lastRenderedPageBreak/>
              <w:t xml:space="preserve">(2.1.2) Derechos a Recibir Efectivo y Equivalentes </w:t>
            </w:r>
          </w:p>
        </w:tc>
        <w:tc>
          <w:tcPr>
            <w:tcW w:w="2978"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2695"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5053" w:type="dxa"/>
            <w:gridSpan w:val="6"/>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El saldo de esta cuenta a la fecha que se presentan los estados financieros está integrado por las siguientes partidas:</w:t>
            </w:r>
          </w:p>
        </w:tc>
      </w:tr>
      <w:tr w:rsidR="008939F8" w:rsidRPr="00596BA3" w:rsidTr="00AE158E">
        <w:trPr>
          <w:trHeight w:val="104"/>
        </w:trPr>
        <w:tc>
          <w:tcPr>
            <w:tcW w:w="1159" w:type="dxa"/>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978"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695"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AE158E">
        <w:trPr>
          <w:trHeight w:val="101"/>
        </w:trPr>
        <w:tc>
          <w:tcPr>
            <w:tcW w:w="1159"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r w:rsidRPr="00596BA3">
              <w:rPr>
                <w:rFonts w:eastAsia="Times New Roman" w:cs="Times New Roman"/>
                <w:b/>
                <w:bCs/>
                <w:color w:val="000000"/>
                <w:sz w:val="20"/>
                <w:szCs w:val="20"/>
                <w:u w:val="single"/>
                <w:lang w:eastAsia="es-MX"/>
              </w:rPr>
              <w:t>Vencimiento menor a 90 días</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695" w:type="dxa"/>
            <w:tcBorders>
              <w:top w:val="nil"/>
              <w:left w:val="nil"/>
              <w:bottom w:val="nil"/>
              <w:right w:val="nil"/>
            </w:tcBorders>
            <w:shd w:val="clear" w:color="auto" w:fill="auto"/>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1844"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AE158E">
        <w:trPr>
          <w:trHeight w:val="108"/>
        </w:trPr>
        <w:tc>
          <w:tcPr>
            <w:tcW w:w="1159"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4074" w:type="dxa"/>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Provisiones de cuentas por cobrar </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2,978,525.56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4074"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Servicio Médico Jubilados </w:t>
            </w:r>
          </w:p>
        </w:tc>
        <w:tc>
          <w:tcPr>
            <w:tcW w:w="2303"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6,222,225.01 </w:t>
            </w:r>
          </w:p>
        </w:tc>
        <w:tc>
          <w:tcPr>
            <w:tcW w:w="2978"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Deudores Diversos </w:t>
            </w:r>
          </w:p>
        </w:tc>
        <w:tc>
          <w:tcPr>
            <w:tcW w:w="2303"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1,509,076.14 </w:t>
            </w:r>
          </w:p>
        </w:tc>
        <w:tc>
          <w:tcPr>
            <w:tcW w:w="2978"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Préstamo entre fondos </w:t>
            </w:r>
          </w:p>
        </w:tc>
        <w:tc>
          <w:tcPr>
            <w:tcW w:w="2303"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167,500.00 </w:t>
            </w:r>
          </w:p>
        </w:tc>
        <w:tc>
          <w:tcPr>
            <w:tcW w:w="2978"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Funcionarios y Empleados </w:t>
            </w:r>
          </w:p>
        </w:tc>
        <w:tc>
          <w:tcPr>
            <w:tcW w:w="2303"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33,853.82 </w:t>
            </w:r>
          </w:p>
        </w:tc>
        <w:tc>
          <w:tcPr>
            <w:tcW w:w="2978"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208"/>
        </w:trPr>
        <w:tc>
          <w:tcPr>
            <w:tcW w:w="1159" w:type="dxa"/>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Otros derechos a recibir efectivo </w:t>
            </w:r>
          </w:p>
        </w:tc>
        <w:tc>
          <w:tcPr>
            <w:tcW w:w="2303" w:type="dxa"/>
            <w:tcBorders>
              <w:top w:val="nil"/>
              <w:left w:val="nil"/>
              <w:bottom w:val="single" w:sz="4" w:space="0" w:color="auto"/>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3,982.86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          10,915,163.39 </w:t>
            </w:r>
          </w:p>
        </w:tc>
        <w:tc>
          <w:tcPr>
            <w:tcW w:w="2978"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b/>
                <w:bCs/>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978"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695"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noWrap/>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613B90">
        <w:trPr>
          <w:trHeight w:val="176"/>
        </w:trPr>
        <w:tc>
          <w:tcPr>
            <w:tcW w:w="7536" w:type="dxa"/>
            <w:gridSpan w:val="3"/>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(2.1.3) Derechos a recibir bienes o Servicios </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2695"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695" w:type="dxa"/>
            <w:tcBorders>
              <w:top w:val="nil"/>
              <w:left w:val="nil"/>
              <w:bottom w:val="nil"/>
              <w:right w:val="nil"/>
            </w:tcBorders>
            <w:shd w:val="clear" w:color="auto" w:fill="auto"/>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1844" w:type="dxa"/>
            <w:tcBorders>
              <w:top w:val="nil"/>
              <w:left w:val="nil"/>
              <w:bottom w:val="nil"/>
              <w:right w:val="nil"/>
            </w:tcBorders>
            <w:shd w:val="clear" w:color="auto" w:fill="auto"/>
            <w:noWrap/>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Gastos por Comprobar </w:t>
            </w:r>
          </w:p>
        </w:tc>
        <w:tc>
          <w:tcPr>
            <w:tcW w:w="2303"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20,389,737.20 </w:t>
            </w:r>
          </w:p>
        </w:tc>
        <w:tc>
          <w:tcPr>
            <w:tcW w:w="2978"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Anticipo a Proveedores </w:t>
            </w:r>
          </w:p>
        </w:tc>
        <w:tc>
          <w:tcPr>
            <w:tcW w:w="2303" w:type="dxa"/>
            <w:tcBorders>
              <w:top w:val="nil"/>
              <w:left w:val="nil"/>
              <w:bottom w:val="single" w:sz="4" w:space="0" w:color="auto"/>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153,660.04 </w:t>
            </w:r>
          </w:p>
        </w:tc>
        <w:tc>
          <w:tcPr>
            <w:tcW w:w="2978"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20,543,397.24 </w:t>
            </w:r>
          </w:p>
        </w:tc>
        <w:tc>
          <w:tcPr>
            <w:tcW w:w="2978" w:type="dxa"/>
            <w:tcBorders>
              <w:top w:val="nil"/>
              <w:left w:val="nil"/>
              <w:bottom w:val="nil"/>
              <w:right w:val="nil"/>
            </w:tcBorders>
            <w:shd w:val="clear" w:color="auto" w:fill="auto"/>
            <w:hideMark/>
          </w:tcPr>
          <w:p w:rsidR="008939F8" w:rsidRPr="00596BA3" w:rsidRDefault="008939F8" w:rsidP="00596BA3">
            <w:pPr>
              <w:spacing w:after="0" w:line="240" w:lineRule="auto"/>
              <w:jc w:val="both"/>
              <w:rPr>
                <w:rFonts w:eastAsia="Times New Roman" w:cs="Times New Roman"/>
                <w:b/>
                <w:bCs/>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0514" w:type="dxa"/>
            <w:gridSpan w:val="4"/>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(2.1.4) Inventarios</w:t>
            </w: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u w:val="single"/>
                <w:lang w:eastAsia="es-MX"/>
              </w:rPr>
            </w:pPr>
            <w:r w:rsidRPr="00596BA3">
              <w:rPr>
                <w:rFonts w:eastAsia="Times New Roman" w:cs="Times New Roman"/>
                <w:color w:val="000000"/>
                <w:sz w:val="20"/>
                <w:szCs w:val="20"/>
                <w:u w:val="single"/>
                <w:lang w:eastAsia="es-MX"/>
              </w:rPr>
              <w:t>Almacén.</w:t>
            </w:r>
          </w:p>
        </w:tc>
        <w:tc>
          <w:tcPr>
            <w:tcW w:w="2303"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u w:val="single"/>
                <w:lang w:eastAsia="es-MX"/>
              </w:rPr>
            </w:pPr>
          </w:p>
        </w:tc>
        <w:tc>
          <w:tcPr>
            <w:tcW w:w="2978"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318"/>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Los diversos almacenes se encuentran registrados a su costo de adquisición y debido a su alta rotación se consideran actualizados a pesos de poder adquisitivo de la fecha de cierre. El método de valuación utilizado para su control contable y su aplicación a resultados es el de “promedios”.</w:t>
            </w: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Default="008939F8" w:rsidP="00596BA3">
            <w:pPr>
              <w:spacing w:after="0" w:line="240" w:lineRule="auto"/>
              <w:jc w:val="both"/>
              <w:rPr>
                <w:rFonts w:eastAsia="Times New Roman" w:cs="Times New Roman"/>
                <w:color w:val="000000"/>
                <w:sz w:val="20"/>
                <w:szCs w:val="20"/>
                <w:lang w:eastAsia="es-MX"/>
              </w:rPr>
            </w:pPr>
          </w:p>
          <w:p w:rsidR="00613B90" w:rsidRDefault="00613B90" w:rsidP="00596BA3">
            <w:pPr>
              <w:spacing w:after="0" w:line="240" w:lineRule="auto"/>
              <w:jc w:val="both"/>
              <w:rPr>
                <w:rFonts w:eastAsia="Times New Roman" w:cs="Times New Roman"/>
                <w:color w:val="000000"/>
                <w:sz w:val="20"/>
                <w:szCs w:val="20"/>
                <w:lang w:eastAsia="es-MX"/>
              </w:rPr>
            </w:pPr>
          </w:p>
          <w:p w:rsidR="00613B90" w:rsidRDefault="00613B90" w:rsidP="00596BA3">
            <w:pPr>
              <w:spacing w:after="0" w:line="240" w:lineRule="auto"/>
              <w:jc w:val="both"/>
              <w:rPr>
                <w:rFonts w:eastAsia="Times New Roman" w:cs="Times New Roman"/>
                <w:color w:val="000000"/>
                <w:sz w:val="20"/>
                <w:szCs w:val="20"/>
                <w:lang w:eastAsia="es-MX"/>
              </w:rPr>
            </w:pPr>
          </w:p>
          <w:p w:rsidR="00613B90" w:rsidRPr="00596BA3" w:rsidRDefault="00613B90"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hideMark/>
          </w:tcPr>
          <w:p w:rsidR="00613B90" w:rsidRPr="00596BA3" w:rsidRDefault="00613B90"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13209" w:type="dxa"/>
            <w:gridSpan w:val="5"/>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La integración de este rubro a la fecha que se presentan los estados financieros  es la siguiente:</w:t>
            </w:r>
          </w:p>
        </w:tc>
        <w:tc>
          <w:tcPr>
            <w:tcW w:w="184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Libros</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8,175,743.43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Materiales </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1,182,473.58</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Insignias universitarias</w:t>
            </w:r>
          </w:p>
        </w:tc>
        <w:tc>
          <w:tcPr>
            <w:tcW w:w="2303" w:type="dxa"/>
            <w:tcBorders>
              <w:top w:val="nil"/>
              <w:left w:val="nil"/>
              <w:bottom w:val="single" w:sz="4" w:space="0" w:color="auto"/>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187,381.95</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9,545,598.96</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613B90">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0514" w:type="dxa"/>
            <w:gridSpan w:val="4"/>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lastRenderedPageBreak/>
              <w:t>(2.1.5) Otros Activos Circulantes</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5053" w:type="dxa"/>
            <w:gridSpan w:val="6"/>
            <w:tcBorders>
              <w:top w:val="nil"/>
              <w:left w:val="nil"/>
              <w:bottom w:val="nil"/>
              <w:right w:val="nil"/>
            </w:tcBorders>
            <w:shd w:val="clear" w:color="auto" w:fill="auto"/>
            <w:vAlign w:val="bottom"/>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Este rubro está integrado por depósitos en garantía a Comisión Federal de Electricidad por un importe de  $10,000.00 pesos.</w:t>
            </w:r>
          </w:p>
        </w:tc>
      </w:tr>
      <w:tr w:rsidR="00376A24" w:rsidRPr="00596BA3" w:rsidTr="00AE158E">
        <w:trPr>
          <w:trHeight w:val="214"/>
        </w:trPr>
        <w:tc>
          <w:tcPr>
            <w:tcW w:w="10514" w:type="dxa"/>
            <w:gridSpan w:val="4"/>
            <w:tcBorders>
              <w:top w:val="nil"/>
              <w:left w:val="nil"/>
              <w:bottom w:val="nil"/>
              <w:right w:val="nil"/>
            </w:tcBorders>
            <w:shd w:val="clear" w:color="auto" w:fill="auto"/>
            <w:vAlign w:val="center"/>
          </w:tcPr>
          <w:p w:rsidR="00376A24" w:rsidRPr="00596BA3" w:rsidRDefault="00376A24" w:rsidP="00596BA3">
            <w:pPr>
              <w:spacing w:after="0" w:line="240" w:lineRule="auto"/>
              <w:rPr>
                <w:rFonts w:eastAsia="Times New Roman" w:cs="Times New Roman"/>
                <w:b/>
                <w:bCs/>
                <w:color w:val="000000"/>
                <w:sz w:val="20"/>
                <w:szCs w:val="20"/>
                <w:lang w:eastAsia="es-MX"/>
              </w:rPr>
            </w:pPr>
          </w:p>
        </w:tc>
        <w:tc>
          <w:tcPr>
            <w:tcW w:w="2695"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r>
      <w:tr w:rsidR="008939F8" w:rsidRPr="00596BA3" w:rsidTr="00AE158E">
        <w:trPr>
          <w:trHeight w:val="214"/>
        </w:trPr>
        <w:tc>
          <w:tcPr>
            <w:tcW w:w="10514" w:type="dxa"/>
            <w:gridSpan w:val="4"/>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(2.1.6) Propiedades y Equipo </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0514" w:type="dxa"/>
            <w:gridSpan w:val="4"/>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Su integración es la siguiente:</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376A24" w:rsidRPr="00596BA3" w:rsidTr="00613B90">
        <w:trPr>
          <w:trHeight w:val="208"/>
        </w:trPr>
        <w:tc>
          <w:tcPr>
            <w:tcW w:w="5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A24" w:rsidRPr="00596BA3" w:rsidRDefault="00376A24" w:rsidP="00596BA3">
            <w:pPr>
              <w:spacing w:after="0" w:line="240" w:lineRule="auto"/>
              <w:rPr>
                <w:rFonts w:eastAsia="Times New Roman" w:cs="Times New Roman"/>
                <w:b/>
                <w:bCs/>
                <w:color w:val="000000"/>
                <w:sz w:val="20"/>
                <w:szCs w:val="20"/>
                <w:lang w:eastAsia="es-MX"/>
              </w:rPr>
            </w:pPr>
          </w:p>
        </w:tc>
        <w:tc>
          <w:tcPr>
            <w:tcW w:w="2303" w:type="dxa"/>
            <w:tcBorders>
              <w:top w:val="single" w:sz="4" w:space="0" w:color="auto"/>
              <w:left w:val="nil"/>
              <w:bottom w:val="single" w:sz="4" w:space="0" w:color="auto"/>
              <w:right w:val="single" w:sz="4" w:space="0" w:color="auto"/>
            </w:tcBorders>
            <w:shd w:val="clear" w:color="auto" w:fill="auto"/>
            <w:vAlign w:val="center"/>
          </w:tcPr>
          <w:p w:rsidR="00376A24" w:rsidRPr="00596BA3" w:rsidRDefault="00376A24" w:rsidP="00596BA3">
            <w:pPr>
              <w:spacing w:after="0" w:line="240" w:lineRule="auto"/>
              <w:jc w:val="center"/>
              <w:rPr>
                <w:rFonts w:eastAsia="Times New Roman" w:cs="Times New Roman"/>
                <w:b/>
                <w:bCs/>
                <w:color w:val="000000"/>
                <w:sz w:val="20"/>
                <w:szCs w:val="20"/>
                <w:lang w:eastAsia="es-MX"/>
              </w:rPr>
            </w:pPr>
          </w:p>
        </w:tc>
        <w:tc>
          <w:tcPr>
            <w:tcW w:w="2978" w:type="dxa"/>
            <w:tcBorders>
              <w:top w:val="single" w:sz="4" w:space="0" w:color="auto"/>
              <w:left w:val="nil"/>
              <w:bottom w:val="single" w:sz="4" w:space="0" w:color="auto"/>
              <w:right w:val="single" w:sz="4" w:space="0" w:color="auto"/>
            </w:tcBorders>
            <w:shd w:val="clear" w:color="auto" w:fill="auto"/>
            <w:vAlign w:val="center"/>
          </w:tcPr>
          <w:p w:rsidR="00376A24" w:rsidRPr="00596BA3" w:rsidRDefault="00376A24" w:rsidP="00596BA3">
            <w:pPr>
              <w:spacing w:after="0" w:line="240" w:lineRule="auto"/>
              <w:jc w:val="center"/>
              <w:rPr>
                <w:rFonts w:eastAsia="Times New Roman" w:cs="Times New Roman"/>
                <w:b/>
                <w:bCs/>
                <w:color w:val="000000"/>
                <w:sz w:val="20"/>
                <w:szCs w:val="20"/>
                <w:lang w:eastAsia="es-MX"/>
              </w:rPr>
            </w:pPr>
          </w:p>
        </w:tc>
        <w:tc>
          <w:tcPr>
            <w:tcW w:w="2695" w:type="dxa"/>
            <w:tcBorders>
              <w:top w:val="single" w:sz="4" w:space="0" w:color="auto"/>
              <w:left w:val="nil"/>
              <w:bottom w:val="single" w:sz="4" w:space="0" w:color="auto"/>
              <w:right w:val="single" w:sz="4" w:space="0" w:color="auto"/>
            </w:tcBorders>
            <w:shd w:val="clear" w:color="auto" w:fill="auto"/>
            <w:vAlign w:val="center"/>
          </w:tcPr>
          <w:p w:rsidR="00376A24" w:rsidRPr="00596BA3" w:rsidRDefault="00376A24" w:rsidP="00596BA3">
            <w:pPr>
              <w:spacing w:after="0" w:line="240" w:lineRule="auto"/>
              <w:jc w:val="center"/>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vAlign w:val="center"/>
          </w:tcPr>
          <w:p w:rsidR="00376A24" w:rsidRPr="00596BA3" w:rsidRDefault="00376A24" w:rsidP="00596BA3">
            <w:pPr>
              <w:spacing w:after="0" w:line="240" w:lineRule="auto"/>
              <w:jc w:val="center"/>
              <w:rPr>
                <w:rFonts w:eastAsia="Times New Roman" w:cs="Times New Roman"/>
                <w:b/>
                <w:bCs/>
                <w:color w:val="000000"/>
                <w:sz w:val="20"/>
                <w:szCs w:val="20"/>
                <w:lang w:eastAsia="es-MX"/>
              </w:rPr>
            </w:pPr>
          </w:p>
        </w:tc>
      </w:tr>
      <w:tr w:rsidR="008939F8" w:rsidRPr="00596BA3" w:rsidTr="00613B90">
        <w:trPr>
          <w:trHeight w:val="208"/>
        </w:trPr>
        <w:tc>
          <w:tcPr>
            <w:tcW w:w="52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Saldo al 31 de Marzo de 2017</w:t>
            </w:r>
          </w:p>
        </w:tc>
        <w:tc>
          <w:tcPr>
            <w:tcW w:w="2303" w:type="dxa"/>
            <w:tcBorders>
              <w:top w:val="single" w:sz="4" w:space="0" w:color="auto"/>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Inversión</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Depreciación acumulada</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Neto</w:t>
            </w: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p>
        </w:tc>
      </w:tr>
      <w:tr w:rsidR="008939F8" w:rsidRPr="00596BA3" w:rsidTr="00613B90">
        <w:trPr>
          <w:trHeight w:val="104"/>
        </w:trPr>
        <w:tc>
          <w:tcPr>
            <w:tcW w:w="52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Bienes inmuebles                                                                                    </w:t>
            </w:r>
          </w:p>
        </w:tc>
        <w:tc>
          <w:tcPr>
            <w:tcW w:w="2303"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1,341,093,057.98 </w:t>
            </w:r>
          </w:p>
        </w:tc>
        <w:tc>
          <w:tcPr>
            <w:tcW w:w="2978"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502,540,520.75 </w:t>
            </w:r>
          </w:p>
        </w:tc>
        <w:tc>
          <w:tcPr>
            <w:tcW w:w="2695"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838,552,537.23 </w:t>
            </w: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613B90">
        <w:trPr>
          <w:trHeight w:val="104"/>
        </w:trPr>
        <w:tc>
          <w:tcPr>
            <w:tcW w:w="52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Mobiliario y equipo administración</w:t>
            </w:r>
          </w:p>
        </w:tc>
        <w:tc>
          <w:tcPr>
            <w:tcW w:w="2303"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359,568,767.47 </w:t>
            </w:r>
          </w:p>
        </w:tc>
        <w:tc>
          <w:tcPr>
            <w:tcW w:w="2978"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291,110,648.89 </w:t>
            </w:r>
          </w:p>
        </w:tc>
        <w:tc>
          <w:tcPr>
            <w:tcW w:w="2695"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68,458,118.58 </w:t>
            </w: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613B90">
        <w:trPr>
          <w:trHeight w:val="220"/>
        </w:trPr>
        <w:tc>
          <w:tcPr>
            <w:tcW w:w="52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Mobiliario y equipo educacional y recreativo</w:t>
            </w:r>
          </w:p>
        </w:tc>
        <w:tc>
          <w:tcPr>
            <w:tcW w:w="2303"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46,365,780.97 </w:t>
            </w:r>
          </w:p>
        </w:tc>
        <w:tc>
          <w:tcPr>
            <w:tcW w:w="2978"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45,659,344.70 </w:t>
            </w:r>
          </w:p>
        </w:tc>
        <w:tc>
          <w:tcPr>
            <w:tcW w:w="2695"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706,436.27 </w:t>
            </w: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613B90">
        <w:trPr>
          <w:trHeight w:val="202"/>
        </w:trPr>
        <w:tc>
          <w:tcPr>
            <w:tcW w:w="52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Equipo e Instrumental médico y de laboratorio</w:t>
            </w:r>
          </w:p>
        </w:tc>
        <w:tc>
          <w:tcPr>
            <w:tcW w:w="2303"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385,936,647.53 </w:t>
            </w:r>
          </w:p>
        </w:tc>
        <w:tc>
          <w:tcPr>
            <w:tcW w:w="2978"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169,560,989.19 </w:t>
            </w:r>
          </w:p>
        </w:tc>
        <w:tc>
          <w:tcPr>
            <w:tcW w:w="2695"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216,375,658.34 </w:t>
            </w: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613B90">
        <w:trPr>
          <w:trHeight w:val="195"/>
        </w:trPr>
        <w:tc>
          <w:tcPr>
            <w:tcW w:w="52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Maquinaria, otros equipos y herramientas</w:t>
            </w:r>
          </w:p>
        </w:tc>
        <w:tc>
          <w:tcPr>
            <w:tcW w:w="2303"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220,064,192.48 </w:t>
            </w:r>
          </w:p>
        </w:tc>
        <w:tc>
          <w:tcPr>
            <w:tcW w:w="2978"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133,907,593.20 </w:t>
            </w:r>
          </w:p>
        </w:tc>
        <w:tc>
          <w:tcPr>
            <w:tcW w:w="2695"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86,156,599.28 </w:t>
            </w: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613B90">
        <w:trPr>
          <w:trHeight w:val="104"/>
        </w:trPr>
        <w:tc>
          <w:tcPr>
            <w:tcW w:w="52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Equipo de transporte</w:t>
            </w:r>
          </w:p>
        </w:tc>
        <w:tc>
          <w:tcPr>
            <w:tcW w:w="2303"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50,010,361.60 </w:t>
            </w:r>
          </w:p>
        </w:tc>
        <w:tc>
          <w:tcPr>
            <w:tcW w:w="2978"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48,282,546.20 </w:t>
            </w:r>
          </w:p>
        </w:tc>
        <w:tc>
          <w:tcPr>
            <w:tcW w:w="2695"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1,727,815.40 </w:t>
            </w: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613B90">
        <w:trPr>
          <w:trHeight w:val="208"/>
        </w:trPr>
        <w:tc>
          <w:tcPr>
            <w:tcW w:w="52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Colecciones, Obras de arte y objetos valiosos</w:t>
            </w:r>
          </w:p>
        </w:tc>
        <w:tc>
          <w:tcPr>
            <w:tcW w:w="2303"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93,756,892.83 </w:t>
            </w:r>
          </w:p>
        </w:tc>
        <w:tc>
          <w:tcPr>
            <w:tcW w:w="2978"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w:t>
            </w:r>
          </w:p>
        </w:tc>
        <w:tc>
          <w:tcPr>
            <w:tcW w:w="2695"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93,756,892.83 </w:t>
            </w: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4" w:space="0" w:color="auto"/>
              <w:bottom w:val="single" w:sz="4" w:space="0" w:color="auto"/>
              <w:right w:val="nil"/>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w:t>
            </w:r>
          </w:p>
        </w:tc>
        <w:tc>
          <w:tcPr>
            <w:tcW w:w="4074"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w:t>
            </w:r>
          </w:p>
        </w:tc>
        <w:tc>
          <w:tcPr>
            <w:tcW w:w="2303"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2,496,795,700.86 </w:t>
            </w:r>
          </w:p>
        </w:tc>
        <w:tc>
          <w:tcPr>
            <w:tcW w:w="2978"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1,191,061,642.93 </w:t>
            </w:r>
          </w:p>
        </w:tc>
        <w:tc>
          <w:tcPr>
            <w:tcW w:w="2695" w:type="dxa"/>
            <w:tcBorders>
              <w:top w:val="nil"/>
              <w:left w:val="nil"/>
              <w:bottom w:val="single" w:sz="4" w:space="0" w:color="auto"/>
              <w:right w:val="single" w:sz="4" w:space="0" w:color="auto"/>
            </w:tcBorders>
            <w:shd w:val="clear" w:color="auto" w:fill="auto"/>
            <w:vAlign w:val="center"/>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1,305,734,057.93 </w:t>
            </w: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p>
        </w:tc>
      </w:tr>
      <w:tr w:rsidR="00376A24" w:rsidRPr="00596BA3" w:rsidTr="00AE158E">
        <w:trPr>
          <w:trHeight w:val="104"/>
        </w:trPr>
        <w:tc>
          <w:tcPr>
            <w:tcW w:w="1159" w:type="dxa"/>
            <w:tcBorders>
              <w:top w:val="nil"/>
              <w:left w:val="nil"/>
              <w:bottom w:val="nil"/>
              <w:right w:val="nil"/>
            </w:tcBorders>
            <w:shd w:val="clear" w:color="auto" w:fill="auto"/>
            <w:vAlign w:val="center"/>
          </w:tcPr>
          <w:p w:rsidR="00376A24" w:rsidRPr="00596BA3" w:rsidRDefault="00376A24" w:rsidP="00596BA3">
            <w:pPr>
              <w:spacing w:after="0" w:line="240" w:lineRule="auto"/>
              <w:jc w:val="both"/>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tcPr>
          <w:p w:rsidR="00376A24" w:rsidRPr="00596BA3" w:rsidRDefault="00376A24"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tcPr>
          <w:p w:rsidR="00376A24" w:rsidRPr="00596BA3" w:rsidRDefault="00376A24"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tcPr>
          <w:p w:rsidR="00376A24" w:rsidRPr="00596BA3" w:rsidRDefault="00376A24"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r>
      <w:tr w:rsidR="00376A24" w:rsidRPr="00596BA3" w:rsidTr="00AE158E">
        <w:trPr>
          <w:trHeight w:val="104"/>
        </w:trPr>
        <w:tc>
          <w:tcPr>
            <w:tcW w:w="1159" w:type="dxa"/>
            <w:tcBorders>
              <w:top w:val="nil"/>
              <w:left w:val="nil"/>
              <w:bottom w:val="nil"/>
              <w:right w:val="nil"/>
            </w:tcBorders>
            <w:shd w:val="clear" w:color="auto" w:fill="auto"/>
            <w:vAlign w:val="center"/>
          </w:tcPr>
          <w:p w:rsidR="00376A24" w:rsidRPr="00596BA3" w:rsidRDefault="00376A24" w:rsidP="00596BA3">
            <w:pPr>
              <w:spacing w:after="0" w:line="240" w:lineRule="auto"/>
              <w:jc w:val="both"/>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tcPr>
          <w:p w:rsidR="00376A24" w:rsidRPr="00596BA3" w:rsidRDefault="00376A24"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tcPr>
          <w:p w:rsidR="00376A24" w:rsidRPr="00596BA3" w:rsidRDefault="00376A24"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tcPr>
          <w:p w:rsidR="00376A24" w:rsidRPr="00596BA3" w:rsidRDefault="00376A24"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r>
      <w:tr w:rsidR="00376A24" w:rsidRPr="00596BA3" w:rsidTr="00AE158E">
        <w:trPr>
          <w:trHeight w:val="104"/>
        </w:trPr>
        <w:tc>
          <w:tcPr>
            <w:tcW w:w="1159" w:type="dxa"/>
            <w:tcBorders>
              <w:top w:val="nil"/>
              <w:left w:val="nil"/>
              <w:bottom w:val="nil"/>
              <w:right w:val="nil"/>
            </w:tcBorders>
            <w:shd w:val="clear" w:color="auto" w:fill="auto"/>
            <w:vAlign w:val="center"/>
          </w:tcPr>
          <w:p w:rsidR="00376A24" w:rsidRPr="00596BA3" w:rsidRDefault="00376A24" w:rsidP="00596BA3">
            <w:pPr>
              <w:spacing w:after="0" w:line="240" w:lineRule="auto"/>
              <w:jc w:val="both"/>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tcPr>
          <w:p w:rsidR="00376A24" w:rsidRPr="00596BA3" w:rsidRDefault="00376A24"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tcPr>
          <w:p w:rsidR="00376A24" w:rsidRPr="00596BA3" w:rsidRDefault="00376A24"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tcPr>
          <w:p w:rsidR="00376A24" w:rsidRPr="00596BA3" w:rsidRDefault="00376A24"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r>
      <w:tr w:rsidR="00376A24" w:rsidRPr="00596BA3" w:rsidTr="00AE158E">
        <w:trPr>
          <w:trHeight w:val="104"/>
        </w:trPr>
        <w:tc>
          <w:tcPr>
            <w:tcW w:w="1159" w:type="dxa"/>
            <w:tcBorders>
              <w:top w:val="nil"/>
              <w:left w:val="nil"/>
              <w:bottom w:val="nil"/>
              <w:right w:val="nil"/>
            </w:tcBorders>
            <w:shd w:val="clear" w:color="auto" w:fill="auto"/>
            <w:vAlign w:val="center"/>
          </w:tcPr>
          <w:p w:rsidR="00376A24" w:rsidRPr="00596BA3" w:rsidRDefault="00376A24" w:rsidP="00596BA3">
            <w:pPr>
              <w:spacing w:after="0" w:line="240" w:lineRule="auto"/>
              <w:jc w:val="both"/>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tcPr>
          <w:p w:rsidR="00376A24" w:rsidRPr="00596BA3" w:rsidRDefault="00376A24"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tcPr>
          <w:p w:rsidR="00376A24" w:rsidRPr="00596BA3" w:rsidRDefault="00376A24"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tcPr>
          <w:p w:rsidR="00376A24" w:rsidRPr="00596BA3" w:rsidRDefault="00376A24"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376A24" w:rsidRPr="00596BA3" w:rsidTr="00613B90">
        <w:trPr>
          <w:trHeight w:val="104"/>
        </w:trPr>
        <w:tc>
          <w:tcPr>
            <w:tcW w:w="5233" w:type="dxa"/>
            <w:gridSpan w:val="2"/>
            <w:tcBorders>
              <w:top w:val="nil"/>
              <w:left w:val="nil"/>
              <w:bottom w:val="nil"/>
              <w:right w:val="nil"/>
            </w:tcBorders>
            <w:shd w:val="clear" w:color="auto" w:fill="auto"/>
            <w:vAlign w:val="center"/>
          </w:tcPr>
          <w:p w:rsidR="00376A24" w:rsidRPr="00596BA3" w:rsidRDefault="00376A24" w:rsidP="00596BA3">
            <w:pPr>
              <w:spacing w:after="0" w:line="240" w:lineRule="auto"/>
              <w:jc w:val="center"/>
              <w:rPr>
                <w:rFonts w:eastAsia="Times New Roman" w:cs="Times New Roman"/>
                <w:b/>
                <w:bCs/>
                <w:color w:val="000000"/>
                <w:sz w:val="20"/>
                <w:szCs w:val="20"/>
                <w:lang w:eastAsia="es-MX"/>
              </w:rPr>
            </w:pPr>
          </w:p>
        </w:tc>
        <w:tc>
          <w:tcPr>
            <w:tcW w:w="2303" w:type="dxa"/>
            <w:tcBorders>
              <w:top w:val="nil"/>
              <w:left w:val="nil"/>
              <w:bottom w:val="nil"/>
              <w:right w:val="nil"/>
            </w:tcBorders>
            <w:shd w:val="clear" w:color="auto" w:fill="auto"/>
            <w:vAlign w:val="center"/>
          </w:tcPr>
          <w:p w:rsidR="00376A24" w:rsidRPr="00596BA3" w:rsidRDefault="00376A24" w:rsidP="00596BA3">
            <w:pPr>
              <w:spacing w:after="0" w:line="240" w:lineRule="auto"/>
              <w:jc w:val="center"/>
              <w:rPr>
                <w:rFonts w:eastAsia="Times New Roman" w:cs="Times New Roman"/>
                <w:b/>
                <w:bCs/>
                <w:color w:val="000000"/>
                <w:sz w:val="20"/>
                <w:szCs w:val="20"/>
                <w:lang w:eastAsia="es-MX"/>
              </w:rPr>
            </w:pPr>
          </w:p>
        </w:tc>
        <w:tc>
          <w:tcPr>
            <w:tcW w:w="2978" w:type="dxa"/>
            <w:tcBorders>
              <w:top w:val="nil"/>
              <w:left w:val="nil"/>
              <w:bottom w:val="nil"/>
              <w:right w:val="nil"/>
            </w:tcBorders>
            <w:shd w:val="clear" w:color="auto" w:fill="auto"/>
            <w:vAlign w:val="center"/>
          </w:tcPr>
          <w:p w:rsidR="00376A24" w:rsidRPr="00596BA3" w:rsidRDefault="00376A24" w:rsidP="00596BA3">
            <w:pPr>
              <w:spacing w:after="0" w:line="240" w:lineRule="auto"/>
              <w:jc w:val="center"/>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(2.1.7) Cuentas por pagar</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208"/>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Retenciones y contribuciones por pagar</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8,140,012.34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Otras cuentas por pagar</w:t>
            </w:r>
          </w:p>
        </w:tc>
        <w:tc>
          <w:tcPr>
            <w:tcW w:w="2303" w:type="dxa"/>
            <w:tcBorders>
              <w:top w:val="nil"/>
              <w:left w:val="nil"/>
              <w:bottom w:val="nil"/>
              <w:right w:val="nil"/>
            </w:tcBorders>
            <w:shd w:val="clear" w:color="auto" w:fill="auto"/>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62,850,600.21 </w:t>
            </w:r>
          </w:p>
        </w:tc>
        <w:tc>
          <w:tcPr>
            <w:tcW w:w="2978" w:type="dxa"/>
            <w:tcBorders>
              <w:top w:val="nil"/>
              <w:left w:val="nil"/>
              <w:bottom w:val="nil"/>
              <w:right w:val="nil"/>
            </w:tcBorders>
            <w:shd w:val="clear" w:color="auto" w:fill="auto"/>
            <w:vAlign w:val="bottom"/>
            <w:hideMark/>
          </w:tcPr>
          <w:p w:rsidR="008939F8" w:rsidRPr="00596BA3" w:rsidRDefault="008939F8" w:rsidP="00596BA3">
            <w:pPr>
              <w:spacing w:after="0" w:line="240" w:lineRule="auto"/>
              <w:jc w:val="center"/>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3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Proveedores</w:t>
            </w:r>
          </w:p>
        </w:tc>
        <w:tc>
          <w:tcPr>
            <w:tcW w:w="2303" w:type="dxa"/>
            <w:tcBorders>
              <w:top w:val="nil"/>
              <w:left w:val="nil"/>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7,213,001.43 </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          78,203,613.98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AE158E" w:rsidRPr="00596BA3" w:rsidTr="00AE158E">
        <w:trPr>
          <w:trHeight w:val="104"/>
        </w:trPr>
        <w:tc>
          <w:tcPr>
            <w:tcW w:w="1159" w:type="dxa"/>
            <w:tcBorders>
              <w:top w:val="nil"/>
              <w:left w:val="nil"/>
              <w:bottom w:val="nil"/>
              <w:right w:val="nil"/>
            </w:tcBorders>
            <w:shd w:val="clear" w:color="auto" w:fill="auto"/>
            <w:vAlign w:val="center"/>
          </w:tcPr>
          <w:p w:rsidR="00AE158E" w:rsidRDefault="00AE158E" w:rsidP="00596BA3">
            <w:pPr>
              <w:spacing w:after="0" w:line="240" w:lineRule="auto"/>
              <w:rPr>
                <w:rFonts w:eastAsia="Times New Roman" w:cs="Times New Roman"/>
                <w:sz w:val="20"/>
                <w:szCs w:val="20"/>
                <w:lang w:eastAsia="es-MX"/>
              </w:rPr>
            </w:pPr>
          </w:p>
          <w:p w:rsidR="00AE158E" w:rsidRDefault="00AE158E" w:rsidP="00596BA3">
            <w:pPr>
              <w:spacing w:after="0" w:line="240" w:lineRule="auto"/>
              <w:rPr>
                <w:rFonts w:eastAsia="Times New Roman" w:cs="Times New Roman"/>
                <w:sz w:val="20"/>
                <w:szCs w:val="20"/>
                <w:lang w:eastAsia="es-MX"/>
              </w:rPr>
            </w:pPr>
          </w:p>
          <w:p w:rsidR="00AE158E" w:rsidRPr="00596BA3" w:rsidRDefault="00AE158E"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tcPr>
          <w:p w:rsidR="00AE158E" w:rsidRPr="00596BA3" w:rsidRDefault="00AE158E"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tcPr>
          <w:p w:rsidR="00AE158E" w:rsidRPr="00596BA3" w:rsidRDefault="00AE158E"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tcPr>
          <w:p w:rsidR="00AE158E" w:rsidRPr="00596BA3" w:rsidRDefault="00AE158E"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tcPr>
          <w:p w:rsidR="00AE158E" w:rsidRPr="00596BA3" w:rsidRDefault="00AE158E"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AE158E" w:rsidRPr="00596BA3" w:rsidRDefault="00AE158E"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center"/>
            <w:hideMark/>
          </w:tcPr>
          <w:p w:rsidR="00AE158E" w:rsidRDefault="00AE158E" w:rsidP="00596BA3">
            <w:pPr>
              <w:spacing w:after="0" w:line="240" w:lineRule="auto"/>
              <w:rPr>
                <w:rFonts w:eastAsia="Times New Roman" w:cs="Times New Roman"/>
                <w:b/>
                <w:bCs/>
                <w:color w:val="000000"/>
                <w:sz w:val="20"/>
                <w:szCs w:val="20"/>
                <w:lang w:eastAsia="es-MX"/>
              </w:rPr>
            </w:pPr>
          </w:p>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(2.1.7.1) Otras cuentas por pagar</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Las principales partidas agrupadas en este rubro, con vencimiento de 30 a 60 días son las siguientes:</w:t>
            </w: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6377" w:type="dxa"/>
            <w:gridSpan w:val="2"/>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Programas especiales</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000000" w:fill="FFFFFF"/>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56,665,060.61 </w:t>
            </w:r>
          </w:p>
        </w:tc>
        <w:tc>
          <w:tcPr>
            <w:tcW w:w="2695" w:type="dxa"/>
            <w:tcBorders>
              <w:top w:val="nil"/>
              <w:left w:val="nil"/>
              <w:bottom w:val="nil"/>
              <w:right w:val="nil"/>
            </w:tcBorders>
            <w:shd w:val="clear" w:color="000000" w:fill="FFFFFF"/>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AE158E">
        <w:trPr>
          <w:trHeight w:val="111"/>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Cuentas por pagar a dependencias</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000000" w:fill="FFFFFF"/>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1,446,855.44 </w:t>
            </w:r>
          </w:p>
        </w:tc>
        <w:tc>
          <w:tcPr>
            <w:tcW w:w="2695" w:type="dxa"/>
            <w:tcBorders>
              <w:top w:val="nil"/>
              <w:left w:val="nil"/>
              <w:bottom w:val="nil"/>
              <w:right w:val="nil"/>
            </w:tcBorders>
            <w:shd w:val="clear" w:color="000000" w:fill="FFFFFF"/>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AE158E">
        <w:trPr>
          <w:trHeight w:val="118"/>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cuotas y aportaciones por recuperar</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000000" w:fill="FFFFFF"/>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1,399,464.99 </w:t>
            </w:r>
          </w:p>
        </w:tc>
        <w:tc>
          <w:tcPr>
            <w:tcW w:w="2695" w:type="dxa"/>
            <w:tcBorders>
              <w:top w:val="nil"/>
              <w:left w:val="nil"/>
              <w:bottom w:val="nil"/>
              <w:right w:val="nil"/>
            </w:tcBorders>
            <w:shd w:val="clear" w:color="000000" w:fill="FFFFFF"/>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AE158E">
        <w:trPr>
          <w:trHeight w:val="116"/>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Diversos</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000000" w:fill="FFFFFF"/>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2,401,175.66 </w:t>
            </w:r>
          </w:p>
        </w:tc>
        <w:tc>
          <w:tcPr>
            <w:tcW w:w="2695" w:type="dxa"/>
            <w:tcBorders>
              <w:top w:val="nil"/>
              <w:left w:val="nil"/>
              <w:bottom w:val="nil"/>
              <w:right w:val="nil"/>
            </w:tcBorders>
            <w:shd w:val="clear" w:color="000000" w:fill="FFFFFF"/>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Préstamo entre fondos</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000000" w:fill="FFFFFF"/>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362,042.51 </w:t>
            </w:r>
          </w:p>
        </w:tc>
        <w:tc>
          <w:tcPr>
            <w:tcW w:w="2695" w:type="dxa"/>
            <w:tcBorders>
              <w:top w:val="nil"/>
              <w:left w:val="nil"/>
              <w:bottom w:val="nil"/>
              <w:right w:val="nil"/>
            </w:tcBorders>
            <w:shd w:val="clear" w:color="000000" w:fill="FFFFFF"/>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Fondo de ahorro para el retiro</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000000" w:fill="FFFFFF"/>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346,725.12 </w:t>
            </w:r>
          </w:p>
        </w:tc>
        <w:tc>
          <w:tcPr>
            <w:tcW w:w="2695" w:type="dxa"/>
            <w:tcBorders>
              <w:top w:val="nil"/>
              <w:left w:val="nil"/>
              <w:bottom w:val="nil"/>
              <w:right w:val="nil"/>
            </w:tcBorders>
            <w:shd w:val="clear" w:color="000000" w:fill="FFFFFF"/>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Aportación Servicio médico</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000000" w:fill="FFFFFF"/>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198,414.73 </w:t>
            </w:r>
          </w:p>
        </w:tc>
        <w:tc>
          <w:tcPr>
            <w:tcW w:w="2695" w:type="dxa"/>
            <w:tcBorders>
              <w:top w:val="nil"/>
              <w:left w:val="nil"/>
              <w:bottom w:val="nil"/>
              <w:right w:val="nil"/>
            </w:tcBorders>
            <w:shd w:val="clear" w:color="000000" w:fill="FFFFFF"/>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Recuperación de becas</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single" w:sz="4" w:space="0" w:color="auto"/>
              <w:right w:val="nil"/>
            </w:tcBorders>
            <w:shd w:val="clear" w:color="000000" w:fill="FFFFFF"/>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30,861.15 </w:t>
            </w:r>
          </w:p>
        </w:tc>
        <w:tc>
          <w:tcPr>
            <w:tcW w:w="2695" w:type="dxa"/>
            <w:tcBorders>
              <w:top w:val="nil"/>
              <w:left w:val="nil"/>
              <w:bottom w:val="nil"/>
              <w:right w:val="nil"/>
            </w:tcBorders>
            <w:shd w:val="clear" w:color="000000" w:fill="FFFFFF"/>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6377" w:type="dxa"/>
            <w:gridSpan w:val="2"/>
            <w:tcBorders>
              <w:top w:val="nil"/>
              <w:left w:val="nil"/>
              <w:bottom w:val="nil"/>
              <w:right w:val="nil"/>
            </w:tcBorders>
            <w:shd w:val="clear" w:color="auto" w:fill="auto"/>
            <w:vAlign w:val="center"/>
            <w:hideMark/>
          </w:tcPr>
          <w:p w:rsidR="008939F8" w:rsidRDefault="008939F8" w:rsidP="00596BA3">
            <w:pPr>
              <w:spacing w:after="0" w:line="240" w:lineRule="auto"/>
              <w:jc w:val="both"/>
              <w:rPr>
                <w:rFonts w:eastAsia="Times New Roman" w:cs="Times New Roman"/>
                <w:sz w:val="20"/>
                <w:szCs w:val="20"/>
                <w:lang w:eastAsia="es-MX"/>
              </w:rPr>
            </w:pPr>
          </w:p>
          <w:p w:rsidR="00AE158E" w:rsidRDefault="00AE158E" w:rsidP="00596BA3">
            <w:pPr>
              <w:spacing w:after="0" w:line="240" w:lineRule="auto"/>
              <w:jc w:val="both"/>
              <w:rPr>
                <w:rFonts w:eastAsia="Times New Roman" w:cs="Times New Roman"/>
                <w:sz w:val="20"/>
                <w:szCs w:val="20"/>
                <w:lang w:eastAsia="es-MX"/>
              </w:rPr>
            </w:pPr>
          </w:p>
          <w:p w:rsidR="00AE158E" w:rsidRPr="00596BA3" w:rsidRDefault="00AE158E" w:rsidP="00596BA3">
            <w:pPr>
              <w:spacing w:after="0" w:line="240" w:lineRule="auto"/>
              <w:jc w:val="both"/>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          62,850,600.21 </w:t>
            </w: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0514" w:type="dxa"/>
            <w:gridSpan w:val="4"/>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(2.1.7.2)  Retenciones y contribuciones.</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98"/>
        </w:trPr>
        <w:tc>
          <w:tcPr>
            <w:tcW w:w="13209" w:type="dxa"/>
            <w:gridSpan w:val="5"/>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La integración de este renglón, a la fecha que se presentan los estados financieros es la siguiente:</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I.S.R</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7,839,382.50 </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Impuesto sobre nóminas</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30,177.33 </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IVA por pagar</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237,752.41 </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Impuesto al millar</w:t>
            </w:r>
          </w:p>
        </w:tc>
        <w:tc>
          <w:tcPr>
            <w:tcW w:w="2303" w:type="dxa"/>
            <w:tcBorders>
              <w:top w:val="nil"/>
              <w:left w:val="nil"/>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32,700.10 </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            8,140,012.34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Default="008939F8" w:rsidP="00596BA3">
            <w:pPr>
              <w:spacing w:after="0" w:line="240" w:lineRule="auto"/>
              <w:rPr>
                <w:rFonts w:eastAsia="Times New Roman" w:cs="Times New Roman"/>
                <w:sz w:val="20"/>
                <w:szCs w:val="20"/>
                <w:lang w:eastAsia="es-MX"/>
              </w:rPr>
            </w:pPr>
          </w:p>
          <w:p w:rsidR="00AE158E" w:rsidRDefault="00AE158E" w:rsidP="00596BA3">
            <w:pPr>
              <w:spacing w:after="0" w:line="240" w:lineRule="auto"/>
              <w:rPr>
                <w:rFonts w:eastAsia="Times New Roman" w:cs="Times New Roman"/>
                <w:sz w:val="20"/>
                <w:szCs w:val="20"/>
                <w:lang w:eastAsia="es-MX"/>
              </w:rPr>
            </w:pPr>
          </w:p>
          <w:p w:rsidR="00AE158E" w:rsidRDefault="00AE158E" w:rsidP="00596BA3">
            <w:pPr>
              <w:spacing w:after="0" w:line="240" w:lineRule="auto"/>
              <w:rPr>
                <w:rFonts w:eastAsia="Times New Roman" w:cs="Times New Roman"/>
                <w:sz w:val="20"/>
                <w:szCs w:val="20"/>
                <w:lang w:eastAsia="es-MX"/>
              </w:rPr>
            </w:pPr>
          </w:p>
          <w:p w:rsidR="00AE158E" w:rsidRDefault="00AE158E" w:rsidP="00596BA3">
            <w:pPr>
              <w:spacing w:after="0" w:line="240" w:lineRule="auto"/>
              <w:rPr>
                <w:rFonts w:eastAsia="Times New Roman" w:cs="Times New Roman"/>
                <w:sz w:val="20"/>
                <w:szCs w:val="20"/>
                <w:lang w:eastAsia="es-MX"/>
              </w:rPr>
            </w:pPr>
          </w:p>
          <w:p w:rsidR="00AE158E" w:rsidRDefault="00AE158E" w:rsidP="00596BA3">
            <w:pPr>
              <w:spacing w:after="0" w:line="240" w:lineRule="auto"/>
              <w:rPr>
                <w:rFonts w:eastAsia="Times New Roman" w:cs="Times New Roman"/>
                <w:sz w:val="20"/>
                <w:szCs w:val="20"/>
                <w:lang w:eastAsia="es-MX"/>
              </w:rPr>
            </w:pPr>
          </w:p>
          <w:p w:rsidR="00AE158E" w:rsidRDefault="00AE158E" w:rsidP="00596BA3">
            <w:pPr>
              <w:spacing w:after="0" w:line="240" w:lineRule="auto"/>
              <w:rPr>
                <w:rFonts w:eastAsia="Times New Roman" w:cs="Times New Roman"/>
                <w:sz w:val="20"/>
                <w:szCs w:val="20"/>
                <w:lang w:eastAsia="es-MX"/>
              </w:rPr>
            </w:pPr>
          </w:p>
          <w:p w:rsidR="00AE158E" w:rsidRPr="00596BA3" w:rsidRDefault="00AE158E"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8"/>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r w:rsidRPr="00596BA3">
              <w:rPr>
                <w:rFonts w:eastAsia="Times New Roman" w:cs="Times New Roman"/>
                <w:b/>
                <w:bCs/>
                <w:color w:val="000000"/>
                <w:sz w:val="20"/>
                <w:szCs w:val="20"/>
                <w:u w:val="single"/>
                <w:lang w:eastAsia="es-MX"/>
              </w:rPr>
              <w:lastRenderedPageBreak/>
              <w:t>2.2 Notas al estado de actividades</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0514" w:type="dxa"/>
            <w:gridSpan w:val="4"/>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(2.2.1)Principales conceptos que integran la cuenta de otros ingresos</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7536" w:type="dxa"/>
            <w:gridSpan w:val="3"/>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sz w:val="20"/>
                <w:szCs w:val="20"/>
                <w:lang w:eastAsia="es-MX"/>
              </w:rPr>
            </w:pPr>
          </w:p>
        </w:tc>
      </w:tr>
      <w:tr w:rsidR="008939F8" w:rsidRPr="00596BA3" w:rsidTr="00613B90">
        <w:trPr>
          <w:trHeight w:val="104"/>
        </w:trPr>
        <w:tc>
          <w:tcPr>
            <w:tcW w:w="7536" w:type="dxa"/>
            <w:gridSpan w:val="3"/>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Ingresos de fuentes de financiamiento externas</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5,695,923.90 </w:t>
            </w: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r>
      <w:tr w:rsidR="008939F8" w:rsidRPr="00596BA3" w:rsidTr="00613B90">
        <w:trPr>
          <w:trHeight w:val="104"/>
        </w:trPr>
        <w:tc>
          <w:tcPr>
            <w:tcW w:w="7536" w:type="dxa"/>
            <w:gridSpan w:val="3"/>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convenios y aportaciones</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1,643,548.00 </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7536" w:type="dxa"/>
            <w:gridSpan w:val="3"/>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Cuotas de recuperación por uso de espacios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378,058.86 </w:t>
            </w: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r>
      <w:tr w:rsidR="008939F8" w:rsidRPr="00596BA3" w:rsidTr="00613B90">
        <w:trPr>
          <w:trHeight w:val="104"/>
        </w:trPr>
        <w:tc>
          <w:tcPr>
            <w:tcW w:w="7536" w:type="dxa"/>
            <w:gridSpan w:val="3"/>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Ventas(libros, cds, insignias, didácticos)</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322,562.30 </w:t>
            </w: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r>
      <w:tr w:rsidR="008939F8" w:rsidRPr="00596BA3" w:rsidTr="00613B90">
        <w:trPr>
          <w:trHeight w:val="104"/>
        </w:trPr>
        <w:tc>
          <w:tcPr>
            <w:tcW w:w="7536" w:type="dxa"/>
            <w:gridSpan w:val="3"/>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Donativos</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300,000.00 </w:t>
            </w: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r>
      <w:tr w:rsidR="008939F8" w:rsidRPr="00596BA3" w:rsidTr="00613B90">
        <w:trPr>
          <w:trHeight w:val="104"/>
        </w:trPr>
        <w:tc>
          <w:tcPr>
            <w:tcW w:w="7536" w:type="dxa"/>
            <w:gridSpan w:val="3"/>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Diferencia en cambios</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164,930.31 </w:t>
            </w: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r>
      <w:tr w:rsidR="008939F8" w:rsidRPr="00596BA3" w:rsidTr="00613B90">
        <w:trPr>
          <w:trHeight w:val="104"/>
        </w:trPr>
        <w:tc>
          <w:tcPr>
            <w:tcW w:w="7536" w:type="dxa"/>
            <w:gridSpan w:val="3"/>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Ingresos por servicios de dependencias</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49,883.45 </w:t>
            </w: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r>
      <w:tr w:rsidR="008939F8" w:rsidRPr="00596BA3" w:rsidTr="00613B90">
        <w:trPr>
          <w:trHeight w:val="104"/>
        </w:trPr>
        <w:tc>
          <w:tcPr>
            <w:tcW w:w="7536" w:type="dxa"/>
            <w:gridSpan w:val="3"/>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Congresos y simposiums</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14,905.14 </w:t>
            </w: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r>
      <w:tr w:rsidR="008939F8" w:rsidRPr="00596BA3" w:rsidTr="00613B90">
        <w:trPr>
          <w:trHeight w:val="104"/>
        </w:trPr>
        <w:tc>
          <w:tcPr>
            <w:tcW w:w="7536" w:type="dxa"/>
            <w:gridSpan w:val="3"/>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Devoluciones y bonificaciones</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500.00 </w:t>
            </w: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r>
      <w:tr w:rsidR="008939F8" w:rsidRPr="00596BA3" w:rsidTr="00613B90">
        <w:trPr>
          <w:trHeight w:val="104"/>
        </w:trPr>
        <w:tc>
          <w:tcPr>
            <w:tcW w:w="7536" w:type="dxa"/>
            <w:gridSpan w:val="3"/>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Ingresos eventuales de administración central</w:t>
            </w:r>
          </w:p>
        </w:tc>
        <w:tc>
          <w:tcPr>
            <w:tcW w:w="2978" w:type="dxa"/>
            <w:tcBorders>
              <w:top w:val="nil"/>
              <w:left w:val="nil"/>
              <w:bottom w:val="single" w:sz="4" w:space="0" w:color="auto"/>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23,398.78 </w:t>
            </w: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r>
      <w:tr w:rsidR="008939F8" w:rsidRPr="00596BA3" w:rsidTr="00613B90">
        <w:trPr>
          <w:trHeight w:val="104"/>
        </w:trPr>
        <w:tc>
          <w:tcPr>
            <w:tcW w:w="7536" w:type="dxa"/>
            <w:gridSpan w:val="3"/>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Total</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            8,593,710.74 </w:t>
            </w: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0514" w:type="dxa"/>
            <w:gridSpan w:val="4"/>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(2.2.2)Principales conceptos que integran la cuenta de otros gastos</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Concepto</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Bonificaciones y descuentos otorgados</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137,188.18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Gastos de ejercicios anteriores</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20,385.77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Diferencia cambiaria</w:t>
            </w:r>
          </w:p>
        </w:tc>
        <w:tc>
          <w:tcPr>
            <w:tcW w:w="2303" w:type="dxa"/>
            <w:tcBorders>
              <w:top w:val="nil"/>
              <w:left w:val="nil"/>
              <w:bottom w:val="single" w:sz="4" w:space="0" w:color="auto"/>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42,701.60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Total</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               200,275.55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7536" w:type="dxa"/>
            <w:gridSpan w:val="3"/>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r w:rsidRPr="00596BA3">
              <w:rPr>
                <w:rFonts w:eastAsia="Times New Roman" w:cs="Times New Roman"/>
                <w:b/>
                <w:bCs/>
                <w:color w:val="000000"/>
                <w:sz w:val="20"/>
                <w:szCs w:val="20"/>
                <w:u w:val="single"/>
                <w:lang w:eastAsia="es-MX"/>
              </w:rPr>
              <w:t>2.3 Notas al estado de variaciones en el patrimonio</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ind w:firstLineChars="500" w:firstLine="1000"/>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341"/>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(2.3.1)</w:t>
            </w:r>
            <w:r w:rsidRPr="00596BA3">
              <w:rPr>
                <w:rFonts w:eastAsia="Times New Roman" w:cs="Times New Roman"/>
                <w:color w:val="000000"/>
                <w:sz w:val="20"/>
                <w:szCs w:val="20"/>
                <w:lang w:eastAsia="es-MX"/>
              </w:rPr>
              <w:t xml:space="preserve">El patrimonio generado de la Universidad incluye los remanentes de ejercicios anteriores, el remanente del ejercicio, los ingresos por ejercer de fondos etiquetados y la reserva para la actualización patrimonial, la cual fue creada en ejercicios anteriores con la finalidad de reconocer la revaluación de sus bienes patrimoniales cuantificados en esas fechas </w:t>
            </w:r>
          </w:p>
        </w:tc>
      </w:tr>
      <w:tr w:rsidR="008939F8" w:rsidRPr="00596BA3" w:rsidTr="00AE158E">
        <w:trPr>
          <w:trHeight w:val="99"/>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b/>
                <w:bCs/>
                <w:color w:val="000000"/>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0514" w:type="dxa"/>
            <w:gridSpan w:val="4"/>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2.3.1.1 Aportaciones de capital contribuido </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7536" w:type="dxa"/>
            <w:gridSpan w:val="3"/>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r>
      <w:tr w:rsidR="008939F8" w:rsidRPr="00596BA3" w:rsidTr="00613B90">
        <w:trPr>
          <w:trHeight w:val="104"/>
        </w:trPr>
        <w:tc>
          <w:tcPr>
            <w:tcW w:w="7536" w:type="dxa"/>
            <w:gridSpan w:val="3"/>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Patrimonio contribuido a diciembre 2016</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1,522,686,803.20 </w:t>
            </w: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7536" w:type="dxa"/>
            <w:gridSpan w:val="3"/>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aportaciones o disposición de recursos en el ejercicio</w:t>
            </w:r>
          </w:p>
        </w:tc>
        <w:tc>
          <w:tcPr>
            <w:tcW w:w="2978" w:type="dxa"/>
            <w:tcBorders>
              <w:top w:val="nil"/>
              <w:left w:val="nil"/>
              <w:bottom w:val="single" w:sz="4" w:space="0" w:color="auto"/>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1,009,249.66 </w:t>
            </w: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238"/>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saldo Neto al 31 de Marzo</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    1,521,677,553.54 </w:t>
            </w: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r w:rsidRPr="00596BA3">
              <w:rPr>
                <w:rFonts w:eastAsia="Times New Roman" w:cs="Times New Roman"/>
                <w:b/>
                <w:bCs/>
                <w:color w:val="000000"/>
                <w:sz w:val="20"/>
                <w:szCs w:val="20"/>
                <w:u w:val="single"/>
                <w:lang w:eastAsia="es-MX"/>
              </w:rPr>
              <w:t>2.4 Notas al estado de flujos de efectivo</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lastRenderedPageBreak/>
              <w:t>(2.4.1)Efectivo y equivalentes</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Inversiones temporales</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487,912,978.24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Efectivo en bancos tesorería</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79,466,060.69 </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Fideicomisos</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55,319,512.60 </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Efectivo en bancos dependencias</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87,192,696.09 </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Fondo fijo</w:t>
            </w:r>
          </w:p>
        </w:tc>
        <w:tc>
          <w:tcPr>
            <w:tcW w:w="2303" w:type="dxa"/>
            <w:tcBorders>
              <w:top w:val="nil"/>
              <w:left w:val="nil"/>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7,028,141.27 </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       716,919,388.89 </w:t>
            </w: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Adquisiciones </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250"/>
        </w:trPr>
        <w:tc>
          <w:tcPr>
            <w:tcW w:w="15053" w:type="dxa"/>
            <w:gridSpan w:val="6"/>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Las adquisiciones se efectuaron con recursos de las distintas fuentes de financiamiento de la Institución, y fueron liquidadas en su totalidad en el ejercicio que se informa</w:t>
            </w: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Bienes Muebles</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12,535,044.94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Bienes Inmuebles (Const. en proceso)</w:t>
            </w:r>
          </w:p>
        </w:tc>
        <w:tc>
          <w:tcPr>
            <w:tcW w:w="2303" w:type="dxa"/>
            <w:tcBorders>
              <w:top w:val="nil"/>
              <w:left w:val="nil"/>
              <w:bottom w:val="single" w:sz="4" w:space="0" w:color="auto"/>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2,659,868.66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          15,194,913.60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0514" w:type="dxa"/>
            <w:gridSpan w:val="4"/>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Conciliación de flujos de operación y cuenta de ahorro/desahorro</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Ahorro/desahorro de operación </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152,880,789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Partidas que no afectan efectivo</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Depreciaciones</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Baja de artículos</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Reclasificación de artículos</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single" w:sz="4" w:space="0" w:color="auto"/>
              <w:left w:val="nil"/>
              <w:bottom w:val="single" w:sz="4" w:space="0" w:color="auto"/>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   </w:t>
            </w:r>
          </w:p>
        </w:tc>
        <w:tc>
          <w:tcPr>
            <w:tcW w:w="2978"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ahorro /desahorro neto</w:t>
            </w:r>
          </w:p>
        </w:tc>
        <w:tc>
          <w:tcPr>
            <w:tcW w:w="2303"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             152,880,789 </w:t>
            </w:r>
          </w:p>
        </w:tc>
        <w:tc>
          <w:tcPr>
            <w:tcW w:w="2978"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376A24" w:rsidRPr="00596BA3" w:rsidTr="00AE158E">
        <w:trPr>
          <w:trHeight w:val="293"/>
        </w:trPr>
        <w:tc>
          <w:tcPr>
            <w:tcW w:w="15053" w:type="dxa"/>
            <w:gridSpan w:val="6"/>
            <w:tcBorders>
              <w:top w:val="nil"/>
              <w:left w:val="nil"/>
              <w:bottom w:val="nil"/>
              <w:right w:val="nil"/>
            </w:tcBorders>
            <w:shd w:val="clear" w:color="auto" w:fill="auto"/>
            <w:vAlign w:val="center"/>
          </w:tcPr>
          <w:p w:rsidR="00376A24" w:rsidRDefault="00376A24" w:rsidP="00596BA3">
            <w:pPr>
              <w:spacing w:after="0" w:line="240" w:lineRule="auto"/>
              <w:rPr>
                <w:rFonts w:eastAsia="Times New Roman" w:cs="Times New Roman"/>
                <w:b/>
                <w:bCs/>
                <w:color w:val="000000"/>
                <w:sz w:val="20"/>
                <w:szCs w:val="20"/>
                <w:u w:val="single"/>
                <w:lang w:eastAsia="es-MX"/>
              </w:rPr>
            </w:pPr>
          </w:p>
          <w:p w:rsidR="00AE158E" w:rsidRDefault="00AE158E" w:rsidP="00596BA3">
            <w:pPr>
              <w:spacing w:after="0" w:line="240" w:lineRule="auto"/>
              <w:rPr>
                <w:rFonts w:eastAsia="Times New Roman" w:cs="Times New Roman"/>
                <w:b/>
                <w:bCs/>
                <w:color w:val="000000"/>
                <w:sz w:val="20"/>
                <w:szCs w:val="20"/>
                <w:u w:val="single"/>
                <w:lang w:eastAsia="es-MX"/>
              </w:rPr>
            </w:pPr>
          </w:p>
          <w:p w:rsidR="00AE158E" w:rsidRDefault="00AE158E" w:rsidP="00596BA3">
            <w:pPr>
              <w:spacing w:after="0" w:line="240" w:lineRule="auto"/>
              <w:rPr>
                <w:rFonts w:eastAsia="Times New Roman" w:cs="Times New Roman"/>
                <w:b/>
                <w:bCs/>
                <w:color w:val="000000"/>
                <w:sz w:val="20"/>
                <w:szCs w:val="20"/>
                <w:u w:val="single"/>
                <w:lang w:eastAsia="es-MX"/>
              </w:rPr>
            </w:pPr>
          </w:p>
          <w:p w:rsidR="00AE158E" w:rsidRDefault="00AE158E" w:rsidP="00596BA3">
            <w:pPr>
              <w:spacing w:after="0" w:line="240" w:lineRule="auto"/>
              <w:rPr>
                <w:rFonts w:eastAsia="Times New Roman" w:cs="Times New Roman"/>
                <w:b/>
                <w:bCs/>
                <w:color w:val="000000"/>
                <w:sz w:val="20"/>
                <w:szCs w:val="20"/>
                <w:u w:val="single"/>
                <w:lang w:eastAsia="es-MX"/>
              </w:rPr>
            </w:pPr>
          </w:p>
          <w:p w:rsidR="00AE158E" w:rsidRDefault="00AE158E" w:rsidP="00596BA3">
            <w:pPr>
              <w:spacing w:after="0" w:line="240" w:lineRule="auto"/>
              <w:rPr>
                <w:rFonts w:eastAsia="Times New Roman" w:cs="Times New Roman"/>
                <w:b/>
                <w:bCs/>
                <w:color w:val="000000"/>
                <w:sz w:val="20"/>
                <w:szCs w:val="20"/>
                <w:u w:val="single"/>
                <w:lang w:eastAsia="es-MX"/>
              </w:rPr>
            </w:pPr>
          </w:p>
          <w:p w:rsidR="00AE158E" w:rsidRDefault="00AE158E" w:rsidP="00596BA3">
            <w:pPr>
              <w:spacing w:after="0" w:line="240" w:lineRule="auto"/>
              <w:rPr>
                <w:rFonts w:eastAsia="Times New Roman" w:cs="Times New Roman"/>
                <w:b/>
                <w:bCs/>
                <w:color w:val="000000"/>
                <w:sz w:val="20"/>
                <w:szCs w:val="20"/>
                <w:u w:val="single"/>
                <w:lang w:eastAsia="es-MX"/>
              </w:rPr>
            </w:pPr>
          </w:p>
          <w:p w:rsidR="00AE158E" w:rsidRPr="00596BA3" w:rsidRDefault="00AE158E" w:rsidP="00596BA3">
            <w:pPr>
              <w:spacing w:after="0" w:line="240" w:lineRule="auto"/>
              <w:rPr>
                <w:rFonts w:eastAsia="Times New Roman" w:cs="Times New Roman"/>
                <w:b/>
                <w:bCs/>
                <w:color w:val="000000"/>
                <w:sz w:val="20"/>
                <w:szCs w:val="20"/>
                <w:u w:val="single"/>
                <w:lang w:eastAsia="es-MX"/>
              </w:rPr>
            </w:pPr>
          </w:p>
        </w:tc>
      </w:tr>
      <w:tr w:rsidR="00376A24" w:rsidRPr="00596BA3" w:rsidTr="00AE158E">
        <w:trPr>
          <w:trHeight w:val="87"/>
        </w:trPr>
        <w:tc>
          <w:tcPr>
            <w:tcW w:w="15053" w:type="dxa"/>
            <w:gridSpan w:val="6"/>
            <w:tcBorders>
              <w:top w:val="nil"/>
              <w:left w:val="nil"/>
              <w:bottom w:val="nil"/>
              <w:right w:val="nil"/>
            </w:tcBorders>
            <w:shd w:val="clear" w:color="auto" w:fill="auto"/>
            <w:vAlign w:val="center"/>
          </w:tcPr>
          <w:p w:rsidR="00376A24" w:rsidRPr="00596BA3" w:rsidRDefault="00376A24" w:rsidP="00596BA3">
            <w:pPr>
              <w:spacing w:after="0" w:line="240" w:lineRule="auto"/>
              <w:rPr>
                <w:rFonts w:eastAsia="Times New Roman" w:cs="Times New Roman"/>
                <w:b/>
                <w:bCs/>
                <w:color w:val="000000"/>
                <w:sz w:val="20"/>
                <w:szCs w:val="20"/>
                <w:u w:val="single"/>
                <w:lang w:eastAsia="es-MX"/>
              </w:rPr>
            </w:pPr>
          </w:p>
        </w:tc>
      </w:tr>
      <w:tr w:rsidR="008939F8" w:rsidRPr="00596BA3" w:rsidTr="00AE158E">
        <w:trPr>
          <w:trHeight w:val="202"/>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r w:rsidRPr="00596BA3">
              <w:rPr>
                <w:rFonts w:eastAsia="Times New Roman" w:cs="Times New Roman"/>
                <w:b/>
                <w:bCs/>
                <w:color w:val="000000"/>
                <w:sz w:val="20"/>
                <w:szCs w:val="20"/>
                <w:u w:val="single"/>
                <w:lang w:eastAsia="es-MX"/>
              </w:rPr>
              <w:t>2.5 Conciliación entre los ingresos presupuestarios y contables, así como entre los egresos presupuestarios y los gastos contables</w:t>
            </w:r>
          </w:p>
        </w:tc>
      </w:tr>
      <w:tr w:rsidR="008939F8" w:rsidRPr="00596BA3" w:rsidTr="00AE158E">
        <w:trPr>
          <w:trHeight w:val="110"/>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13209" w:type="dxa"/>
            <w:gridSpan w:val="5"/>
            <w:tcBorders>
              <w:top w:val="single" w:sz="8" w:space="0" w:color="auto"/>
              <w:left w:val="single" w:sz="8" w:space="0" w:color="auto"/>
              <w:bottom w:val="nil"/>
              <w:right w:val="single" w:sz="8" w:space="0" w:color="000000"/>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UNIVERSIDAD AUTONOMA DE YUCATAN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p>
        </w:tc>
      </w:tr>
      <w:tr w:rsidR="008939F8" w:rsidRPr="00596BA3" w:rsidTr="00613B90">
        <w:trPr>
          <w:trHeight w:val="104"/>
        </w:trPr>
        <w:tc>
          <w:tcPr>
            <w:tcW w:w="13209" w:type="dxa"/>
            <w:gridSpan w:val="5"/>
            <w:tcBorders>
              <w:top w:val="nil"/>
              <w:left w:val="single" w:sz="8" w:space="0" w:color="auto"/>
              <w:bottom w:val="nil"/>
              <w:right w:val="single" w:sz="8" w:space="0" w:color="000000"/>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CONCILIACION ENTRE LOS INGRESOS PRESUPUESTARIOS Y CONTABLES</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p>
        </w:tc>
      </w:tr>
      <w:tr w:rsidR="008939F8" w:rsidRPr="00596BA3" w:rsidTr="00613B90">
        <w:trPr>
          <w:trHeight w:val="116"/>
        </w:trPr>
        <w:tc>
          <w:tcPr>
            <w:tcW w:w="13209" w:type="dxa"/>
            <w:gridSpan w:val="5"/>
            <w:tcBorders>
              <w:top w:val="nil"/>
              <w:left w:val="single" w:sz="8" w:space="0" w:color="auto"/>
              <w:bottom w:val="nil"/>
              <w:right w:val="single" w:sz="8" w:space="0" w:color="000000"/>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CORRESPONDIENTE DEL 1°  DE ENERO AL 31 DE MARZO DE 2017</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p>
        </w:tc>
      </w:tr>
      <w:tr w:rsidR="008939F8" w:rsidRPr="00596BA3" w:rsidTr="00613B90">
        <w:trPr>
          <w:trHeight w:val="110"/>
        </w:trPr>
        <w:tc>
          <w:tcPr>
            <w:tcW w:w="13209" w:type="dxa"/>
            <w:gridSpan w:val="5"/>
            <w:tcBorders>
              <w:top w:val="nil"/>
              <w:left w:val="single" w:sz="8" w:space="0" w:color="auto"/>
              <w:bottom w:val="single" w:sz="8" w:space="0" w:color="auto"/>
              <w:right w:val="single" w:sz="8" w:space="0" w:color="000000"/>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(CIFRAS EN PESOS)</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p>
        </w:tc>
      </w:tr>
      <w:tr w:rsidR="008939F8" w:rsidRPr="00596BA3" w:rsidTr="00613B90">
        <w:trPr>
          <w:trHeight w:val="128"/>
        </w:trPr>
        <w:tc>
          <w:tcPr>
            <w:tcW w:w="5233" w:type="dxa"/>
            <w:gridSpan w:val="2"/>
            <w:tcBorders>
              <w:top w:val="nil"/>
              <w:left w:val="single" w:sz="8" w:space="0" w:color="auto"/>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Ingresos Presupuestarios</w:t>
            </w:r>
          </w:p>
        </w:tc>
        <w:tc>
          <w:tcPr>
            <w:tcW w:w="2303" w:type="dxa"/>
            <w:tcBorders>
              <w:top w:val="nil"/>
              <w:left w:val="nil"/>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w:t>
            </w:r>
          </w:p>
        </w:tc>
        <w:tc>
          <w:tcPr>
            <w:tcW w:w="2978" w:type="dxa"/>
            <w:tcBorders>
              <w:top w:val="nil"/>
              <w:left w:val="nil"/>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w:t>
            </w:r>
          </w:p>
        </w:tc>
        <w:tc>
          <w:tcPr>
            <w:tcW w:w="2695" w:type="dxa"/>
            <w:tcBorders>
              <w:top w:val="nil"/>
              <w:left w:val="nil"/>
              <w:bottom w:val="single" w:sz="8" w:space="0" w:color="auto"/>
              <w:right w:val="single" w:sz="8" w:space="0" w:color="auto"/>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669,195,128.26</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613B90">
        <w:trPr>
          <w:trHeight w:val="128"/>
        </w:trPr>
        <w:tc>
          <w:tcPr>
            <w:tcW w:w="5233" w:type="dxa"/>
            <w:gridSpan w:val="2"/>
            <w:tcBorders>
              <w:top w:val="single" w:sz="8" w:space="0" w:color="auto"/>
              <w:left w:val="single" w:sz="8" w:space="0" w:color="auto"/>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Ingresos Contables no Presupuestarios</w:t>
            </w:r>
          </w:p>
        </w:tc>
        <w:tc>
          <w:tcPr>
            <w:tcW w:w="2303" w:type="dxa"/>
            <w:tcBorders>
              <w:top w:val="nil"/>
              <w:left w:val="nil"/>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w:t>
            </w:r>
          </w:p>
        </w:tc>
        <w:tc>
          <w:tcPr>
            <w:tcW w:w="2978" w:type="dxa"/>
            <w:tcBorders>
              <w:top w:val="nil"/>
              <w:left w:val="nil"/>
              <w:bottom w:val="single" w:sz="8"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w:t>
            </w:r>
          </w:p>
        </w:tc>
        <w:tc>
          <w:tcPr>
            <w:tcW w:w="2695" w:type="dxa"/>
            <w:tcBorders>
              <w:top w:val="nil"/>
              <w:left w:val="nil"/>
              <w:bottom w:val="single" w:sz="8" w:space="0" w:color="auto"/>
              <w:right w:val="single" w:sz="8" w:space="0" w:color="auto"/>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0.00</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AE158E">
        <w:trPr>
          <w:trHeight w:val="122"/>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6377" w:type="dxa"/>
            <w:gridSpan w:val="2"/>
            <w:tcBorders>
              <w:top w:val="single" w:sz="8" w:space="0" w:color="auto"/>
              <w:left w:val="single" w:sz="4" w:space="0" w:color="auto"/>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Incremento por variación de inventarios</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269"/>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6377" w:type="dxa"/>
            <w:gridSpan w:val="2"/>
            <w:tcBorders>
              <w:top w:val="single" w:sz="4" w:space="0" w:color="auto"/>
              <w:left w:val="single" w:sz="4" w:space="0" w:color="auto"/>
              <w:bottom w:val="single" w:sz="4" w:space="0" w:color="auto"/>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Disminución del exceso de estimaciones por pérdida o deterioro u obsolescencia</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6377" w:type="dxa"/>
            <w:gridSpan w:val="2"/>
            <w:tcBorders>
              <w:top w:val="single" w:sz="4" w:space="0" w:color="auto"/>
              <w:left w:val="single" w:sz="4" w:space="0" w:color="auto"/>
              <w:bottom w:val="single" w:sz="4" w:space="0" w:color="auto"/>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Disminución del exceso de provisiones</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6377" w:type="dxa"/>
            <w:gridSpan w:val="2"/>
            <w:tcBorders>
              <w:top w:val="single" w:sz="4" w:space="0" w:color="auto"/>
              <w:left w:val="single" w:sz="4" w:space="0" w:color="auto"/>
              <w:bottom w:val="single" w:sz="4" w:space="0" w:color="auto"/>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Otros ingresos y beneficios varios</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613B90">
        <w:trPr>
          <w:trHeight w:val="128"/>
        </w:trPr>
        <w:tc>
          <w:tcPr>
            <w:tcW w:w="7536" w:type="dxa"/>
            <w:gridSpan w:val="3"/>
            <w:tcBorders>
              <w:top w:val="single" w:sz="4" w:space="0" w:color="auto"/>
              <w:left w:val="single" w:sz="8" w:space="0" w:color="auto"/>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Otros Ingresos contables no presupuestarios</w:t>
            </w:r>
          </w:p>
        </w:tc>
        <w:tc>
          <w:tcPr>
            <w:tcW w:w="2978" w:type="dxa"/>
            <w:tcBorders>
              <w:top w:val="nil"/>
              <w:left w:val="single" w:sz="8" w:space="0" w:color="auto"/>
              <w:bottom w:val="single" w:sz="8"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613B90">
        <w:trPr>
          <w:trHeight w:val="128"/>
        </w:trPr>
        <w:tc>
          <w:tcPr>
            <w:tcW w:w="5233" w:type="dxa"/>
            <w:gridSpan w:val="2"/>
            <w:tcBorders>
              <w:top w:val="single" w:sz="8" w:space="0" w:color="auto"/>
              <w:left w:val="single" w:sz="8" w:space="0" w:color="auto"/>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Ingresos Presupuestarios no Contables</w:t>
            </w:r>
          </w:p>
        </w:tc>
        <w:tc>
          <w:tcPr>
            <w:tcW w:w="2303" w:type="dxa"/>
            <w:tcBorders>
              <w:top w:val="nil"/>
              <w:left w:val="nil"/>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w:t>
            </w:r>
          </w:p>
        </w:tc>
        <w:tc>
          <w:tcPr>
            <w:tcW w:w="2978" w:type="dxa"/>
            <w:tcBorders>
              <w:top w:val="nil"/>
              <w:left w:val="nil"/>
              <w:bottom w:val="single" w:sz="8"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w:t>
            </w:r>
          </w:p>
        </w:tc>
        <w:tc>
          <w:tcPr>
            <w:tcW w:w="2695" w:type="dxa"/>
            <w:tcBorders>
              <w:top w:val="single" w:sz="8" w:space="0" w:color="auto"/>
              <w:left w:val="nil"/>
              <w:bottom w:val="single" w:sz="8" w:space="0" w:color="auto"/>
              <w:right w:val="single" w:sz="8" w:space="0" w:color="auto"/>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0.00</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AE158E">
        <w:trPr>
          <w:trHeight w:val="122"/>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6377" w:type="dxa"/>
            <w:gridSpan w:val="2"/>
            <w:tcBorders>
              <w:top w:val="single" w:sz="8" w:space="0" w:color="auto"/>
              <w:left w:val="single" w:sz="4" w:space="0" w:color="auto"/>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Productos de Capital</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6377" w:type="dxa"/>
            <w:gridSpan w:val="2"/>
            <w:tcBorders>
              <w:top w:val="single" w:sz="4" w:space="0" w:color="auto"/>
              <w:left w:val="single" w:sz="4" w:space="0" w:color="auto"/>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Aprovechamientos Capital</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6377" w:type="dxa"/>
            <w:gridSpan w:val="2"/>
            <w:tcBorders>
              <w:top w:val="single" w:sz="4" w:space="0" w:color="auto"/>
              <w:left w:val="single" w:sz="4" w:space="0" w:color="auto"/>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Ingresos derivados de financiamientos</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613B90">
        <w:trPr>
          <w:trHeight w:val="128"/>
        </w:trPr>
        <w:tc>
          <w:tcPr>
            <w:tcW w:w="7536" w:type="dxa"/>
            <w:gridSpan w:val="3"/>
            <w:tcBorders>
              <w:top w:val="single" w:sz="4" w:space="0" w:color="auto"/>
              <w:left w:val="single" w:sz="8" w:space="0" w:color="auto"/>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Otros Ingresos presupuestarios no contables</w:t>
            </w:r>
          </w:p>
        </w:tc>
        <w:tc>
          <w:tcPr>
            <w:tcW w:w="2978" w:type="dxa"/>
            <w:tcBorders>
              <w:top w:val="nil"/>
              <w:left w:val="single" w:sz="8" w:space="0" w:color="auto"/>
              <w:bottom w:val="single" w:sz="8"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613B90">
        <w:trPr>
          <w:trHeight w:val="128"/>
        </w:trPr>
        <w:tc>
          <w:tcPr>
            <w:tcW w:w="5233" w:type="dxa"/>
            <w:gridSpan w:val="2"/>
            <w:tcBorders>
              <w:top w:val="single" w:sz="8" w:space="0" w:color="auto"/>
              <w:left w:val="single" w:sz="8" w:space="0" w:color="auto"/>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Ingresos Contables</w:t>
            </w:r>
          </w:p>
        </w:tc>
        <w:tc>
          <w:tcPr>
            <w:tcW w:w="2303" w:type="dxa"/>
            <w:tcBorders>
              <w:top w:val="nil"/>
              <w:left w:val="nil"/>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w:t>
            </w:r>
          </w:p>
        </w:tc>
        <w:tc>
          <w:tcPr>
            <w:tcW w:w="2978" w:type="dxa"/>
            <w:tcBorders>
              <w:top w:val="nil"/>
              <w:left w:val="nil"/>
              <w:bottom w:val="single" w:sz="8"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w:t>
            </w:r>
          </w:p>
        </w:tc>
        <w:tc>
          <w:tcPr>
            <w:tcW w:w="2695" w:type="dxa"/>
            <w:tcBorders>
              <w:top w:val="single" w:sz="8" w:space="0" w:color="auto"/>
              <w:left w:val="nil"/>
              <w:bottom w:val="single" w:sz="8" w:space="0" w:color="auto"/>
              <w:right w:val="single" w:sz="8" w:space="0" w:color="auto"/>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669,195,128.26</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376A24" w:rsidRPr="00596BA3" w:rsidTr="00AE158E">
        <w:trPr>
          <w:trHeight w:val="104"/>
        </w:trPr>
        <w:tc>
          <w:tcPr>
            <w:tcW w:w="1159"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r>
      <w:tr w:rsidR="00376A24" w:rsidRPr="00596BA3" w:rsidTr="00AE158E">
        <w:trPr>
          <w:trHeight w:val="104"/>
        </w:trPr>
        <w:tc>
          <w:tcPr>
            <w:tcW w:w="1159"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r>
      <w:tr w:rsidR="00376A24" w:rsidRPr="00596BA3" w:rsidTr="00AE158E">
        <w:trPr>
          <w:trHeight w:val="104"/>
        </w:trPr>
        <w:tc>
          <w:tcPr>
            <w:tcW w:w="1159"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r>
      <w:tr w:rsidR="00376A24" w:rsidRPr="00596BA3" w:rsidTr="00AE158E">
        <w:trPr>
          <w:trHeight w:val="104"/>
        </w:trPr>
        <w:tc>
          <w:tcPr>
            <w:tcW w:w="1159"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r>
      <w:tr w:rsidR="00376A24" w:rsidRPr="00596BA3" w:rsidTr="00AE158E">
        <w:trPr>
          <w:trHeight w:val="104"/>
        </w:trPr>
        <w:tc>
          <w:tcPr>
            <w:tcW w:w="1159"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r>
      <w:tr w:rsidR="00376A24" w:rsidRPr="00596BA3" w:rsidTr="00AE158E">
        <w:trPr>
          <w:trHeight w:val="104"/>
        </w:trPr>
        <w:tc>
          <w:tcPr>
            <w:tcW w:w="1159"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r>
      <w:tr w:rsidR="00376A24" w:rsidRPr="00596BA3" w:rsidTr="00AE158E">
        <w:trPr>
          <w:trHeight w:val="104"/>
        </w:trPr>
        <w:tc>
          <w:tcPr>
            <w:tcW w:w="1159"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r>
      <w:tr w:rsidR="00376A24" w:rsidRPr="00596BA3" w:rsidTr="00AE158E">
        <w:trPr>
          <w:trHeight w:val="104"/>
        </w:trPr>
        <w:tc>
          <w:tcPr>
            <w:tcW w:w="1159"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r>
      <w:tr w:rsidR="00376A24" w:rsidRPr="00596BA3" w:rsidTr="00AE158E">
        <w:trPr>
          <w:trHeight w:val="104"/>
        </w:trPr>
        <w:tc>
          <w:tcPr>
            <w:tcW w:w="1159"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r>
      <w:tr w:rsidR="00376A24" w:rsidRPr="00596BA3" w:rsidTr="00AE158E">
        <w:trPr>
          <w:trHeight w:val="104"/>
        </w:trPr>
        <w:tc>
          <w:tcPr>
            <w:tcW w:w="1159"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r>
      <w:tr w:rsidR="00376A24" w:rsidRPr="00596BA3" w:rsidTr="00AE158E">
        <w:trPr>
          <w:trHeight w:val="104"/>
        </w:trPr>
        <w:tc>
          <w:tcPr>
            <w:tcW w:w="1159"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tcPr>
          <w:p w:rsidR="00376A24" w:rsidRDefault="00376A24" w:rsidP="00596BA3">
            <w:pPr>
              <w:spacing w:after="0" w:line="240" w:lineRule="auto"/>
              <w:rPr>
                <w:rFonts w:eastAsia="Times New Roman" w:cs="Times New Roman"/>
                <w:sz w:val="20"/>
                <w:szCs w:val="20"/>
                <w:lang w:eastAsia="es-MX"/>
              </w:rPr>
            </w:pPr>
          </w:p>
          <w:p w:rsidR="00AE158E" w:rsidRDefault="00AE158E" w:rsidP="00596BA3">
            <w:pPr>
              <w:spacing w:after="0" w:line="240" w:lineRule="auto"/>
              <w:rPr>
                <w:rFonts w:eastAsia="Times New Roman" w:cs="Times New Roman"/>
                <w:sz w:val="20"/>
                <w:szCs w:val="20"/>
                <w:lang w:eastAsia="es-MX"/>
              </w:rPr>
            </w:pPr>
          </w:p>
          <w:p w:rsidR="00AE158E" w:rsidRPr="00596BA3" w:rsidRDefault="00AE158E"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r>
      <w:tr w:rsidR="00376A24" w:rsidRPr="00596BA3" w:rsidTr="00AE158E">
        <w:trPr>
          <w:trHeight w:val="104"/>
        </w:trPr>
        <w:tc>
          <w:tcPr>
            <w:tcW w:w="1159"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r>
      <w:tr w:rsidR="00376A24" w:rsidRPr="00596BA3" w:rsidTr="00AE158E">
        <w:trPr>
          <w:trHeight w:val="104"/>
        </w:trPr>
        <w:tc>
          <w:tcPr>
            <w:tcW w:w="1159"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22"/>
        </w:trPr>
        <w:tc>
          <w:tcPr>
            <w:tcW w:w="13209" w:type="dxa"/>
            <w:gridSpan w:val="5"/>
            <w:tcBorders>
              <w:top w:val="single" w:sz="8" w:space="0" w:color="auto"/>
              <w:left w:val="single" w:sz="8" w:space="0" w:color="auto"/>
              <w:bottom w:val="nil"/>
              <w:right w:val="single" w:sz="8" w:space="0" w:color="000000"/>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UNIVERSIDAD AUTONOMA DE YUCATAN</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p>
        </w:tc>
      </w:tr>
      <w:tr w:rsidR="008939F8" w:rsidRPr="00596BA3" w:rsidTr="00613B90">
        <w:trPr>
          <w:trHeight w:val="104"/>
        </w:trPr>
        <w:tc>
          <w:tcPr>
            <w:tcW w:w="13209" w:type="dxa"/>
            <w:gridSpan w:val="5"/>
            <w:tcBorders>
              <w:top w:val="nil"/>
              <w:left w:val="single" w:sz="8" w:space="0" w:color="auto"/>
              <w:bottom w:val="nil"/>
              <w:right w:val="single" w:sz="8" w:space="0" w:color="000000"/>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CONCILIACION ENTRE LOS EGRESOS PRESUPUESTARIOS Y LOS GASTOS CONTABLES</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p>
        </w:tc>
      </w:tr>
      <w:tr w:rsidR="008939F8" w:rsidRPr="00596BA3" w:rsidTr="00613B90">
        <w:trPr>
          <w:trHeight w:val="104"/>
        </w:trPr>
        <w:tc>
          <w:tcPr>
            <w:tcW w:w="13209" w:type="dxa"/>
            <w:gridSpan w:val="5"/>
            <w:tcBorders>
              <w:top w:val="nil"/>
              <w:left w:val="single" w:sz="8" w:space="0" w:color="auto"/>
              <w:bottom w:val="nil"/>
              <w:right w:val="single" w:sz="8" w:space="0" w:color="000000"/>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CORRESPONDIENTE DEL 1° DE ENERO AL 31 DE MARZO DE 2017</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p>
        </w:tc>
      </w:tr>
      <w:tr w:rsidR="008939F8" w:rsidRPr="00596BA3" w:rsidTr="00613B90">
        <w:trPr>
          <w:trHeight w:val="110"/>
        </w:trPr>
        <w:tc>
          <w:tcPr>
            <w:tcW w:w="13209" w:type="dxa"/>
            <w:gridSpan w:val="5"/>
            <w:tcBorders>
              <w:top w:val="nil"/>
              <w:left w:val="single" w:sz="8" w:space="0" w:color="auto"/>
              <w:bottom w:val="single" w:sz="8" w:space="0" w:color="auto"/>
              <w:right w:val="single" w:sz="8" w:space="0" w:color="000000"/>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(CIFRAS EN PESOS)</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p>
        </w:tc>
      </w:tr>
      <w:tr w:rsidR="008939F8" w:rsidRPr="00596BA3" w:rsidTr="00613B90">
        <w:trPr>
          <w:trHeight w:val="110"/>
        </w:trPr>
        <w:tc>
          <w:tcPr>
            <w:tcW w:w="5233" w:type="dxa"/>
            <w:gridSpan w:val="2"/>
            <w:tcBorders>
              <w:top w:val="nil"/>
              <w:left w:val="single" w:sz="8" w:space="0" w:color="auto"/>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Total de Egresos (Presupuestarios)</w:t>
            </w:r>
          </w:p>
        </w:tc>
        <w:tc>
          <w:tcPr>
            <w:tcW w:w="2303" w:type="dxa"/>
            <w:tcBorders>
              <w:top w:val="nil"/>
              <w:left w:val="nil"/>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w:t>
            </w:r>
          </w:p>
        </w:tc>
        <w:tc>
          <w:tcPr>
            <w:tcW w:w="2978" w:type="dxa"/>
            <w:tcBorders>
              <w:top w:val="nil"/>
              <w:left w:val="nil"/>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single" w:sz="8" w:space="0" w:color="auto"/>
              <w:right w:val="single" w:sz="8" w:space="0" w:color="auto"/>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536,984,562.71</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613B90">
        <w:trPr>
          <w:trHeight w:val="110"/>
        </w:trPr>
        <w:tc>
          <w:tcPr>
            <w:tcW w:w="5233" w:type="dxa"/>
            <w:gridSpan w:val="2"/>
            <w:tcBorders>
              <w:top w:val="single" w:sz="8" w:space="0" w:color="auto"/>
              <w:left w:val="single" w:sz="8" w:space="0" w:color="auto"/>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Egresos Presupuestarios no Contables</w:t>
            </w:r>
          </w:p>
        </w:tc>
        <w:tc>
          <w:tcPr>
            <w:tcW w:w="2303" w:type="dxa"/>
            <w:tcBorders>
              <w:top w:val="nil"/>
              <w:left w:val="nil"/>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w:t>
            </w:r>
          </w:p>
        </w:tc>
        <w:tc>
          <w:tcPr>
            <w:tcW w:w="2978" w:type="dxa"/>
            <w:tcBorders>
              <w:top w:val="nil"/>
              <w:left w:val="nil"/>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single" w:sz="8" w:space="0" w:color="auto"/>
              <w:right w:val="single" w:sz="8" w:space="0" w:color="auto"/>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21,698,261.25</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6377" w:type="dxa"/>
            <w:gridSpan w:val="2"/>
            <w:tcBorders>
              <w:top w:val="nil"/>
              <w:left w:val="single" w:sz="4" w:space="0" w:color="auto"/>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Mobiliario y equipo de administración</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1,394,623.41</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6377" w:type="dxa"/>
            <w:gridSpan w:val="2"/>
            <w:tcBorders>
              <w:top w:val="single" w:sz="4" w:space="0" w:color="auto"/>
              <w:left w:val="single" w:sz="4" w:space="0" w:color="auto"/>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Mobiliario y equipo educacional y recreativo</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154,700.65</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6377" w:type="dxa"/>
            <w:gridSpan w:val="2"/>
            <w:tcBorders>
              <w:top w:val="single" w:sz="4" w:space="0" w:color="auto"/>
              <w:left w:val="single" w:sz="4" w:space="0" w:color="auto"/>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Equipo e instrumental médico y de laboratorio</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405,812.54</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6377" w:type="dxa"/>
            <w:gridSpan w:val="2"/>
            <w:tcBorders>
              <w:top w:val="single" w:sz="4" w:space="0" w:color="auto"/>
              <w:left w:val="single" w:sz="4" w:space="0" w:color="auto"/>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Vehículos y equipo de transporte</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4074" w:type="dxa"/>
            <w:tcBorders>
              <w:top w:val="nil"/>
              <w:left w:val="single" w:sz="4" w:space="0" w:color="auto"/>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Equipo de defensa y seguridad</w:t>
            </w:r>
          </w:p>
        </w:tc>
        <w:tc>
          <w:tcPr>
            <w:tcW w:w="2303" w:type="dxa"/>
            <w:tcBorders>
              <w:top w:val="nil"/>
              <w:left w:val="nil"/>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6377" w:type="dxa"/>
            <w:gridSpan w:val="2"/>
            <w:tcBorders>
              <w:top w:val="single" w:sz="4" w:space="0" w:color="auto"/>
              <w:left w:val="single" w:sz="4" w:space="0" w:color="auto"/>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Maquinaria, otros equipos y herramientas</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13,243,630.56</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4074" w:type="dxa"/>
            <w:tcBorders>
              <w:top w:val="nil"/>
              <w:left w:val="single" w:sz="4" w:space="0" w:color="auto"/>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Activos biológicos</w:t>
            </w:r>
          </w:p>
        </w:tc>
        <w:tc>
          <w:tcPr>
            <w:tcW w:w="2303" w:type="dxa"/>
            <w:tcBorders>
              <w:top w:val="nil"/>
              <w:left w:val="nil"/>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4074" w:type="dxa"/>
            <w:tcBorders>
              <w:top w:val="nil"/>
              <w:left w:val="single" w:sz="4" w:space="0" w:color="auto"/>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Bienes inmuebles</w:t>
            </w:r>
          </w:p>
        </w:tc>
        <w:tc>
          <w:tcPr>
            <w:tcW w:w="2303" w:type="dxa"/>
            <w:tcBorders>
              <w:top w:val="nil"/>
              <w:left w:val="nil"/>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4074" w:type="dxa"/>
            <w:tcBorders>
              <w:top w:val="nil"/>
              <w:left w:val="single" w:sz="4" w:space="0" w:color="auto"/>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Activos Intangibles</w:t>
            </w:r>
          </w:p>
        </w:tc>
        <w:tc>
          <w:tcPr>
            <w:tcW w:w="2303" w:type="dxa"/>
            <w:tcBorders>
              <w:top w:val="nil"/>
              <w:left w:val="nil"/>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6377" w:type="dxa"/>
            <w:gridSpan w:val="2"/>
            <w:tcBorders>
              <w:top w:val="single" w:sz="4" w:space="0" w:color="auto"/>
              <w:left w:val="single" w:sz="4" w:space="0" w:color="auto"/>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Obra pública en bienes propios</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6,499,494.09</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6377" w:type="dxa"/>
            <w:gridSpan w:val="2"/>
            <w:tcBorders>
              <w:top w:val="single" w:sz="4" w:space="0" w:color="auto"/>
              <w:left w:val="single" w:sz="4" w:space="0" w:color="auto"/>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Acciones y participaciones de capital</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4074" w:type="dxa"/>
            <w:tcBorders>
              <w:top w:val="nil"/>
              <w:left w:val="single" w:sz="4" w:space="0" w:color="auto"/>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Compra de títulos y valores</w:t>
            </w:r>
          </w:p>
        </w:tc>
        <w:tc>
          <w:tcPr>
            <w:tcW w:w="2303" w:type="dxa"/>
            <w:tcBorders>
              <w:top w:val="nil"/>
              <w:left w:val="nil"/>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17"/>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6377" w:type="dxa"/>
            <w:gridSpan w:val="2"/>
            <w:tcBorders>
              <w:top w:val="single" w:sz="4" w:space="0" w:color="auto"/>
              <w:left w:val="single" w:sz="4" w:space="0" w:color="auto"/>
              <w:bottom w:val="single" w:sz="4" w:space="0" w:color="auto"/>
              <w:right w:val="single" w:sz="8" w:space="0" w:color="000000"/>
            </w:tcBorders>
            <w:shd w:val="clear" w:color="auto" w:fill="auto"/>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Inversiones en fideicomisos, mandatos y otros análogos</w:t>
            </w:r>
          </w:p>
        </w:tc>
        <w:tc>
          <w:tcPr>
            <w:tcW w:w="2978" w:type="dxa"/>
            <w:tcBorders>
              <w:top w:val="nil"/>
              <w:left w:val="nil"/>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55"/>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6377" w:type="dxa"/>
            <w:gridSpan w:val="2"/>
            <w:tcBorders>
              <w:top w:val="single" w:sz="4" w:space="0" w:color="auto"/>
              <w:left w:val="single" w:sz="4" w:space="0" w:color="auto"/>
              <w:bottom w:val="single" w:sz="4" w:space="0" w:color="auto"/>
              <w:right w:val="single" w:sz="8" w:space="0" w:color="000000"/>
            </w:tcBorders>
            <w:shd w:val="clear" w:color="auto" w:fill="auto"/>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Provisiones para contingencias y otras erogaciones especiales</w:t>
            </w:r>
          </w:p>
        </w:tc>
        <w:tc>
          <w:tcPr>
            <w:tcW w:w="2978" w:type="dxa"/>
            <w:tcBorders>
              <w:top w:val="nil"/>
              <w:left w:val="nil"/>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6377" w:type="dxa"/>
            <w:gridSpan w:val="2"/>
            <w:tcBorders>
              <w:top w:val="single" w:sz="4" w:space="0" w:color="auto"/>
              <w:left w:val="single" w:sz="4" w:space="0" w:color="auto"/>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Amortización de la deuda pública</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6377" w:type="dxa"/>
            <w:gridSpan w:val="2"/>
            <w:tcBorders>
              <w:top w:val="single" w:sz="4" w:space="0" w:color="auto"/>
              <w:left w:val="single" w:sz="4"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Adeudos de ejercicios fiscales anteriores (ADEFAS)</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613B90">
        <w:trPr>
          <w:trHeight w:val="110"/>
        </w:trPr>
        <w:tc>
          <w:tcPr>
            <w:tcW w:w="7536" w:type="dxa"/>
            <w:gridSpan w:val="3"/>
            <w:tcBorders>
              <w:top w:val="single" w:sz="4" w:space="0" w:color="auto"/>
              <w:left w:val="single" w:sz="8" w:space="0" w:color="auto"/>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Otros Egresos Presupuestales No Contables</w:t>
            </w:r>
          </w:p>
        </w:tc>
        <w:tc>
          <w:tcPr>
            <w:tcW w:w="2978" w:type="dxa"/>
            <w:tcBorders>
              <w:top w:val="nil"/>
              <w:left w:val="single" w:sz="8" w:space="0" w:color="auto"/>
              <w:bottom w:val="single" w:sz="8"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613B90">
        <w:trPr>
          <w:trHeight w:val="110"/>
        </w:trPr>
        <w:tc>
          <w:tcPr>
            <w:tcW w:w="5233" w:type="dxa"/>
            <w:gridSpan w:val="2"/>
            <w:tcBorders>
              <w:top w:val="single" w:sz="8" w:space="0" w:color="auto"/>
              <w:left w:val="single" w:sz="8" w:space="0" w:color="auto"/>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Gastos Contables No Presupuestales</w:t>
            </w:r>
          </w:p>
        </w:tc>
        <w:tc>
          <w:tcPr>
            <w:tcW w:w="2303" w:type="dxa"/>
            <w:tcBorders>
              <w:top w:val="nil"/>
              <w:left w:val="nil"/>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w:t>
            </w:r>
          </w:p>
        </w:tc>
        <w:tc>
          <w:tcPr>
            <w:tcW w:w="2978" w:type="dxa"/>
            <w:tcBorders>
              <w:top w:val="nil"/>
              <w:left w:val="nil"/>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w:t>
            </w:r>
          </w:p>
        </w:tc>
        <w:tc>
          <w:tcPr>
            <w:tcW w:w="2695" w:type="dxa"/>
            <w:tcBorders>
              <w:top w:val="single" w:sz="8" w:space="0" w:color="auto"/>
              <w:left w:val="nil"/>
              <w:bottom w:val="single" w:sz="8" w:space="0" w:color="auto"/>
              <w:right w:val="single" w:sz="8" w:space="0" w:color="auto"/>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1,028,037.33</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AE158E">
        <w:trPr>
          <w:trHeight w:val="275"/>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lastRenderedPageBreak/>
              <w:t> </w:t>
            </w:r>
          </w:p>
        </w:tc>
        <w:tc>
          <w:tcPr>
            <w:tcW w:w="6377" w:type="dxa"/>
            <w:gridSpan w:val="2"/>
            <w:tcBorders>
              <w:top w:val="single" w:sz="8" w:space="0" w:color="auto"/>
              <w:left w:val="single" w:sz="4" w:space="0" w:color="auto"/>
              <w:bottom w:val="single" w:sz="4" w:space="0" w:color="auto"/>
              <w:right w:val="single" w:sz="8" w:space="0" w:color="000000"/>
            </w:tcBorders>
            <w:shd w:val="clear" w:color="auto" w:fill="auto"/>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Estimaciones, depreciaciones, deterioros, obsolescencia y amortizaciones</w:t>
            </w:r>
          </w:p>
        </w:tc>
        <w:tc>
          <w:tcPr>
            <w:tcW w:w="2978" w:type="dxa"/>
            <w:tcBorders>
              <w:top w:val="nil"/>
              <w:left w:val="nil"/>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4074" w:type="dxa"/>
            <w:tcBorders>
              <w:top w:val="nil"/>
              <w:left w:val="single" w:sz="4" w:space="0" w:color="auto"/>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Provisiones</w:t>
            </w:r>
          </w:p>
        </w:tc>
        <w:tc>
          <w:tcPr>
            <w:tcW w:w="2303" w:type="dxa"/>
            <w:tcBorders>
              <w:top w:val="nil"/>
              <w:left w:val="nil"/>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4074" w:type="dxa"/>
            <w:tcBorders>
              <w:top w:val="nil"/>
              <w:left w:val="single" w:sz="4" w:space="0" w:color="auto"/>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Disminución de inventarios</w:t>
            </w:r>
          </w:p>
        </w:tc>
        <w:tc>
          <w:tcPr>
            <w:tcW w:w="2303" w:type="dxa"/>
            <w:tcBorders>
              <w:top w:val="nil"/>
              <w:left w:val="nil"/>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293"/>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4074" w:type="dxa"/>
            <w:tcBorders>
              <w:top w:val="nil"/>
              <w:left w:val="single" w:sz="4" w:space="0" w:color="auto"/>
              <w:bottom w:val="single" w:sz="4" w:space="0" w:color="auto"/>
              <w:right w:val="nil"/>
            </w:tcBorders>
            <w:shd w:val="clear" w:color="auto" w:fill="auto"/>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Aumento por insuficiencia de estimaciones por pérdida o deterioro u obsolescencia</w:t>
            </w:r>
          </w:p>
        </w:tc>
        <w:tc>
          <w:tcPr>
            <w:tcW w:w="2303" w:type="dxa"/>
            <w:tcBorders>
              <w:top w:val="nil"/>
              <w:left w:val="nil"/>
              <w:bottom w:val="single" w:sz="4" w:space="0" w:color="auto"/>
              <w:right w:val="nil"/>
            </w:tcBorders>
            <w:shd w:val="clear" w:color="auto" w:fill="auto"/>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6377" w:type="dxa"/>
            <w:gridSpan w:val="2"/>
            <w:tcBorders>
              <w:top w:val="single" w:sz="4" w:space="0" w:color="auto"/>
              <w:left w:val="single" w:sz="4" w:space="0" w:color="auto"/>
              <w:bottom w:val="single" w:sz="4"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Aumento por insuficiencia de provisiones</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single" w:sz="8"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4074" w:type="dxa"/>
            <w:tcBorders>
              <w:top w:val="nil"/>
              <w:left w:val="single" w:sz="4" w:space="0" w:color="auto"/>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Otros gastos</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978" w:type="dxa"/>
            <w:tcBorders>
              <w:top w:val="nil"/>
              <w:left w:val="single" w:sz="8" w:space="0" w:color="auto"/>
              <w:bottom w:val="single" w:sz="4" w:space="0" w:color="auto"/>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613B90">
        <w:trPr>
          <w:trHeight w:val="110"/>
        </w:trPr>
        <w:tc>
          <w:tcPr>
            <w:tcW w:w="7536" w:type="dxa"/>
            <w:gridSpan w:val="3"/>
            <w:tcBorders>
              <w:top w:val="single" w:sz="4" w:space="0" w:color="auto"/>
              <w:left w:val="single" w:sz="8" w:space="0" w:color="auto"/>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Otros Gastos Contables No Presupuestales</w:t>
            </w:r>
          </w:p>
        </w:tc>
        <w:tc>
          <w:tcPr>
            <w:tcW w:w="2978" w:type="dxa"/>
            <w:tcBorders>
              <w:top w:val="nil"/>
              <w:left w:val="single" w:sz="8" w:space="0" w:color="auto"/>
              <w:bottom w:val="single" w:sz="8" w:space="0" w:color="auto"/>
              <w:right w:val="single" w:sz="8" w:space="0" w:color="auto"/>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1,028,037.33</w:t>
            </w:r>
          </w:p>
        </w:tc>
        <w:tc>
          <w:tcPr>
            <w:tcW w:w="2695" w:type="dxa"/>
            <w:tcBorders>
              <w:top w:val="nil"/>
              <w:left w:val="nil"/>
              <w:bottom w:val="nil"/>
              <w:right w:val="single" w:sz="8" w:space="0" w:color="auto"/>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r>
      <w:tr w:rsidR="008939F8" w:rsidRPr="00596BA3" w:rsidTr="00613B90">
        <w:trPr>
          <w:trHeight w:val="110"/>
        </w:trPr>
        <w:tc>
          <w:tcPr>
            <w:tcW w:w="5233" w:type="dxa"/>
            <w:gridSpan w:val="2"/>
            <w:tcBorders>
              <w:top w:val="single" w:sz="8" w:space="0" w:color="auto"/>
              <w:left w:val="single" w:sz="8" w:space="0" w:color="auto"/>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Total de Gasto Contable</w:t>
            </w:r>
          </w:p>
        </w:tc>
        <w:tc>
          <w:tcPr>
            <w:tcW w:w="2303" w:type="dxa"/>
            <w:tcBorders>
              <w:top w:val="nil"/>
              <w:left w:val="nil"/>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w:t>
            </w:r>
          </w:p>
        </w:tc>
        <w:tc>
          <w:tcPr>
            <w:tcW w:w="2978" w:type="dxa"/>
            <w:tcBorders>
              <w:top w:val="nil"/>
              <w:left w:val="nil"/>
              <w:bottom w:val="single" w:sz="8" w:space="0" w:color="auto"/>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w:t>
            </w:r>
          </w:p>
        </w:tc>
        <w:tc>
          <w:tcPr>
            <w:tcW w:w="2695" w:type="dxa"/>
            <w:tcBorders>
              <w:top w:val="single" w:sz="8" w:space="0" w:color="auto"/>
              <w:left w:val="nil"/>
              <w:bottom w:val="single" w:sz="8" w:space="0" w:color="auto"/>
              <w:right w:val="single" w:sz="8" w:space="0" w:color="auto"/>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516,314,338.79</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376A24" w:rsidRPr="00596BA3" w:rsidTr="00613B90">
        <w:trPr>
          <w:trHeight w:val="104"/>
        </w:trPr>
        <w:tc>
          <w:tcPr>
            <w:tcW w:w="5233" w:type="dxa"/>
            <w:gridSpan w:val="2"/>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b/>
                <w:bCs/>
                <w:color w:val="000000"/>
                <w:sz w:val="20"/>
                <w:szCs w:val="20"/>
                <w:lang w:eastAsia="es-MX"/>
              </w:rPr>
            </w:pPr>
          </w:p>
        </w:tc>
        <w:tc>
          <w:tcPr>
            <w:tcW w:w="2303"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b/>
                <w:bCs/>
                <w:color w:val="000000"/>
                <w:sz w:val="20"/>
                <w:szCs w:val="20"/>
                <w:lang w:eastAsia="es-MX"/>
              </w:rPr>
            </w:pPr>
          </w:p>
        </w:tc>
        <w:tc>
          <w:tcPr>
            <w:tcW w:w="2978"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r>
      <w:tr w:rsidR="00376A24" w:rsidRPr="00596BA3" w:rsidTr="00613B90">
        <w:trPr>
          <w:trHeight w:val="104"/>
        </w:trPr>
        <w:tc>
          <w:tcPr>
            <w:tcW w:w="5233" w:type="dxa"/>
            <w:gridSpan w:val="2"/>
            <w:tcBorders>
              <w:top w:val="nil"/>
              <w:left w:val="nil"/>
              <w:bottom w:val="nil"/>
              <w:right w:val="nil"/>
            </w:tcBorders>
            <w:shd w:val="clear" w:color="auto" w:fill="auto"/>
            <w:noWrap/>
            <w:vAlign w:val="center"/>
          </w:tcPr>
          <w:p w:rsidR="00376A24" w:rsidRPr="00596BA3" w:rsidRDefault="00376A24" w:rsidP="00596BA3">
            <w:pPr>
              <w:spacing w:after="0" w:line="240" w:lineRule="auto"/>
              <w:rPr>
                <w:rFonts w:eastAsia="Times New Roman" w:cs="Times New Roman"/>
                <w:b/>
                <w:bCs/>
                <w:color w:val="000000"/>
                <w:sz w:val="20"/>
                <w:szCs w:val="20"/>
                <w:lang w:eastAsia="es-MX"/>
              </w:rPr>
            </w:pPr>
          </w:p>
        </w:tc>
        <w:tc>
          <w:tcPr>
            <w:tcW w:w="2303"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b/>
                <w:bCs/>
                <w:color w:val="000000"/>
                <w:sz w:val="20"/>
                <w:szCs w:val="20"/>
                <w:lang w:eastAsia="es-MX"/>
              </w:rPr>
            </w:pPr>
          </w:p>
        </w:tc>
        <w:tc>
          <w:tcPr>
            <w:tcW w:w="2978"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tcPr>
          <w:p w:rsidR="00376A24" w:rsidRPr="00596BA3" w:rsidRDefault="00376A24"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3. NOTAS DE MEMORIA</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r w:rsidRPr="00596BA3">
              <w:rPr>
                <w:rFonts w:eastAsia="Times New Roman" w:cs="Times New Roman"/>
                <w:b/>
                <w:bCs/>
                <w:color w:val="000000"/>
                <w:sz w:val="20"/>
                <w:szCs w:val="20"/>
                <w:u w:val="single"/>
                <w:lang w:eastAsia="es-MX"/>
              </w:rPr>
              <w:t>Cuentas de orden</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u w:val="single"/>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22"/>
        </w:trPr>
        <w:tc>
          <w:tcPr>
            <w:tcW w:w="10514" w:type="dxa"/>
            <w:gridSpan w:val="4"/>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En estas cuentas de orden  se registran las siguientes situaciones:</w:t>
            </w: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u w:val="single"/>
                <w:lang w:eastAsia="es-MX"/>
              </w:rPr>
            </w:pPr>
            <w:r w:rsidRPr="00596BA3">
              <w:rPr>
                <w:rFonts w:eastAsia="Times New Roman" w:cs="Times New Roman"/>
                <w:color w:val="000000"/>
                <w:sz w:val="20"/>
                <w:szCs w:val="20"/>
                <w:u w:val="single"/>
                <w:lang w:eastAsia="es-MX"/>
              </w:rPr>
              <w:t>Aportaciones a fondos</w:t>
            </w:r>
            <w:r w:rsidRPr="00596BA3">
              <w:rPr>
                <w:rFonts w:eastAsia="Times New Roman" w:cs="Times New Roman"/>
                <w:color w:val="000000"/>
                <w:sz w:val="20"/>
                <w:szCs w:val="20"/>
                <w:lang w:eastAsia="es-MX"/>
              </w:rPr>
              <w:t>.</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color w:val="000000"/>
                <w:sz w:val="20"/>
                <w:szCs w:val="20"/>
                <w:u w:val="single"/>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574"/>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Mediante las aportaciones efectuadas, tanto por la Universidad como por los empleados y personal académico, se constituyen los fondos de Vivienda, de Préstamos, Jubilaciones y de Aportaciones al Retiro, que son administrados por la Universidad. Al ser valores ajenos a la Institución, el control contable de los mismos se realiza en “Cuentas de Orden”. El patrimonio de estos Fondos al 31 de Marzo de 2017 es de  $2,485,351,419.63 ($2,435,925,085.72 a diciembre 2016) y su integración es la siguiente:</w:t>
            </w:r>
          </w:p>
        </w:tc>
      </w:tr>
      <w:tr w:rsidR="008939F8" w:rsidRPr="00596BA3" w:rsidTr="00613B90">
        <w:trPr>
          <w:trHeight w:val="104"/>
        </w:trPr>
        <w:tc>
          <w:tcPr>
            <w:tcW w:w="5233" w:type="dxa"/>
            <w:gridSpan w:val="2"/>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Fondos de jubilaciones                                                     </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1,594,017,297.68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Fondos para el retiro </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222,597,657.92</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Fondos para préstamos personales</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19,705,793.12</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613B90">
        <w:trPr>
          <w:trHeight w:val="122"/>
        </w:trPr>
        <w:tc>
          <w:tcPr>
            <w:tcW w:w="5233" w:type="dxa"/>
            <w:gridSpan w:val="2"/>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Fondos para vivienda</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638,229,110.38</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613B90">
        <w:trPr>
          <w:trHeight w:val="128"/>
        </w:trPr>
        <w:tc>
          <w:tcPr>
            <w:tcW w:w="5233" w:type="dxa"/>
            <w:gridSpan w:val="2"/>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Fondo de ahorro empleados</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10,801,560.53</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613B90">
        <w:trPr>
          <w:trHeight w:val="128"/>
        </w:trPr>
        <w:tc>
          <w:tcPr>
            <w:tcW w:w="5233" w:type="dxa"/>
            <w:gridSpan w:val="2"/>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Total                                            </w:t>
            </w:r>
          </w:p>
        </w:tc>
        <w:tc>
          <w:tcPr>
            <w:tcW w:w="2303" w:type="dxa"/>
            <w:tcBorders>
              <w:top w:val="single" w:sz="8" w:space="0" w:color="auto"/>
              <w:left w:val="nil"/>
              <w:bottom w:val="double" w:sz="6" w:space="0" w:color="auto"/>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2,485,351,419.63</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sz w:val="20"/>
                <w:szCs w:val="20"/>
                <w:lang w:eastAsia="es-MX"/>
              </w:rPr>
            </w:pPr>
          </w:p>
        </w:tc>
      </w:tr>
      <w:tr w:rsidR="008939F8" w:rsidRPr="00596BA3" w:rsidTr="00613B90">
        <w:trPr>
          <w:trHeight w:val="110"/>
        </w:trPr>
        <w:tc>
          <w:tcPr>
            <w:tcW w:w="7536" w:type="dxa"/>
            <w:gridSpan w:val="3"/>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AE158E" w:rsidRDefault="008939F8" w:rsidP="00596BA3">
            <w:pPr>
              <w:spacing w:after="0" w:line="240" w:lineRule="auto"/>
              <w:jc w:val="center"/>
              <w:rPr>
                <w:rFonts w:eastAsia="Times New Roman" w:cs="Times New Roman"/>
                <w:color w:val="000000"/>
                <w:sz w:val="20"/>
                <w:szCs w:val="20"/>
                <w:u w:val="single"/>
                <w:lang w:eastAsia="es-MX"/>
              </w:rPr>
            </w:pPr>
            <w:r w:rsidRPr="00596BA3">
              <w:rPr>
                <w:rFonts w:eastAsia="Times New Roman" w:cs="Times New Roman"/>
                <w:color w:val="000000"/>
                <w:sz w:val="20"/>
                <w:szCs w:val="20"/>
                <w:u w:val="single"/>
                <w:lang w:eastAsia="es-MX"/>
              </w:rPr>
              <w:t xml:space="preserve"> </w:t>
            </w:r>
          </w:p>
          <w:p w:rsidR="00AE158E" w:rsidRDefault="00AE158E" w:rsidP="00596BA3">
            <w:pPr>
              <w:spacing w:after="0" w:line="240" w:lineRule="auto"/>
              <w:jc w:val="center"/>
              <w:rPr>
                <w:rFonts w:eastAsia="Times New Roman" w:cs="Times New Roman"/>
                <w:color w:val="000000"/>
                <w:sz w:val="20"/>
                <w:szCs w:val="20"/>
                <w:u w:val="single"/>
                <w:lang w:eastAsia="es-MX"/>
              </w:rPr>
            </w:pPr>
          </w:p>
          <w:p w:rsidR="00AE158E" w:rsidRDefault="00AE158E" w:rsidP="00596BA3">
            <w:pPr>
              <w:spacing w:after="0" w:line="240" w:lineRule="auto"/>
              <w:jc w:val="center"/>
              <w:rPr>
                <w:rFonts w:eastAsia="Times New Roman" w:cs="Times New Roman"/>
                <w:color w:val="000000"/>
                <w:sz w:val="20"/>
                <w:szCs w:val="20"/>
                <w:u w:val="single"/>
                <w:lang w:eastAsia="es-MX"/>
              </w:rPr>
            </w:pPr>
          </w:p>
          <w:p w:rsidR="00AE158E" w:rsidRDefault="00AE158E" w:rsidP="00596BA3">
            <w:pPr>
              <w:spacing w:after="0" w:line="240" w:lineRule="auto"/>
              <w:jc w:val="center"/>
              <w:rPr>
                <w:rFonts w:eastAsia="Times New Roman" w:cs="Times New Roman"/>
                <w:color w:val="000000"/>
                <w:sz w:val="20"/>
                <w:szCs w:val="20"/>
                <w:u w:val="single"/>
                <w:lang w:eastAsia="es-MX"/>
              </w:rPr>
            </w:pPr>
          </w:p>
          <w:p w:rsidR="008939F8" w:rsidRPr="00596BA3" w:rsidRDefault="008939F8" w:rsidP="00596BA3">
            <w:pPr>
              <w:spacing w:after="0" w:line="240" w:lineRule="auto"/>
              <w:jc w:val="center"/>
              <w:rPr>
                <w:rFonts w:eastAsia="Times New Roman" w:cs="Times New Roman"/>
                <w:color w:val="000000"/>
                <w:sz w:val="20"/>
                <w:szCs w:val="20"/>
                <w:u w:val="single"/>
                <w:lang w:eastAsia="es-MX"/>
              </w:rPr>
            </w:pPr>
            <w:r w:rsidRPr="00596BA3">
              <w:rPr>
                <w:rFonts w:eastAsia="Times New Roman" w:cs="Times New Roman"/>
                <w:color w:val="000000"/>
                <w:sz w:val="20"/>
                <w:szCs w:val="20"/>
                <w:u w:val="single"/>
                <w:lang w:eastAsia="es-MX"/>
              </w:rPr>
              <w:lastRenderedPageBreak/>
              <w:t>Fondo de jubilaciones, integración:</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color w:val="000000"/>
                <w:sz w:val="20"/>
                <w:szCs w:val="20"/>
                <w:u w:val="single"/>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Aportación Federal </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1,191,351,254.33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Aportación UADY y Personal UADY</w:t>
            </w: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226,860,367.90</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r>
      <w:tr w:rsidR="008939F8" w:rsidRPr="00596BA3" w:rsidTr="00613B90">
        <w:trPr>
          <w:trHeight w:val="110"/>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Intereses</w:t>
            </w:r>
          </w:p>
        </w:tc>
        <w:tc>
          <w:tcPr>
            <w:tcW w:w="2303" w:type="dxa"/>
            <w:tcBorders>
              <w:top w:val="nil"/>
              <w:left w:val="nil"/>
              <w:bottom w:val="single" w:sz="8" w:space="0" w:color="auto"/>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175,805,675.45</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r>
      <w:tr w:rsidR="008939F8" w:rsidRPr="00596BA3" w:rsidTr="00613B90">
        <w:trPr>
          <w:trHeight w:val="110"/>
        </w:trPr>
        <w:tc>
          <w:tcPr>
            <w:tcW w:w="5233" w:type="dxa"/>
            <w:gridSpan w:val="2"/>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Total</w:t>
            </w:r>
          </w:p>
        </w:tc>
        <w:tc>
          <w:tcPr>
            <w:tcW w:w="2303" w:type="dxa"/>
            <w:tcBorders>
              <w:top w:val="nil"/>
              <w:left w:val="nil"/>
              <w:bottom w:val="double" w:sz="6" w:space="0" w:color="auto"/>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1,594,017,297.68</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184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r>
      <w:tr w:rsidR="008939F8" w:rsidRPr="00596BA3" w:rsidTr="00AE158E">
        <w:trPr>
          <w:trHeight w:val="110"/>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04"/>
        </w:trPr>
        <w:tc>
          <w:tcPr>
            <w:tcW w:w="5233" w:type="dxa"/>
            <w:gridSpan w:val="2"/>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b/>
                <w:bCs/>
                <w:color w:val="000000"/>
                <w:sz w:val="20"/>
                <w:szCs w:val="20"/>
                <w:lang w:eastAsia="es-MX"/>
              </w:rPr>
            </w:pPr>
            <w:bookmarkStart w:id="1" w:name="_GoBack"/>
            <w:bookmarkEnd w:id="1"/>
            <w:r w:rsidRPr="00596BA3">
              <w:rPr>
                <w:rFonts w:eastAsia="Times New Roman" w:cs="Times New Roman"/>
                <w:b/>
                <w:bCs/>
                <w:color w:val="000000"/>
                <w:sz w:val="20"/>
                <w:szCs w:val="20"/>
                <w:lang w:eastAsia="es-MX"/>
              </w:rPr>
              <w:t xml:space="preserve">Litigios en proceso.  </w:t>
            </w: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b/>
                <w:bCs/>
                <w:color w:val="000000"/>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275"/>
        </w:trPr>
        <w:tc>
          <w:tcPr>
            <w:tcW w:w="15053" w:type="dxa"/>
            <w:gridSpan w:val="6"/>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r w:rsidRPr="00596BA3">
              <w:rPr>
                <w:rFonts w:eastAsia="Times New Roman" w:cs="Times New Roman"/>
                <w:color w:val="000000"/>
                <w:sz w:val="20"/>
                <w:szCs w:val="20"/>
                <w:lang w:eastAsia="es-MX"/>
              </w:rPr>
              <w:t>Conforme a la información proporcionada por el departamento de asuntos jurídicos de la oficina del abogado general de la Universidad, la Institución al cierre de año, tiene los siguientes litigios en proceso</w:t>
            </w: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both"/>
              <w:rPr>
                <w:rFonts w:eastAsia="Times New Roman" w:cs="Times New Roman"/>
                <w:color w:val="000000"/>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613B90">
        <w:trPr>
          <w:trHeight w:val="195"/>
        </w:trPr>
        <w:tc>
          <w:tcPr>
            <w:tcW w:w="7536" w:type="dxa"/>
            <w:gridSpan w:val="3"/>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color w:val="000000"/>
                <w:sz w:val="20"/>
                <w:szCs w:val="20"/>
                <w:u w:val="single"/>
                <w:lang w:eastAsia="es-MX"/>
              </w:rPr>
            </w:pPr>
            <w:r w:rsidRPr="00596BA3">
              <w:rPr>
                <w:rFonts w:eastAsia="Times New Roman" w:cs="Times New Roman"/>
                <w:color w:val="000000"/>
                <w:sz w:val="20"/>
                <w:szCs w:val="20"/>
                <w:u w:val="single"/>
                <w:lang w:eastAsia="es-MX"/>
              </w:rPr>
              <w:t>Vigentes al 31 de diciembre de 2016</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color w:val="000000"/>
                <w:sz w:val="20"/>
                <w:szCs w:val="20"/>
                <w:u w:val="single"/>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color w:val="000000"/>
                <w:sz w:val="20"/>
                <w:szCs w:val="20"/>
                <w:lang w:eastAsia="es-MX"/>
              </w:rPr>
            </w:pPr>
            <w:r w:rsidRPr="00596BA3">
              <w:rPr>
                <w:rFonts w:eastAsia="Times New Roman" w:cs="Times New Roman"/>
                <w:color w:val="000000"/>
                <w:sz w:val="20"/>
                <w:szCs w:val="20"/>
                <w:lang w:eastAsia="es-MX"/>
              </w:rPr>
              <w:t>Probable repercusión económica</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color w:val="000000"/>
                <w:sz w:val="20"/>
                <w:szCs w:val="20"/>
                <w:lang w:eastAsia="es-MX"/>
              </w:rPr>
            </w:pPr>
          </w:p>
        </w:tc>
      </w:tr>
      <w:tr w:rsidR="008939F8" w:rsidRPr="00596BA3" w:rsidTr="00613B90">
        <w:trPr>
          <w:trHeight w:val="104"/>
        </w:trPr>
        <w:tc>
          <w:tcPr>
            <w:tcW w:w="7536" w:type="dxa"/>
            <w:gridSpan w:val="3"/>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40 asuntos laborales en los que la Institución es demandada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$12,408,345.52</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613B90">
        <w:trPr>
          <w:trHeight w:val="104"/>
        </w:trPr>
        <w:tc>
          <w:tcPr>
            <w:tcW w:w="7536" w:type="dxa"/>
            <w:gridSpan w:val="3"/>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6 asuntos laborales de designación de beneficiarios</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666,317.55</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613B90">
        <w:trPr>
          <w:trHeight w:val="110"/>
        </w:trPr>
        <w:tc>
          <w:tcPr>
            <w:tcW w:w="7536" w:type="dxa"/>
            <w:gridSpan w:val="3"/>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8 asuntos de recuperación. Mercantiles, penales y civiles</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color w:val="000000"/>
                <w:sz w:val="20"/>
                <w:szCs w:val="20"/>
                <w:lang w:eastAsia="es-MX"/>
              </w:rPr>
            </w:pPr>
            <w:r w:rsidRPr="00596BA3">
              <w:rPr>
                <w:rFonts w:eastAsia="Times New Roman" w:cs="Times New Roman"/>
                <w:color w:val="000000"/>
                <w:sz w:val="20"/>
                <w:szCs w:val="20"/>
                <w:lang w:eastAsia="es-MX"/>
              </w:rPr>
              <w:t>-5,096,536.24</w:t>
            </w: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r>
      <w:tr w:rsidR="008939F8" w:rsidRPr="00596BA3" w:rsidTr="00613B90">
        <w:trPr>
          <w:trHeight w:val="110"/>
        </w:trPr>
        <w:tc>
          <w:tcPr>
            <w:tcW w:w="7536" w:type="dxa"/>
            <w:gridSpan w:val="3"/>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Estimación del pasivo contingente por litigios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p>
        </w:tc>
        <w:tc>
          <w:tcPr>
            <w:tcW w:w="2695" w:type="dxa"/>
            <w:tcBorders>
              <w:top w:val="single" w:sz="8" w:space="0" w:color="auto"/>
              <w:left w:val="nil"/>
              <w:bottom w:val="double" w:sz="6" w:space="0" w:color="auto"/>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$13,074,663.07</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p>
        </w:tc>
      </w:tr>
      <w:tr w:rsidR="008939F8" w:rsidRPr="00596BA3" w:rsidTr="00613B90">
        <w:trPr>
          <w:trHeight w:val="110"/>
        </w:trPr>
        <w:tc>
          <w:tcPr>
            <w:tcW w:w="13209" w:type="dxa"/>
            <w:gridSpan w:val="5"/>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sz w:val="20"/>
                <w:szCs w:val="20"/>
                <w:lang w:eastAsia="es-MX"/>
              </w:rPr>
            </w:pPr>
          </w:p>
        </w:tc>
      </w:tr>
      <w:tr w:rsidR="008939F8" w:rsidRPr="00596BA3" w:rsidTr="00AE158E">
        <w:trPr>
          <w:trHeight w:val="122"/>
        </w:trPr>
        <w:tc>
          <w:tcPr>
            <w:tcW w:w="10514" w:type="dxa"/>
            <w:gridSpan w:val="4"/>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vMerge w:val="restart"/>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color w:val="000000"/>
                <w:sz w:val="20"/>
                <w:szCs w:val="20"/>
                <w:lang w:eastAsia="es-MX"/>
              </w:rPr>
            </w:pPr>
            <w:r w:rsidRPr="00596BA3">
              <w:rPr>
                <w:rFonts w:eastAsia="Times New Roman" w:cs="Times New Roman"/>
                <w:color w:val="000000"/>
                <w:sz w:val="20"/>
                <w:szCs w:val="20"/>
                <w:lang w:eastAsia="es-MX"/>
              </w:rPr>
              <w:t>Repercusión económica</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color w:val="000000"/>
                <w:sz w:val="20"/>
                <w:szCs w:val="20"/>
                <w:lang w:eastAsia="es-MX"/>
              </w:rPr>
            </w:pPr>
          </w:p>
        </w:tc>
      </w:tr>
      <w:tr w:rsidR="008939F8" w:rsidRPr="00596BA3" w:rsidTr="00613B90">
        <w:trPr>
          <w:trHeight w:val="104"/>
        </w:trPr>
        <w:tc>
          <w:tcPr>
            <w:tcW w:w="7536" w:type="dxa"/>
            <w:gridSpan w:val="3"/>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color w:val="000000"/>
                <w:sz w:val="20"/>
                <w:szCs w:val="20"/>
                <w:u w:val="single"/>
                <w:lang w:eastAsia="es-MX"/>
              </w:rPr>
            </w:pPr>
            <w:r w:rsidRPr="00596BA3">
              <w:rPr>
                <w:rFonts w:eastAsia="Times New Roman" w:cs="Times New Roman"/>
                <w:color w:val="000000"/>
                <w:sz w:val="20"/>
                <w:szCs w:val="20"/>
                <w:u w:val="single"/>
                <w:lang w:eastAsia="es-MX"/>
              </w:rPr>
              <w:t>Terminados al 31 de diciembre de 2016</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color w:val="000000"/>
                <w:sz w:val="20"/>
                <w:szCs w:val="20"/>
                <w:u w:val="single"/>
                <w:lang w:eastAsia="es-MX"/>
              </w:rPr>
            </w:pPr>
          </w:p>
        </w:tc>
        <w:tc>
          <w:tcPr>
            <w:tcW w:w="2695" w:type="dxa"/>
            <w:vMerge/>
            <w:tcBorders>
              <w:top w:val="nil"/>
              <w:left w:val="nil"/>
              <w:bottom w:val="nil"/>
              <w:right w:val="nil"/>
            </w:tcBorders>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center"/>
              <w:rPr>
                <w:rFonts w:eastAsia="Times New Roman" w:cs="Times New Roman"/>
                <w:sz w:val="20"/>
                <w:szCs w:val="20"/>
                <w:lang w:eastAsia="es-MX"/>
              </w:rPr>
            </w:pPr>
          </w:p>
        </w:tc>
      </w:tr>
      <w:tr w:rsidR="008939F8" w:rsidRPr="00596BA3" w:rsidTr="00613B90">
        <w:trPr>
          <w:trHeight w:val="104"/>
        </w:trPr>
        <w:tc>
          <w:tcPr>
            <w:tcW w:w="7536" w:type="dxa"/>
            <w:gridSpan w:val="3"/>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2 asuntos laborales en los que la Institución es demandada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613B90">
        <w:trPr>
          <w:trHeight w:val="110"/>
        </w:trPr>
        <w:tc>
          <w:tcPr>
            <w:tcW w:w="7536" w:type="dxa"/>
            <w:gridSpan w:val="3"/>
            <w:tcBorders>
              <w:top w:val="nil"/>
              <w:left w:val="nil"/>
              <w:bottom w:val="nil"/>
              <w:right w:val="nil"/>
            </w:tcBorders>
            <w:shd w:val="clear" w:color="auto" w:fill="auto"/>
            <w:vAlign w:val="bottom"/>
            <w:hideMark/>
          </w:tcPr>
          <w:p w:rsidR="008939F8" w:rsidRPr="00596BA3" w:rsidRDefault="008939F8" w:rsidP="00596BA3">
            <w:pPr>
              <w:spacing w:after="0" w:line="240" w:lineRule="auto"/>
              <w:rPr>
                <w:rFonts w:eastAsia="Times New Roman" w:cs="Times New Roman"/>
                <w:color w:val="000000"/>
                <w:sz w:val="20"/>
                <w:szCs w:val="20"/>
                <w:lang w:eastAsia="es-MX"/>
              </w:rPr>
            </w:pPr>
            <w:r w:rsidRPr="00596BA3">
              <w:rPr>
                <w:rFonts w:eastAsia="Times New Roman" w:cs="Times New Roman"/>
                <w:color w:val="000000"/>
                <w:sz w:val="20"/>
                <w:szCs w:val="20"/>
                <w:lang w:eastAsia="es-MX"/>
              </w:rPr>
              <w:t>17 asuntos de designación de beneficiarios</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color w:val="000000"/>
                <w:sz w:val="20"/>
                <w:szCs w:val="20"/>
                <w:lang w:eastAsia="es-MX"/>
              </w:rPr>
            </w:pPr>
          </w:p>
        </w:tc>
        <w:tc>
          <w:tcPr>
            <w:tcW w:w="2695"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color w:val="000000"/>
                <w:sz w:val="20"/>
                <w:szCs w:val="20"/>
                <w:lang w:eastAsia="es-MX"/>
              </w:rPr>
            </w:pPr>
            <w:r w:rsidRPr="00596BA3">
              <w:rPr>
                <w:rFonts w:eastAsia="Times New Roman" w:cs="Times New Roman"/>
                <w:color w:val="000000"/>
                <w:sz w:val="20"/>
                <w:szCs w:val="20"/>
                <w:lang w:eastAsia="es-MX"/>
              </w:rPr>
              <w:t xml:space="preserve">               5,854,404.51 </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color w:val="000000"/>
                <w:sz w:val="20"/>
                <w:szCs w:val="20"/>
                <w:lang w:eastAsia="es-MX"/>
              </w:rPr>
            </w:pPr>
          </w:p>
        </w:tc>
      </w:tr>
      <w:tr w:rsidR="008939F8" w:rsidRPr="00596BA3" w:rsidTr="00613B90">
        <w:trPr>
          <w:trHeight w:val="110"/>
        </w:trPr>
        <w:tc>
          <w:tcPr>
            <w:tcW w:w="7536" w:type="dxa"/>
            <w:gridSpan w:val="3"/>
            <w:tcBorders>
              <w:top w:val="nil"/>
              <w:left w:val="nil"/>
              <w:bottom w:val="nil"/>
              <w:right w:val="nil"/>
            </w:tcBorders>
            <w:shd w:val="clear" w:color="auto" w:fill="auto"/>
            <w:noWrap/>
            <w:vAlign w:val="center"/>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 xml:space="preserve">  Estimación del pasivo contingente por litigios </w:t>
            </w:r>
          </w:p>
        </w:tc>
        <w:tc>
          <w:tcPr>
            <w:tcW w:w="2978"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center"/>
              <w:rPr>
                <w:rFonts w:eastAsia="Times New Roman" w:cs="Times New Roman"/>
                <w:b/>
                <w:bCs/>
                <w:color w:val="000000"/>
                <w:sz w:val="20"/>
                <w:szCs w:val="20"/>
                <w:lang w:eastAsia="es-MX"/>
              </w:rPr>
            </w:pPr>
          </w:p>
        </w:tc>
        <w:tc>
          <w:tcPr>
            <w:tcW w:w="2695" w:type="dxa"/>
            <w:tcBorders>
              <w:top w:val="single" w:sz="8" w:space="0" w:color="auto"/>
              <w:left w:val="nil"/>
              <w:bottom w:val="double" w:sz="6" w:space="0" w:color="auto"/>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r w:rsidRPr="00596BA3">
              <w:rPr>
                <w:rFonts w:eastAsia="Times New Roman" w:cs="Times New Roman"/>
                <w:b/>
                <w:bCs/>
                <w:color w:val="000000"/>
                <w:sz w:val="20"/>
                <w:szCs w:val="20"/>
                <w:lang w:eastAsia="es-MX"/>
              </w:rPr>
              <w:t>$5,854,404.51</w:t>
            </w: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b/>
                <w:bCs/>
                <w:color w:val="000000"/>
                <w:sz w:val="20"/>
                <w:szCs w:val="20"/>
                <w:lang w:eastAsia="es-MX"/>
              </w:rPr>
            </w:pPr>
          </w:p>
        </w:tc>
      </w:tr>
      <w:tr w:rsidR="008939F8" w:rsidRPr="00596BA3" w:rsidTr="00AE158E">
        <w:trPr>
          <w:trHeight w:val="110"/>
        </w:trPr>
        <w:tc>
          <w:tcPr>
            <w:tcW w:w="1159" w:type="dxa"/>
            <w:tcBorders>
              <w:top w:val="nil"/>
              <w:left w:val="nil"/>
              <w:bottom w:val="nil"/>
              <w:right w:val="nil"/>
            </w:tcBorders>
            <w:shd w:val="clear" w:color="auto" w:fill="auto"/>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2303" w:type="dxa"/>
            <w:tcBorders>
              <w:top w:val="nil"/>
              <w:left w:val="nil"/>
              <w:bottom w:val="nil"/>
              <w:right w:val="nil"/>
            </w:tcBorders>
            <w:shd w:val="clear" w:color="auto" w:fill="auto"/>
            <w:vAlign w:val="center"/>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jc w:val="right"/>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vAlign w:val="bottom"/>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tcPr>
          <w:p w:rsidR="008939F8" w:rsidRPr="00AE158E" w:rsidRDefault="008939F8" w:rsidP="00AE158E">
            <w:pPr>
              <w:rPr>
                <w:rFonts w:ascii="Calibri" w:hAnsi="Calibri"/>
                <w:color w:val="000000"/>
                <w:sz w:val="20"/>
                <w:szCs w:val="20"/>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226"/>
        </w:trPr>
        <w:tc>
          <w:tcPr>
            <w:tcW w:w="15053" w:type="dxa"/>
            <w:gridSpan w:val="6"/>
            <w:tcBorders>
              <w:top w:val="nil"/>
              <w:left w:val="nil"/>
              <w:bottom w:val="nil"/>
              <w:right w:val="nil"/>
            </w:tcBorders>
            <w:shd w:val="clear" w:color="auto" w:fill="auto"/>
            <w:noWrap/>
            <w:hideMark/>
          </w:tcPr>
          <w:p w:rsidR="008939F8" w:rsidRPr="00596BA3" w:rsidRDefault="008939F8" w:rsidP="00596BA3">
            <w:pPr>
              <w:spacing w:after="0" w:line="240" w:lineRule="auto"/>
              <w:jc w:val="both"/>
              <w:rPr>
                <w:rFonts w:eastAsia="Times New Roman" w:cs="Times New Roman"/>
                <w:sz w:val="20"/>
                <w:szCs w:val="20"/>
                <w:lang w:eastAsia="es-MX"/>
              </w:rPr>
            </w:pPr>
            <w:r w:rsidRPr="00596BA3">
              <w:rPr>
                <w:rFonts w:eastAsia="Times New Roman" w:cs="Times New Roman"/>
                <w:sz w:val="20"/>
                <w:szCs w:val="20"/>
                <w:lang w:eastAsia="es-MX"/>
              </w:rPr>
              <w:t>Bajo protesta de decir verdad declaramos que los Estados Financieros y sus Notas son razonablemente correctos y responsabilidad del emisor.</w:t>
            </w:r>
          </w:p>
        </w:tc>
      </w:tr>
      <w:tr w:rsidR="008939F8" w:rsidRPr="00596BA3" w:rsidTr="00AE158E">
        <w:trPr>
          <w:trHeight w:val="104"/>
        </w:trPr>
        <w:tc>
          <w:tcPr>
            <w:tcW w:w="1159" w:type="dxa"/>
            <w:tcBorders>
              <w:top w:val="nil"/>
              <w:left w:val="nil"/>
              <w:bottom w:val="nil"/>
              <w:right w:val="nil"/>
            </w:tcBorders>
            <w:shd w:val="clear" w:color="auto" w:fill="auto"/>
            <w:noWrap/>
            <w:hideMark/>
          </w:tcPr>
          <w:p w:rsidR="008939F8" w:rsidRPr="00596BA3" w:rsidRDefault="008939F8" w:rsidP="00596BA3">
            <w:pPr>
              <w:spacing w:after="0" w:line="240" w:lineRule="auto"/>
              <w:jc w:val="both"/>
              <w:rPr>
                <w:rFonts w:eastAsia="Times New Roman" w:cs="Times New Roman"/>
                <w:sz w:val="20"/>
                <w:szCs w:val="20"/>
                <w:lang w:eastAsia="es-MX"/>
              </w:rPr>
            </w:pPr>
          </w:p>
        </w:tc>
        <w:tc>
          <w:tcPr>
            <w:tcW w:w="4074"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r>
      <w:tr w:rsidR="008939F8" w:rsidRPr="00596BA3" w:rsidTr="00AE158E">
        <w:trPr>
          <w:trHeight w:val="104"/>
        </w:trPr>
        <w:tc>
          <w:tcPr>
            <w:tcW w:w="1159" w:type="dxa"/>
            <w:tcBorders>
              <w:top w:val="nil"/>
              <w:left w:val="nil"/>
              <w:bottom w:val="nil"/>
              <w:right w:val="nil"/>
            </w:tcBorders>
            <w:shd w:val="clear" w:color="auto" w:fill="auto"/>
            <w:noWrap/>
            <w:hideMark/>
          </w:tcPr>
          <w:p w:rsidR="008939F8" w:rsidRPr="00596BA3" w:rsidRDefault="008939F8" w:rsidP="00596BA3">
            <w:pPr>
              <w:spacing w:after="0" w:line="240" w:lineRule="auto"/>
              <w:rPr>
                <w:rFonts w:eastAsia="Times New Roman" w:cs="Times New Roman"/>
                <w:sz w:val="20"/>
                <w:szCs w:val="20"/>
                <w:lang w:eastAsia="es-MX"/>
              </w:rPr>
            </w:pPr>
          </w:p>
        </w:tc>
        <w:tc>
          <w:tcPr>
            <w:tcW w:w="4074"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303"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978"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2695" w:type="dxa"/>
            <w:tcBorders>
              <w:top w:val="nil"/>
              <w:left w:val="nil"/>
              <w:bottom w:val="nil"/>
              <w:right w:val="nil"/>
            </w:tcBorders>
            <w:shd w:val="clear" w:color="auto" w:fill="auto"/>
            <w:noWrap/>
            <w:vAlign w:val="bottom"/>
            <w:hideMark/>
          </w:tcPr>
          <w:p w:rsidR="008939F8" w:rsidRPr="00596BA3" w:rsidRDefault="008939F8" w:rsidP="00596BA3">
            <w:pPr>
              <w:spacing w:after="0" w:line="240" w:lineRule="auto"/>
              <w:rPr>
                <w:rFonts w:eastAsia="Times New Roman" w:cs="Times New Roman"/>
                <w:sz w:val="20"/>
                <w:szCs w:val="20"/>
                <w:lang w:eastAsia="es-MX"/>
              </w:rPr>
            </w:pPr>
          </w:p>
        </w:tc>
        <w:tc>
          <w:tcPr>
            <w:tcW w:w="1844" w:type="dxa"/>
            <w:tcBorders>
              <w:top w:val="nil"/>
              <w:left w:val="nil"/>
              <w:bottom w:val="nil"/>
              <w:right w:val="nil"/>
            </w:tcBorders>
            <w:shd w:val="clear" w:color="auto" w:fill="auto"/>
            <w:noWrap/>
            <w:vAlign w:val="center"/>
            <w:hideMark/>
          </w:tcPr>
          <w:p w:rsidR="008939F8" w:rsidRPr="00596BA3" w:rsidRDefault="008939F8" w:rsidP="00596BA3">
            <w:pPr>
              <w:spacing w:after="0" w:line="240" w:lineRule="auto"/>
              <w:rPr>
                <w:rFonts w:eastAsia="Times New Roman" w:cs="Times New Roman"/>
                <w:sz w:val="20"/>
                <w:szCs w:val="20"/>
                <w:lang w:eastAsia="es-MX"/>
              </w:rPr>
            </w:pPr>
          </w:p>
        </w:tc>
      </w:tr>
    </w:tbl>
    <w:p w:rsidR="008F0576" w:rsidRDefault="008F0576"/>
    <w:sectPr w:rsidR="008F0576" w:rsidSect="009F2F54">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58E" w:rsidRDefault="00AE158E" w:rsidP="00AE158E">
      <w:pPr>
        <w:spacing w:after="0" w:line="240" w:lineRule="auto"/>
      </w:pPr>
      <w:r>
        <w:separator/>
      </w:r>
    </w:p>
  </w:endnote>
  <w:endnote w:type="continuationSeparator" w:id="0">
    <w:p w:rsidR="00AE158E" w:rsidRDefault="00AE158E" w:rsidP="00AE1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58E" w:rsidRDefault="00AE158E" w:rsidP="00AE158E">
      <w:pPr>
        <w:spacing w:after="0" w:line="240" w:lineRule="auto"/>
      </w:pPr>
      <w:r>
        <w:separator/>
      </w:r>
    </w:p>
  </w:footnote>
  <w:footnote w:type="continuationSeparator" w:id="0">
    <w:p w:rsidR="00AE158E" w:rsidRDefault="00AE158E" w:rsidP="00AE15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9F8"/>
    <w:rsid w:val="00303160"/>
    <w:rsid w:val="00376A24"/>
    <w:rsid w:val="00596BA3"/>
    <w:rsid w:val="00613B90"/>
    <w:rsid w:val="008939F8"/>
    <w:rsid w:val="008F0576"/>
    <w:rsid w:val="009F2F54"/>
    <w:rsid w:val="00AE158E"/>
    <w:rsid w:val="00D35C0E"/>
    <w:rsid w:val="00E64F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596BA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96BA3"/>
    <w:rPr>
      <w:rFonts w:ascii="Arial" w:eastAsia="Times New Roman" w:hAnsi="Arial" w:cs="Arial"/>
      <w:sz w:val="18"/>
      <w:szCs w:val="20"/>
      <w:lang w:val="es-ES" w:eastAsia="es-ES"/>
    </w:rPr>
  </w:style>
  <w:style w:type="paragraph" w:styleId="Encabezado">
    <w:name w:val="header"/>
    <w:basedOn w:val="Normal"/>
    <w:link w:val="EncabezadoCar"/>
    <w:uiPriority w:val="99"/>
    <w:unhideWhenUsed/>
    <w:rsid w:val="00AE15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158E"/>
  </w:style>
  <w:style w:type="paragraph" w:styleId="Piedepgina">
    <w:name w:val="footer"/>
    <w:basedOn w:val="Normal"/>
    <w:link w:val="PiedepginaCar"/>
    <w:uiPriority w:val="99"/>
    <w:unhideWhenUsed/>
    <w:rsid w:val="00AE15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1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596BA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96BA3"/>
    <w:rPr>
      <w:rFonts w:ascii="Arial" w:eastAsia="Times New Roman" w:hAnsi="Arial" w:cs="Arial"/>
      <w:sz w:val="18"/>
      <w:szCs w:val="20"/>
      <w:lang w:val="es-ES" w:eastAsia="es-ES"/>
    </w:rPr>
  </w:style>
  <w:style w:type="paragraph" w:styleId="Encabezado">
    <w:name w:val="header"/>
    <w:basedOn w:val="Normal"/>
    <w:link w:val="EncabezadoCar"/>
    <w:uiPriority w:val="99"/>
    <w:unhideWhenUsed/>
    <w:rsid w:val="00AE15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158E"/>
  </w:style>
  <w:style w:type="paragraph" w:styleId="Piedepgina">
    <w:name w:val="footer"/>
    <w:basedOn w:val="Normal"/>
    <w:link w:val="PiedepginaCar"/>
    <w:uiPriority w:val="99"/>
    <w:unhideWhenUsed/>
    <w:rsid w:val="00AE15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1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41012">
      <w:bodyDiv w:val="1"/>
      <w:marLeft w:val="0"/>
      <w:marRight w:val="0"/>
      <w:marTop w:val="0"/>
      <w:marBottom w:val="0"/>
      <w:divBdr>
        <w:top w:val="none" w:sz="0" w:space="0" w:color="auto"/>
        <w:left w:val="none" w:sz="0" w:space="0" w:color="auto"/>
        <w:bottom w:val="none" w:sz="0" w:space="0" w:color="auto"/>
        <w:right w:val="none" w:sz="0" w:space="0" w:color="auto"/>
      </w:divBdr>
    </w:div>
    <w:div w:id="197396914">
      <w:bodyDiv w:val="1"/>
      <w:marLeft w:val="0"/>
      <w:marRight w:val="0"/>
      <w:marTop w:val="0"/>
      <w:marBottom w:val="0"/>
      <w:divBdr>
        <w:top w:val="none" w:sz="0" w:space="0" w:color="auto"/>
        <w:left w:val="none" w:sz="0" w:space="0" w:color="auto"/>
        <w:bottom w:val="none" w:sz="0" w:space="0" w:color="auto"/>
        <w:right w:val="none" w:sz="0" w:space="0" w:color="auto"/>
      </w:divBdr>
    </w:div>
    <w:div w:id="656961259">
      <w:bodyDiv w:val="1"/>
      <w:marLeft w:val="0"/>
      <w:marRight w:val="0"/>
      <w:marTop w:val="0"/>
      <w:marBottom w:val="0"/>
      <w:divBdr>
        <w:top w:val="none" w:sz="0" w:space="0" w:color="auto"/>
        <w:left w:val="none" w:sz="0" w:space="0" w:color="auto"/>
        <w:bottom w:val="none" w:sz="0" w:space="0" w:color="auto"/>
        <w:right w:val="none" w:sz="0" w:space="0" w:color="auto"/>
      </w:divBdr>
    </w:div>
    <w:div w:id="1483544060">
      <w:bodyDiv w:val="1"/>
      <w:marLeft w:val="0"/>
      <w:marRight w:val="0"/>
      <w:marTop w:val="0"/>
      <w:marBottom w:val="0"/>
      <w:divBdr>
        <w:top w:val="none" w:sz="0" w:space="0" w:color="auto"/>
        <w:left w:val="none" w:sz="0" w:space="0" w:color="auto"/>
        <w:bottom w:val="none" w:sz="0" w:space="0" w:color="auto"/>
        <w:right w:val="none" w:sz="0" w:space="0" w:color="auto"/>
      </w:divBdr>
    </w:div>
    <w:div w:id="166089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34AFB-4D4A-4CE4-A560-AD1FE2076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4650</Words>
  <Characters>25577</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 Ruby M. Soberanis Domínguez</dc:creator>
  <cp:lastModifiedBy>Jennifer Estefany Millan Flores</cp:lastModifiedBy>
  <cp:revision>6</cp:revision>
  <cp:lastPrinted>2018-05-08T17:45:00Z</cp:lastPrinted>
  <dcterms:created xsi:type="dcterms:W3CDTF">2017-04-27T15:08:00Z</dcterms:created>
  <dcterms:modified xsi:type="dcterms:W3CDTF">2018-05-09T15:24:00Z</dcterms:modified>
</cp:coreProperties>
</file>