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Default="006F3019" w:rsidP="00E4291A">
      <w:pPr>
        <w:spacing w:line="240" w:lineRule="auto"/>
        <w:jc w:val="center"/>
        <w:rPr>
          <w:rFonts w:cs="Arial"/>
          <w:b/>
          <w:sz w:val="20"/>
          <w:szCs w:val="20"/>
        </w:rPr>
      </w:pPr>
      <w:r w:rsidRPr="003E2DC9">
        <w:rPr>
          <w:rFonts w:cs="Arial"/>
          <w:b/>
          <w:sz w:val="20"/>
          <w:szCs w:val="20"/>
        </w:rPr>
        <w:t>Cuenta Pública</w:t>
      </w:r>
      <w:r w:rsidR="00E4291A">
        <w:rPr>
          <w:rFonts w:cs="Arial"/>
          <w:b/>
          <w:sz w:val="20"/>
          <w:szCs w:val="20"/>
        </w:rPr>
        <w:t xml:space="preserve"> 2017</w:t>
      </w:r>
    </w:p>
    <w:p w:rsidR="006F3019" w:rsidRPr="003E2DC9" w:rsidRDefault="006F0BF0" w:rsidP="00E4291A">
      <w:pPr>
        <w:spacing w:line="240" w:lineRule="auto"/>
        <w:jc w:val="center"/>
        <w:rPr>
          <w:rFonts w:cs="Arial"/>
          <w:b/>
          <w:sz w:val="20"/>
          <w:szCs w:val="20"/>
        </w:rPr>
      </w:pPr>
      <w:r w:rsidRPr="003E2DC9">
        <w:rPr>
          <w:rFonts w:cs="Arial"/>
          <w:b/>
          <w:sz w:val="20"/>
          <w:szCs w:val="20"/>
        </w:rPr>
        <w:t>Notas a los Estados Financieros</w:t>
      </w:r>
    </w:p>
    <w:p w:rsidR="002D788C" w:rsidRPr="003E2DC9" w:rsidRDefault="00E4291A" w:rsidP="002D788C">
      <w:pPr>
        <w:spacing w:line="240" w:lineRule="auto"/>
        <w:jc w:val="center"/>
        <w:rPr>
          <w:rFonts w:cs="Arial"/>
          <w:b/>
          <w:sz w:val="20"/>
          <w:szCs w:val="20"/>
        </w:rPr>
      </w:pPr>
      <w:r>
        <w:rPr>
          <w:rFonts w:cs="Arial"/>
          <w:b/>
          <w:sz w:val="20"/>
          <w:szCs w:val="20"/>
        </w:rPr>
        <w:t xml:space="preserve">Al </w:t>
      </w:r>
      <w:r w:rsidR="00374448">
        <w:rPr>
          <w:rFonts w:cs="Arial"/>
          <w:b/>
          <w:sz w:val="20"/>
          <w:szCs w:val="20"/>
        </w:rPr>
        <w:t>31 de Marzo</w:t>
      </w:r>
      <w:r w:rsidR="002D788C">
        <w:rPr>
          <w:rFonts w:cs="Arial"/>
          <w:b/>
          <w:sz w:val="20"/>
          <w:szCs w:val="20"/>
        </w:rPr>
        <w:t xml:space="preserve"> de 2017</w:t>
      </w:r>
    </w:p>
    <w:p w:rsidR="006F3019" w:rsidRPr="003E2DC9" w:rsidRDefault="006F3019" w:rsidP="00E4291A">
      <w:pPr>
        <w:spacing w:line="240" w:lineRule="auto"/>
        <w:jc w:val="center"/>
        <w:rPr>
          <w:rFonts w:cs="Arial"/>
          <w:b/>
          <w:sz w:val="20"/>
          <w:szCs w:val="20"/>
        </w:rPr>
      </w:pPr>
      <w:r w:rsidRPr="003E2DC9">
        <w:rPr>
          <w:rFonts w:cs="Arial"/>
          <w:b/>
          <w:sz w:val="20"/>
          <w:szCs w:val="20"/>
        </w:rPr>
        <w:t>(Pesos)</w:t>
      </w:r>
    </w:p>
    <w:p w:rsidR="006F3019" w:rsidRPr="003E2DC9" w:rsidRDefault="006F3019" w:rsidP="00E4291A">
      <w:pPr>
        <w:spacing w:line="240" w:lineRule="auto"/>
        <w:jc w:val="both"/>
        <w:rPr>
          <w:rFonts w:cs="Arial"/>
          <w:b/>
          <w:sz w:val="20"/>
          <w:szCs w:val="20"/>
        </w:rPr>
      </w:pPr>
    </w:p>
    <w:p w:rsidR="006F3019" w:rsidRDefault="00F428A2" w:rsidP="00E4291A">
      <w:pPr>
        <w:spacing w:line="240" w:lineRule="auto"/>
        <w:jc w:val="both"/>
        <w:rPr>
          <w:rFonts w:cs="Arial"/>
          <w:b/>
          <w:sz w:val="20"/>
          <w:szCs w:val="20"/>
        </w:rPr>
      </w:pPr>
      <w:r>
        <w:rPr>
          <w:rFonts w:cs="Arial"/>
          <w:b/>
          <w:sz w:val="20"/>
          <w:szCs w:val="20"/>
        </w:rPr>
        <w:t>Ente Público</w:t>
      </w:r>
      <w:proofErr w:type="gramStart"/>
      <w:r>
        <w:rPr>
          <w:rFonts w:cs="Arial"/>
          <w:b/>
          <w:sz w:val="20"/>
          <w:szCs w:val="20"/>
        </w:rPr>
        <w:t xml:space="preserve">:  </w:t>
      </w:r>
      <w:r w:rsidR="00132F7C" w:rsidRPr="00132F7C">
        <w:rPr>
          <w:rFonts w:cs="Arial"/>
          <w:b/>
          <w:sz w:val="20"/>
          <w:szCs w:val="20"/>
        </w:rPr>
        <w:t>UNIVERSIDAD</w:t>
      </w:r>
      <w:proofErr w:type="gramEnd"/>
      <w:r w:rsidR="00132F7C" w:rsidRPr="00132F7C">
        <w:rPr>
          <w:rFonts w:cs="Arial"/>
          <w:b/>
          <w:sz w:val="20"/>
          <w:szCs w:val="20"/>
        </w:rPr>
        <w:t xml:space="preserve"> TECNOLÓGICA DEL MAYAB</w:t>
      </w:r>
    </w:p>
    <w:p w:rsidR="00594617" w:rsidRDefault="00594617" w:rsidP="00E4291A">
      <w:pPr>
        <w:spacing w:line="240" w:lineRule="auto"/>
        <w:jc w:val="both"/>
        <w:rPr>
          <w:rFonts w:cs="Arial"/>
          <w:b/>
          <w:sz w:val="20"/>
          <w:szCs w:val="20"/>
        </w:rPr>
      </w:pPr>
    </w:p>
    <w:p w:rsidR="00594617" w:rsidRDefault="00594617" w:rsidP="00E4291A">
      <w:pPr>
        <w:spacing w:line="240" w:lineRule="auto"/>
        <w:jc w:val="both"/>
        <w:rPr>
          <w:rFonts w:cs="Arial"/>
          <w:b/>
          <w:sz w:val="20"/>
          <w:szCs w:val="20"/>
        </w:rPr>
      </w:pPr>
      <w:r>
        <w:rPr>
          <w:rFonts w:cs="Arial"/>
          <w:b/>
          <w:sz w:val="20"/>
          <w:szCs w:val="20"/>
        </w:rPr>
        <w:t>NOTAS DE GESTIÓN ADMINISTRATIVO</w:t>
      </w:r>
    </w:p>
    <w:p w:rsidR="007D55E3" w:rsidRPr="005C1091" w:rsidRDefault="007D55E3" w:rsidP="00E4291A">
      <w:pPr>
        <w:spacing w:line="240" w:lineRule="auto"/>
        <w:jc w:val="both"/>
        <w:rPr>
          <w:rFonts w:cs="Arial"/>
          <w:b/>
          <w:sz w:val="20"/>
          <w:szCs w:val="20"/>
        </w:rPr>
      </w:pPr>
      <w:r w:rsidRPr="005C1091">
        <w:rPr>
          <w:rFonts w:cs="Arial"/>
          <w:b/>
          <w:sz w:val="20"/>
          <w:szCs w:val="20"/>
        </w:rPr>
        <w:t>1.</w:t>
      </w:r>
      <w:r w:rsidRPr="005C1091">
        <w:rPr>
          <w:rFonts w:cs="Arial"/>
          <w:b/>
          <w:sz w:val="20"/>
          <w:szCs w:val="20"/>
        </w:rPr>
        <w:tab/>
        <w:t>Introducción</w:t>
      </w:r>
    </w:p>
    <w:p w:rsidR="007D55E3" w:rsidRPr="005C1091" w:rsidRDefault="007D55E3" w:rsidP="00E4291A">
      <w:pPr>
        <w:spacing w:line="240" w:lineRule="auto"/>
        <w:jc w:val="both"/>
        <w:rPr>
          <w:rFonts w:cs="Arial"/>
          <w:sz w:val="20"/>
          <w:szCs w:val="20"/>
        </w:rPr>
      </w:pPr>
      <w:r w:rsidRPr="005C1091">
        <w:rPr>
          <w:rFonts w:cs="Arial"/>
          <w:sz w:val="20"/>
          <w:szCs w:val="20"/>
        </w:rPr>
        <w:t xml:space="preserve">Los Estados Financieros de la Universidad Tecnológica del </w:t>
      </w:r>
      <w:proofErr w:type="spellStart"/>
      <w:r w:rsidRPr="005C1091">
        <w:rPr>
          <w:rFonts w:cs="Arial"/>
          <w:sz w:val="20"/>
          <w:szCs w:val="20"/>
        </w:rPr>
        <w:t>Mayab</w:t>
      </w:r>
      <w:proofErr w:type="spellEnd"/>
      <w:r w:rsidRPr="005C1091">
        <w:rPr>
          <w:rFonts w:cs="Arial"/>
          <w:sz w:val="20"/>
          <w:szCs w:val="20"/>
        </w:rPr>
        <w:t>, proveen de información financiera a los principales usuarios de la misma, al Congreso y al estado.</w:t>
      </w:r>
    </w:p>
    <w:p w:rsidR="007D55E3" w:rsidRPr="005C1091" w:rsidRDefault="007D55E3" w:rsidP="00E4291A">
      <w:pPr>
        <w:spacing w:line="240" w:lineRule="auto"/>
        <w:jc w:val="both"/>
        <w:rPr>
          <w:rFonts w:cs="Arial"/>
          <w:b/>
          <w:sz w:val="20"/>
          <w:szCs w:val="20"/>
        </w:rPr>
      </w:pPr>
      <w:r w:rsidRPr="005C1091">
        <w:rPr>
          <w:rFonts w:cs="Arial"/>
          <w:b/>
          <w:sz w:val="20"/>
          <w:szCs w:val="20"/>
        </w:rPr>
        <w:t>2.</w:t>
      </w:r>
      <w:r w:rsidRPr="005C1091">
        <w:rPr>
          <w:rFonts w:cs="Arial"/>
          <w:b/>
          <w:sz w:val="20"/>
          <w:szCs w:val="20"/>
        </w:rPr>
        <w:tab/>
        <w:t>Panorama Económico y Financiero</w:t>
      </w:r>
    </w:p>
    <w:p w:rsidR="007D55E3" w:rsidRPr="005C1091" w:rsidRDefault="007D55E3" w:rsidP="00E4291A">
      <w:pPr>
        <w:spacing w:line="240" w:lineRule="auto"/>
        <w:jc w:val="both"/>
        <w:rPr>
          <w:rFonts w:cs="Arial"/>
          <w:sz w:val="20"/>
          <w:szCs w:val="20"/>
        </w:rPr>
      </w:pPr>
      <w:r w:rsidRPr="005C1091">
        <w:rPr>
          <w:rFonts w:cs="Arial"/>
          <w:sz w:val="20"/>
          <w:szCs w:val="20"/>
        </w:rPr>
        <w:t xml:space="preserve">A pesar de la dificultad en la  situación financiera a nivel nacional la Universidad Tecnológica del </w:t>
      </w:r>
      <w:proofErr w:type="spellStart"/>
      <w:r w:rsidRPr="005C1091">
        <w:rPr>
          <w:rFonts w:cs="Arial"/>
          <w:sz w:val="20"/>
          <w:szCs w:val="20"/>
        </w:rPr>
        <w:t>Mayab</w:t>
      </w:r>
      <w:proofErr w:type="spellEnd"/>
      <w:r w:rsidRPr="005C1091">
        <w:rPr>
          <w:rFonts w:cs="Arial"/>
          <w:sz w:val="20"/>
          <w:szCs w:val="20"/>
        </w:rPr>
        <w:t xml:space="preserve"> se busca alternativas y convenios para poder llevar a cabo de la mejor manera los programas educativos planteados durante la gestión y así mismo para el crecimiento continuo de la misma.</w:t>
      </w:r>
    </w:p>
    <w:p w:rsidR="007D55E3" w:rsidRPr="005C1091" w:rsidRDefault="007D55E3" w:rsidP="00E4291A">
      <w:pPr>
        <w:spacing w:line="240" w:lineRule="auto"/>
        <w:jc w:val="both"/>
        <w:rPr>
          <w:rFonts w:cs="Arial"/>
          <w:b/>
          <w:sz w:val="20"/>
          <w:szCs w:val="20"/>
        </w:rPr>
      </w:pPr>
      <w:r w:rsidRPr="005C1091">
        <w:rPr>
          <w:rFonts w:cs="Arial"/>
          <w:b/>
          <w:sz w:val="20"/>
          <w:szCs w:val="20"/>
        </w:rPr>
        <w:t>3. Autorización e Historia</w:t>
      </w:r>
    </w:p>
    <w:p w:rsidR="007D55E3" w:rsidRPr="005C1091" w:rsidRDefault="007D55E3" w:rsidP="00E4291A">
      <w:pPr>
        <w:spacing w:line="240" w:lineRule="auto"/>
        <w:jc w:val="both"/>
        <w:rPr>
          <w:rFonts w:cs="Arial"/>
          <w:sz w:val="20"/>
          <w:szCs w:val="20"/>
        </w:rPr>
      </w:pPr>
      <w:r w:rsidRPr="005C1091">
        <w:rPr>
          <w:rFonts w:cs="Arial"/>
          <w:sz w:val="20"/>
          <w:szCs w:val="20"/>
        </w:rPr>
        <w:t xml:space="preserve">La Universidad Tecnológica del </w:t>
      </w:r>
      <w:proofErr w:type="spellStart"/>
      <w:r w:rsidRPr="005C1091">
        <w:rPr>
          <w:rFonts w:cs="Arial"/>
          <w:sz w:val="20"/>
          <w:szCs w:val="20"/>
        </w:rPr>
        <w:t>Mayab</w:t>
      </w:r>
      <w:proofErr w:type="spellEnd"/>
      <w:r w:rsidRPr="005C1091">
        <w:rPr>
          <w:rFonts w:cs="Arial"/>
          <w:sz w:val="20"/>
          <w:szCs w:val="20"/>
        </w:rPr>
        <w:t xml:space="preserve"> es un organismo Descentralizado con personalidad jurídica y patrimonio propios, constituida conforme al decreto Número 540 del día 17 de Agosto de 2012.</w:t>
      </w:r>
    </w:p>
    <w:p w:rsidR="007D55E3" w:rsidRPr="005C1091" w:rsidRDefault="007D55E3" w:rsidP="00E4291A">
      <w:pPr>
        <w:spacing w:line="240" w:lineRule="auto"/>
        <w:jc w:val="both"/>
        <w:rPr>
          <w:rFonts w:cs="Arial"/>
          <w:b/>
          <w:sz w:val="20"/>
          <w:szCs w:val="20"/>
        </w:rPr>
      </w:pPr>
      <w:r w:rsidRPr="005C1091">
        <w:rPr>
          <w:rFonts w:cs="Arial"/>
          <w:b/>
          <w:sz w:val="20"/>
          <w:szCs w:val="20"/>
        </w:rPr>
        <w:t>4.</w:t>
      </w:r>
      <w:r w:rsidRPr="005C1091">
        <w:rPr>
          <w:rFonts w:cs="Arial"/>
          <w:b/>
          <w:sz w:val="20"/>
          <w:szCs w:val="20"/>
        </w:rPr>
        <w:tab/>
        <w:t xml:space="preserve"> Personalidad Jurídica  y Objeto  Social</w:t>
      </w:r>
    </w:p>
    <w:p w:rsidR="007D55E3" w:rsidRPr="005C1091" w:rsidRDefault="007D55E3" w:rsidP="00E4291A">
      <w:pPr>
        <w:spacing w:line="240" w:lineRule="auto"/>
        <w:jc w:val="both"/>
        <w:rPr>
          <w:rFonts w:cs="Arial"/>
          <w:sz w:val="20"/>
          <w:szCs w:val="20"/>
        </w:rPr>
      </w:pPr>
      <w:r w:rsidRPr="005C1091">
        <w:rPr>
          <w:rFonts w:cs="Arial"/>
          <w:sz w:val="20"/>
          <w:szCs w:val="20"/>
        </w:rPr>
        <w:t xml:space="preserve">Con decreto No. 540 de fecha 17 de Agosto de 2012 se crea la Universidad Tecnológica del </w:t>
      </w:r>
      <w:proofErr w:type="spellStart"/>
      <w:r w:rsidRPr="005C1091">
        <w:rPr>
          <w:rFonts w:cs="Arial"/>
          <w:sz w:val="20"/>
          <w:szCs w:val="20"/>
        </w:rPr>
        <w:t>Mayab</w:t>
      </w:r>
      <w:proofErr w:type="spellEnd"/>
      <w:r w:rsidRPr="005C1091">
        <w:rPr>
          <w:rFonts w:cs="Arial"/>
          <w:sz w:val="20"/>
          <w:szCs w:val="20"/>
        </w:rPr>
        <w:t>, como un Organismo Público Descentralizado del Gobierno del Estado, con personalidad jurídica y patrimonio propios, con domicilio en la villa de Peto, Yucatán.</w:t>
      </w:r>
    </w:p>
    <w:p w:rsidR="005C1091" w:rsidRDefault="007D55E3" w:rsidP="00E4291A">
      <w:pPr>
        <w:spacing w:line="240" w:lineRule="auto"/>
        <w:jc w:val="both"/>
        <w:rPr>
          <w:rFonts w:cs="Arial"/>
          <w:sz w:val="20"/>
          <w:szCs w:val="20"/>
        </w:rPr>
      </w:pPr>
      <w:r w:rsidRPr="005C1091">
        <w:rPr>
          <w:rFonts w:cs="Arial"/>
          <w:sz w:val="20"/>
          <w:szCs w:val="20"/>
        </w:rPr>
        <w:lastRenderedPageBreak/>
        <w:t>El objeto social consiste en ofrecer estudios de buena calidad en el nivel Técnico Superior Universitario, con la orientación en la aplicación de conocimientos y la solución creativa de problemas, con un sentido de innovación en la incorporación de los ava</w:t>
      </w:r>
      <w:r w:rsidR="005C1091">
        <w:rPr>
          <w:rFonts w:cs="Arial"/>
          <w:sz w:val="20"/>
          <w:szCs w:val="20"/>
        </w:rPr>
        <w:t>nces científicos y tecnológicos</w:t>
      </w:r>
    </w:p>
    <w:p w:rsidR="007D55E3" w:rsidRPr="005C1091" w:rsidRDefault="007D55E3" w:rsidP="00E4291A">
      <w:pPr>
        <w:spacing w:line="240" w:lineRule="auto"/>
        <w:jc w:val="both"/>
        <w:rPr>
          <w:rFonts w:cs="Arial"/>
          <w:sz w:val="20"/>
          <w:szCs w:val="20"/>
        </w:rPr>
      </w:pPr>
      <w:r w:rsidRPr="005C1091">
        <w:rPr>
          <w:rFonts w:cs="Arial"/>
          <w:b/>
          <w:sz w:val="20"/>
          <w:szCs w:val="20"/>
        </w:rPr>
        <w:t>Son atribuciones  de la Universidad las siguientes:</w:t>
      </w:r>
    </w:p>
    <w:p w:rsidR="007D55E3" w:rsidRPr="005C1091" w:rsidRDefault="007D55E3" w:rsidP="00E4291A">
      <w:pPr>
        <w:pStyle w:val="Prrafodelista"/>
        <w:numPr>
          <w:ilvl w:val="0"/>
          <w:numId w:val="3"/>
        </w:numPr>
        <w:spacing w:line="240" w:lineRule="auto"/>
        <w:jc w:val="both"/>
        <w:rPr>
          <w:rFonts w:cs="Arial"/>
          <w:sz w:val="20"/>
          <w:szCs w:val="20"/>
        </w:rPr>
      </w:pPr>
      <w:r w:rsidRPr="005C1091">
        <w:rPr>
          <w:rFonts w:cs="Arial"/>
          <w:sz w:val="20"/>
          <w:szCs w:val="20"/>
        </w:rPr>
        <w:t>Impartir Educación Superior Tecnológica, con duración no menor de dos años posteriores al bachillerato;</w:t>
      </w:r>
    </w:p>
    <w:p w:rsidR="007D55E3" w:rsidRPr="005C1091" w:rsidRDefault="007D55E3" w:rsidP="00E4291A">
      <w:pPr>
        <w:pStyle w:val="Prrafodelista"/>
        <w:numPr>
          <w:ilvl w:val="0"/>
          <w:numId w:val="3"/>
        </w:numPr>
        <w:spacing w:line="240" w:lineRule="auto"/>
        <w:jc w:val="both"/>
        <w:rPr>
          <w:rFonts w:cs="Arial"/>
          <w:sz w:val="20"/>
          <w:szCs w:val="20"/>
        </w:rPr>
      </w:pPr>
      <w:r w:rsidRPr="005C1091">
        <w:rPr>
          <w:rFonts w:cs="Arial"/>
          <w:sz w:val="20"/>
          <w:szCs w:val="20"/>
        </w:rPr>
        <w:t>Proporcionar Educación Superior Tecnológica, de acuerdo al modelo establecido por la Secretaría de Educación Pública para los planes y programas de estudios, carreras y modalidades educativas, buscando garantizar una formación profesional de calidad y una cultura científica y tecnológica;</w:t>
      </w:r>
    </w:p>
    <w:p w:rsidR="007D55E3" w:rsidRPr="005C1091" w:rsidRDefault="007D55E3" w:rsidP="00E4291A">
      <w:pPr>
        <w:pStyle w:val="Prrafodelista"/>
        <w:numPr>
          <w:ilvl w:val="0"/>
          <w:numId w:val="3"/>
        </w:numPr>
        <w:spacing w:line="240" w:lineRule="auto"/>
        <w:jc w:val="both"/>
        <w:rPr>
          <w:rFonts w:cs="Arial"/>
          <w:sz w:val="20"/>
          <w:szCs w:val="20"/>
        </w:rPr>
      </w:pPr>
      <w:r w:rsidRPr="005C1091">
        <w:rPr>
          <w:rFonts w:cs="Arial"/>
          <w:sz w:val="20"/>
          <w:szCs w:val="20"/>
        </w:rPr>
        <w:t xml:space="preserve">Administrar su patrimonio,  con sujeción al marco legal que le impone su carácter de Organismo Público Descentralizado; </w:t>
      </w:r>
    </w:p>
    <w:p w:rsidR="007D55E3" w:rsidRPr="005C1091" w:rsidRDefault="007D55E3" w:rsidP="00E4291A">
      <w:pPr>
        <w:pStyle w:val="Prrafodelista"/>
        <w:numPr>
          <w:ilvl w:val="0"/>
          <w:numId w:val="3"/>
        </w:numPr>
        <w:spacing w:line="240" w:lineRule="auto"/>
        <w:jc w:val="both"/>
        <w:rPr>
          <w:rFonts w:cs="Arial"/>
          <w:sz w:val="20"/>
          <w:szCs w:val="20"/>
        </w:rPr>
      </w:pPr>
      <w:r w:rsidRPr="005C1091">
        <w:rPr>
          <w:rFonts w:cs="Arial"/>
          <w:sz w:val="20"/>
          <w:szCs w:val="20"/>
        </w:rPr>
        <w:t>Impulsar estrategias de participación de los sectores público, privado y social para la realización de actividades productivas;</w:t>
      </w:r>
    </w:p>
    <w:p w:rsidR="007D55E3" w:rsidRPr="005C1091" w:rsidRDefault="007D55E3" w:rsidP="00E4291A">
      <w:pPr>
        <w:pStyle w:val="Prrafodelista"/>
        <w:numPr>
          <w:ilvl w:val="0"/>
          <w:numId w:val="3"/>
        </w:numPr>
        <w:spacing w:line="240" w:lineRule="auto"/>
        <w:jc w:val="both"/>
        <w:rPr>
          <w:rFonts w:cs="Arial"/>
          <w:sz w:val="20"/>
          <w:szCs w:val="20"/>
        </w:rPr>
      </w:pPr>
      <w:r w:rsidRPr="005C1091">
        <w:rPr>
          <w:rFonts w:cs="Arial"/>
          <w:sz w:val="20"/>
          <w:szCs w:val="20"/>
        </w:rPr>
        <w:t>Establecer esquemas de colaboración con instituciones de educación superior en el Estado, que coadyuven a articular y potenciar las capacidades existentes  y para la formación de profesionales altamente competentes, y para el desarrollo tecnológico y la innovación, así como para contribuir al desarrollo del Sistema de Investigación, Innovación y Desarrollo Tecnológico del Estado de Yucatán (SIIDETEY), y las demás que establezca su Reglamento y otras disposiciones aplicables.</w:t>
      </w:r>
    </w:p>
    <w:p w:rsidR="007D55E3" w:rsidRPr="005C1091" w:rsidRDefault="007D55E3" w:rsidP="00E4291A">
      <w:pPr>
        <w:spacing w:line="240" w:lineRule="auto"/>
        <w:jc w:val="both"/>
        <w:rPr>
          <w:rFonts w:cs="Arial"/>
          <w:b/>
          <w:sz w:val="20"/>
          <w:szCs w:val="20"/>
        </w:rPr>
      </w:pPr>
      <w:r w:rsidRPr="005C1091">
        <w:rPr>
          <w:rFonts w:cs="Arial"/>
          <w:b/>
          <w:sz w:val="20"/>
          <w:szCs w:val="20"/>
        </w:rPr>
        <w:t>5. Bases de Preparación de Estados Financieros y Políticas Contables</w:t>
      </w:r>
    </w:p>
    <w:p w:rsidR="007D55E3" w:rsidRPr="005C1091" w:rsidRDefault="007D55E3" w:rsidP="00E4291A">
      <w:pPr>
        <w:spacing w:line="240" w:lineRule="auto"/>
        <w:jc w:val="both"/>
        <w:rPr>
          <w:rFonts w:cs="Arial"/>
          <w:sz w:val="20"/>
          <w:szCs w:val="20"/>
        </w:rPr>
      </w:pPr>
      <w:r w:rsidRPr="005C1091">
        <w:rPr>
          <w:rFonts w:cs="Arial"/>
          <w:sz w:val="20"/>
          <w:szCs w:val="20"/>
        </w:rPr>
        <w:t xml:space="preserve">El Estado de Situación Financiera, de Actividades, y de Flujo de Efectivo al </w:t>
      </w:r>
      <w:r w:rsidR="00374448">
        <w:rPr>
          <w:rFonts w:cs="Arial"/>
          <w:sz w:val="20"/>
          <w:szCs w:val="20"/>
        </w:rPr>
        <w:t>31 de Marzo</w:t>
      </w:r>
      <w:r w:rsidR="002D788C">
        <w:rPr>
          <w:rFonts w:cs="Arial"/>
          <w:sz w:val="20"/>
          <w:szCs w:val="20"/>
        </w:rPr>
        <w:t xml:space="preserve"> </w:t>
      </w:r>
      <w:r w:rsidR="00E4291A">
        <w:rPr>
          <w:rFonts w:cs="Arial"/>
          <w:sz w:val="20"/>
          <w:szCs w:val="20"/>
        </w:rPr>
        <w:t>de 2017</w:t>
      </w:r>
      <w:r w:rsidRPr="005C1091">
        <w:rPr>
          <w:rFonts w:cs="Arial"/>
          <w:sz w:val="20"/>
          <w:szCs w:val="20"/>
        </w:rPr>
        <w:t>, se preparan sobre la base de costos históricos, dado el hecho de que la inflación   durante  el  ejercicio  no  rebasó el  8%;  y  durante  los  últimos  tres  ejercicios  de manera  acumulada   no ha rebasado el 26%, por lo que, de conformidad con la NIF B-10 la Universidad no tiene  la obligación de reflejar los efectos de la inflación sobre la situación financiera.</w:t>
      </w:r>
    </w:p>
    <w:p w:rsidR="007D55E3" w:rsidRPr="005C1091" w:rsidRDefault="007D55E3" w:rsidP="00E4291A">
      <w:pPr>
        <w:spacing w:line="240" w:lineRule="auto"/>
        <w:jc w:val="both"/>
        <w:rPr>
          <w:rFonts w:cs="Arial"/>
          <w:sz w:val="20"/>
          <w:szCs w:val="20"/>
        </w:rPr>
      </w:pPr>
      <w:r w:rsidRPr="005C1091">
        <w:rPr>
          <w:rFonts w:cs="Arial"/>
          <w:sz w:val="20"/>
          <w:szCs w:val="20"/>
        </w:rPr>
        <w:t>Por ser la Universidad un Organismo  Descentralizado,   no es contribuyente  del Impuesto sobre la Renta,  al estar contemplado  dentro  del Título  III de  la Ley  del Impuesto  Sobre la Renta  y no está obligado  al pago  de  la participación  de  los trabajadores   en las utilidades. Tampoco  es un  contribuyente   del Impuesto  Empresarial  a Tasa Única  de conformidad  con lo  establecido  en el Artículo  4 de la Ley correspondiente.</w:t>
      </w:r>
    </w:p>
    <w:p w:rsidR="00594617" w:rsidRPr="005C1091" w:rsidRDefault="00594617" w:rsidP="00E4291A">
      <w:pPr>
        <w:spacing w:line="240" w:lineRule="auto"/>
        <w:jc w:val="both"/>
        <w:rPr>
          <w:rFonts w:cs="Arial"/>
          <w:sz w:val="20"/>
          <w:szCs w:val="20"/>
        </w:rPr>
      </w:pPr>
    </w:p>
    <w:p w:rsidR="00594617" w:rsidRPr="005C1091" w:rsidRDefault="00594617" w:rsidP="00E4291A">
      <w:pPr>
        <w:spacing w:line="240" w:lineRule="auto"/>
        <w:jc w:val="both"/>
        <w:rPr>
          <w:rFonts w:cs="Arial"/>
          <w:sz w:val="20"/>
          <w:szCs w:val="20"/>
        </w:rPr>
      </w:pPr>
    </w:p>
    <w:p w:rsidR="00594617" w:rsidRDefault="00594617" w:rsidP="00E4291A">
      <w:pPr>
        <w:spacing w:line="240" w:lineRule="auto"/>
        <w:jc w:val="both"/>
        <w:rPr>
          <w:rFonts w:cs="Arial"/>
          <w:b/>
          <w:sz w:val="20"/>
          <w:szCs w:val="20"/>
        </w:rPr>
      </w:pPr>
    </w:p>
    <w:p w:rsidR="007D55E3" w:rsidRDefault="007D55E3" w:rsidP="00E4291A">
      <w:pPr>
        <w:spacing w:line="240" w:lineRule="auto"/>
        <w:jc w:val="both"/>
        <w:rPr>
          <w:rFonts w:cs="Arial"/>
          <w:b/>
          <w:sz w:val="20"/>
          <w:szCs w:val="20"/>
        </w:rPr>
      </w:pPr>
    </w:p>
    <w:p w:rsidR="00594617" w:rsidRDefault="00594617" w:rsidP="00E4291A">
      <w:pPr>
        <w:spacing w:line="240" w:lineRule="auto"/>
        <w:jc w:val="both"/>
        <w:rPr>
          <w:rFonts w:cs="Arial"/>
          <w:b/>
          <w:sz w:val="20"/>
          <w:szCs w:val="20"/>
        </w:rPr>
      </w:pPr>
      <w:r>
        <w:rPr>
          <w:rFonts w:cs="Arial"/>
          <w:b/>
          <w:sz w:val="20"/>
          <w:szCs w:val="20"/>
        </w:rPr>
        <w:lastRenderedPageBreak/>
        <w:t>NOTAS DE DESGLOSE</w:t>
      </w:r>
    </w:p>
    <w:p w:rsidR="007D55E3" w:rsidRPr="00E30268" w:rsidRDefault="007D55E3" w:rsidP="00E4291A">
      <w:pPr>
        <w:pStyle w:val="INCISO"/>
        <w:spacing w:after="0" w:line="240" w:lineRule="exact"/>
        <w:ind w:left="648"/>
        <w:rPr>
          <w:rFonts w:asciiTheme="minorHAnsi" w:hAnsiTheme="minorHAnsi" w:cstheme="minorHAnsi"/>
          <w:b/>
          <w:smallCaps/>
          <w:sz w:val="20"/>
          <w:szCs w:val="20"/>
        </w:rPr>
      </w:pPr>
      <w:r w:rsidRPr="00E30268">
        <w:rPr>
          <w:rFonts w:asciiTheme="minorHAnsi" w:hAnsiTheme="minorHAnsi" w:cstheme="minorHAnsi"/>
          <w:b/>
          <w:smallCaps/>
          <w:sz w:val="20"/>
          <w:szCs w:val="20"/>
        </w:rPr>
        <w:t>I)</w:t>
      </w:r>
      <w:r w:rsidRPr="00E30268">
        <w:rPr>
          <w:rFonts w:asciiTheme="minorHAnsi" w:hAnsiTheme="minorHAnsi" w:cstheme="minorHAnsi"/>
          <w:b/>
          <w:smallCaps/>
          <w:sz w:val="20"/>
          <w:szCs w:val="20"/>
        </w:rPr>
        <w:tab/>
        <w:t>Notas al Estado de Situación Financiera</w:t>
      </w:r>
    </w:p>
    <w:p w:rsidR="007D55E3" w:rsidRPr="00E30268" w:rsidRDefault="007D55E3" w:rsidP="00E4291A">
      <w:pPr>
        <w:pStyle w:val="Texto"/>
        <w:spacing w:after="0" w:line="240" w:lineRule="exact"/>
        <w:rPr>
          <w:rFonts w:asciiTheme="minorHAnsi" w:hAnsiTheme="minorHAnsi" w:cstheme="minorHAnsi"/>
          <w:b/>
          <w:sz w:val="20"/>
          <w:lang w:val="es-MX"/>
        </w:rPr>
      </w:pPr>
    </w:p>
    <w:p w:rsidR="007D55E3" w:rsidRPr="005C1091" w:rsidRDefault="007D55E3" w:rsidP="00E4291A">
      <w:pPr>
        <w:spacing w:line="240" w:lineRule="auto"/>
        <w:jc w:val="both"/>
        <w:rPr>
          <w:rFonts w:cs="Arial"/>
          <w:b/>
          <w:sz w:val="20"/>
          <w:szCs w:val="20"/>
        </w:rPr>
      </w:pPr>
      <w:r w:rsidRPr="005C1091">
        <w:rPr>
          <w:rFonts w:cs="Arial"/>
          <w:b/>
          <w:sz w:val="20"/>
          <w:szCs w:val="20"/>
        </w:rPr>
        <w:t>Activo</w:t>
      </w:r>
    </w:p>
    <w:p w:rsidR="007D55E3" w:rsidRPr="003F00B6" w:rsidRDefault="007D55E3" w:rsidP="00E4291A">
      <w:pPr>
        <w:spacing w:line="240" w:lineRule="auto"/>
        <w:jc w:val="both"/>
        <w:rPr>
          <w:rFonts w:cs="Arial"/>
          <w:b/>
          <w:sz w:val="20"/>
          <w:szCs w:val="20"/>
        </w:rPr>
      </w:pPr>
      <w:r w:rsidRPr="005C1091">
        <w:rPr>
          <w:rFonts w:cs="Arial"/>
          <w:b/>
          <w:sz w:val="20"/>
          <w:szCs w:val="20"/>
        </w:rPr>
        <w:t>Efectivo y Equivalentes</w:t>
      </w:r>
    </w:p>
    <w:p w:rsidR="007D55E3" w:rsidRPr="005C1091" w:rsidRDefault="007D55E3" w:rsidP="00E4291A">
      <w:pPr>
        <w:spacing w:line="240" w:lineRule="auto"/>
        <w:jc w:val="both"/>
        <w:rPr>
          <w:rFonts w:cs="Arial"/>
          <w:sz w:val="20"/>
          <w:szCs w:val="20"/>
        </w:rPr>
      </w:pPr>
      <w:r w:rsidRPr="005C1091">
        <w:rPr>
          <w:rFonts w:cs="Arial"/>
          <w:sz w:val="20"/>
          <w:szCs w:val="20"/>
        </w:rPr>
        <w:tab/>
        <w:t xml:space="preserve">La cuenta de Bancos/Tesorería se encuentra integrada al </w:t>
      </w:r>
      <w:r w:rsidR="00374448">
        <w:rPr>
          <w:rFonts w:cs="Arial"/>
          <w:sz w:val="20"/>
          <w:szCs w:val="20"/>
        </w:rPr>
        <w:t>31 de Marzo</w:t>
      </w:r>
      <w:r w:rsidR="00E4291A">
        <w:rPr>
          <w:rFonts w:cs="Arial"/>
          <w:sz w:val="20"/>
          <w:szCs w:val="20"/>
        </w:rPr>
        <w:t xml:space="preserve"> de 2017</w:t>
      </w:r>
      <w:r w:rsidRPr="005C1091">
        <w:rPr>
          <w:rFonts w:cs="Arial"/>
          <w:sz w:val="20"/>
          <w:szCs w:val="20"/>
        </w:rPr>
        <w:t xml:space="preserve"> de la siguiente manera:</w:t>
      </w:r>
    </w:p>
    <w:tbl>
      <w:tblPr>
        <w:tblStyle w:val="Tablaconcuadrcula"/>
        <w:tblW w:w="5336" w:type="dxa"/>
        <w:tblLook w:val="04A0" w:firstRow="1" w:lastRow="0" w:firstColumn="1" w:lastColumn="0" w:noHBand="0" w:noVBand="1"/>
      </w:tblPr>
      <w:tblGrid>
        <w:gridCol w:w="3313"/>
        <w:gridCol w:w="2023"/>
      </w:tblGrid>
      <w:tr w:rsidR="007D55E3" w:rsidRPr="005C1091" w:rsidTr="003F00B6">
        <w:trPr>
          <w:trHeight w:val="270"/>
        </w:trPr>
        <w:tc>
          <w:tcPr>
            <w:tcW w:w="3313" w:type="dxa"/>
            <w:noWrap/>
            <w:hideMark/>
          </w:tcPr>
          <w:p w:rsidR="007D55E3" w:rsidRPr="003F00B6" w:rsidRDefault="007D55E3" w:rsidP="00E4291A">
            <w:pPr>
              <w:spacing w:after="200"/>
              <w:jc w:val="both"/>
              <w:rPr>
                <w:rFonts w:asciiTheme="minorHAnsi" w:hAnsiTheme="minorHAnsi" w:cs="Arial"/>
              </w:rPr>
            </w:pPr>
            <w:r w:rsidRPr="003F00B6">
              <w:rPr>
                <w:rFonts w:asciiTheme="minorHAnsi" w:hAnsiTheme="minorHAnsi" w:cs="Arial"/>
              </w:rPr>
              <w:t>Concepto Institución y Fondo Fijo</w:t>
            </w:r>
          </w:p>
        </w:tc>
        <w:tc>
          <w:tcPr>
            <w:tcW w:w="2023" w:type="dxa"/>
            <w:noWrap/>
            <w:hideMark/>
          </w:tcPr>
          <w:p w:rsidR="007D55E3" w:rsidRPr="005C1091" w:rsidRDefault="007D55E3" w:rsidP="00E4291A">
            <w:pPr>
              <w:jc w:val="both"/>
              <w:rPr>
                <w:rFonts w:cs="Arial"/>
              </w:rPr>
            </w:pPr>
            <w:r w:rsidRPr="005C1091">
              <w:rPr>
                <w:rFonts w:cs="Arial"/>
              </w:rPr>
              <w:t>Importe</w:t>
            </w:r>
          </w:p>
        </w:tc>
      </w:tr>
      <w:tr w:rsidR="007D55E3" w:rsidRPr="005C1091" w:rsidTr="003F00B6">
        <w:trPr>
          <w:trHeight w:val="270"/>
        </w:trPr>
        <w:tc>
          <w:tcPr>
            <w:tcW w:w="3313" w:type="dxa"/>
            <w:noWrap/>
            <w:hideMark/>
          </w:tcPr>
          <w:p w:rsidR="007D55E3" w:rsidRPr="003F00B6" w:rsidRDefault="007D55E3" w:rsidP="00E4291A">
            <w:pPr>
              <w:jc w:val="both"/>
              <w:rPr>
                <w:rFonts w:asciiTheme="minorHAnsi" w:hAnsiTheme="minorHAnsi" w:cs="Arial"/>
              </w:rPr>
            </w:pPr>
            <w:r w:rsidRPr="003F00B6">
              <w:rPr>
                <w:rFonts w:asciiTheme="minorHAnsi" w:hAnsiTheme="minorHAnsi" w:cs="Arial"/>
              </w:rPr>
              <w:t>Banorte Estatal Cta. 0849743395</w:t>
            </w:r>
          </w:p>
        </w:tc>
        <w:tc>
          <w:tcPr>
            <w:tcW w:w="2023" w:type="dxa"/>
            <w:noWrap/>
            <w:hideMark/>
          </w:tcPr>
          <w:p w:rsidR="007D55E3" w:rsidRPr="003F00B6" w:rsidRDefault="00D3786E" w:rsidP="002D788C">
            <w:pPr>
              <w:jc w:val="both"/>
              <w:rPr>
                <w:rFonts w:asciiTheme="minorHAnsi" w:hAnsiTheme="minorHAnsi" w:cs="Arial"/>
              </w:rPr>
            </w:pPr>
            <w:r>
              <w:rPr>
                <w:rFonts w:asciiTheme="minorHAnsi" w:hAnsiTheme="minorHAnsi" w:cs="Arial"/>
              </w:rPr>
              <w:t xml:space="preserve">     295,025.42</w:t>
            </w:r>
          </w:p>
        </w:tc>
      </w:tr>
      <w:tr w:rsidR="007D55E3" w:rsidRPr="005C1091" w:rsidTr="003F00B6">
        <w:trPr>
          <w:trHeight w:val="270"/>
        </w:trPr>
        <w:tc>
          <w:tcPr>
            <w:tcW w:w="3313" w:type="dxa"/>
            <w:noWrap/>
            <w:hideMark/>
          </w:tcPr>
          <w:p w:rsidR="007D55E3" w:rsidRPr="003F00B6" w:rsidRDefault="007D55E3" w:rsidP="00E4291A">
            <w:pPr>
              <w:jc w:val="both"/>
              <w:rPr>
                <w:rFonts w:asciiTheme="minorHAnsi" w:hAnsiTheme="minorHAnsi" w:cs="Arial"/>
              </w:rPr>
            </w:pPr>
            <w:r w:rsidRPr="003F00B6">
              <w:rPr>
                <w:rFonts w:asciiTheme="minorHAnsi" w:hAnsiTheme="minorHAnsi" w:cs="Arial"/>
              </w:rPr>
              <w:t xml:space="preserve">Banorte Federal Cta. 0838522697  </w:t>
            </w:r>
          </w:p>
        </w:tc>
        <w:tc>
          <w:tcPr>
            <w:tcW w:w="2023" w:type="dxa"/>
            <w:noWrap/>
            <w:hideMark/>
          </w:tcPr>
          <w:p w:rsidR="007D55E3" w:rsidRPr="003F00B6" w:rsidRDefault="004A0705" w:rsidP="00D3786E">
            <w:pPr>
              <w:jc w:val="both"/>
              <w:rPr>
                <w:rFonts w:asciiTheme="minorHAnsi" w:hAnsiTheme="minorHAnsi" w:cs="Arial"/>
              </w:rPr>
            </w:pPr>
            <w:r>
              <w:rPr>
                <w:rFonts w:asciiTheme="minorHAnsi" w:hAnsiTheme="minorHAnsi" w:cs="Arial"/>
              </w:rPr>
              <w:t xml:space="preserve">     </w:t>
            </w:r>
            <w:r w:rsidR="002D788C">
              <w:rPr>
                <w:rFonts w:asciiTheme="minorHAnsi" w:hAnsiTheme="minorHAnsi" w:cs="Arial"/>
              </w:rPr>
              <w:t xml:space="preserve">  </w:t>
            </w:r>
            <w:r w:rsidR="00D3786E">
              <w:rPr>
                <w:rFonts w:asciiTheme="minorHAnsi" w:hAnsiTheme="minorHAnsi" w:cs="Arial"/>
              </w:rPr>
              <w:t>83,208.29</w:t>
            </w:r>
          </w:p>
        </w:tc>
      </w:tr>
      <w:tr w:rsidR="007D55E3" w:rsidRPr="005C1091" w:rsidTr="003F00B6">
        <w:trPr>
          <w:trHeight w:val="270"/>
        </w:trPr>
        <w:tc>
          <w:tcPr>
            <w:tcW w:w="3313" w:type="dxa"/>
            <w:noWrap/>
            <w:hideMark/>
          </w:tcPr>
          <w:p w:rsidR="007D55E3" w:rsidRPr="003F00B6" w:rsidRDefault="007D55E3" w:rsidP="00E4291A">
            <w:pPr>
              <w:jc w:val="both"/>
              <w:rPr>
                <w:rFonts w:asciiTheme="minorHAnsi" w:hAnsiTheme="minorHAnsi" w:cs="Arial"/>
              </w:rPr>
            </w:pPr>
            <w:r w:rsidRPr="003F00B6">
              <w:rPr>
                <w:rFonts w:asciiTheme="minorHAnsi" w:hAnsiTheme="minorHAnsi" w:cs="Arial"/>
              </w:rPr>
              <w:t>Banorte Propios Cta. 0846342199</w:t>
            </w:r>
          </w:p>
        </w:tc>
        <w:tc>
          <w:tcPr>
            <w:tcW w:w="2023" w:type="dxa"/>
            <w:noWrap/>
            <w:hideMark/>
          </w:tcPr>
          <w:p w:rsidR="007D55E3" w:rsidRPr="003F00B6" w:rsidRDefault="002D788C" w:rsidP="00D3786E">
            <w:pPr>
              <w:jc w:val="both"/>
              <w:rPr>
                <w:rFonts w:asciiTheme="minorHAnsi" w:hAnsiTheme="minorHAnsi" w:cs="Arial"/>
              </w:rPr>
            </w:pPr>
            <w:r>
              <w:rPr>
                <w:rFonts w:asciiTheme="minorHAnsi" w:hAnsiTheme="minorHAnsi" w:cs="Arial"/>
              </w:rPr>
              <w:t xml:space="preserve">       </w:t>
            </w:r>
            <w:r w:rsidR="00D3786E">
              <w:rPr>
                <w:rFonts w:asciiTheme="minorHAnsi" w:hAnsiTheme="minorHAnsi" w:cs="Arial"/>
              </w:rPr>
              <w:t>78,937.34</w:t>
            </w:r>
          </w:p>
        </w:tc>
      </w:tr>
      <w:tr w:rsidR="003F00B6" w:rsidRPr="005C1091" w:rsidTr="003F00B6">
        <w:trPr>
          <w:trHeight w:val="270"/>
        </w:trPr>
        <w:tc>
          <w:tcPr>
            <w:tcW w:w="3313" w:type="dxa"/>
            <w:noWrap/>
          </w:tcPr>
          <w:p w:rsidR="003F00B6" w:rsidRPr="00E4291A" w:rsidRDefault="003F00B6" w:rsidP="00E4291A">
            <w:pPr>
              <w:jc w:val="both"/>
              <w:rPr>
                <w:rFonts w:asciiTheme="minorHAnsi" w:hAnsiTheme="minorHAnsi" w:cs="Arial"/>
              </w:rPr>
            </w:pPr>
            <w:r w:rsidRPr="00E4291A">
              <w:rPr>
                <w:rFonts w:asciiTheme="minorHAnsi" w:hAnsiTheme="minorHAnsi" w:cs="Arial"/>
              </w:rPr>
              <w:t>Proyecto CDI</w:t>
            </w:r>
          </w:p>
        </w:tc>
        <w:tc>
          <w:tcPr>
            <w:tcW w:w="2023" w:type="dxa"/>
            <w:noWrap/>
          </w:tcPr>
          <w:p w:rsidR="003F00B6" w:rsidRPr="003F00B6" w:rsidRDefault="00E4291A" w:rsidP="00E4291A">
            <w:pPr>
              <w:jc w:val="both"/>
              <w:rPr>
                <w:rFonts w:asciiTheme="minorHAnsi" w:hAnsiTheme="minorHAnsi" w:cs="Arial"/>
              </w:rPr>
            </w:pPr>
            <w:r>
              <w:rPr>
                <w:rFonts w:asciiTheme="minorHAnsi" w:hAnsiTheme="minorHAnsi" w:cs="Arial"/>
              </w:rPr>
              <w:t xml:space="preserve">              13.36</w:t>
            </w:r>
          </w:p>
        </w:tc>
      </w:tr>
      <w:tr w:rsidR="00E4291A" w:rsidRPr="005C1091" w:rsidTr="003F00B6">
        <w:trPr>
          <w:trHeight w:val="270"/>
        </w:trPr>
        <w:tc>
          <w:tcPr>
            <w:tcW w:w="3313" w:type="dxa"/>
            <w:noWrap/>
          </w:tcPr>
          <w:p w:rsidR="00E4291A" w:rsidRPr="00E4291A" w:rsidRDefault="00E4291A" w:rsidP="00E4291A">
            <w:pPr>
              <w:jc w:val="both"/>
              <w:rPr>
                <w:rFonts w:asciiTheme="minorHAnsi" w:hAnsiTheme="minorHAnsi" w:cs="Arial"/>
              </w:rPr>
            </w:pPr>
            <w:r w:rsidRPr="00E4291A">
              <w:rPr>
                <w:rFonts w:asciiTheme="minorHAnsi" w:hAnsiTheme="minorHAnsi" w:cs="Arial"/>
              </w:rPr>
              <w:t>Proyecto PFC</w:t>
            </w:r>
          </w:p>
        </w:tc>
        <w:tc>
          <w:tcPr>
            <w:tcW w:w="2023" w:type="dxa"/>
            <w:noWrap/>
          </w:tcPr>
          <w:p w:rsidR="00E4291A" w:rsidRPr="00E4291A" w:rsidRDefault="00E4291A" w:rsidP="00D3786E">
            <w:pPr>
              <w:jc w:val="both"/>
              <w:rPr>
                <w:rFonts w:asciiTheme="minorHAnsi" w:hAnsiTheme="minorHAnsi" w:cs="Arial"/>
              </w:rPr>
            </w:pPr>
            <w:r>
              <w:rPr>
                <w:rFonts w:asciiTheme="minorHAnsi" w:hAnsiTheme="minorHAnsi" w:cs="Arial"/>
              </w:rPr>
              <w:t xml:space="preserve">       </w:t>
            </w:r>
            <w:r w:rsidR="00D3786E">
              <w:rPr>
                <w:rFonts w:asciiTheme="minorHAnsi" w:hAnsiTheme="minorHAnsi" w:cs="Arial"/>
              </w:rPr>
              <w:t>11,852.64</w:t>
            </w:r>
          </w:p>
        </w:tc>
      </w:tr>
      <w:tr w:rsidR="00E4291A" w:rsidRPr="005C1091" w:rsidTr="003F00B6">
        <w:trPr>
          <w:trHeight w:val="270"/>
        </w:trPr>
        <w:tc>
          <w:tcPr>
            <w:tcW w:w="3313" w:type="dxa"/>
            <w:noWrap/>
          </w:tcPr>
          <w:p w:rsidR="00E4291A" w:rsidRPr="00E4291A" w:rsidRDefault="00E4291A" w:rsidP="00E4291A">
            <w:pPr>
              <w:jc w:val="both"/>
              <w:rPr>
                <w:rFonts w:asciiTheme="minorHAnsi" w:hAnsiTheme="minorHAnsi" w:cs="Arial"/>
              </w:rPr>
            </w:pPr>
            <w:r w:rsidRPr="00E4291A">
              <w:rPr>
                <w:rFonts w:asciiTheme="minorHAnsi" w:hAnsiTheme="minorHAnsi" w:cs="Arial"/>
              </w:rPr>
              <w:t>Proyecto PFC INCA</w:t>
            </w:r>
          </w:p>
        </w:tc>
        <w:tc>
          <w:tcPr>
            <w:tcW w:w="2023" w:type="dxa"/>
            <w:noWrap/>
          </w:tcPr>
          <w:p w:rsidR="00E4291A" w:rsidRPr="00E4291A" w:rsidRDefault="00E4291A" w:rsidP="00D3786E">
            <w:pPr>
              <w:jc w:val="both"/>
              <w:rPr>
                <w:rFonts w:asciiTheme="minorHAnsi" w:hAnsiTheme="minorHAnsi" w:cs="Arial"/>
              </w:rPr>
            </w:pPr>
            <w:r>
              <w:rPr>
                <w:rFonts w:asciiTheme="minorHAnsi" w:hAnsiTheme="minorHAnsi" w:cs="Arial"/>
              </w:rPr>
              <w:t xml:space="preserve">             </w:t>
            </w:r>
            <w:r w:rsidR="00D3786E">
              <w:rPr>
                <w:rFonts w:asciiTheme="minorHAnsi" w:hAnsiTheme="minorHAnsi" w:cs="Arial"/>
              </w:rPr>
              <w:t>495.20</w:t>
            </w:r>
          </w:p>
        </w:tc>
      </w:tr>
      <w:tr w:rsidR="00E4291A" w:rsidRPr="005C1091" w:rsidTr="003F00B6">
        <w:trPr>
          <w:trHeight w:val="284"/>
        </w:trPr>
        <w:tc>
          <w:tcPr>
            <w:tcW w:w="3313" w:type="dxa"/>
            <w:noWrap/>
            <w:hideMark/>
          </w:tcPr>
          <w:p w:rsidR="00E4291A" w:rsidRPr="003F00B6" w:rsidRDefault="00E4291A" w:rsidP="00E4291A">
            <w:pPr>
              <w:spacing w:after="200"/>
              <w:jc w:val="both"/>
              <w:rPr>
                <w:rFonts w:asciiTheme="minorHAnsi" w:hAnsiTheme="minorHAnsi" w:cs="Arial"/>
                <w:b/>
              </w:rPr>
            </w:pPr>
            <w:r w:rsidRPr="003F00B6">
              <w:rPr>
                <w:rFonts w:asciiTheme="minorHAnsi" w:hAnsiTheme="minorHAnsi" w:cs="Arial"/>
                <w:b/>
              </w:rPr>
              <w:t>TOTAL</w:t>
            </w:r>
          </w:p>
        </w:tc>
        <w:tc>
          <w:tcPr>
            <w:tcW w:w="2023" w:type="dxa"/>
            <w:noWrap/>
            <w:hideMark/>
          </w:tcPr>
          <w:p w:rsidR="00E4291A" w:rsidRPr="003F00B6" w:rsidRDefault="00E4291A" w:rsidP="00D3786E">
            <w:pPr>
              <w:jc w:val="both"/>
              <w:rPr>
                <w:rFonts w:asciiTheme="minorHAnsi" w:hAnsiTheme="minorHAnsi" w:cs="Arial"/>
                <w:b/>
              </w:rPr>
            </w:pPr>
            <w:r>
              <w:rPr>
                <w:rFonts w:asciiTheme="minorHAnsi" w:hAnsiTheme="minorHAnsi" w:cs="Arial"/>
                <w:b/>
              </w:rPr>
              <w:t xml:space="preserve"> $  </w:t>
            </w:r>
            <w:r w:rsidR="00D3786E">
              <w:rPr>
                <w:rFonts w:asciiTheme="minorHAnsi" w:hAnsiTheme="minorHAnsi" w:cs="Arial"/>
                <w:b/>
              </w:rPr>
              <w:t>469,532.25</w:t>
            </w:r>
          </w:p>
        </w:tc>
      </w:tr>
    </w:tbl>
    <w:p w:rsidR="00E4291A" w:rsidRDefault="007D55E3" w:rsidP="00E4291A">
      <w:pPr>
        <w:spacing w:line="240" w:lineRule="auto"/>
        <w:jc w:val="both"/>
        <w:rPr>
          <w:rFonts w:cs="Arial"/>
          <w:sz w:val="20"/>
          <w:szCs w:val="20"/>
        </w:rPr>
      </w:pPr>
      <w:r w:rsidRPr="005C1091">
        <w:rPr>
          <w:rFonts w:cs="Arial"/>
          <w:sz w:val="20"/>
          <w:szCs w:val="20"/>
        </w:rPr>
        <w:tab/>
      </w:r>
    </w:p>
    <w:p w:rsidR="007D55E3" w:rsidRPr="00E4291A" w:rsidRDefault="007D55E3" w:rsidP="00E4291A">
      <w:pPr>
        <w:spacing w:line="240" w:lineRule="auto"/>
        <w:jc w:val="both"/>
        <w:rPr>
          <w:rFonts w:cs="Arial"/>
          <w:sz w:val="20"/>
          <w:szCs w:val="20"/>
        </w:rPr>
      </w:pPr>
      <w:r w:rsidRPr="005C1091">
        <w:rPr>
          <w:rFonts w:cs="Arial"/>
          <w:b/>
          <w:sz w:val="20"/>
          <w:szCs w:val="20"/>
        </w:rPr>
        <w:t>Derechos a recibir Efectivo y Equivalentes y Bienes o Servicios a Recibir</w:t>
      </w:r>
    </w:p>
    <w:p w:rsidR="007D55E3" w:rsidRPr="005C1091" w:rsidRDefault="007D55E3" w:rsidP="00E4291A">
      <w:pPr>
        <w:spacing w:line="240" w:lineRule="auto"/>
        <w:jc w:val="both"/>
        <w:rPr>
          <w:rFonts w:cs="Arial"/>
          <w:sz w:val="20"/>
          <w:szCs w:val="20"/>
        </w:rPr>
      </w:pPr>
      <w:r w:rsidRPr="005C1091">
        <w:rPr>
          <w:rFonts w:cs="Arial"/>
          <w:sz w:val="20"/>
          <w:szCs w:val="20"/>
        </w:rPr>
        <w:t xml:space="preserve">La cuenta de Deudores diversos se encuentra integrada al </w:t>
      </w:r>
      <w:r w:rsidR="00374448">
        <w:rPr>
          <w:rFonts w:cs="Arial"/>
          <w:sz w:val="20"/>
          <w:szCs w:val="20"/>
        </w:rPr>
        <w:t>31 de Marzo de 2017</w:t>
      </w:r>
      <w:r w:rsidR="0027073C" w:rsidRPr="005C1091">
        <w:rPr>
          <w:rFonts w:cs="Arial"/>
          <w:sz w:val="20"/>
          <w:szCs w:val="20"/>
        </w:rPr>
        <w:t xml:space="preserve"> </w:t>
      </w:r>
      <w:r w:rsidRPr="005C1091">
        <w:rPr>
          <w:rFonts w:cs="Arial"/>
          <w:sz w:val="20"/>
          <w:szCs w:val="20"/>
        </w:rPr>
        <w:t>por las siguientes cuentas:</w:t>
      </w:r>
    </w:p>
    <w:tbl>
      <w:tblPr>
        <w:tblW w:w="9716" w:type="dxa"/>
        <w:tblInd w:w="55" w:type="dxa"/>
        <w:tblCellMar>
          <w:left w:w="70" w:type="dxa"/>
          <w:right w:w="70" w:type="dxa"/>
        </w:tblCellMar>
        <w:tblLook w:val="04A0" w:firstRow="1" w:lastRow="0" w:firstColumn="1" w:lastColumn="0" w:noHBand="0" w:noVBand="1"/>
      </w:tblPr>
      <w:tblGrid>
        <w:gridCol w:w="6280"/>
        <w:gridCol w:w="1440"/>
        <w:gridCol w:w="1996"/>
      </w:tblGrid>
      <w:tr w:rsidR="007D55E3" w:rsidRPr="005C1091" w:rsidTr="00AC22C1">
        <w:trPr>
          <w:trHeight w:val="402"/>
        </w:trPr>
        <w:tc>
          <w:tcPr>
            <w:tcW w:w="6280" w:type="dxa"/>
            <w:tcBorders>
              <w:top w:val="single" w:sz="8" w:space="0" w:color="auto"/>
              <w:left w:val="single" w:sz="8" w:space="0" w:color="auto"/>
              <w:bottom w:val="single" w:sz="4" w:space="0" w:color="auto"/>
              <w:right w:val="single" w:sz="4"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DEUDOR</w:t>
            </w:r>
          </w:p>
        </w:tc>
        <w:tc>
          <w:tcPr>
            <w:tcW w:w="1440" w:type="dxa"/>
            <w:tcBorders>
              <w:top w:val="single" w:sz="8" w:space="0" w:color="auto"/>
              <w:left w:val="nil"/>
              <w:bottom w:val="single" w:sz="4" w:space="0" w:color="auto"/>
              <w:right w:val="single" w:sz="8"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IMPORTE</w:t>
            </w:r>
          </w:p>
        </w:tc>
        <w:tc>
          <w:tcPr>
            <w:tcW w:w="1996" w:type="dxa"/>
            <w:tcBorders>
              <w:top w:val="single" w:sz="8" w:space="0" w:color="auto"/>
              <w:left w:val="nil"/>
              <w:bottom w:val="single" w:sz="4" w:space="0" w:color="auto"/>
              <w:right w:val="single" w:sz="8" w:space="0" w:color="auto"/>
            </w:tcBorders>
            <w:shd w:val="clear" w:color="000000" w:fill="FFFFFF"/>
          </w:tcPr>
          <w:p w:rsidR="007D55E3" w:rsidRPr="005C1091" w:rsidRDefault="007D55E3" w:rsidP="00E4291A">
            <w:pPr>
              <w:spacing w:line="240" w:lineRule="auto"/>
              <w:jc w:val="both"/>
              <w:rPr>
                <w:rFonts w:cs="Arial"/>
                <w:sz w:val="20"/>
                <w:szCs w:val="20"/>
              </w:rPr>
            </w:pPr>
            <w:r w:rsidRPr="005C1091">
              <w:rPr>
                <w:rFonts w:cs="Arial"/>
                <w:sz w:val="20"/>
                <w:szCs w:val="20"/>
              </w:rPr>
              <w:t>CONCEPTO</w:t>
            </w:r>
          </w:p>
        </w:tc>
      </w:tr>
      <w:tr w:rsidR="007D55E3" w:rsidRPr="005C1091" w:rsidTr="00AC22C1">
        <w:trPr>
          <w:trHeight w:val="205"/>
        </w:trPr>
        <w:tc>
          <w:tcPr>
            <w:tcW w:w="6280" w:type="dxa"/>
            <w:tcBorders>
              <w:top w:val="nil"/>
              <w:left w:val="single" w:sz="8" w:space="0" w:color="auto"/>
              <w:bottom w:val="single" w:sz="4" w:space="0" w:color="auto"/>
              <w:right w:val="single" w:sz="4"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AFFY</w:t>
            </w:r>
          </w:p>
        </w:tc>
        <w:tc>
          <w:tcPr>
            <w:tcW w:w="1440" w:type="dxa"/>
            <w:tcBorders>
              <w:top w:val="nil"/>
              <w:left w:val="nil"/>
              <w:bottom w:val="single" w:sz="4" w:space="0" w:color="auto"/>
              <w:right w:val="single" w:sz="8" w:space="0" w:color="auto"/>
            </w:tcBorders>
            <w:shd w:val="clear" w:color="000000" w:fill="FFFFFF"/>
            <w:noWrap/>
          </w:tcPr>
          <w:p w:rsidR="007D55E3" w:rsidRPr="005C1091" w:rsidRDefault="002D788C" w:rsidP="00E4291A">
            <w:pPr>
              <w:spacing w:line="240" w:lineRule="auto"/>
              <w:jc w:val="both"/>
              <w:rPr>
                <w:rFonts w:cs="Arial"/>
                <w:sz w:val="20"/>
                <w:szCs w:val="20"/>
              </w:rPr>
            </w:pPr>
            <w:r>
              <w:rPr>
                <w:rFonts w:cs="Arial"/>
                <w:sz w:val="20"/>
                <w:szCs w:val="20"/>
              </w:rPr>
              <w:t xml:space="preserve">   90.00</w:t>
            </w:r>
          </w:p>
        </w:tc>
        <w:tc>
          <w:tcPr>
            <w:tcW w:w="1996" w:type="dxa"/>
            <w:tcBorders>
              <w:top w:val="nil"/>
              <w:left w:val="nil"/>
              <w:bottom w:val="single" w:sz="4" w:space="0" w:color="auto"/>
              <w:right w:val="single" w:sz="8" w:space="0" w:color="auto"/>
            </w:tcBorders>
            <w:shd w:val="clear" w:color="000000" w:fill="FFFFFF"/>
          </w:tcPr>
          <w:p w:rsidR="007D55E3" w:rsidRPr="005C1091" w:rsidRDefault="007D55E3" w:rsidP="00E4291A">
            <w:pPr>
              <w:spacing w:line="240" w:lineRule="auto"/>
              <w:jc w:val="both"/>
              <w:rPr>
                <w:rFonts w:cs="Arial"/>
                <w:sz w:val="20"/>
                <w:szCs w:val="20"/>
              </w:rPr>
            </w:pPr>
            <w:r w:rsidRPr="005C1091">
              <w:rPr>
                <w:rFonts w:cs="Arial"/>
                <w:sz w:val="20"/>
                <w:szCs w:val="20"/>
              </w:rPr>
              <w:t>SALDO A FAVOR</w:t>
            </w:r>
          </w:p>
        </w:tc>
      </w:tr>
      <w:tr w:rsidR="002D788C" w:rsidRPr="005C1091" w:rsidTr="00AC22C1">
        <w:trPr>
          <w:trHeight w:val="205"/>
        </w:trPr>
        <w:tc>
          <w:tcPr>
            <w:tcW w:w="6280" w:type="dxa"/>
            <w:tcBorders>
              <w:top w:val="nil"/>
              <w:left w:val="single" w:sz="8" w:space="0" w:color="auto"/>
              <w:bottom w:val="single" w:sz="4" w:space="0" w:color="auto"/>
              <w:right w:val="single" w:sz="4" w:space="0" w:color="auto"/>
            </w:tcBorders>
            <w:shd w:val="clear" w:color="000000" w:fill="FFFFFF"/>
            <w:noWrap/>
          </w:tcPr>
          <w:p w:rsidR="002D788C" w:rsidRDefault="00D3786E" w:rsidP="00E4291A">
            <w:pPr>
              <w:spacing w:line="240" w:lineRule="auto"/>
              <w:jc w:val="both"/>
              <w:rPr>
                <w:rFonts w:cs="Arial"/>
                <w:sz w:val="20"/>
                <w:szCs w:val="20"/>
              </w:rPr>
            </w:pPr>
            <w:proofErr w:type="spellStart"/>
            <w:r>
              <w:rPr>
                <w:rFonts w:cs="Arial"/>
                <w:sz w:val="20"/>
                <w:szCs w:val="20"/>
              </w:rPr>
              <w:t>Bepensa</w:t>
            </w:r>
            <w:proofErr w:type="spellEnd"/>
            <w:r>
              <w:rPr>
                <w:rFonts w:cs="Arial"/>
                <w:sz w:val="20"/>
                <w:szCs w:val="20"/>
              </w:rPr>
              <w:t xml:space="preserve"> Bebidas SA de CV</w:t>
            </w:r>
          </w:p>
        </w:tc>
        <w:tc>
          <w:tcPr>
            <w:tcW w:w="1440" w:type="dxa"/>
            <w:tcBorders>
              <w:top w:val="nil"/>
              <w:left w:val="nil"/>
              <w:bottom w:val="single" w:sz="4" w:space="0" w:color="auto"/>
              <w:right w:val="single" w:sz="8" w:space="0" w:color="auto"/>
            </w:tcBorders>
            <w:shd w:val="clear" w:color="000000" w:fill="FFFFFF"/>
            <w:noWrap/>
          </w:tcPr>
          <w:p w:rsidR="002D788C" w:rsidRDefault="00D3786E" w:rsidP="00E4291A">
            <w:pPr>
              <w:spacing w:line="240" w:lineRule="auto"/>
              <w:jc w:val="both"/>
              <w:rPr>
                <w:rFonts w:cs="Arial"/>
                <w:sz w:val="20"/>
                <w:szCs w:val="20"/>
              </w:rPr>
            </w:pPr>
            <w:r>
              <w:rPr>
                <w:rFonts w:cs="Arial"/>
                <w:sz w:val="20"/>
                <w:szCs w:val="20"/>
              </w:rPr>
              <w:t xml:space="preserve">  1,237.58</w:t>
            </w:r>
          </w:p>
        </w:tc>
        <w:tc>
          <w:tcPr>
            <w:tcW w:w="1996" w:type="dxa"/>
            <w:tcBorders>
              <w:top w:val="nil"/>
              <w:left w:val="nil"/>
              <w:bottom w:val="single" w:sz="4" w:space="0" w:color="auto"/>
              <w:right w:val="single" w:sz="8" w:space="0" w:color="auto"/>
            </w:tcBorders>
            <w:shd w:val="clear" w:color="000000" w:fill="FFFFFF"/>
          </w:tcPr>
          <w:p w:rsidR="002D788C" w:rsidRDefault="00ED2E4F" w:rsidP="00E4291A">
            <w:pPr>
              <w:spacing w:line="240" w:lineRule="auto"/>
              <w:jc w:val="both"/>
              <w:rPr>
                <w:rFonts w:cs="Arial"/>
                <w:sz w:val="20"/>
                <w:szCs w:val="20"/>
              </w:rPr>
            </w:pPr>
            <w:r>
              <w:rPr>
                <w:rFonts w:cs="Arial"/>
                <w:sz w:val="20"/>
                <w:szCs w:val="20"/>
              </w:rPr>
              <w:t>PAGO DE AGUA</w:t>
            </w:r>
          </w:p>
        </w:tc>
      </w:tr>
      <w:tr w:rsidR="002D788C" w:rsidRPr="005C1091" w:rsidTr="00AC22C1">
        <w:trPr>
          <w:trHeight w:val="205"/>
        </w:trPr>
        <w:tc>
          <w:tcPr>
            <w:tcW w:w="6280" w:type="dxa"/>
            <w:tcBorders>
              <w:top w:val="nil"/>
              <w:left w:val="single" w:sz="8" w:space="0" w:color="auto"/>
              <w:bottom w:val="single" w:sz="4" w:space="0" w:color="auto"/>
              <w:right w:val="single" w:sz="4" w:space="0" w:color="auto"/>
            </w:tcBorders>
            <w:shd w:val="clear" w:color="000000" w:fill="FFFFFF"/>
            <w:noWrap/>
          </w:tcPr>
          <w:p w:rsidR="002D788C" w:rsidRDefault="002D788C" w:rsidP="00E4291A">
            <w:pPr>
              <w:spacing w:line="240" w:lineRule="auto"/>
              <w:jc w:val="both"/>
              <w:rPr>
                <w:rFonts w:cs="Arial"/>
                <w:sz w:val="20"/>
                <w:szCs w:val="20"/>
              </w:rPr>
            </w:pPr>
            <w:r>
              <w:rPr>
                <w:rFonts w:cs="Arial"/>
                <w:sz w:val="20"/>
                <w:szCs w:val="20"/>
              </w:rPr>
              <w:lastRenderedPageBreak/>
              <w:t xml:space="preserve">Guadalupe del Rosario </w:t>
            </w:r>
            <w:proofErr w:type="spellStart"/>
            <w:r>
              <w:rPr>
                <w:rFonts w:cs="Arial"/>
                <w:sz w:val="20"/>
                <w:szCs w:val="20"/>
              </w:rPr>
              <w:t>Uicab</w:t>
            </w:r>
            <w:proofErr w:type="spellEnd"/>
            <w:r>
              <w:rPr>
                <w:rFonts w:cs="Arial"/>
                <w:sz w:val="20"/>
                <w:szCs w:val="20"/>
              </w:rPr>
              <w:t xml:space="preserve"> </w:t>
            </w:r>
            <w:proofErr w:type="spellStart"/>
            <w:r>
              <w:rPr>
                <w:rFonts w:cs="Arial"/>
                <w:sz w:val="20"/>
                <w:szCs w:val="20"/>
              </w:rPr>
              <w:t>May</w:t>
            </w:r>
            <w:proofErr w:type="spellEnd"/>
          </w:p>
        </w:tc>
        <w:tc>
          <w:tcPr>
            <w:tcW w:w="1440" w:type="dxa"/>
            <w:tcBorders>
              <w:top w:val="nil"/>
              <w:left w:val="nil"/>
              <w:bottom w:val="single" w:sz="4" w:space="0" w:color="auto"/>
              <w:right w:val="single" w:sz="8" w:space="0" w:color="auto"/>
            </w:tcBorders>
            <w:shd w:val="clear" w:color="000000" w:fill="FFFFFF"/>
            <w:noWrap/>
          </w:tcPr>
          <w:p w:rsidR="002D788C" w:rsidRDefault="002D788C" w:rsidP="00E4291A">
            <w:pPr>
              <w:spacing w:line="240" w:lineRule="auto"/>
              <w:jc w:val="both"/>
              <w:rPr>
                <w:rFonts w:cs="Arial"/>
                <w:sz w:val="20"/>
                <w:szCs w:val="20"/>
              </w:rPr>
            </w:pPr>
            <w:r>
              <w:rPr>
                <w:rFonts w:cs="Arial"/>
                <w:sz w:val="20"/>
                <w:szCs w:val="20"/>
              </w:rPr>
              <w:t>20,000.00</w:t>
            </w:r>
          </w:p>
        </w:tc>
        <w:tc>
          <w:tcPr>
            <w:tcW w:w="1996" w:type="dxa"/>
            <w:tcBorders>
              <w:top w:val="nil"/>
              <w:left w:val="nil"/>
              <w:bottom w:val="single" w:sz="4" w:space="0" w:color="auto"/>
              <w:right w:val="single" w:sz="8" w:space="0" w:color="auto"/>
            </w:tcBorders>
            <w:shd w:val="clear" w:color="000000" w:fill="FFFFFF"/>
          </w:tcPr>
          <w:p w:rsidR="002D788C" w:rsidRDefault="00ED2E4F" w:rsidP="00E4291A">
            <w:pPr>
              <w:spacing w:line="240" w:lineRule="auto"/>
              <w:jc w:val="both"/>
              <w:rPr>
                <w:rFonts w:cs="Arial"/>
                <w:sz w:val="20"/>
                <w:szCs w:val="20"/>
              </w:rPr>
            </w:pPr>
            <w:r>
              <w:rPr>
                <w:rFonts w:cs="Arial"/>
                <w:sz w:val="20"/>
                <w:szCs w:val="20"/>
              </w:rPr>
              <w:t>CAJA CHICA</w:t>
            </w:r>
          </w:p>
        </w:tc>
      </w:tr>
      <w:tr w:rsidR="007D55E3" w:rsidRPr="005C1091" w:rsidTr="00AC22C1">
        <w:trPr>
          <w:trHeight w:val="402"/>
        </w:trPr>
        <w:tc>
          <w:tcPr>
            <w:tcW w:w="6280" w:type="dxa"/>
            <w:tcBorders>
              <w:top w:val="nil"/>
              <w:left w:val="single" w:sz="8" w:space="0" w:color="auto"/>
              <w:bottom w:val="single" w:sz="8" w:space="0" w:color="auto"/>
              <w:right w:val="single" w:sz="4" w:space="0" w:color="auto"/>
            </w:tcBorders>
            <w:shd w:val="clear" w:color="000000" w:fill="FFFFFF"/>
            <w:noWrap/>
            <w:hideMark/>
          </w:tcPr>
          <w:p w:rsidR="007D55E3" w:rsidRPr="00F25686" w:rsidRDefault="007D55E3" w:rsidP="00E4291A">
            <w:pPr>
              <w:spacing w:line="240" w:lineRule="auto"/>
              <w:jc w:val="both"/>
              <w:rPr>
                <w:rFonts w:cs="Arial"/>
                <w:b/>
                <w:sz w:val="20"/>
                <w:szCs w:val="20"/>
              </w:rPr>
            </w:pPr>
            <w:r w:rsidRPr="00F25686">
              <w:rPr>
                <w:rFonts w:cs="Arial"/>
                <w:b/>
                <w:sz w:val="20"/>
                <w:szCs w:val="20"/>
              </w:rPr>
              <w:t xml:space="preserve">TOTAL  </w:t>
            </w:r>
          </w:p>
        </w:tc>
        <w:tc>
          <w:tcPr>
            <w:tcW w:w="1440" w:type="dxa"/>
            <w:tcBorders>
              <w:top w:val="nil"/>
              <w:left w:val="nil"/>
              <w:bottom w:val="single" w:sz="8" w:space="0" w:color="auto"/>
              <w:right w:val="single" w:sz="8" w:space="0" w:color="auto"/>
            </w:tcBorders>
            <w:shd w:val="clear" w:color="000000" w:fill="FFFFFF"/>
            <w:noWrap/>
            <w:hideMark/>
          </w:tcPr>
          <w:p w:rsidR="007D55E3" w:rsidRPr="00F25686" w:rsidRDefault="00A51C74" w:rsidP="00ED2E4F">
            <w:pPr>
              <w:spacing w:line="240" w:lineRule="auto"/>
              <w:jc w:val="both"/>
              <w:rPr>
                <w:rFonts w:cs="Arial"/>
                <w:b/>
                <w:sz w:val="20"/>
                <w:szCs w:val="20"/>
              </w:rPr>
            </w:pPr>
            <w:r>
              <w:rPr>
                <w:rFonts w:cs="Arial"/>
                <w:b/>
                <w:sz w:val="20"/>
                <w:szCs w:val="20"/>
              </w:rPr>
              <w:t xml:space="preserve">$ </w:t>
            </w:r>
            <w:r w:rsidR="00ED2E4F">
              <w:rPr>
                <w:rFonts w:cs="Arial"/>
                <w:b/>
                <w:sz w:val="20"/>
                <w:szCs w:val="20"/>
              </w:rPr>
              <w:t>21,327.58</w:t>
            </w:r>
          </w:p>
        </w:tc>
        <w:tc>
          <w:tcPr>
            <w:tcW w:w="1996" w:type="dxa"/>
            <w:tcBorders>
              <w:top w:val="nil"/>
              <w:left w:val="nil"/>
              <w:bottom w:val="single" w:sz="8" w:space="0" w:color="auto"/>
              <w:right w:val="single" w:sz="8" w:space="0" w:color="auto"/>
            </w:tcBorders>
            <w:shd w:val="clear" w:color="000000" w:fill="FFFFFF"/>
          </w:tcPr>
          <w:p w:rsidR="007D55E3" w:rsidRPr="00F25686" w:rsidRDefault="007D55E3" w:rsidP="00E4291A">
            <w:pPr>
              <w:spacing w:line="240" w:lineRule="auto"/>
              <w:jc w:val="both"/>
              <w:rPr>
                <w:rFonts w:cs="Arial"/>
                <w:b/>
                <w:sz w:val="20"/>
                <w:szCs w:val="20"/>
              </w:rPr>
            </w:pPr>
          </w:p>
        </w:tc>
      </w:tr>
    </w:tbl>
    <w:p w:rsidR="005C1091" w:rsidRDefault="005C1091" w:rsidP="00E4291A">
      <w:pPr>
        <w:spacing w:line="240" w:lineRule="auto"/>
        <w:jc w:val="both"/>
        <w:rPr>
          <w:rFonts w:cs="Arial"/>
          <w:sz w:val="20"/>
          <w:szCs w:val="20"/>
        </w:rPr>
      </w:pPr>
    </w:p>
    <w:p w:rsidR="005C1091" w:rsidRDefault="005C1091" w:rsidP="00E4291A">
      <w:pPr>
        <w:spacing w:line="240" w:lineRule="auto"/>
        <w:jc w:val="both"/>
        <w:rPr>
          <w:rFonts w:cs="Arial"/>
          <w:sz w:val="20"/>
          <w:szCs w:val="20"/>
        </w:rPr>
      </w:pPr>
    </w:p>
    <w:p w:rsidR="00AB30B7" w:rsidRDefault="00AB30B7" w:rsidP="00E4291A">
      <w:pPr>
        <w:spacing w:line="240" w:lineRule="auto"/>
        <w:jc w:val="both"/>
        <w:rPr>
          <w:rFonts w:cs="Arial"/>
          <w:sz w:val="20"/>
          <w:szCs w:val="20"/>
        </w:rPr>
      </w:pPr>
    </w:p>
    <w:p w:rsidR="005C1091" w:rsidRPr="005C1091" w:rsidRDefault="005C1091" w:rsidP="00E4291A">
      <w:pPr>
        <w:spacing w:line="240" w:lineRule="auto"/>
        <w:jc w:val="both"/>
        <w:rPr>
          <w:rFonts w:cs="Arial"/>
          <w:sz w:val="20"/>
          <w:szCs w:val="20"/>
        </w:rPr>
      </w:pPr>
    </w:p>
    <w:p w:rsidR="007D55E3" w:rsidRPr="005C1091" w:rsidRDefault="007D55E3" w:rsidP="00E4291A">
      <w:pPr>
        <w:spacing w:line="240" w:lineRule="auto"/>
        <w:jc w:val="both"/>
        <w:rPr>
          <w:rFonts w:cs="Arial"/>
          <w:b/>
          <w:sz w:val="20"/>
          <w:szCs w:val="20"/>
        </w:rPr>
      </w:pPr>
      <w:r w:rsidRPr="005C1091">
        <w:rPr>
          <w:rFonts w:cs="Arial"/>
          <w:b/>
          <w:sz w:val="20"/>
          <w:szCs w:val="20"/>
        </w:rPr>
        <w:t xml:space="preserve">Bienes Disponibles para su </w:t>
      </w:r>
      <w:r w:rsidR="005C1091" w:rsidRPr="005C1091">
        <w:rPr>
          <w:rFonts w:cs="Arial"/>
          <w:b/>
          <w:sz w:val="20"/>
          <w:szCs w:val="20"/>
        </w:rPr>
        <w:t>Trans</w:t>
      </w:r>
      <w:r w:rsidR="005C1091">
        <w:rPr>
          <w:rFonts w:cs="Arial"/>
          <w:b/>
          <w:sz w:val="20"/>
          <w:szCs w:val="20"/>
        </w:rPr>
        <w:t>f</w:t>
      </w:r>
      <w:r w:rsidRPr="005C1091">
        <w:rPr>
          <w:rFonts w:cs="Arial"/>
          <w:b/>
          <w:sz w:val="20"/>
          <w:szCs w:val="20"/>
        </w:rPr>
        <w:t>ormación o Consumo (inventarios)</w:t>
      </w:r>
    </w:p>
    <w:p w:rsidR="007D55E3" w:rsidRPr="005C1091" w:rsidRDefault="004A0705" w:rsidP="00E4291A">
      <w:pPr>
        <w:spacing w:line="240" w:lineRule="auto"/>
        <w:jc w:val="both"/>
        <w:rPr>
          <w:rFonts w:cs="Arial"/>
          <w:sz w:val="20"/>
          <w:szCs w:val="20"/>
        </w:rPr>
      </w:pPr>
      <w:r>
        <w:rPr>
          <w:rFonts w:cs="Arial"/>
          <w:sz w:val="20"/>
          <w:szCs w:val="20"/>
        </w:rPr>
        <w:t xml:space="preserve">Al </w:t>
      </w:r>
      <w:r w:rsidR="00ED2E4F">
        <w:rPr>
          <w:rFonts w:cs="Arial"/>
          <w:sz w:val="20"/>
          <w:szCs w:val="20"/>
        </w:rPr>
        <w:t xml:space="preserve">31 de Marzo de 2017 </w:t>
      </w:r>
      <w:r w:rsidR="007D55E3" w:rsidRPr="005C1091">
        <w:rPr>
          <w:rFonts w:cs="Arial"/>
          <w:sz w:val="20"/>
          <w:szCs w:val="20"/>
        </w:rPr>
        <w:t xml:space="preserve">la Universidad Tecnológica del </w:t>
      </w:r>
      <w:proofErr w:type="spellStart"/>
      <w:r w:rsidR="007D55E3" w:rsidRPr="005C1091">
        <w:rPr>
          <w:rFonts w:cs="Arial"/>
          <w:sz w:val="20"/>
          <w:szCs w:val="20"/>
        </w:rPr>
        <w:t>Mayab</w:t>
      </w:r>
      <w:proofErr w:type="spellEnd"/>
      <w:r w:rsidR="007D55E3" w:rsidRPr="005C1091">
        <w:rPr>
          <w:rFonts w:cs="Arial"/>
          <w:sz w:val="20"/>
          <w:szCs w:val="20"/>
        </w:rPr>
        <w:t xml:space="preserve"> no cuenta con Inventarios, por lo que no existen cifras que informar en este rubro</w:t>
      </w:r>
    </w:p>
    <w:p w:rsidR="007D55E3" w:rsidRPr="005C1091" w:rsidRDefault="007D55E3" w:rsidP="00E4291A">
      <w:pPr>
        <w:spacing w:line="240" w:lineRule="auto"/>
        <w:jc w:val="both"/>
        <w:rPr>
          <w:rFonts w:cs="Arial"/>
          <w:b/>
          <w:sz w:val="20"/>
          <w:szCs w:val="20"/>
        </w:rPr>
      </w:pPr>
      <w:r w:rsidRPr="005C1091">
        <w:rPr>
          <w:rFonts w:cs="Arial"/>
          <w:b/>
          <w:sz w:val="20"/>
          <w:szCs w:val="20"/>
        </w:rPr>
        <w:t>Inversiones Financieras</w:t>
      </w:r>
    </w:p>
    <w:p w:rsidR="007D55E3" w:rsidRPr="005C1091" w:rsidRDefault="004A0705" w:rsidP="00E4291A">
      <w:pPr>
        <w:spacing w:line="240" w:lineRule="auto"/>
        <w:jc w:val="both"/>
        <w:rPr>
          <w:rFonts w:cs="Arial"/>
          <w:sz w:val="20"/>
          <w:szCs w:val="20"/>
        </w:rPr>
      </w:pPr>
      <w:r>
        <w:rPr>
          <w:rFonts w:cs="Arial"/>
          <w:sz w:val="20"/>
          <w:szCs w:val="20"/>
        </w:rPr>
        <w:t xml:space="preserve">Al </w:t>
      </w:r>
      <w:r w:rsidR="00ED2E4F">
        <w:rPr>
          <w:rFonts w:cs="Arial"/>
          <w:sz w:val="20"/>
          <w:szCs w:val="20"/>
        </w:rPr>
        <w:t>31 de Marzo de 2017</w:t>
      </w:r>
      <w:r w:rsidR="000B01B2">
        <w:rPr>
          <w:rFonts w:cs="Arial"/>
          <w:sz w:val="20"/>
          <w:szCs w:val="20"/>
        </w:rPr>
        <w:t xml:space="preserve"> </w:t>
      </w:r>
      <w:r w:rsidR="007D55E3" w:rsidRPr="005C1091">
        <w:rPr>
          <w:rFonts w:cs="Arial"/>
          <w:sz w:val="20"/>
          <w:szCs w:val="20"/>
        </w:rPr>
        <w:t xml:space="preserve">la Universidad Tecnológica del </w:t>
      </w:r>
      <w:proofErr w:type="spellStart"/>
      <w:r w:rsidR="007D55E3" w:rsidRPr="005C1091">
        <w:rPr>
          <w:rFonts w:cs="Arial"/>
          <w:sz w:val="20"/>
          <w:szCs w:val="20"/>
        </w:rPr>
        <w:t>Mayab</w:t>
      </w:r>
      <w:proofErr w:type="spellEnd"/>
      <w:r w:rsidR="007D55E3" w:rsidRPr="005C1091">
        <w:rPr>
          <w:rFonts w:cs="Arial"/>
          <w:sz w:val="20"/>
          <w:szCs w:val="20"/>
        </w:rPr>
        <w:t xml:space="preserve"> no cuenta con Inversiones financieras</w:t>
      </w:r>
    </w:p>
    <w:p w:rsidR="007D55E3" w:rsidRPr="005C1091" w:rsidRDefault="007D55E3" w:rsidP="00E4291A">
      <w:pPr>
        <w:spacing w:line="240" w:lineRule="auto"/>
        <w:jc w:val="both"/>
        <w:rPr>
          <w:rFonts w:cs="Arial"/>
          <w:b/>
          <w:sz w:val="20"/>
          <w:szCs w:val="20"/>
        </w:rPr>
      </w:pPr>
      <w:r w:rsidRPr="005C1091">
        <w:rPr>
          <w:rFonts w:cs="Arial"/>
          <w:b/>
          <w:sz w:val="20"/>
          <w:szCs w:val="20"/>
        </w:rPr>
        <w:t>Bienes Muebles, Inmuebles e Intangibles</w:t>
      </w:r>
    </w:p>
    <w:p w:rsidR="007D55E3" w:rsidRPr="005C1091" w:rsidRDefault="007D55E3" w:rsidP="00E4291A">
      <w:pPr>
        <w:spacing w:line="240" w:lineRule="auto"/>
        <w:jc w:val="both"/>
        <w:rPr>
          <w:rFonts w:cs="Arial"/>
          <w:b/>
          <w:sz w:val="20"/>
          <w:szCs w:val="20"/>
        </w:rPr>
      </w:pPr>
      <w:r w:rsidRPr="005C1091">
        <w:rPr>
          <w:rFonts w:cs="Arial"/>
          <w:b/>
          <w:sz w:val="20"/>
          <w:szCs w:val="20"/>
        </w:rPr>
        <w:t>a) Inmuebles, mobiliario y equipo:</w:t>
      </w:r>
    </w:p>
    <w:p w:rsidR="007D55E3" w:rsidRPr="005C1091" w:rsidRDefault="007D55E3" w:rsidP="00E4291A">
      <w:pPr>
        <w:spacing w:line="240" w:lineRule="auto"/>
        <w:jc w:val="both"/>
        <w:rPr>
          <w:rFonts w:cs="Arial"/>
          <w:sz w:val="20"/>
          <w:szCs w:val="20"/>
        </w:rPr>
      </w:pPr>
      <w:r w:rsidRPr="005C1091">
        <w:rPr>
          <w:rFonts w:cs="Arial"/>
          <w:sz w:val="20"/>
          <w:szCs w:val="20"/>
        </w:rPr>
        <w:t>Los inmuebles, mobiliario y equipo se registran a su costo de adquisición o de aportación, formando parte de los ingresos y por otra parte reconociéndolos como activos, incrementando el patrimonio del Instituto.</w:t>
      </w:r>
    </w:p>
    <w:p w:rsidR="007D55E3" w:rsidRDefault="007D55E3" w:rsidP="00E4291A">
      <w:pPr>
        <w:spacing w:line="240" w:lineRule="auto"/>
        <w:jc w:val="both"/>
        <w:rPr>
          <w:rFonts w:cs="Arial"/>
          <w:sz w:val="20"/>
          <w:szCs w:val="20"/>
        </w:rPr>
      </w:pPr>
      <w:r w:rsidRPr="005C1091">
        <w:rPr>
          <w:rFonts w:cs="Arial"/>
          <w:sz w:val="20"/>
          <w:szCs w:val="20"/>
        </w:rPr>
        <w:t>La inversión en inmuebles, mobiliario y equipo la realiza el Instituto para el Desarrollo y Certificación de la Infraestructura Física Educativa de Yucatán (IDEFEY). La  cesión de estos bienes se formaliza mediante un acta de entrega recepción.</w:t>
      </w:r>
    </w:p>
    <w:p w:rsidR="008C176D" w:rsidRDefault="008C176D" w:rsidP="00E4291A">
      <w:pPr>
        <w:spacing w:line="240" w:lineRule="auto"/>
        <w:jc w:val="both"/>
        <w:rPr>
          <w:rFonts w:cs="Arial"/>
          <w:sz w:val="20"/>
          <w:szCs w:val="20"/>
        </w:rPr>
      </w:pPr>
    </w:p>
    <w:p w:rsidR="008C176D" w:rsidRPr="005C1091" w:rsidRDefault="008C176D" w:rsidP="00E4291A">
      <w:pPr>
        <w:spacing w:line="240" w:lineRule="auto"/>
        <w:jc w:val="both"/>
        <w:rPr>
          <w:rFonts w:cs="Arial"/>
          <w:sz w:val="20"/>
          <w:szCs w:val="20"/>
        </w:rPr>
      </w:pPr>
    </w:p>
    <w:p w:rsidR="007D55E3" w:rsidRPr="005C1091" w:rsidRDefault="007D55E3" w:rsidP="00E4291A">
      <w:pPr>
        <w:spacing w:line="240" w:lineRule="auto"/>
        <w:jc w:val="both"/>
        <w:rPr>
          <w:rFonts w:cs="Arial"/>
          <w:b/>
          <w:sz w:val="20"/>
          <w:szCs w:val="20"/>
        </w:rPr>
      </w:pPr>
      <w:r w:rsidRPr="005C1091">
        <w:rPr>
          <w:rFonts w:cs="Arial"/>
          <w:b/>
          <w:sz w:val="20"/>
          <w:szCs w:val="20"/>
        </w:rPr>
        <w:lastRenderedPageBreak/>
        <w:t>b) Registro Contable:</w:t>
      </w:r>
    </w:p>
    <w:p w:rsidR="007D55E3" w:rsidRPr="005C1091" w:rsidRDefault="007D55E3" w:rsidP="00E4291A">
      <w:pPr>
        <w:spacing w:line="240" w:lineRule="auto"/>
        <w:jc w:val="both"/>
        <w:rPr>
          <w:rFonts w:cs="Arial"/>
          <w:sz w:val="20"/>
          <w:szCs w:val="20"/>
        </w:rPr>
      </w:pPr>
      <w:r w:rsidRPr="005C1091">
        <w:rPr>
          <w:rFonts w:cs="Arial"/>
          <w:sz w:val="20"/>
          <w:szCs w:val="20"/>
        </w:rPr>
        <w:t>Las principales políticas contables adoptadas por la Universidad para el registro y control de sus operaciones y la elaboración de sus estados financieros, se basan en diversas leyes y reglamentos que las regulan, así como en los programas operativos preparados por la Dirección General y en las normas de contabilidad aplicadas a entidades gubernamentales para la rendición de la cuenta pública.</w:t>
      </w:r>
    </w:p>
    <w:p w:rsidR="007D55E3" w:rsidRPr="005C1091" w:rsidRDefault="007D55E3" w:rsidP="00E4291A">
      <w:pPr>
        <w:spacing w:line="240" w:lineRule="auto"/>
        <w:jc w:val="both"/>
        <w:rPr>
          <w:rFonts w:cs="Arial"/>
          <w:sz w:val="20"/>
          <w:szCs w:val="20"/>
        </w:rPr>
      </w:pPr>
      <w:r w:rsidRPr="005C1091">
        <w:rPr>
          <w:rFonts w:cs="Arial"/>
          <w:sz w:val="20"/>
          <w:szCs w:val="20"/>
        </w:rPr>
        <w:t>Es política de la Universidad preparar su información financiera sobre la base de reconocer sus ingresos cuando se reciben o cobran y los egresos conforme se autorizan, pagan o comprueban y algunas transacciones devengadas al final de cada ejercicio.</w:t>
      </w:r>
    </w:p>
    <w:p w:rsidR="007D55E3" w:rsidRPr="005C1091" w:rsidRDefault="007D55E3" w:rsidP="00E4291A">
      <w:pPr>
        <w:spacing w:line="240" w:lineRule="auto"/>
        <w:jc w:val="both"/>
        <w:rPr>
          <w:rFonts w:cs="Arial"/>
          <w:sz w:val="20"/>
          <w:szCs w:val="20"/>
        </w:rPr>
      </w:pPr>
      <w:r w:rsidRPr="005C1091">
        <w:rPr>
          <w:rFonts w:cs="Arial"/>
          <w:sz w:val="20"/>
          <w:szCs w:val="20"/>
        </w:rPr>
        <w:t>Las instalaciones de la universidad fueron entregado por el IDEFEY con un costo de 14, 130,000.00 y equipamiento por $ 829,777.16, así como el complejo gastronómico fue entregado con un costo de $11, 717,225.38</w:t>
      </w:r>
      <w:r w:rsidR="002C6CCA">
        <w:rPr>
          <w:rFonts w:cs="Arial"/>
          <w:sz w:val="20"/>
          <w:szCs w:val="20"/>
        </w:rPr>
        <w:t>, durante el ejercicio 2016 fue entregado en centro de información y documentación ya equipada que consta de un valor total de 18,443,573.33.</w:t>
      </w:r>
    </w:p>
    <w:p w:rsidR="00A51C74" w:rsidRPr="005C1091" w:rsidRDefault="007D55E3" w:rsidP="00E4291A">
      <w:pPr>
        <w:spacing w:line="240" w:lineRule="auto"/>
        <w:jc w:val="both"/>
        <w:rPr>
          <w:rFonts w:cs="Arial"/>
          <w:sz w:val="20"/>
          <w:szCs w:val="20"/>
        </w:rPr>
      </w:pPr>
      <w:r w:rsidRPr="005C1091">
        <w:rPr>
          <w:rFonts w:cs="Arial"/>
          <w:sz w:val="20"/>
          <w:szCs w:val="20"/>
        </w:rPr>
        <w:t xml:space="preserve">La inversión en bienes inmuebles, mobiliario y equipo la realiza por la universidad para la construcción, equipamiento, mantenimiento. La  cesión de estos bienes se formaliza mediante un acta de entrega </w:t>
      </w:r>
      <w:r w:rsidR="002C6CCA" w:rsidRPr="005C1091">
        <w:rPr>
          <w:rFonts w:cs="Arial"/>
          <w:sz w:val="20"/>
          <w:szCs w:val="20"/>
        </w:rPr>
        <w:t>recepción. La</w:t>
      </w:r>
      <w:r w:rsidRPr="005C1091">
        <w:rPr>
          <w:rFonts w:cs="Arial"/>
          <w:sz w:val="20"/>
          <w:szCs w:val="20"/>
        </w:rPr>
        <w:t xml:space="preserve"> propiedad del terreno en el que se encuentra ubicada la Universidad no le ha sido transferida legalmente, se han realizo la solicitud ante la SEP sin tener respuesta hasta la fecha.</w:t>
      </w:r>
    </w:p>
    <w:p w:rsidR="007D55E3" w:rsidRPr="005D6466" w:rsidRDefault="000B01B2" w:rsidP="00E4291A">
      <w:pPr>
        <w:spacing w:line="240" w:lineRule="auto"/>
        <w:jc w:val="both"/>
        <w:rPr>
          <w:rFonts w:cs="Arial"/>
          <w:b/>
          <w:sz w:val="20"/>
          <w:szCs w:val="20"/>
        </w:rPr>
      </w:pPr>
      <w:r>
        <w:rPr>
          <w:rFonts w:cs="Arial"/>
          <w:b/>
          <w:sz w:val="20"/>
          <w:szCs w:val="20"/>
        </w:rPr>
        <w:t xml:space="preserve">Al </w:t>
      </w:r>
      <w:r w:rsidR="00ED2E4F" w:rsidRPr="00ED2E4F">
        <w:rPr>
          <w:rFonts w:cs="Arial"/>
          <w:b/>
          <w:sz w:val="20"/>
          <w:szCs w:val="20"/>
        </w:rPr>
        <w:t>31 de Marzo de 2017</w:t>
      </w:r>
      <w:r w:rsidR="00ED2E4F">
        <w:rPr>
          <w:rFonts w:cs="Arial"/>
          <w:sz w:val="20"/>
          <w:szCs w:val="20"/>
        </w:rPr>
        <w:t xml:space="preserve"> </w:t>
      </w:r>
      <w:r w:rsidR="005D6466" w:rsidRPr="005D6466">
        <w:rPr>
          <w:rFonts w:cs="Arial"/>
          <w:b/>
          <w:sz w:val="20"/>
          <w:szCs w:val="20"/>
        </w:rPr>
        <w:t xml:space="preserve">no </w:t>
      </w:r>
      <w:r w:rsidR="007D55E3" w:rsidRPr="005D6466">
        <w:rPr>
          <w:rFonts w:cs="Arial"/>
          <w:b/>
          <w:sz w:val="20"/>
          <w:szCs w:val="20"/>
        </w:rPr>
        <w:t>se adquirió activos fijos</w:t>
      </w:r>
      <w:r w:rsidR="005D6466">
        <w:rPr>
          <w:rFonts w:cs="Arial"/>
          <w:b/>
          <w:sz w:val="20"/>
          <w:szCs w:val="20"/>
        </w:rPr>
        <w:t>.</w:t>
      </w:r>
    </w:p>
    <w:p w:rsidR="007D55E3" w:rsidRPr="005C1091" w:rsidRDefault="007D55E3" w:rsidP="00E4291A">
      <w:pPr>
        <w:spacing w:line="240" w:lineRule="auto"/>
        <w:jc w:val="both"/>
        <w:rPr>
          <w:rFonts w:cs="Arial"/>
          <w:b/>
          <w:sz w:val="20"/>
          <w:szCs w:val="20"/>
        </w:rPr>
      </w:pPr>
      <w:r w:rsidRPr="005C1091">
        <w:rPr>
          <w:rFonts w:cs="Arial"/>
          <w:b/>
          <w:sz w:val="20"/>
          <w:szCs w:val="20"/>
        </w:rPr>
        <w:t>Estimaciones y Deterioros</w:t>
      </w:r>
    </w:p>
    <w:p w:rsidR="005D6466" w:rsidRPr="005C1091" w:rsidRDefault="00ED2E4F" w:rsidP="00E4291A">
      <w:pPr>
        <w:spacing w:line="240" w:lineRule="auto"/>
        <w:jc w:val="both"/>
        <w:rPr>
          <w:rFonts w:cs="Arial"/>
          <w:sz w:val="20"/>
          <w:szCs w:val="20"/>
        </w:rPr>
      </w:pPr>
      <w:r>
        <w:rPr>
          <w:rFonts w:cs="Arial"/>
          <w:sz w:val="20"/>
          <w:szCs w:val="20"/>
        </w:rPr>
        <w:t xml:space="preserve">31 de Marzo de 2017 </w:t>
      </w:r>
      <w:r w:rsidR="007D55E3" w:rsidRPr="005C1091">
        <w:rPr>
          <w:rFonts w:cs="Arial"/>
          <w:sz w:val="20"/>
          <w:szCs w:val="20"/>
        </w:rPr>
        <w:t xml:space="preserve">la Universidad Tecnológica del </w:t>
      </w:r>
      <w:proofErr w:type="spellStart"/>
      <w:r w:rsidR="007D55E3" w:rsidRPr="005C1091">
        <w:rPr>
          <w:rFonts w:cs="Arial"/>
          <w:sz w:val="20"/>
          <w:szCs w:val="20"/>
        </w:rPr>
        <w:t>Mayab</w:t>
      </w:r>
      <w:proofErr w:type="spellEnd"/>
      <w:r w:rsidR="007D55E3" w:rsidRPr="005C1091">
        <w:rPr>
          <w:rFonts w:cs="Arial"/>
          <w:sz w:val="20"/>
          <w:szCs w:val="20"/>
        </w:rPr>
        <w:t xml:space="preserve"> no cuenta con Estimaciones y Deterioros a Informar</w:t>
      </w:r>
      <w:r w:rsidR="005D6466">
        <w:rPr>
          <w:rFonts w:cs="Arial"/>
          <w:sz w:val="20"/>
          <w:szCs w:val="20"/>
        </w:rPr>
        <w:t>.</w:t>
      </w:r>
    </w:p>
    <w:p w:rsidR="007D55E3" w:rsidRPr="005C1091" w:rsidRDefault="007D55E3" w:rsidP="00E4291A">
      <w:pPr>
        <w:spacing w:line="240" w:lineRule="auto"/>
        <w:jc w:val="both"/>
        <w:rPr>
          <w:rFonts w:cs="Arial"/>
          <w:b/>
          <w:sz w:val="20"/>
          <w:szCs w:val="20"/>
        </w:rPr>
      </w:pPr>
      <w:r w:rsidRPr="005C1091">
        <w:rPr>
          <w:rFonts w:cs="Arial"/>
          <w:b/>
          <w:sz w:val="20"/>
          <w:szCs w:val="20"/>
        </w:rPr>
        <w:t>Otros Activos</w:t>
      </w:r>
    </w:p>
    <w:p w:rsidR="005D6466" w:rsidRDefault="00ED2E4F" w:rsidP="00E4291A">
      <w:pPr>
        <w:spacing w:line="240" w:lineRule="auto"/>
        <w:jc w:val="both"/>
        <w:rPr>
          <w:rFonts w:cs="Arial"/>
          <w:sz w:val="20"/>
          <w:szCs w:val="20"/>
        </w:rPr>
      </w:pPr>
      <w:r>
        <w:rPr>
          <w:rFonts w:cs="Arial"/>
          <w:sz w:val="20"/>
          <w:szCs w:val="20"/>
        </w:rPr>
        <w:t>31 de Marzo de 2017</w:t>
      </w:r>
      <w:r w:rsidR="005D6466" w:rsidRPr="005C1091">
        <w:rPr>
          <w:rFonts w:cs="Arial"/>
          <w:sz w:val="20"/>
          <w:szCs w:val="20"/>
        </w:rPr>
        <w:t xml:space="preserve"> </w:t>
      </w:r>
      <w:r w:rsidR="007D55E3" w:rsidRPr="005C1091">
        <w:rPr>
          <w:rFonts w:cs="Arial"/>
          <w:sz w:val="20"/>
          <w:szCs w:val="20"/>
        </w:rPr>
        <w:t xml:space="preserve">la Universidad Tecnológica del </w:t>
      </w:r>
      <w:proofErr w:type="spellStart"/>
      <w:r w:rsidR="007D55E3" w:rsidRPr="005C1091">
        <w:rPr>
          <w:rFonts w:cs="Arial"/>
          <w:sz w:val="20"/>
          <w:szCs w:val="20"/>
        </w:rPr>
        <w:t>Mayab</w:t>
      </w:r>
      <w:proofErr w:type="spellEnd"/>
      <w:r w:rsidR="007D55E3" w:rsidRPr="005C1091">
        <w:rPr>
          <w:rFonts w:cs="Arial"/>
          <w:sz w:val="20"/>
          <w:szCs w:val="20"/>
        </w:rPr>
        <w:t xml:space="preserve"> no presenta cifras en el rubro de Otros Activos</w:t>
      </w:r>
    </w:p>
    <w:p w:rsidR="007D55E3" w:rsidRPr="005D6466" w:rsidRDefault="007D55E3" w:rsidP="00E4291A">
      <w:pPr>
        <w:spacing w:line="240" w:lineRule="auto"/>
        <w:jc w:val="both"/>
        <w:rPr>
          <w:rFonts w:cs="Arial"/>
          <w:sz w:val="20"/>
          <w:szCs w:val="20"/>
        </w:rPr>
      </w:pPr>
      <w:r w:rsidRPr="005C1091">
        <w:rPr>
          <w:rFonts w:cs="Arial"/>
          <w:b/>
          <w:sz w:val="20"/>
          <w:szCs w:val="20"/>
        </w:rPr>
        <w:t>Pasivo</w:t>
      </w:r>
    </w:p>
    <w:p w:rsidR="007D55E3" w:rsidRDefault="007D55E3" w:rsidP="00E4291A">
      <w:pPr>
        <w:spacing w:line="240" w:lineRule="auto"/>
        <w:jc w:val="both"/>
        <w:rPr>
          <w:rFonts w:cs="Arial"/>
          <w:sz w:val="20"/>
          <w:szCs w:val="20"/>
        </w:rPr>
      </w:pPr>
      <w:r w:rsidRPr="005C1091">
        <w:rPr>
          <w:rFonts w:cs="Arial"/>
          <w:sz w:val="20"/>
          <w:szCs w:val="20"/>
        </w:rPr>
        <w:t xml:space="preserve">La cuenta de Cuentas por Pagar  a corto plazo se encuentra integrada </w:t>
      </w:r>
      <w:r w:rsidR="008F151E">
        <w:rPr>
          <w:rFonts w:cs="Arial"/>
          <w:sz w:val="20"/>
          <w:szCs w:val="20"/>
        </w:rPr>
        <w:t xml:space="preserve">al 31 de marzo de 2017 </w:t>
      </w:r>
      <w:r w:rsidRPr="005C1091">
        <w:rPr>
          <w:rFonts w:cs="Arial"/>
          <w:sz w:val="20"/>
          <w:szCs w:val="20"/>
        </w:rPr>
        <w:t>por las siguientes cuentas:</w:t>
      </w:r>
    </w:p>
    <w:p w:rsidR="008C176D" w:rsidRPr="005C1091" w:rsidRDefault="008C176D" w:rsidP="00E4291A">
      <w:pPr>
        <w:spacing w:line="240" w:lineRule="auto"/>
        <w:jc w:val="both"/>
        <w:rPr>
          <w:rFonts w:cs="Arial"/>
          <w:sz w:val="20"/>
          <w:szCs w:val="20"/>
        </w:rPr>
      </w:pPr>
    </w:p>
    <w:tbl>
      <w:tblPr>
        <w:tblW w:w="7720" w:type="dxa"/>
        <w:tblInd w:w="55" w:type="dxa"/>
        <w:tblCellMar>
          <w:left w:w="70" w:type="dxa"/>
          <w:right w:w="70" w:type="dxa"/>
        </w:tblCellMar>
        <w:tblLook w:val="04A0" w:firstRow="1" w:lastRow="0" w:firstColumn="1" w:lastColumn="0" w:noHBand="0" w:noVBand="1"/>
      </w:tblPr>
      <w:tblGrid>
        <w:gridCol w:w="6280"/>
        <w:gridCol w:w="1440"/>
      </w:tblGrid>
      <w:tr w:rsidR="007D55E3" w:rsidRPr="005C1091" w:rsidTr="00AC22C1">
        <w:trPr>
          <w:trHeight w:val="402"/>
        </w:trPr>
        <w:tc>
          <w:tcPr>
            <w:tcW w:w="6280" w:type="dxa"/>
            <w:tcBorders>
              <w:top w:val="single" w:sz="8" w:space="0" w:color="auto"/>
              <w:left w:val="single" w:sz="8" w:space="0" w:color="auto"/>
              <w:bottom w:val="single" w:sz="4" w:space="0" w:color="auto"/>
              <w:right w:val="single" w:sz="4"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lastRenderedPageBreak/>
              <w:t>ACREEDORES DIVERSOS</w:t>
            </w:r>
          </w:p>
        </w:tc>
        <w:tc>
          <w:tcPr>
            <w:tcW w:w="1440" w:type="dxa"/>
            <w:tcBorders>
              <w:top w:val="single" w:sz="8" w:space="0" w:color="auto"/>
              <w:left w:val="nil"/>
              <w:bottom w:val="single" w:sz="4" w:space="0" w:color="auto"/>
              <w:right w:val="single" w:sz="8"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Importe </w:t>
            </w:r>
          </w:p>
        </w:tc>
      </w:tr>
      <w:tr w:rsidR="00AB30B7" w:rsidRPr="005C1091" w:rsidTr="00AC22C1">
        <w:trPr>
          <w:trHeight w:val="402"/>
        </w:trPr>
        <w:tc>
          <w:tcPr>
            <w:tcW w:w="6280" w:type="dxa"/>
            <w:tcBorders>
              <w:top w:val="nil"/>
              <w:left w:val="single" w:sz="8" w:space="0" w:color="auto"/>
              <w:bottom w:val="single" w:sz="8" w:space="0" w:color="auto"/>
              <w:right w:val="single" w:sz="4" w:space="0" w:color="auto"/>
            </w:tcBorders>
            <w:shd w:val="clear" w:color="000000" w:fill="FFFFFF"/>
            <w:noWrap/>
          </w:tcPr>
          <w:p w:rsidR="00AB30B7" w:rsidRDefault="00ED2E4F" w:rsidP="00AB30B7">
            <w:pPr>
              <w:spacing w:line="240" w:lineRule="auto"/>
              <w:jc w:val="both"/>
              <w:rPr>
                <w:rFonts w:cs="Arial"/>
                <w:sz w:val="20"/>
                <w:szCs w:val="20"/>
              </w:rPr>
            </w:pPr>
            <w:r>
              <w:rPr>
                <w:rFonts w:cs="Arial"/>
                <w:sz w:val="20"/>
                <w:szCs w:val="20"/>
              </w:rPr>
              <w:t xml:space="preserve">Ricardo </w:t>
            </w:r>
            <w:proofErr w:type="spellStart"/>
            <w:r>
              <w:rPr>
                <w:rFonts w:cs="Arial"/>
                <w:sz w:val="20"/>
                <w:szCs w:val="20"/>
              </w:rPr>
              <w:t>Cuxim</w:t>
            </w:r>
            <w:proofErr w:type="spellEnd"/>
            <w:r>
              <w:rPr>
                <w:rFonts w:cs="Arial"/>
                <w:sz w:val="20"/>
                <w:szCs w:val="20"/>
              </w:rPr>
              <w:t xml:space="preserve"> </w:t>
            </w:r>
            <w:proofErr w:type="spellStart"/>
            <w:r>
              <w:rPr>
                <w:rFonts w:cs="Arial"/>
                <w:sz w:val="20"/>
                <w:szCs w:val="20"/>
              </w:rPr>
              <w:t>Huchim</w:t>
            </w:r>
            <w:proofErr w:type="spellEnd"/>
          </w:p>
        </w:tc>
        <w:tc>
          <w:tcPr>
            <w:tcW w:w="1440" w:type="dxa"/>
            <w:tcBorders>
              <w:top w:val="nil"/>
              <w:left w:val="nil"/>
              <w:bottom w:val="single" w:sz="8" w:space="0" w:color="auto"/>
              <w:right w:val="single" w:sz="8" w:space="0" w:color="auto"/>
            </w:tcBorders>
            <w:shd w:val="clear" w:color="000000" w:fill="FFFFFF"/>
            <w:noWrap/>
          </w:tcPr>
          <w:p w:rsidR="00AB30B7" w:rsidRDefault="00AB30B7" w:rsidP="00ED2E4F">
            <w:pPr>
              <w:spacing w:line="240" w:lineRule="auto"/>
              <w:jc w:val="both"/>
              <w:rPr>
                <w:rFonts w:cs="Arial"/>
                <w:sz w:val="20"/>
                <w:szCs w:val="20"/>
              </w:rPr>
            </w:pPr>
            <w:r>
              <w:rPr>
                <w:rFonts w:cs="Arial"/>
                <w:sz w:val="20"/>
                <w:szCs w:val="20"/>
              </w:rPr>
              <w:t xml:space="preserve">  </w:t>
            </w:r>
            <w:r w:rsidR="00ED2E4F">
              <w:rPr>
                <w:rFonts w:cs="Arial"/>
                <w:sz w:val="20"/>
                <w:szCs w:val="20"/>
              </w:rPr>
              <w:t>-100.08</w:t>
            </w:r>
          </w:p>
        </w:tc>
      </w:tr>
      <w:tr w:rsidR="002C6CCA" w:rsidRPr="005C1091" w:rsidTr="00ED2E4F">
        <w:trPr>
          <w:trHeight w:val="267"/>
        </w:trPr>
        <w:tc>
          <w:tcPr>
            <w:tcW w:w="6280" w:type="dxa"/>
            <w:tcBorders>
              <w:top w:val="nil"/>
              <w:left w:val="single" w:sz="8" w:space="0" w:color="auto"/>
              <w:bottom w:val="single" w:sz="8" w:space="0" w:color="auto"/>
              <w:right w:val="single" w:sz="4" w:space="0" w:color="auto"/>
            </w:tcBorders>
            <w:shd w:val="clear" w:color="000000" w:fill="FFFFFF"/>
            <w:noWrap/>
            <w:hideMark/>
          </w:tcPr>
          <w:p w:rsidR="002C6CCA" w:rsidRPr="00F25686" w:rsidRDefault="002C6CCA" w:rsidP="002C6CCA">
            <w:pPr>
              <w:spacing w:line="240" w:lineRule="auto"/>
              <w:jc w:val="both"/>
              <w:rPr>
                <w:rFonts w:cs="Arial"/>
                <w:b/>
                <w:sz w:val="20"/>
                <w:szCs w:val="20"/>
              </w:rPr>
            </w:pPr>
            <w:r w:rsidRPr="00F25686">
              <w:rPr>
                <w:rFonts w:cs="Arial"/>
                <w:b/>
                <w:sz w:val="20"/>
                <w:szCs w:val="20"/>
              </w:rPr>
              <w:t xml:space="preserve">TOTAL  </w:t>
            </w:r>
          </w:p>
        </w:tc>
        <w:tc>
          <w:tcPr>
            <w:tcW w:w="1440" w:type="dxa"/>
            <w:tcBorders>
              <w:top w:val="nil"/>
              <w:left w:val="nil"/>
              <w:bottom w:val="single" w:sz="8" w:space="0" w:color="auto"/>
              <w:right w:val="single" w:sz="8" w:space="0" w:color="auto"/>
            </w:tcBorders>
            <w:shd w:val="clear" w:color="000000" w:fill="FFFFFF"/>
            <w:noWrap/>
          </w:tcPr>
          <w:p w:rsidR="002C6CCA" w:rsidRPr="00ED2E4F" w:rsidRDefault="00ED2E4F" w:rsidP="00D72313">
            <w:pPr>
              <w:spacing w:line="240" w:lineRule="auto"/>
              <w:jc w:val="both"/>
              <w:rPr>
                <w:rFonts w:cs="Arial"/>
                <w:b/>
                <w:sz w:val="20"/>
                <w:szCs w:val="20"/>
              </w:rPr>
            </w:pPr>
            <w:r w:rsidRPr="00ED2E4F">
              <w:rPr>
                <w:rFonts w:cs="Arial"/>
                <w:b/>
                <w:sz w:val="20"/>
                <w:szCs w:val="20"/>
              </w:rPr>
              <w:t xml:space="preserve"> </w:t>
            </w:r>
            <w:r>
              <w:rPr>
                <w:rFonts w:cs="Arial"/>
                <w:b/>
                <w:sz w:val="20"/>
                <w:szCs w:val="20"/>
              </w:rPr>
              <w:t>$</w:t>
            </w:r>
            <w:r w:rsidRPr="00ED2E4F">
              <w:rPr>
                <w:rFonts w:cs="Arial"/>
                <w:b/>
                <w:sz w:val="20"/>
                <w:szCs w:val="20"/>
              </w:rPr>
              <w:t xml:space="preserve"> -100.08</w:t>
            </w:r>
          </w:p>
        </w:tc>
      </w:tr>
    </w:tbl>
    <w:p w:rsidR="007D55E3" w:rsidRPr="005C1091" w:rsidRDefault="007D55E3" w:rsidP="00E4291A">
      <w:pPr>
        <w:spacing w:line="240" w:lineRule="auto"/>
        <w:jc w:val="both"/>
        <w:rPr>
          <w:rFonts w:cs="Arial"/>
          <w:sz w:val="20"/>
          <w:szCs w:val="20"/>
        </w:rPr>
      </w:pPr>
      <w:r w:rsidRPr="005C1091">
        <w:rPr>
          <w:rFonts w:cs="Arial"/>
          <w:sz w:val="20"/>
          <w:szCs w:val="20"/>
        </w:rPr>
        <w:t xml:space="preserve">La cuenta de Retenciones y Contribuciones por pagar a corto plazo presenta un saldo de </w:t>
      </w:r>
      <w:r w:rsidR="007E2674" w:rsidRPr="007E2674">
        <w:rPr>
          <w:sz w:val="20"/>
          <w:szCs w:val="20"/>
        </w:rPr>
        <w:t>$ 1, 848,120.88</w:t>
      </w:r>
      <w:r w:rsidR="007E2674">
        <w:rPr>
          <w:b/>
          <w:sz w:val="20"/>
          <w:szCs w:val="20"/>
        </w:rPr>
        <w:t xml:space="preserve"> </w:t>
      </w:r>
      <w:r w:rsidRPr="005C1091">
        <w:rPr>
          <w:rFonts w:cs="Arial"/>
          <w:sz w:val="20"/>
          <w:szCs w:val="20"/>
        </w:rPr>
        <w:t xml:space="preserve">al </w:t>
      </w:r>
      <w:r w:rsidR="007E2674">
        <w:rPr>
          <w:rFonts w:cs="Arial"/>
          <w:sz w:val="20"/>
          <w:szCs w:val="20"/>
        </w:rPr>
        <w:t>31 de Marzo</w:t>
      </w:r>
      <w:r w:rsidR="00D72313">
        <w:rPr>
          <w:rFonts w:cs="Arial"/>
          <w:sz w:val="20"/>
          <w:szCs w:val="20"/>
        </w:rPr>
        <w:t xml:space="preserve"> de</w:t>
      </w:r>
      <w:r w:rsidR="00AB30B7">
        <w:rPr>
          <w:rFonts w:cs="Arial"/>
          <w:sz w:val="20"/>
          <w:szCs w:val="20"/>
        </w:rPr>
        <w:t xml:space="preserve"> 2017</w:t>
      </w:r>
      <w:r w:rsidR="005D6466" w:rsidRPr="005C1091">
        <w:rPr>
          <w:rFonts w:cs="Arial"/>
          <w:sz w:val="20"/>
          <w:szCs w:val="20"/>
        </w:rPr>
        <w:t xml:space="preserve"> </w:t>
      </w:r>
      <w:r w:rsidRPr="005C1091">
        <w:rPr>
          <w:rFonts w:cs="Arial"/>
          <w:sz w:val="20"/>
          <w:szCs w:val="20"/>
        </w:rPr>
        <w:t xml:space="preserve"> y se encuentra integrada como sigue:</w:t>
      </w:r>
    </w:p>
    <w:tbl>
      <w:tblPr>
        <w:tblW w:w="8157" w:type="dxa"/>
        <w:tblInd w:w="55" w:type="dxa"/>
        <w:tblCellMar>
          <w:left w:w="70" w:type="dxa"/>
          <w:right w:w="70" w:type="dxa"/>
        </w:tblCellMar>
        <w:tblLook w:val="04A0" w:firstRow="1" w:lastRow="0" w:firstColumn="1" w:lastColumn="0" w:noHBand="0" w:noVBand="1"/>
      </w:tblPr>
      <w:tblGrid>
        <w:gridCol w:w="6280"/>
        <w:gridCol w:w="1877"/>
      </w:tblGrid>
      <w:tr w:rsidR="007D55E3" w:rsidRPr="005C1091" w:rsidTr="00AC22C1">
        <w:trPr>
          <w:trHeight w:val="402"/>
        </w:trPr>
        <w:tc>
          <w:tcPr>
            <w:tcW w:w="6280" w:type="dxa"/>
            <w:tcBorders>
              <w:top w:val="single" w:sz="8" w:space="0" w:color="auto"/>
              <w:left w:val="single" w:sz="8" w:space="0" w:color="auto"/>
              <w:bottom w:val="single" w:sz="4" w:space="0" w:color="auto"/>
              <w:right w:val="single" w:sz="4"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IMPUESTOS POR PAGAR</w:t>
            </w:r>
          </w:p>
        </w:tc>
        <w:tc>
          <w:tcPr>
            <w:tcW w:w="1877" w:type="dxa"/>
            <w:tcBorders>
              <w:top w:val="single" w:sz="8" w:space="0" w:color="auto"/>
              <w:left w:val="nil"/>
              <w:bottom w:val="single" w:sz="4" w:space="0" w:color="auto"/>
              <w:right w:val="single" w:sz="8"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Importe </w:t>
            </w:r>
          </w:p>
        </w:tc>
      </w:tr>
      <w:tr w:rsidR="007D55E3" w:rsidRPr="005C1091" w:rsidTr="00AC22C1">
        <w:trPr>
          <w:trHeight w:val="402"/>
        </w:trPr>
        <w:tc>
          <w:tcPr>
            <w:tcW w:w="6280" w:type="dxa"/>
            <w:tcBorders>
              <w:top w:val="single" w:sz="8" w:space="0" w:color="auto"/>
              <w:left w:val="single" w:sz="8" w:space="0" w:color="auto"/>
              <w:bottom w:val="single" w:sz="4" w:space="0" w:color="auto"/>
              <w:right w:val="single" w:sz="4" w:space="0" w:color="auto"/>
            </w:tcBorders>
            <w:shd w:val="clear" w:color="000000" w:fill="FFFFFF"/>
            <w:noWrap/>
          </w:tcPr>
          <w:p w:rsidR="007D55E3" w:rsidRPr="005C1091" w:rsidRDefault="007D55E3" w:rsidP="00E4291A">
            <w:pPr>
              <w:spacing w:line="240" w:lineRule="auto"/>
              <w:jc w:val="both"/>
              <w:rPr>
                <w:rFonts w:cs="Arial"/>
                <w:sz w:val="20"/>
                <w:szCs w:val="20"/>
              </w:rPr>
            </w:pPr>
            <w:r w:rsidRPr="005C1091">
              <w:rPr>
                <w:rFonts w:cs="Arial"/>
                <w:sz w:val="20"/>
                <w:szCs w:val="20"/>
              </w:rPr>
              <w:t>4% Sobre Nomina AFFY</w:t>
            </w:r>
          </w:p>
        </w:tc>
        <w:tc>
          <w:tcPr>
            <w:tcW w:w="1877" w:type="dxa"/>
            <w:tcBorders>
              <w:top w:val="single" w:sz="8" w:space="0" w:color="auto"/>
              <w:left w:val="nil"/>
              <w:bottom w:val="single" w:sz="4" w:space="0" w:color="auto"/>
              <w:right w:val="single" w:sz="8" w:space="0" w:color="auto"/>
            </w:tcBorders>
            <w:shd w:val="clear" w:color="000000" w:fill="FFFFFF"/>
            <w:noWrap/>
          </w:tcPr>
          <w:p w:rsidR="007D55E3" w:rsidRPr="005C1091" w:rsidRDefault="007D55E3" w:rsidP="007E2674">
            <w:pPr>
              <w:spacing w:line="240" w:lineRule="auto"/>
              <w:jc w:val="both"/>
              <w:rPr>
                <w:rFonts w:cs="Arial"/>
                <w:sz w:val="20"/>
                <w:szCs w:val="20"/>
              </w:rPr>
            </w:pPr>
            <w:r w:rsidRPr="005C1091">
              <w:rPr>
                <w:rFonts w:cs="Arial"/>
                <w:sz w:val="20"/>
                <w:szCs w:val="20"/>
              </w:rPr>
              <w:t xml:space="preserve">$ </w:t>
            </w:r>
            <w:r w:rsidR="007E2674">
              <w:rPr>
                <w:rFonts w:cs="Arial"/>
                <w:sz w:val="20"/>
                <w:szCs w:val="20"/>
              </w:rPr>
              <w:t>229,620.00</w:t>
            </w:r>
          </w:p>
        </w:tc>
      </w:tr>
      <w:tr w:rsidR="007D55E3" w:rsidRPr="005C1091" w:rsidTr="00AC22C1">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I.S.R. Retenciones por Salarios</w:t>
            </w:r>
          </w:p>
        </w:tc>
        <w:tc>
          <w:tcPr>
            <w:tcW w:w="1877" w:type="dxa"/>
            <w:tcBorders>
              <w:top w:val="nil"/>
              <w:left w:val="nil"/>
              <w:bottom w:val="single" w:sz="4" w:space="0" w:color="auto"/>
              <w:right w:val="single" w:sz="8" w:space="0" w:color="auto"/>
            </w:tcBorders>
            <w:shd w:val="clear" w:color="000000" w:fill="FFFFFF"/>
            <w:noWrap/>
            <w:hideMark/>
          </w:tcPr>
          <w:p w:rsidR="007D55E3" w:rsidRPr="005C1091" w:rsidRDefault="002A7869" w:rsidP="008F151E">
            <w:pPr>
              <w:spacing w:line="240" w:lineRule="auto"/>
              <w:jc w:val="both"/>
              <w:rPr>
                <w:rFonts w:cs="Arial"/>
                <w:sz w:val="20"/>
                <w:szCs w:val="20"/>
              </w:rPr>
            </w:pPr>
            <w:r w:rsidRPr="005C1091">
              <w:rPr>
                <w:rFonts w:cs="Arial"/>
                <w:sz w:val="20"/>
                <w:szCs w:val="20"/>
              </w:rPr>
              <w:t xml:space="preserve">$ </w:t>
            </w:r>
            <w:r w:rsidR="005D6466">
              <w:rPr>
                <w:rFonts w:cs="Arial"/>
                <w:sz w:val="20"/>
                <w:szCs w:val="20"/>
              </w:rPr>
              <w:t>1,</w:t>
            </w:r>
            <w:r w:rsidR="008F151E">
              <w:rPr>
                <w:rFonts w:cs="Arial"/>
                <w:sz w:val="20"/>
                <w:szCs w:val="20"/>
              </w:rPr>
              <w:t>618,600.96</w:t>
            </w:r>
          </w:p>
        </w:tc>
      </w:tr>
      <w:tr w:rsidR="007D55E3" w:rsidRPr="00F25686" w:rsidTr="00AC22C1">
        <w:trPr>
          <w:trHeight w:val="402"/>
        </w:trPr>
        <w:tc>
          <w:tcPr>
            <w:tcW w:w="6280" w:type="dxa"/>
            <w:tcBorders>
              <w:top w:val="nil"/>
              <w:left w:val="single" w:sz="8" w:space="0" w:color="auto"/>
              <w:bottom w:val="single" w:sz="8" w:space="0" w:color="auto"/>
              <w:right w:val="single" w:sz="4" w:space="0" w:color="auto"/>
            </w:tcBorders>
            <w:shd w:val="clear" w:color="000000" w:fill="FFFFFF"/>
            <w:noWrap/>
            <w:hideMark/>
          </w:tcPr>
          <w:p w:rsidR="007D55E3" w:rsidRPr="00F25686" w:rsidRDefault="007D55E3" w:rsidP="00E4291A">
            <w:pPr>
              <w:spacing w:line="240" w:lineRule="auto"/>
              <w:jc w:val="both"/>
              <w:rPr>
                <w:rFonts w:cs="Arial"/>
                <w:b/>
                <w:sz w:val="20"/>
                <w:szCs w:val="20"/>
              </w:rPr>
            </w:pPr>
            <w:r w:rsidRPr="00F25686">
              <w:rPr>
                <w:rFonts w:cs="Arial"/>
                <w:b/>
                <w:sz w:val="20"/>
                <w:szCs w:val="20"/>
              </w:rPr>
              <w:t xml:space="preserve">TOTAL  </w:t>
            </w:r>
          </w:p>
        </w:tc>
        <w:tc>
          <w:tcPr>
            <w:tcW w:w="1877" w:type="dxa"/>
            <w:tcBorders>
              <w:top w:val="nil"/>
              <w:left w:val="nil"/>
              <w:bottom w:val="single" w:sz="8" w:space="0" w:color="auto"/>
              <w:right w:val="single" w:sz="8" w:space="0" w:color="auto"/>
            </w:tcBorders>
            <w:shd w:val="clear" w:color="000000" w:fill="FFFFFF"/>
            <w:noWrap/>
            <w:hideMark/>
          </w:tcPr>
          <w:p w:rsidR="007D55E3" w:rsidRPr="00F25686" w:rsidRDefault="002A7869" w:rsidP="007E2674">
            <w:pPr>
              <w:spacing w:line="240" w:lineRule="auto"/>
              <w:jc w:val="both"/>
              <w:rPr>
                <w:rFonts w:cs="Arial"/>
                <w:b/>
                <w:sz w:val="20"/>
                <w:szCs w:val="20"/>
              </w:rPr>
            </w:pPr>
            <w:r>
              <w:rPr>
                <w:rFonts w:cs="Arial"/>
                <w:b/>
                <w:sz w:val="20"/>
                <w:szCs w:val="20"/>
              </w:rPr>
              <w:t xml:space="preserve">$ </w:t>
            </w:r>
            <w:r w:rsidR="00D72313">
              <w:rPr>
                <w:rFonts w:cs="Arial"/>
                <w:b/>
                <w:sz w:val="20"/>
                <w:szCs w:val="20"/>
              </w:rPr>
              <w:t>1,</w:t>
            </w:r>
            <w:r w:rsidR="007E2674">
              <w:rPr>
                <w:rFonts w:cs="Arial"/>
                <w:b/>
                <w:sz w:val="20"/>
                <w:szCs w:val="20"/>
              </w:rPr>
              <w:t>848,220.96</w:t>
            </w:r>
          </w:p>
        </w:tc>
      </w:tr>
    </w:tbl>
    <w:p w:rsidR="007D55E3" w:rsidRPr="005C1091" w:rsidRDefault="007D55E3" w:rsidP="00E4291A">
      <w:pPr>
        <w:spacing w:line="240" w:lineRule="auto"/>
        <w:jc w:val="both"/>
        <w:rPr>
          <w:rFonts w:cs="Arial"/>
          <w:sz w:val="20"/>
          <w:szCs w:val="20"/>
        </w:rPr>
      </w:pPr>
    </w:p>
    <w:tbl>
      <w:tblPr>
        <w:tblStyle w:val="Tablaconcuadrcula"/>
        <w:tblpPr w:leftFromText="141" w:rightFromText="141" w:vertAnchor="text" w:horzAnchor="margin" w:tblpY="-91"/>
        <w:tblW w:w="0" w:type="auto"/>
        <w:tblLook w:val="04A0" w:firstRow="1" w:lastRow="0" w:firstColumn="1" w:lastColumn="0" w:noHBand="0" w:noVBand="1"/>
      </w:tblPr>
      <w:tblGrid>
        <w:gridCol w:w="6345"/>
        <w:gridCol w:w="1843"/>
      </w:tblGrid>
      <w:tr w:rsidR="00F25686" w:rsidTr="00F25686">
        <w:tc>
          <w:tcPr>
            <w:tcW w:w="6345" w:type="dxa"/>
          </w:tcPr>
          <w:p w:rsidR="00F25686" w:rsidRPr="00F25686" w:rsidRDefault="00F25686" w:rsidP="00E4291A">
            <w:pPr>
              <w:pStyle w:val="ROMANOS"/>
              <w:spacing w:after="0" w:line="240" w:lineRule="exact"/>
              <w:ind w:left="0" w:firstLine="0"/>
              <w:rPr>
                <w:rFonts w:asciiTheme="minorHAnsi" w:eastAsiaTheme="minorHAnsi" w:hAnsiTheme="minorHAnsi"/>
                <w:b/>
                <w:sz w:val="20"/>
                <w:szCs w:val="20"/>
                <w:lang w:val="es-MX" w:eastAsia="en-US"/>
              </w:rPr>
            </w:pPr>
            <w:r w:rsidRPr="00F25686">
              <w:rPr>
                <w:rFonts w:asciiTheme="minorHAnsi" w:eastAsiaTheme="minorHAnsi" w:hAnsiTheme="minorHAnsi"/>
                <w:b/>
                <w:sz w:val="20"/>
                <w:szCs w:val="20"/>
                <w:lang w:val="es-MX" w:eastAsia="en-US"/>
              </w:rPr>
              <w:t>Total Acreedores e Impuestos por Pagar</w:t>
            </w:r>
          </w:p>
        </w:tc>
        <w:tc>
          <w:tcPr>
            <w:tcW w:w="1843" w:type="dxa"/>
          </w:tcPr>
          <w:p w:rsidR="00F25686" w:rsidRPr="00F25686" w:rsidRDefault="002A7869" w:rsidP="007E2674">
            <w:pPr>
              <w:pStyle w:val="ROMANOS"/>
              <w:spacing w:after="0" w:line="240" w:lineRule="exact"/>
              <w:ind w:left="0" w:firstLine="0"/>
              <w:rPr>
                <w:rFonts w:asciiTheme="minorHAnsi" w:eastAsiaTheme="minorHAnsi" w:hAnsiTheme="minorHAnsi"/>
                <w:b/>
                <w:sz w:val="20"/>
                <w:szCs w:val="20"/>
                <w:lang w:val="es-MX" w:eastAsia="en-US"/>
              </w:rPr>
            </w:pPr>
            <w:r>
              <w:rPr>
                <w:rFonts w:asciiTheme="minorHAnsi" w:eastAsiaTheme="minorHAnsi" w:hAnsiTheme="minorHAnsi"/>
                <w:b/>
                <w:sz w:val="20"/>
                <w:szCs w:val="20"/>
                <w:lang w:val="es-MX" w:eastAsia="en-US"/>
              </w:rPr>
              <w:t xml:space="preserve">$ </w:t>
            </w:r>
            <w:r w:rsidR="007E2674">
              <w:rPr>
                <w:rFonts w:asciiTheme="minorHAnsi" w:eastAsiaTheme="minorHAnsi" w:hAnsiTheme="minorHAnsi"/>
                <w:b/>
                <w:sz w:val="20"/>
                <w:szCs w:val="20"/>
                <w:lang w:val="es-MX" w:eastAsia="en-US"/>
              </w:rPr>
              <w:t>1,848,120.88</w:t>
            </w:r>
          </w:p>
        </w:tc>
      </w:tr>
    </w:tbl>
    <w:p w:rsidR="007D55E3" w:rsidRDefault="007D55E3" w:rsidP="00E4291A">
      <w:pPr>
        <w:pStyle w:val="ROMANOS"/>
        <w:spacing w:after="0" w:line="240" w:lineRule="exact"/>
        <w:ind w:left="0" w:firstLine="0"/>
        <w:rPr>
          <w:rFonts w:asciiTheme="minorHAnsi" w:hAnsiTheme="minorHAnsi" w:cstheme="minorHAnsi"/>
          <w:sz w:val="20"/>
          <w:szCs w:val="20"/>
        </w:rPr>
      </w:pPr>
    </w:p>
    <w:p w:rsidR="005D6466" w:rsidRPr="00E30268" w:rsidRDefault="005D6466" w:rsidP="00E4291A">
      <w:pPr>
        <w:pStyle w:val="ROMANOS"/>
        <w:spacing w:after="0" w:line="240" w:lineRule="exact"/>
        <w:ind w:left="0" w:firstLine="0"/>
        <w:rPr>
          <w:rFonts w:asciiTheme="minorHAnsi" w:hAnsiTheme="minorHAnsi" w:cstheme="minorHAnsi"/>
          <w:sz w:val="20"/>
          <w:szCs w:val="20"/>
        </w:rPr>
      </w:pPr>
    </w:p>
    <w:p w:rsidR="007D55E3" w:rsidRPr="00E30268" w:rsidRDefault="007D55E3" w:rsidP="00E4291A">
      <w:pPr>
        <w:pStyle w:val="ROMANOS"/>
        <w:spacing w:after="0" w:line="240" w:lineRule="exact"/>
        <w:rPr>
          <w:rFonts w:asciiTheme="minorHAnsi" w:hAnsiTheme="minorHAnsi" w:cstheme="minorHAnsi"/>
          <w:sz w:val="20"/>
          <w:szCs w:val="20"/>
          <w:lang w:val="es-MX"/>
        </w:rPr>
      </w:pPr>
    </w:p>
    <w:p w:rsidR="007D55E3" w:rsidRPr="00E30268" w:rsidRDefault="007D55E3" w:rsidP="00E4291A">
      <w:pPr>
        <w:pStyle w:val="ROMANOS"/>
        <w:spacing w:after="0" w:line="240" w:lineRule="exact"/>
        <w:ind w:left="1008" w:firstLine="0"/>
        <w:rPr>
          <w:rFonts w:asciiTheme="minorHAnsi" w:hAnsiTheme="minorHAnsi" w:cstheme="minorHAnsi"/>
          <w:sz w:val="20"/>
          <w:szCs w:val="20"/>
          <w:lang w:val="es-MX"/>
        </w:rPr>
      </w:pPr>
    </w:p>
    <w:p w:rsidR="007D55E3" w:rsidRPr="00E30268" w:rsidRDefault="007D55E3" w:rsidP="00E4291A">
      <w:pPr>
        <w:pStyle w:val="INCISO"/>
        <w:spacing w:after="0" w:line="240" w:lineRule="exact"/>
        <w:ind w:left="360"/>
        <w:rPr>
          <w:rFonts w:asciiTheme="minorHAnsi" w:hAnsiTheme="minorHAnsi" w:cstheme="minorHAnsi"/>
          <w:b/>
          <w:smallCaps/>
          <w:sz w:val="20"/>
          <w:szCs w:val="20"/>
        </w:rPr>
      </w:pPr>
      <w:r w:rsidRPr="00E30268">
        <w:rPr>
          <w:rFonts w:asciiTheme="minorHAnsi" w:hAnsiTheme="minorHAnsi" w:cstheme="minorHAnsi"/>
          <w:b/>
          <w:smallCaps/>
          <w:sz w:val="20"/>
          <w:szCs w:val="20"/>
        </w:rPr>
        <w:t>II)</w:t>
      </w:r>
      <w:r w:rsidRPr="00E30268">
        <w:rPr>
          <w:rFonts w:asciiTheme="minorHAnsi" w:hAnsiTheme="minorHAnsi" w:cstheme="minorHAnsi"/>
          <w:b/>
          <w:smallCaps/>
          <w:sz w:val="20"/>
          <w:szCs w:val="20"/>
        </w:rPr>
        <w:tab/>
        <w:t>Notas al Estado de Actividades</w:t>
      </w:r>
    </w:p>
    <w:p w:rsidR="007D55E3" w:rsidRPr="00E30268" w:rsidRDefault="007D55E3" w:rsidP="00E4291A">
      <w:pPr>
        <w:pStyle w:val="INCISO"/>
        <w:spacing w:after="0" w:line="240" w:lineRule="exact"/>
        <w:ind w:left="360"/>
        <w:rPr>
          <w:rFonts w:asciiTheme="minorHAnsi" w:hAnsiTheme="minorHAnsi" w:cstheme="minorHAnsi"/>
          <w:b/>
          <w:smallCaps/>
          <w:sz w:val="20"/>
          <w:szCs w:val="20"/>
        </w:rPr>
      </w:pPr>
    </w:p>
    <w:p w:rsidR="007D55E3" w:rsidRPr="00E30268" w:rsidRDefault="007D55E3" w:rsidP="00E4291A">
      <w:pPr>
        <w:pStyle w:val="ROMANOS"/>
        <w:spacing w:after="0" w:line="240" w:lineRule="exact"/>
        <w:rPr>
          <w:rFonts w:asciiTheme="minorHAnsi" w:hAnsiTheme="minorHAnsi" w:cstheme="minorHAnsi"/>
          <w:b/>
          <w:sz w:val="20"/>
          <w:szCs w:val="20"/>
          <w:lang w:val="es-MX"/>
        </w:rPr>
      </w:pPr>
      <w:r w:rsidRPr="00E30268">
        <w:rPr>
          <w:rFonts w:asciiTheme="minorHAnsi" w:hAnsiTheme="minorHAnsi" w:cstheme="minorHAnsi"/>
          <w:b/>
          <w:sz w:val="20"/>
          <w:szCs w:val="20"/>
          <w:lang w:val="es-MX"/>
        </w:rPr>
        <w:t>Ingresos de Gestión</w:t>
      </w:r>
    </w:p>
    <w:p w:rsidR="007D55E3" w:rsidRPr="005C1091" w:rsidRDefault="007D55E3" w:rsidP="00E4291A">
      <w:pPr>
        <w:spacing w:line="240" w:lineRule="auto"/>
        <w:jc w:val="both"/>
        <w:rPr>
          <w:rFonts w:cs="Arial"/>
          <w:b/>
          <w:sz w:val="20"/>
          <w:szCs w:val="20"/>
        </w:rPr>
      </w:pPr>
      <w:r w:rsidRPr="005C1091">
        <w:rPr>
          <w:rFonts w:cs="Arial"/>
          <w:b/>
          <w:sz w:val="20"/>
          <w:szCs w:val="20"/>
        </w:rPr>
        <w:t>Los ingresos del período se registran como se menciona a continuación:</w:t>
      </w:r>
    </w:p>
    <w:p w:rsidR="007D55E3" w:rsidRPr="005C1091" w:rsidRDefault="007D55E3" w:rsidP="00E4291A">
      <w:pPr>
        <w:spacing w:line="240" w:lineRule="auto"/>
        <w:jc w:val="both"/>
        <w:rPr>
          <w:rFonts w:cs="Arial"/>
          <w:sz w:val="20"/>
          <w:szCs w:val="20"/>
        </w:rPr>
      </w:pPr>
      <w:r w:rsidRPr="005C1091">
        <w:rPr>
          <w:rFonts w:cs="Arial"/>
          <w:sz w:val="20"/>
          <w:szCs w:val="20"/>
        </w:rPr>
        <w:t>Participaciones, Aportaciones, Transferencias, Asignaciones, Subsidios y Otras Ayudas.</w:t>
      </w:r>
    </w:p>
    <w:p w:rsidR="007D55E3" w:rsidRPr="005C1091" w:rsidRDefault="007D55E3" w:rsidP="00E4291A">
      <w:pPr>
        <w:spacing w:line="240" w:lineRule="auto"/>
        <w:jc w:val="both"/>
        <w:rPr>
          <w:rFonts w:cs="Arial"/>
          <w:b/>
          <w:sz w:val="20"/>
          <w:szCs w:val="20"/>
        </w:rPr>
      </w:pPr>
      <w:r w:rsidRPr="005C1091">
        <w:rPr>
          <w:rFonts w:cs="Arial"/>
          <w:b/>
          <w:sz w:val="20"/>
          <w:szCs w:val="20"/>
        </w:rPr>
        <w:t>Ingresos por venta de Bienes y Servicios de Organismos Descentralizados</w:t>
      </w:r>
    </w:p>
    <w:p w:rsidR="007D55E3" w:rsidRPr="005C1091" w:rsidRDefault="007D55E3" w:rsidP="00E4291A">
      <w:pPr>
        <w:spacing w:line="240" w:lineRule="auto"/>
        <w:jc w:val="both"/>
        <w:rPr>
          <w:rFonts w:cs="Arial"/>
          <w:sz w:val="20"/>
          <w:szCs w:val="20"/>
        </w:rPr>
      </w:pPr>
      <w:r w:rsidRPr="005C1091">
        <w:rPr>
          <w:rFonts w:cs="Arial"/>
          <w:sz w:val="20"/>
          <w:szCs w:val="20"/>
        </w:rPr>
        <w:t>Son las Inscripciones, reinscripciones, constancias y derechos de titulación y otros ingresos relativos con la actividad.</w:t>
      </w:r>
    </w:p>
    <w:p w:rsidR="007D55E3" w:rsidRPr="005C1091" w:rsidRDefault="007D55E3" w:rsidP="00E4291A">
      <w:pPr>
        <w:spacing w:line="240" w:lineRule="auto"/>
        <w:jc w:val="both"/>
        <w:rPr>
          <w:rFonts w:cs="Arial"/>
          <w:b/>
          <w:sz w:val="20"/>
          <w:szCs w:val="20"/>
        </w:rPr>
      </w:pPr>
      <w:r w:rsidRPr="005C1091">
        <w:rPr>
          <w:rFonts w:cs="Arial"/>
          <w:b/>
          <w:sz w:val="20"/>
          <w:szCs w:val="20"/>
        </w:rPr>
        <w:lastRenderedPageBreak/>
        <w:t>Subsidios del Gobierno Federal:</w:t>
      </w:r>
    </w:p>
    <w:p w:rsidR="007D55E3" w:rsidRPr="005C1091" w:rsidRDefault="007D55E3" w:rsidP="00E4291A">
      <w:pPr>
        <w:spacing w:line="240" w:lineRule="auto"/>
        <w:jc w:val="both"/>
        <w:rPr>
          <w:rFonts w:cs="Arial"/>
          <w:sz w:val="20"/>
          <w:szCs w:val="20"/>
        </w:rPr>
      </w:pPr>
      <w:r w:rsidRPr="005C1091">
        <w:rPr>
          <w:rFonts w:cs="Arial"/>
          <w:sz w:val="20"/>
          <w:szCs w:val="20"/>
        </w:rPr>
        <w:t>Son los ingresos por subsidios provenientes del presupuesto por el Gobierno Federal de acuerdo al Presupuesto de Egresos de la</w:t>
      </w:r>
      <w:r w:rsidR="0036525D">
        <w:rPr>
          <w:rFonts w:cs="Arial"/>
          <w:sz w:val="20"/>
          <w:szCs w:val="20"/>
        </w:rPr>
        <w:t xml:space="preserve"> Federación vigente para el 2017</w:t>
      </w:r>
      <w:r w:rsidRPr="005C1091">
        <w:rPr>
          <w:rFonts w:cs="Arial"/>
          <w:sz w:val="20"/>
          <w:szCs w:val="20"/>
        </w:rPr>
        <w:t xml:space="preserve"> y se registran conforme se transfieren los recursos.</w:t>
      </w:r>
    </w:p>
    <w:p w:rsidR="007D55E3" w:rsidRPr="005C1091" w:rsidRDefault="007D55E3" w:rsidP="00E4291A">
      <w:pPr>
        <w:spacing w:line="240" w:lineRule="auto"/>
        <w:jc w:val="both"/>
        <w:rPr>
          <w:rFonts w:cs="Arial"/>
          <w:b/>
          <w:sz w:val="20"/>
          <w:szCs w:val="20"/>
        </w:rPr>
      </w:pPr>
      <w:r w:rsidRPr="005C1091">
        <w:rPr>
          <w:rFonts w:cs="Arial"/>
          <w:b/>
          <w:sz w:val="20"/>
          <w:szCs w:val="20"/>
        </w:rPr>
        <w:t>Subsidios del Gobierno del Estado:</w:t>
      </w:r>
    </w:p>
    <w:p w:rsidR="007D55E3" w:rsidRPr="005C1091" w:rsidRDefault="007D55E3" w:rsidP="00E4291A">
      <w:pPr>
        <w:spacing w:line="240" w:lineRule="auto"/>
        <w:jc w:val="both"/>
        <w:rPr>
          <w:rFonts w:cs="Arial"/>
          <w:sz w:val="20"/>
          <w:szCs w:val="20"/>
        </w:rPr>
      </w:pPr>
      <w:r w:rsidRPr="005C1091">
        <w:rPr>
          <w:rFonts w:cs="Arial"/>
          <w:sz w:val="20"/>
          <w:szCs w:val="20"/>
        </w:rPr>
        <w:t xml:space="preserve">Son los ingresos por subsidio provenientes del presupuesto asignado por el Gobierno Estatal de acuerdo al Presupuesto de Egresos </w:t>
      </w:r>
      <w:r w:rsidR="0036525D">
        <w:rPr>
          <w:rFonts w:cs="Arial"/>
          <w:sz w:val="20"/>
          <w:szCs w:val="20"/>
        </w:rPr>
        <w:t>del Estado  vigente para el 2017</w:t>
      </w:r>
      <w:r w:rsidR="00F327D5">
        <w:rPr>
          <w:rFonts w:cs="Arial"/>
          <w:sz w:val="20"/>
          <w:szCs w:val="20"/>
        </w:rPr>
        <w:t xml:space="preserve"> </w:t>
      </w:r>
      <w:r w:rsidRPr="005C1091">
        <w:rPr>
          <w:rFonts w:cs="Arial"/>
          <w:sz w:val="20"/>
          <w:szCs w:val="20"/>
        </w:rPr>
        <w:t>y se registran conforme se transfieren los recursos.</w:t>
      </w:r>
    </w:p>
    <w:tbl>
      <w:tblPr>
        <w:tblW w:w="787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0"/>
        <w:gridCol w:w="1598"/>
      </w:tblGrid>
      <w:tr w:rsidR="007D55E3" w:rsidRPr="005C1091" w:rsidTr="00AC22C1">
        <w:trPr>
          <w:trHeight w:val="402"/>
        </w:trPr>
        <w:tc>
          <w:tcPr>
            <w:tcW w:w="6280" w:type="dxa"/>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Concepto</w:t>
            </w:r>
          </w:p>
        </w:tc>
        <w:tc>
          <w:tcPr>
            <w:tcW w:w="1598" w:type="dxa"/>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Importe</w:t>
            </w:r>
          </w:p>
        </w:tc>
      </w:tr>
      <w:tr w:rsidR="007D55E3" w:rsidRPr="005C1091" w:rsidTr="00AC22C1">
        <w:trPr>
          <w:trHeight w:val="402"/>
        </w:trPr>
        <w:tc>
          <w:tcPr>
            <w:tcW w:w="6280" w:type="dxa"/>
            <w:shd w:val="clear" w:color="000000" w:fill="FFFFFF"/>
            <w:noWrap/>
            <w:hideMark/>
          </w:tcPr>
          <w:p w:rsidR="007D55E3" w:rsidRPr="005C1091" w:rsidRDefault="00EC3BFD" w:rsidP="00E4291A">
            <w:pPr>
              <w:spacing w:line="240" w:lineRule="auto"/>
              <w:jc w:val="both"/>
              <w:rPr>
                <w:rFonts w:cs="Arial"/>
                <w:sz w:val="20"/>
                <w:szCs w:val="20"/>
              </w:rPr>
            </w:pPr>
            <w:r>
              <w:rPr>
                <w:rFonts w:cs="Arial"/>
                <w:sz w:val="20"/>
                <w:szCs w:val="20"/>
              </w:rPr>
              <w:t>Subsidio Estatal 2017</w:t>
            </w:r>
          </w:p>
        </w:tc>
        <w:tc>
          <w:tcPr>
            <w:tcW w:w="1598" w:type="dxa"/>
            <w:shd w:val="clear" w:color="000000" w:fill="FFFFFF"/>
            <w:noWrap/>
            <w:hideMark/>
          </w:tcPr>
          <w:p w:rsidR="007D55E3" w:rsidRPr="005C1091" w:rsidRDefault="00601382" w:rsidP="007E2674">
            <w:pPr>
              <w:spacing w:line="240" w:lineRule="auto"/>
              <w:jc w:val="both"/>
              <w:rPr>
                <w:rFonts w:cs="Arial"/>
                <w:sz w:val="20"/>
                <w:szCs w:val="20"/>
              </w:rPr>
            </w:pPr>
            <w:r>
              <w:rPr>
                <w:rFonts w:cs="Arial"/>
                <w:sz w:val="20"/>
                <w:szCs w:val="20"/>
              </w:rPr>
              <w:t xml:space="preserve">    </w:t>
            </w:r>
            <w:r w:rsidR="007E2674">
              <w:rPr>
                <w:rFonts w:cs="Arial"/>
                <w:sz w:val="20"/>
                <w:szCs w:val="20"/>
              </w:rPr>
              <w:t>2,356,389.00</w:t>
            </w:r>
          </w:p>
        </w:tc>
      </w:tr>
      <w:tr w:rsidR="007D55E3" w:rsidRPr="005C1091" w:rsidTr="00AC22C1">
        <w:trPr>
          <w:trHeight w:val="402"/>
        </w:trPr>
        <w:tc>
          <w:tcPr>
            <w:tcW w:w="6280" w:type="dxa"/>
            <w:shd w:val="clear" w:color="000000" w:fill="FFFFFF"/>
            <w:noWrap/>
            <w:hideMark/>
          </w:tcPr>
          <w:p w:rsidR="007D55E3" w:rsidRPr="005C1091" w:rsidRDefault="00EC3BFD" w:rsidP="00E4291A">
            <w:pPr>
              <w:spacing w:line="240" w:lineRule="auto"/>
              <w:jc w:val="both"/>
              <w:rPr>
                <w:rFonts w:cs="Arial"/>
                <w:sz w:val="20"/>
                <w:szCs w:val="20"/>
              </w:rPr>
            </w:pPr>
            <w:r>
              <w:rPr>
                <w:rFonts w:cs="Arial"/>
                <w:sz w:val="20"/>
                <w:szCs w:val="20"/>
              </w:rPr>
              <w:t>Subsidio Federal 2017</w:t>
            </w:r>
          </w:p>
        </w:tc>
        <w:tc>
          <w:tcPr>
            <w:tcW w:w="1598" w:type="dxa"/>
            <w:shd w:val="clear" w:color="000000" w:fill="FFFFFF"/>
            <w:noWrap/>
            <w:hideMark/>
          </w:tcPr>
          <w:p w:rsidR="007D55E3" w:rsidRPr="005C1091" w:rsidRDefault="00601382" w:rsidP="007E2674">
            <w:pPr>
              <w:spacing w:line="240" w:lineRule="auto"/>
              <w:jc w:val="both"/>
              <w:rPr>
                <w:rFonts w:cs="Arial"/>
                <w:sz w:val="20"/>
                <w:szCs w:val="20"/>
              </w:rPr>
            </w:pPr>
            <w:r>
              <w:rPr>
                <w:rFonts w:cs="Arial"/>
                <w:sz w:val="20"/>
                <w:szCs w:val="20"/>
              </w:rPr>
              <w:t xml:space="preserve">  </w:t>
            </w:r>
            <w:r w:rsidR="0036525D">
              <w:rPr>
                <w:rFonts w:cs="Arial"/>
                <w:sz w:val="20"/>
                <w:szCs w:val="20"/>
              </w:rPr>
              <w:t xml:space="preserve"> </w:t>
            </w:r>
            <w:r>
              <w:rPr>
                <w:rFonts w:cs="Arial"/>
                <w:sz w:val="20"/>
                <w:szCs w:val="20"/>
              </w:rPr>
              <w:t xml:space="preserve"> </w:t>
            </w:r>
            <w:r w:rsidR="007E2674">
              <w:rPr>
                <w:rFonts w:cs="Arial"/>
                <w:sz w:val="20"/>
                <w:szCs w:val="20"/>
              </w:rPr>
              <w:t>1,499,034.00</w:t>
            </w:r>
          </w:p>
        </w:tc>
      </w:tr>
      <w:tr w:rsidR="007D55E3" w:rsidRPr="005C1091" w:rsidTr="00AC22C1">
        <w:trPr>
          <w:trHeight w:val="402"/>
        </w:trPr>
        <w:tc>
          <w:tcPr>
            <w:tcW w:w="6280" w:type="dxa"/>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Ingresos Propios</w:t>
            </w:r>
            <w:r w:rsidR="00EC3BFD">
              <w:rPr>
                <w:rFonts w:cs="Arial"/>
                <w:sz w:val="20"/>
                <w:szCs w:val="20"/>
              </w:rPr>
              <w:t xml:space="preserve"> 2017</w:t>
            </w:r>
          </w:p>
        </w:tc>
        <w:tc>
          <w:tcPr>
            <w:tcW w:w="1598" w:type="dxa"/>
            <w:shd w:val="clear" w:color="000000" w:fill="FFFFFF"/>
            <w:noWrap/>
            <w:hideMark/>
          </w:tcPr>
          <w:p w:rsidR="007D55E3" w:rsidRPr="005C1091" w:rsidRDefault="00601382" w:rsidP="007E2674">
            <w:pPr>
              <w:spacing w:line="240" w:lineRule="auto"/>
              <w:jc w:val="both"/>
              <w:rPr>
                <w:rFonts w:cs="Arial"/>
                <w:sz w:val="20"/>
                <w:szCs w:val="20"/>
              </w:rPr>
            </w:pPr>
            <w:r>
              <w:rPr>
                <w:rFonts w:cs="Arial"/>
                <w:sz w:val="20"/>
                <w:szCs w:val="20"/>
              </w:rPr>
              <w:t xml:space="preserve">   </w:t>
            </w:r>
            <w:r w:rsidR="0036525D">
              <w:rPr>
                <w:rFonts w:cs="Arial"/>
                <w:sz w:val="20"/>
                <w:szCs w:val="20"/>
              </w:rPr>
              <w:t xml:space="preserve"> </w:t>
            </w:r>
            <w:r w:rsidR="007E2674">
              <w:rPr>
                <w:rFonts w:cs="Arial"/>
                <w:sz w:val="20"/>
                <w:szCs w:val="20"/>
              </w:rPr>
              <w:t xml:space="preserve">   423,300.00</w:t>
            </w:r>
          </w:p>
        </w:tc>
      </w:tr>
      <w:tr w:rsidR="007D55E3" w:rsidRPr="005C1091" w:rsidTr="00AC22C1">
        <w:trPr>
          <w:trHeight w:val="402"/>
        </w:trPr>
        <w:tc>
          <w:tcPr>
            <w:tcW w:w="6280" w:type="dxa"/>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Otros ingresos y beneficios varios</w:t>
            </w:r>
            <w:r w:rsidR="00EC3BFD">
              <w:rPr>
                <w:rFonts w:cs="Arial"/>
                <w:sz w:val="20"/>
                <w:szCs w:val="20"/>
              </w:rPr>
              <w:t xml:space="preserve"> 2017</w:t>
            </w:r>
          </w:p>
        </w:tc>
        <w:tc>
          <w:tcPr>
            <w:tcW w:w="1598" w:type="dxa"/>
            <w:shd w:val="clear" w:color="000000" w:fill="FFFFFF"/>
            <w:noWrap/>
            <w:hideMark/>
          </w:tcPr>
          <w:p w:rsidR="007D55E3" w:rsidRPr="005C1091" w:rsidRDefault="00601382" w:rsidP="007E2674">
            <w:pPr>
              <w:spacing w:line="240" w:lineRule="auto"/>
              <w:jc w:val="both"/>
              <w:rPr>
                <w:rFonts w:cs="Arial"/>
                <w:sz w:val="20"/>
                <w:szCs w:val="20"/>
              </w:rPr>
            </w:pPr>
            <w:r>
              <w:rPr>
                <w:rFonts w:cs="Arial"/>
                <w:sz w:val="20"/>
                <w:szCs w:val="20"/>
              </w:rPr>
              <w:t xml:space="preserve">        </w:t>
            </w:r>
            <w:r w:rsidR="007E2674">
              <w:rPr>
                <w:rFonts w:cs="Arial"/>
                <w:sz w:val="20"/>
                <w:szCs w:val="20"/>
              </w:rPr>
              <w:t xml:space="preserve">   </w:t>
            </w:r>
            <w:r>
              <w:rPr>
                <w:rFonts w:cs="Arial"/>
                <w:sz w:val="20"/>
                <w:szCs w:val="20"/>
              </w:rPr>
              <w:t xml:space="preserve">  </w:t>
            </w:r>
            <w:r w:rsidR="007E2674">
              <w:rPr>
                <w:rFonts w:cs="Arial"/>
                <w:sz w:val="20"/>
                <w:szCs w:val="20"/>
              </w:rPr>
              <w:t>459.72</w:t>
            </w:r>
          </w:p>
        </w:tc>
      </w:tr>
      <w:tr w:rsidR="007D55E3" w:rsidRPr="005C1091" w:rsidTr="00B0078B">
        <w:trPr>
          <w:trHeight w:val="278"/>
        </w:trPr>
        <w:tc>
          <w:tcPr>
            <w:tcW w:w="6280" w:type="dxa"/>
            <w:shd w:val="clear" w:color="000000" w:fill="FFFFFF"/>
            <w:noWrap/>
            <w:hideMark/>
          </w:tcPr>
          <w:p w:rsidR="007D55E3" w:rsidRPr="00F25686" w:rsidRDefault="007D55E3" w:rsidP="00E4291A">
            <w:pPr>
              <w:spacing w:line="240" w:lineRule="auto"/>
              <w:jc w:val="both"/>
              <w:rPr>
                <w:rFonts w:cs="Arial"/>
                <w:b/>
                <w:sz w:val="20"/>
                <w:szCs w:val="20"/>
              </w:rPr>
            </w:pPr>
            <w:r w:rsidRPr="00F25686">
              <w:rPr>
                <w:rFonts w:cs="Arial"/>
                <w:b/>
                <w:sz w:val="20"/>
                <w:szCs w:val="20"/>
              </w:rPr>
              <w:t>TOTAL</w:t>
            </w:r>
          </w:p>
        </w:tc>
        <w:tc>
          <w:tcPr>
            <w:tcW w:w="1598" w:type="dxa"/>
            <w:shd w:val="clear" w:color="000000" w:fill="FFFFFF"/>
            <w:noWrap/>
            <w:hideMark/>
          </w:tcPr>
          <w:p w:rsidR="007D55E3" w:rsidRPr="00F25686" w:rsidRDefault="007E2674" w:rsidP="007E2674">
            <w:pPr>
              <w:spacing w:line="240" w:lineRule="auto"/>
              <w:jc w:val="both"/>
              <w:rPr>
                <w:rFonts w:cs="Arial"/>
                <w:b/>
                <w:sz w:val="20"/>
                <w:szCs w:val="20"/>
              </w:rPr>
            </w:pPr>
            <w:r>
              <w:rPr>
                <w:rFonts w:cs="Arial"/>
                <w:b/>
                <w:sz w:val="20"/>
                <w:szCs w:val="20"/>
              </w:rPr>
              <w:t>$ 4,279,182.72</w:t>
            </w:r>
          </w:p>
        </w:tc>
      </w:tr>
    </w:tbl>
    <w:p w:rsidR="007E2674" w:rsidRDefault="007E2674" w:rsidP="00E4291A">
      <w:pPr>
        <w:spacing w:line="240" w:lineRule="auto"/>
        <w:jc w:val="both"/>
        <w:rPr>
          <w:rFonts w:cs="Arial"/>
          <w:sz w:val="20"/>
          <w:szCs w:val="20"/>
        </w:rPr>
      </w:pPr>
    </w:p>
    <w:p w:rsidR="007E2674" w:rsidRDefault="007E2674" w:rsidP="00E4291A">
      <w:pPr>
        <w:spacing w:line="240" w:lineRule="auto"/>
        <w:jc w:val="both"/>
        <w:rPr>
          <w:rFonts w:cs="Arial"/>
          <w:sz w:val="20"/>
          <w:szCs w:val="20"/>
        </w:rPr>
      </w:pPr>
    </w:p>
    <w:p w:rsidR="007D55E3" w:rsidRPr="005C1091" w:rsidRDefault="007D55E3" w:rsidP="00E4291A">
      <w:pPr>
        <w:spacing w:line="240" w:lineRule="auto"/>
        <w:jc w:val="both"/>
        <w:rPr>
          <w:rFonts w:cs="Arial"/>
          <w:b/>
          <w:sz w:val="20"/>
          <w:szCs w:val="20"/>
        </w:rPr>
      </w:pPr>
      <w:r w:rsidRPr="005C1091">
        <w:rPr>
          <w:rFonts w:cs="Arial"/>
          <w:b/>
          <w:sz w:val="20"/>
          <w:szCs w:val="20"/>
        </w:rPr>
        <w:t>Gastos y Otras Pérdidas:</w:t>
      </w:r>
    </w:p>
    <w:p w:rsidR="007D55E3" w:rsidRDefault="007D55E3" w:rsidP="00E4291A">
      <w:pPr>
        <w:spacing w:line="240" w:lineRule="auto"/>
        <w:jc w:val="both"/>
        <w:rPr>
          <w:rFonts w:cs="Arial"/>
          <w:sz w:val="20"/>
          <w:szCs w:val="20"/>
        </w:rPr>
      </w:pPr>
      <w:r w:rsidRPr="005C1091">
        <w:rPr>
          <w:rFonts w:cs="Arial"/>
          <w:sz w:val="20"/>
          <w:szCs w:val="20"/>
        </w:rPr>
        <w:t>Los gastos del periodo se registran como se menciona a continuación:</w:t>
      </w:r>
    </w:p>
    <w:p w:rsidR="008C176D" w:rsidRDefault="008C176D" w:rsidP="00E4291A">
      <w:pPr>
        <w:spacing w:line="240" w:lineRule="auto"/>
        <w:jc w:val="both"/>
        <w:rPr>
          <w:rFonts w:cs="Arial"/>
          <w:sz w:val="20"/>
          <w:szCs w:val="20"/>
        </w:rPr>
      </w:pPr>
    </w:p>
    <w:p w:rsidR="008C176D" w:rsidRPr="005C1091" w:rsidRDefault="008C176D" w:rsidP="00E4291A">
      <w:pPr>
        <w:spacing w:line="240" w:lineRule="auto"/>
        <w:jc w:val="both"/>
        <w:rPr>
          <w:rFonts w:cs="Arial"/>
          <w:sz w:val="20"/>
          <w:szCs w:val="20"/>
        </w:rPr>
      </w:pPr>
    </w:p>
    <w:p w:rsidR="007D55E3" w:rsidRPr="005C1091" w:rsidRDefault="007D55E3" w:rsidP="00E4291A">
      <w:pPr>
        <w:spacing w:line="240" w:lineRule="auto"/>
        <w:jc w:val="both"/>
        <w:rPr>
          <w:rFonts w:cs="Arial"/>
          <w:b/>
          <w:sz w:val="20"/>
          <w:szCs w:val="20"/>
        </w:rPr>
      </w:pPr>
      <w:r w:rsidRPr="005C1091">
        <w:rPr>
          <w:rFonts w:cs="Arial"/>
          <w:b/>
          <w:sz w:val="20"/>
          <w:szCs w:val="20"/>
        </w:rPr>
        <w:lastRenderedPageBreak/>
        <w:t>Clasificación de las cuentas por tipo de gasto:</w:t>
      </w:r>
    </w:p>
    <w:p w:rsidR="007D55E3" w:rsidRPr="005C1091" w:rsidRDefault="007D55E3" w:rsidP="00E4291A">
      <w:pPr>
        <w:spacing w:line="240" w:lineRule="auto"/>
        <w:jc w:val="both"/>
        <w:rPr>
          <w:rFonts w:cs="Arial"/>
          <w:sz w:val="20"/>
          <w:szCs w:val="20"/>
        </w:rPr>
      </w:pPr>
      <w:r w:rsidRPr="005C1091">
        <w:rPr>
          <w:rFonts w:cs="Arial"/>
          <w:sz w:val="20"/>
          <w:szCs w:val="20"/>
        </w:rPr>
        <w:t xml:space="preserve">Son los gastos que efectúa en la Universidad Tecnológica del </w:t>
      </w:r>
      <w:proofErr w:type="spellStart"/>
      <w:r w:rsidRPr="005C1091">
        <w:rPr>
          <w:rFonts w:cs="Arial"/>
          <w:sz w:val="20"/>
          <w:szCs w:val="20"/>
        </w:rPr>
        <w:t>Mayab</w:t>
      </w:r>
      <w:proofErr w:type="spellEnd"/>
      <w:r w:rsidRPr="005C1091">
        <w:rPr>
          <w:rFonts w:cs="Arial"/>
          <w:sz w:val="20"/>
          <w:szCs w:val="20"/>
        </w:rPr>
        <w:t xml:space="preserve"> para poder realizar sus actividades, las cuales se contabilizan de acuerdo a los reglamentos  a los que estamos sujetos como a continuación se menciona:</w:t>
      </w:r>
    </w:p>
    <w:p w:rsidR="007D55E3" w:rsidRPr="005C1091" w:rsidRDefault="007D55E3" w:rsidP="00E4291A">
      <w:pPr>
        <w:pStyle w:val="Prrafodelista"/>
        <w:numPr>
          <w:ilvl w:val="0"/>
          <w:numId w:val="4"/>
        </w:numPr>
        <w:spacing w:line="240" w:lineRule="auto"/>
        <w:jc w:val="both"/>
        <w:rPr>
          <w:rFonts w:cs="Arial"/>
          <w:sz w:val="20"/>
          <w:szCs w:val="20"/>
        </w:rPr>
      </w:pPr>
      <w:r w:rsidRPr="005C1091">
        <w:rPr>
          <w:rFonts w:cs="Arial"/>
          <w:sz w:val="20"/>
          <w:szCs w:val="20"/>
        </w:rPr>
        <w:t>Para los Gastos Federales y Estatales se utiliza el clasificador por objeto de gasto.</w:t>
      </w:r>
    </w:p>
    <w:p w:rsidR="007D55E3" w:rsidRPr="005C1091" w:rsidRDefault="007D55E3" w:rsidP="00E4291A">
      <w:pPr>
        <w:pStyle w:val="Prrafodelista"/>
        <w:numPr>
          <w:ilvl w:val="0"/>
          <w:numId w:val="4"/>
        </w:numPr>
        <w:spacing w:line="240" w:lineRule="auto"/>
        <w:jc w:val="both"/>
        <w:rPr>
          <w:rFonts w:cs="Arial"/>
          <w:sz w:val="20"/>
          <w:szCs w:val="20"/>
        </w:rPr>
      </w:pPr>
      <w:r w:rsidRPr="005C1091">
        <w:rPr>
          <w:rFonts w:cs="Arial"/>
          <w:sz w:val="20"/>
          <w:szCs w:val="20"/>
        </w:rPr>
        <w:t>Fundamentado en el artículo 26 de la Ley de adquisiciones, arrendamientos y servicios del sector público podrán contratar mediante los procedimientos de:</w:t>
      </w:r>
    </w:p>
    <w:p w:rsidR="007D55E3" w:rsidRPr="005C1091" w:rsidRDefault="007D55E3" w:rsidP="00E4291A">
      <w:pPr>
        <w:pStyle w:val="Prrafodelista"/>
        <w:numPr>
          <w:ilvl w:val="0"/>
          <w:numId w:val="4"/>
        </w:numPr>
        <w:spacing w:line="240" w:lineRule="auto"/>
        <w:jc w:val="both"/>
        <w:rPr>
          <w:rFonts w:cs="Arial"/>
          <w:sz w:val="20"/>
          <w:szCs w:val="20"/>
        </w:rPr>
      </w:pPr>
      <w:r w:rsidRPr="005C1091">
        <w:rPr>
          <w:rFonts w:cs="Arial"/>
          <w:sz w:val="20"/>
          <w:szCs w:val="20"/>
        </w:rPr>
        <w:t>Licitación pública</w:t>
      </w:r>
    </w:p>
    <w:p w:rsidR="007D55E3" w:rsidRPr="005C1091" w:rsidRDefault="007D55E3" w:rsidP="00E4291A">
      <w:pPr>
        <w:pStyle w:val="Prrafodelista"/>
        <w:numPr>
          <w:ilvl w:val="0"/>
          <w:numId w:val="4"/>
        </w:numPr>
        <w:spacing w:line="240" w:lineRule="auto"/>
        <w:jc w:val="both"/>
        <w:rPr>
          <w:rFonts w:cs="Arial"/>
          <w:sz w:val="20"/>
          <w:szCs w:val="20"/>
        </w:rPr>
      </w:pPr>
      <w:r w:rsidRPr="005C1091">
        <w:rPr>
          <w:rFonts w:cs="Arial"/>
          <w:sz w:val="20"/>
          <w:szCs w:val="20"/>
        </w:rPr>
        <w:t xml:space="preserve">Invitación a cuando menos 3 personas, o </w:t>
      </w:r>
    </w:p>
    <w:p w:rsidR="007522AF" w:rsidRPr="007E2674" w:rsidRDefault="007D55E3" w:rsidP="007522AF">
      <w:pPr>
        <w:pStyle w:val="Prrafodelista"/>
        <w:numPr>
          <w:ilvl w:val="0"/>
          <w:numId w:val="4"/>
        </w:numPr>
        <w:spacing w:line="240" w:lineRule="auto"/>
        <w:jc w:val="both"/>
        <w:rPr>
          <w:rFonts w:cs="Arial"/>
          <w:sz w:val="20"/>
          <w:szCs w:val="20"/>
        </w:rPr>
      </w:pPr>
      <w:r w:rsidRPr="005C1091">
        <w:rPr>
          <w:rFonts w:cs="Arial"/>
          <w:sz w:val="20"/>
          <w:szCs w:val="20"/>
        </w:rPr>
        <w:t>Adjudicación directa.</w:t>
      </w:r>
    </w:p>
    <w:p w:rsidR="007D55E3" w:rsidRPr="005C1091" w:rsidRDefault="007D55E3" w:rsidP="00E4291A">
      <w:pPr>
        <w:spacing w:line="240" w:lineRule="auto"/>
        <w:jc w:val="both"/>
        <w:rPr>
          <w:rFonts w:cs="Arial"/>
          <w:b/>
          <w:sz w:val="20"/>
          <w:szCs w:val="20"/>
        </w:rPr>
      </w:pPr>
      <w:r w:rsidRPr="005C1091">
        <w:rPr>
          <w:rFonts w:cs="Arial"/>
          <w:b/>
          <w:sz w:val="20"/>
          <w:szCs w:val="20"/>
        </w:rPr>
        <w:t>III)</w:t>
      </w:r>
      <w:r w:rsidRPr="005C1091">
        <w:rPr>
          <w:rFonts w:cs="Arial"/>
          <w:b/>
          <w:sz w:val="20"/>
          <w:szCs w:val="20"/>
        </w:rPr>
        <w:tab/>
        <w:t>Notas al Estado de Variación en la Hacienda Pública</w:t>
      </w:r>
    </w:p>
    <w:p w:rsidR="007D55E3" w:rsidRPr="005C1091" w:rsidRDefault="007D55E3" w:rsidP="00E4291A">
      <w:pPr>
        <w:spacing w:line="240" w:lineRule="auto"/>
        <w:jc w:val="both"/>
        <w:rPr>
          <w:rFonts w:cs="Arial"/>
          <w:sz w:val="20"/>
          <w:szCs w:val="20"/>
        </w:rPr>
      </w:pPr>
      <w:r w:rsidRPr="005C1091">
        <w:rPr>
          <w:rFonts w:cs="Arial"/>
          <w:sz w:val="20"/>
          <w:szCs w:val="20"/>
        </w:rPr>
        <w:tab/>
      </w:r>
      <w:r w:rsidR="005C1091">
        <w:rPr>
          <w:rFonts w:cs="Arial"/>
          <w:sz w:val="20"/>
          <w:szCs w:val="20"/>
        </w:rPr>
        <w:t>E</w:t>
      </w:r>
      <w:r w:rsidRPr="005C1091">
        <w:rPr>
          <w:rFonts w:cs="Arial"/>
          <w:sz w:val="20"/>
          <w:szCs w:val="20"/>
        </w:rPr>
        <w:t xml:space="preserve">l patrimonio contribuido  de la universidad tecnológica del </w:t>
      </w:r>
      <w:proofErr w:type="spellStart"/>
      <w:r w:rsidRPr="005C1091">
        <w:rPr>
          <w:rFonts w:cs="Arial"/>
          <w:sz w:val="20"/>
          <w:szCs w:val="20"/>
        </w:rPr>
        <w:t>Mayab</w:t>
      </w:r>
      <w:proofErr w:type="spellEnd"/>
      <w:r w:rsidRPr="005C1091">
        <w:rPr>
          <w:rFonts w:cs="Arial"/>
          <w:sz w:val="20"/>
          <w:szCs w:val="20"/>
        </w:rPr>
        <w:t xml:space="preserve"> estará constituido por los siguientes bienes y recursos:</w:t>
      </w:r>
    </w:p>
    <w:tbl>
      <w:tblPr>
        <w:tblStyle w:val="Tablaconcuadrcula"/>
        <w:tblW w:w="8188" w:type="dxa"/>
        <w:tblLook w:val="04A0" w:firstRow="1" w:lastRow="0" w:firstColumn="1" w:lastColumn="0" w:noHBand="0" w:noVBand="1"/>
      </w:tblPr>
      <w:tblGrid>
        <w:gridCol w:w="6629"/>
        <w:gridCol w:w="1559"/>
      </w:tblGrid>
      <w:tr w:rsidR="007D55E3" w:rsidRPr="005C1091" w:rsidTr="00B232BB">
        <w:trPr>
          <w:trHeight w:val="402"/>
        </w:trPr>
        <w:tc>
          <w:tcPr>
            <w:tcW w:w="6629" w:type="dxa"/>
            <w:noWrap/>
            <w:hideMark/>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HACIENDA PUBLICA/PATRIMONIO GENERADO DE EJERCICIOS ANTERIORES</w:t>
            </w:r>
          </w:p>
        </w:tc>
        <w:tc>
          <w:tcPr>
            <w:tcW w:w="1559" w:type="dxa"/>
            <w:noWrap/>
            <w:hideMark/>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Importe </w:t>
            </w:r>
          </w:p>
        </w:tc>
      </w:tr>
      <w:tr w:rsidR="007D55E3" w:rsidRPr="005C1091" w:rsidTr="00B232BB">
        <w:trPr>
          <w:trHeight w:val="402"/>
        </w:trPr>
        <w:tc>
          <w:tcPr>
            <w:tcW w:w="6629" w:type="dxa"/>
            <w:noWrap/>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Resultado Del Ejercicio (Ahorro/Desahorro)</w:t>
            </w:r>
          </w:p>
        </w:tc>
        <w:tc>
          <w:tcPr>
            <w:tcW w:w="1559" w:type="dxa"/>
            <w:noWrap/>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 xml:space="preserve">$ </w:t>
            </w:r>
            <w:r w:rsidR="00B0078B">
              <w:rPr>
                <w:rFonts w:asciiTheme="minorHAnsi" w:eastAsiaTheme="minorHAnsi" w:hAnsiTheme="minorHAnsi" w:cs="Arial"/>
                <w:lang w:eastAsia="en-US"/>
              </w:rPr>
              <w:t>-</w:t>
            </w:r>
            <w:r w:rsidR="00B0078B" w:rsidRPr="00B0078B">
              <w:rPr>
                <w:rFonts w:asciiTheme="minorHAnsi" w:eastAsiaTheme="minorHAnsi" w:hAnsiTheme="minorHAnsi" w:cs="Arial"/>
                <w:lang w:eastAsia="en-US"/>
              </w:rPr>
              <w:t>1,503,248.91</w:t>
            </w:r>
          </w:p>
        </w:tc>
      </w:tr>
      <w:tr w:rsidR="007D55E3" w:rsidRPr="005C1091" w:rsidTr="00B232BB">
        <w:trPr>
          <w:trHeight w:val="402"/>
        </w:trPr>
        <w:tc>
          <w:tcPr>
            <w:tcW w:w="6629" w:type="dxa"/>
            <w:noWrap/>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Resultado de Ejercicios Anteriores</w:t>
            </w:r>
          </w:p>
        </w:tc>
        <w:tc>
          <w:tcPr>
            <w:tcW w:w="1559" w:type="dxa"/>
            <w:noWrap/>
          </w:tcPr>
          <w:p w:rsidR="007D55E3" w:rsidRPr="005C1091" w:rsidRDefault="00B0078B" w:rsidP="00B0078B">
            <w:pPr>
              <w:jc w:val="both"/>
              <w:rPr>
                <w:rFonts w:asciiTheme="minorHAnsi" w:eastAsiaTheme="minorHAnsi" w:hAnsiTheme="minorHAnsi" w:cs="Arial"/>
                <w:lang w:eastAsia="en-US"/>
              </w:rPr>
            </w:pPr>
            <w:r w:rsidRPr="00B0078B">
              <w:rPr>
                <w:rFonts w:asciiTheme="minorHAnsi" w:eastAsiaTheme="minorHAnsi" w:hAnsiTheme="minorHAnsi" w:cs="Arial"/>
                <w:lang w:eastAsia="en-US"/>
              </w:rPr>
              <w:t>50,095,773.86</w:t>
            </w:r>
          </w:p>
        </w:tc>
      </w:tr>
    </w:tbl>
    <w:p w:rsidR="007E2674" w:rsidRPr="005C1091" w:rsidRDefault="007E2674" w:rsidP="00E4291A">
      <w:pPr>
        <w:spacing w:line="240" w:lineRule="auto"/>
        <w:jc w:val="both"/>
        <w:rPr>
          <w:rFonts w:cs="Arial"/>
          <w:sz w:val="20"/>
          <w:szCs w:val="20"/>
        </w:rPr>
      </w:pPr>
    </w:p>
    <w:tbl>
      <w:tblPr>
        <w:tblStyle w:val="Tablaconcuadrcula"/>
        <w:tblW w:w="7776" w:type="dxa"/>
        <w:tblLook w:val="04A0" w:firstRow="1" w:lastRow="0" w:firstColumn="1" w:lastColumn="0" w:noHBand="0" w:noVBand="1"/>
      </w:tblPr>
      <w:tblGrid>
        <w:gridCol w:w="6629"/>
        <w:gridCol w:w="1147"/>
      </w:tblGrid>
      <w:tr w:rsidR="007D55E3" w:rsidRPr="005C1091" w:rsidTr="00B232BB">
        <w:trPr>
          <w:trHeight w:val="402"/>
        </w:trPr>
        <w:tc>
          <w:tcPr>
            <w:tcW w:w="6629" w:type="dxa"/>
            <w:noWrap/>
            <w:hideMark/>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CAMBIOS EN LA HACIENDA PUBLICA/PA</w:t>
            </w:r>
            <w:r w:rsidR="00B0078B">
              <w:rPr>
                <w:rFonts w:asciiTheme="minorHAnsi" w:eastAsiaTheme="minorHAnsi" w:hAnsiTheme="minorHAnsi" w:cs="Arial"/>
                <w:lang w:eastAsia="en-US"/>
              </w:rPr>
              <w:t>TRIMONIO NETO DEL EJERCICIO 2017</w:t>
            </w:r>
          </w:p>
        </w:tc>
        <w:tc>
          <w:tcPr>
            <w:tcW w:w="1147" w:type="dxa"/>
            <w:noWrap/>
            <w:hideMark/>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Importe </w:t>
            </w:r>
          </w:p>
        </w:tc>
      </w:tr>
      <w:tr w:rsidR="007D55E3" w:rsidRPr="005C1091" w:rsidTr="00B232BB">
        <w:trPr>
          <w:trHeight w:val="402"/>
        </w:trPr>
        <w:tc>
          <w:tcPr>
            <w:tcW w:w="6629" w:type="dxa"/>
            <w:noWrap/>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Actualización de la Hacienda Pública/Patrimonio</w:t>
            </w:r>
          </w:p>
        </w:tc>
        <w:tc>
          <w:tcPr>
            <w:tcW w:w="1147" w:type="dxa"/>
            <w:noWrap/>
          </w:tcPr>
          <w:p w:rsidR="007D55E3" w:rsidRPr="005C1091" w:rsidRDefault="00601382" w:rsidP="00E4291A">
            <w:pPr>
              <w:spacing w:after="200"/>
              <w:jc w:val="both"/>
              <w:rPr>
                <w:rFonts w:asciiTheme="minorHAnsi" w:eastAsiaTheme="minorHAnsi" w:hAnsiTheme="minorHAnsi" w:cs="Arial"/>
                <w:lang w:eastAsia="en-US"/>
              </w:rPr>
            </w:pPr>
            <w:r>
              <w:rPr>
                <w:rFonts w:asciiTheme="minorHAnsi" w:eastAsiaTheme="minorHAnsi" w:hAnsiTheme="minorHAnsi" w:cs="Arial"/>
                <w:lang w:eastAsia="en-US"/>
              </w:rPr>
              <w:t>0.00</w:t>
            </w:r>
          </w:p>
        </w:tc>
      </w:tr>
      <w:tr w:rsidR="007D55E3" w:rsidRPr="005C1091" w:rsidTr="00B232BB">
        <w:trPr>
          <w:trHeight w:val="402"/>
        </w:trPr>
        <w:tc>
          <w:tcPr>
            <w:tcW w:w="6629" w:type="dxa"/>
            <w:noWrap/>
          </w:tcPr>
          <w:p w:rsidR="007D55E3" w:rsidRPr="005C1091" w:rsidRDefault="007D55E3" w:rsidP="00E4291A">
            <w:pPr>
              <w:spacing w:after="200"/>
              <w:jc w:val="both"/>
              <w:rPr>
                <w:rFonts w:asciiTheme="minorHAnsi" w:eastAsiaTheme="minorHAnsi" w:hAnsiTheme="minorHAnsi" w:cs="Arial"/>
                <w:lang w:eastAsia="en-US"/>
              </w:rPr>
            </w:pPr>
            <w:r w:rsidRPr="005C1091">
              <w:rPr>
                <w:rFonts w:asciiTheme="minorHAnsi" w:eastAsiaTheme="minorHAnsi" w:hAnsiTheme="minorHAnsi" w:cs="Arial"/>
                <w:lang w:eastAsia="en-US"/>
              </w:rPr>
              <w:t xml:space="preserve">Saldo Neto en la </w:t>
            </w:r>
            <w:r w:rsidR="00B0078B">
              <w:rPr>
                <w:rFonts w:asciiTheme="minorHAnsi" w:eastAsiaTheme="minorHAnsi" w:hAnsiTheme="minorHAnsi" w:cs="Arial"/>
                <w:lang w:eastAsia="en-US"/>
              </w:rPr>
              <w:t>Hacienda Pública/Patrimonio 2017</w:t>
            </w:r>
          </w:p>
        </w:tc>
        <w:tc>
          <w:tcPr>
            <w:tcW w:w="1147" w:type="dxa"/>
            <w:noWrap/>
          </w:tcPr>
          <w:p w:rsidR="007D55E3" w:rsidRPr="005C1091" w:rsidRDefault="00601382" w:rsidP="00E4291A">
            <w:pPr>
              <w:spacing w:after="200"/>
              <w:jc w:val="both"/>
              <w:rPr>
                <w:rFonts w:asciiTheme="minorHAnsi" w:eastAsiaTheme="minorHAnsi" w:hAnsiTheme="minorHAnsi" w:cs="Arial"/>
                <w:lang w:eastAsia="en-US"/>
              </w:rPr>
            </w:pPr>
            <w:r>
              <w:rPr>
                <w:rFonts w:asciiTheme="minorHAnsi" w:eastAsiaTheme="minorHAnsi" w:hAnsiTheme="minorHAnsi" w:cs="Arial"/>
                <w:lang w:eastAsia="en-US"/>
              </w:rPr>
              <w:t>0.00</w:t>
            </w:r>
          </w:p>
        </w:tc>
      </w:tr>
    </w:tbl>
    <w:p w:rsidR="00B76367" w:rsidRDefault="00B76367" w:rsidP="00E4291A">
      <w:pPr>
        <w:spacing w:line="240" w:lineRule="auto"/>
        <w:jc w:val="both"/>
        <w:rPr>
          <w:rFonts w:cs="Arial"/>
          <w:b/>
          <w:sz w:val="20"/>
          <w:szCs w:val="20"/>
        </w:rPr>
      </w:pPr>
    </w:p>
    <w:p w:rsidR="008C176D" w:rsidRDefault="008C176D" w:rsidP="00E4291A">
      <w:pPr>
        <w:spacing w:line="240" w:lineRule="auto"/>
        <w:jc w:val="both"/>
        <w:rPr>
          <w:rFonts w:cs="Arial"/>
          <w:b/>
          <w:sz w:val="20"/>
          <w:szCs w:val="20"/>
        </w:rPr>
      </w:pPr>
    </w:p>
    <w:p w:rsidR="007D55E3" w:rsidRPr="005C1091" w:rsidRDefault="007D55E3" w:rsidP="00E4291A">
      <w:pPr>
        <w:spacing w:line="240" w:lineRule="auto"/>
        <w:jc w:val="both"/>
        <w:rPr>
          <w:rFonts w:cs="Arial"/>
          <w:b/>
          <w:sz w:val="20"/>
          <w:szCs w:val="20"/>
        </w:rPr>
      </w:pPr>
      <w:r w:rsidRPr="005C1091">
        <w:rPr>
          <w:rFonts w:cs="Arial"/>
          <w:b/>
          <w:sz w:val="20"/>
          <w:szCs w:val="20"/>
        </w:rPr>
        <w:lastRenderedPageBreak/>
        <w:t>El patrimonio generado se integra como se presenta a continuación:</w:t>
      </w:r>
    </w:p>
    <w:tbl>
      <w:tblPr>
        <w:tblW w:w="7797" w:type="dxa"/>
        <w:tblInd w:w="55" w:type="dxa"/>
        <w:tblCellMar>
          <w:left w:w="70" w:type="dxa"/>
          <w:right w:w="70" w:type="dxa"/>
        </w:tblCellMar>
        <w:tblLook w:val="04A0" w:firstRow="1" w:lastRow="0" w:firstColumn="1" w:lastColumn="0" w:noHBand="0" w:noVBand="1"/>
      </w:tblPr>
      <w:tblGrid>
        <w:gridCol w:w="6280"/>
        <w:gridCol w:w="1517"/>
      </w:tblGrid>
      <w:tr w:rsidR="007D55E3" w:rsidRPr="005C1091" w:rsidTr="00AC22C1">
        <w:trPr>
          <w:trHeight w:val="402"/>
        </w:trPr>
        <w:tc>
          <w:tcPr>
            <w:tcW w:w="6280" w:type="dxa"/>
            <w:tcBorders>
              <w:top w:val="single" w:sz="8" w:space="0" w:color="auto"/>
              <w:left w:val="single" w:sz="8" w:space="0" w:color="auto"/>
              <w:bottom w:val="single" w:sz="4" w:space="0" w:color="auto"/>
              <w:right w:val="single" w:sz="4"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Concepto</w:t>
            </w:r>
          </w:p>
        </w:tc>
        <w:tc>
          <w:tcPr>
            <w:tcW w:w="1517" w:type="dxa"/>
            <w:tcBorders>
              <w:top w:val="single" w:sz="8" w:space="0" w:color="auto"/>
              <w:left w:val="nil"/>
              <w:bottom w:val="single" w:sz="4" w:space="0" w:color="auto"/>
              <w:right w:val="single" w:sz="8" w:space="0" w:color="auto"/>
            </w:tcBorders>
            <w:shd w:val="clear" w:color="000000" w:fill="FFFFFF"/>
            <w:noWrap/>
            <w:hideMark/>
          </w:tcPr>
          <w:p w:rsidR="007D55E3" w:rsidRPr="005C1091" w:rsidRDefault="007D55E3" w:rsidP="00E4291A">
            <w:pPr>
              <w:spacing w:line="240" w:lineRule="auto"/>
              <w:jc w:val="both"/>
              <w:rPr>
                <w:rFonts w:cs="Arial"/>
                <w:sz w:val="20"/>
                <w:szCs w:val="20"/>
              </w:rPr>
            </w:pPr>
            <w:r w:rsidRPr="005C1091">
              <w:rPr>
                <w:rFonts w:cs="Arial"/>
                <w:sz w:val="20"/>
                <w:szCs w:val="20"/>
              </w:rPr>
              <w:t>Importe </w:t>
            </w:r>
          </w:p>
        </w:tc>
      </w:tr>
      <w:tr w:rsidR="007D55E3" w:rsidRPr="005C1091" w:rsidTr="00AC22C1">
        <w:trPr>
          <w:trHeight w:val="402"/>
        </w:trPr>
        <w:tc>
          <w:tcPr>
            <w:tcW w:w="6280" w:type="dxa"/>
            <w:tcBorders>
              <w:top w:val="nil"/>
              <w:left w:val="single" w:sz="8" w:space="0" w:color="auto"/>
              <w:bottom w:val="single" w:sz="4" w:space="0" w:color="auto"/>
              <w:right w:val="single" w:sz="4" w:space="0" w:color="auto"/>
            </w:tcBorders>
            <w:shd w:val="clear" w:color="000000" w:fill="FFFFFF"/>
            <w:noWrap/>
            <w:hideMark/>
          </w:tcPr>
          <w:p w:rsidR="007D55E3" w:rsidRPr="00AA0BFD" w:rsidRDefault="007D55E3" w:rsidP="00E4291A">
            <w:pPr>
              <w:spacing w:line="240" w:lineRule="auto"/>
              <w:jc w:val="both"/>
              <w:rPr>
                <w:rFonts w:cs="Arial"/>
                <w:b/>
                <w:sz w:val="20"/>
                <w:szCs w:val="20"/>
              </w:rPr>
            </w:pPr>
            <w:r w:rsidRPr="00AA0BFD">
              <w:rPr>
                <w:rFonts w:cs="Arial"/>
                <w:b/>
                <w:sz w:val="20"/>
                <w:szCs w:val="20"/>
              </w:rPr>
              <w:t>Resultado del Ejercicio (Ahorro/Desahorro)</w:t>
            </w:r>
          </w:p>
        </w:tc>
        <w:tc>
          <w:tcPr>
            <w:tcW w:w="1517" w:type="dxa"/>
            <w:tcBorders>
              <w:top w:val="nil"/>
              <w:left w:val="nil"/>
              <w:bottom w:val="single" w:sz="4" w:space="0" w:color="auto"/>
              <w:right w:val="single" w:sz="8" w:space="0" w:color="auto"/>
            </w:tcBorders>
            <w:shd w:val="clear" w:color="000000" w:fill="FFFFFF"/>
            <w:noWrap/>
            <w:hideMark/>
          </w:tcPr>
          <w:p w:rsidR="007D55E3" w:rsidRPr="00AA0BFD" w:rsidRDefault="00601382" w:rsidP="00B76367">
            <w:pPr>
              <w:spacing w:line="240" w:lineRule="auto"/>
              <w:jc w:val="both"/>
              <w:rPr>
                <w:rFonts w:cs="Arial"/>
                <w:b/>
                <w:sz w:val="20"/>
                <w:szCs w:val="20"/>
              </w:rPr>
            </w:pPr>
            <w:r>
              <w:rPr>
                <w:rFonts w:cs="Arial"/>
                <w:b/>
                <w:sz w:val="20"/>
                <w:szCs w:val="20"/>
              </w:rPr>
              <w:t xml:space="preserve">$ </w:t>
            </w:r>
            <w:r w:rsidR="007522AF">
              <w:rPr>
                <w:rFonts w:cs="Arial"/>
                <w:b/>
                <w:sz w:val="20"/>
                <w:szCs w:val="20"/>
              </w:rPr>
              <w:t>-</w:t>
            </w:r>
            <w:r w:rsidR="00B76367">
              <w:rPr>
                <w:rFonts w:cs="Arial"/>
                <w:b/>
                <w:sz w:val="20"/>
                <w:szCs w:val="20"/>
              </w:rPr>
              <w:t>541,518.26</w:t>
            </w:r>
          </w:p>
        </w:tc>
      </w:tr>
    </w:tbl>
    <w:p w:rsidR="007522AF" w:rsidRDefault="007522AF" w:rsidP="00E4291A">
      <w:pPr>
        <w:spacing w:line="240" w:lineRule="auto"/>
        <w:jc w:val="both"/>
        <w:rPr>
          <w:rFonts w:cs="Arial"/>
          <w:sz w:val="20"/>
          <w:szCs w:val="20"/>
        </w:rPr>
      </w:pPr>
    </w:p>
    <w:p w:rsidR="007522AF" w:rsidRPr="005C1091" w:rsidRDefault="007522AF" w:rsidP="00E4291A">
      <w:pPr>
        <w:spacing w:line="240" w:lineRule="auto"/>
        <w:jc w:val="both"/>
        <w:rPr>
          <w:rFonts w:cs="Arial"/>
          <w:sz w:val="20"/>
          <w:szCs w:val="20"/>
        </w:rPr>
      </w:pPr>
    </w:p>
    <w:p w:rsidR="007D55E3" w:rsidRPr="00CC5473" w:rsidRDefault="007D55E3" w:rsidP="00E4291A">
      <w:pPr>
        <w:spacing w:line="240" w:lineRule="auto"/>
        <w:jc w:val="both"/>
        <w:rPr>
          <w:rFonts w:cs="Arial"/>
          <w:b/>
          <w:sz w:val="20"/>
          <w:szCs w:val="20"/>
        </w:rPr>
      </w:pPr>
      <w:r w:rsidRPr="00CC5473">
        <w:rPr>
          <w:rFonts w:cs="Arial"/>
          <w:b/>
          <w:sz w:val="20"/>
          <w:szCs w:val="20"/>
        </w:rPr>
        <w:t>IV)</w:t>
      </w:r>
      <w:r w:rsidRPr="00CC5473">
        <w:rPr>
          <w:rFonts w:cs="Arial"/>
          <w:b/>
          <w:sz w:val="20"/>
          <w:szCs w:val="20"/>
        </w:rPr>
        <w:tab/>
        <w:t xml:space="preserve">Notas al Estado de Flujos de Efectivo </w:t>
      </w:r>
    </w:p>
    <w:p w:rsidR="007D55E3" w:rsidRPr="005C1091" w:rsidRDefault="007D55E3" w:rsidP="00E4291A">
      <w:pPr>
        <w:spacing w:line="240" w:lineRule="auto"/>
        <w:jc w:val="both"/>
        <w:rPr>
          <w:rFonts w:cs="Arial"/>
          <w:sz w:val="20"/>
          <w:szCs w:val="20"/>
        </w:rPr>
      </w:pPr>
      <w:r w:rsidRPr="005C1091">
        <w:rPr>
          <w:rFonts w:cs="Arial"/>
          <w:sz w:val="20"/>
          <w:szCs w:val="20"/>
        </w:rPr>
        <w:t>Efectivo y equivalentes</w:t>
      </w:r>
    </w:p>
    <w:p w:rsidR="007D55E3" w:rsidRPr="005C1091" w:rsidRDefault="007D55E3" w:rsidP="00E4291A">
      <w:pPr>
        <w:spacing w:line="240" w:lineRule="auto"/>
        <w:jc w:val="both"/>
        <w:rPr>
          <w:rFonts w:cs="Arial"/>
          <w:sz w:val="20"/>
          <w:szCs w:val="20"/>
        </w:rPr>
      </w:pPr>
      <w:r w:rsidRPr="005C1091">
        <w:rPr>
          <w:rFonts w:cs="Arial"/>
          <w:sz w:val="20"/>
          <w:szCs w:val="20"/>
        </w:rPr>
        <w:tab/>
        <w:t>El análisis de los saldos inicial y final que figuran en la última parte del Estado de Flujo de Efectivo está conformado de la siguiente manera:</w:t>
      </w:r>
    </w:p>
    <w:tbl>
      <w:tblPr>
        <w:tblStyle w:val="Tablaconcuadrcula"/>
        <w:tblpPr w:leftFromText="141" w:rightFromText="141" w:vertAnchor="text" w:horzAnchor="page" w:tblpX="2818" w:tblpY="77"/>
        <w:tblW w:w="0" w:type="auto"/>
        <w:tblLook w:val="0000" w:firstRow="0" w:lastRow="0" w:firstColumn="0" w:lastColumn="0" w:noHBand="0" w:noVBand="0"/>
      </w:tblPr>
      <w:tblGrid>
        <w:gridCol w:w="2791"/>
        <w:gridCol w:w="1132"/>
        <w:gridCol w:w="1132"/>
      </w:tblGrid>
      <w:tr w:rsidR="005C1091" w:rsidRPr="005C1091" w:rsidTr="005C1091">
        <w:tc>
          <w:tcPr>
            <w:tcW w:w="0" w:type="auto"/>
          </w:tcPr>
          <w:p w:rsidR="005C1091" w:rsidRPr="005C1091" w:rsidRDefault="005C1091" w:rsidP="00E4291A">
            <w:pPr>
              <w:jc w:val="both"/>
              <w:rPr>
                <w:rFonts w:asciiTheme="minorHAnsi" w:hAnsiTheme="minorHAnsi" w:cs="Arial"/>
              </w:rPr>
            </w:pPr>
          </w:p>
        </w:tc>
        <w:tc>
          <w:tcPr>
            <w:tcW w:w="0" w:type="auto"/>
          </w:tcPr>
          <w:p w:rsidR="005C1091" w:rsidRPr="005C1091" w:rsidRDefault="00B232BB" w:rsidP="00E4291A">
            <w:pPr>
              <w:jc w:val="both"/>
              <w:rPr>
                <w:rFonts w:asciiTheme="minorHAnsi" w:hAnsiTheme="minorHAnsi" w:cs="Arial"/>
              </w:rPr>
            </w:pPr>
            <w:r>
              <w:rPr>
                <w:rFonts w:asciiTheme="minorHAnsi" w:hAnsiTheme="minorHAnsi" w:cs="Arial"/>
              </w:rPr>
              <w:t>2017</w:t>
            </w:r>
          </w:p>
        </w:tc>
        <w:tc>
          <w:tcPr>
            <w:tcW w:w="0" w:type="auto"/>
          </w:tcPr>
          <w:p w:rsidR="005C1091" w:rsidRPr="005C1091" w:rsidRDefault="00B232BB" w:rsidP="00E4291A">
            <w:pPr>
              <w:jc w:val="both"/>
              <w:rPr>
                <w:rFonts w:asciiTheme="minorHAnsi" w:hAnsiTheme="minorHAnsi" w:cs="Arial"/>
              </w:rPr>
            </w:pPr>
            <w:r>
              <w:rPr>
                <w:rFonts w:asciiTheme="minorHAnsi" w:hAnsiTheme="minorHAnsi" w:cs="Arial"/>
              </w:rPr>
              <w:t>2016</w:t>
            </w:r>
          </w:p>
        </w:tc>
      </w:tr>
      <w:tr w:rsidR="00B232BB" w:rsidRPr="005C1091" w:rsidTr="005C1091">
        <w:trPr>
          <w:trHeight w:val="514"/>
        </w:trPr>
        <w:tc>
          <w:tcPr>
            <w:tcW w:w="0" w:type="auto"/>
          </w:tcPr>
          <w:p w:rsidR="00B232BB" w:rsidRPr="005C1091" w:rsidRDefault="00B232BB" w:rsidP="00B232BB">
            <w:pPr>
              <w:jc w:val="both"/>
              <w:rPr>
                <w:rFonts w:asciiTheme="minorHAnsi" w:hAnsiTheme="minorHAnsi" w:cs="Arial"/>
              </w:rPr>
            </w:pPr>
            <w:r w:rsidRPr="005C1091">
              <w:rPr>
                <w:rFonts w:asciiTheme="minorHAnsi" w:hAnsiTheme="minorHAnsi" w:cs="Arial"/>
              </w:rPr>
              <w:t>Efectivo en Bancos</w:t>
            </w:r>
          </w:p>
        </w:tc>
        <w:tc>
          <w:tcPr>
            <w:tcW w:w="0" w:type="auto"/>
          </w:tcPr>
          <w:p w:rsidR="00B232BB" w:rsidRPr="005C1091" w:rsidRDefault="00B76367" w:rsidP="00B232BB">
            <w:pPr>
              <w:jc w:val="both"/>
              <w:rPr>
                <w:rFonts w:asciiTheme="minorHAnsi" w:hAnsiTheme="minorHAnsi" w:cs="Arial"/>
              </w:rPr>
            </w:pPr>
            <w:r>
              <w:rPr>
                <w:rFonts w:asciiTheme="minorHAnsi" w:hAnsiTheme="minorHAnsi" w:cs="Arial"/>
              </w:rPr>
              <w:t>469,532.25</w:t>
            </w:r>
          </w:p>
        </w:tc>
        <w:tc>
          <w:tcPr>
            <w:tcW w:w="0" w:type="auto"/>
          </w:tcPr>
          <w:p w:rsidR="005C2A42" w:rsidRPr="005C2A42" w:rsidRDefault="00B76367" w:rsidP="005C2A42">
            <w:pPr>
              <w:jc w:val="both"/>
              <w:rPr>
                <w:rFonts w:asciiTheme="minorHAnsi" w:hAnsiTheme="minorHAnsi" w:cs="Arial"/>
              </w:rPr>
            </w:pPr>
            <w:r>
              <w:rPr>
                <w:rFonts w:asciiTheme="minorHAnsi" w:hAnsiTheme="minorHAnsi" w:cs="Arial"/>
              </w:rPr>
              <w:t>625,274.17</w:t>
            </w:r>
          </w:p>
          <w:p w:rsidR="00B232BB" w:rsidRPr="005C1091" w:rsidRDefault="00B232BB" w:rsidP="00B232BB">
            <w:pPr>
              <w:jc w:val="both"/>
              <w:rPr>
                <w:rFonts w:asciiTheme="minorHAnsi" w:hAnsiTheme="minorHAnsi" w:cs="Arial"/>
              </w:rPr>
            </w:pPr>
          </w:p>
        </w:tc>
      </w:tr>
      <w:tr w:rsidR="00B76367" w:rsidRPr="005C1091" w:rsidTr="005C1091">
        <w:trPr>
          <w:trHeight w:val="286"/>
        </w:trPr>
        <w:tc>
          <w:tcPr>
            <w:tcW w:w="0" w:type="auto"/>
          </w:tcPr>
          <w:p w:rsidR="00B76367" w:rsidRPr="005C1091" w:rsidRDefault="00B76367" w:rsidP="00B76367">
            <w:pPr>
              <w:jc w:val="both"/>
              <w:rPr>
                <w:rFonts w:asciiTheme="minorHAnsi" w:hAnsiTheme="minorHAnsi" w:cs="Arial"/>
              </w:rPr>
            </w:pPr>
            <w:r w:rsidRPr="005C1091">
              <w:rPr>
                <w:rFonts w:asciiTheme="minorHAnsi" w:hAnsiTheme="minorHAnsi" w:cs="Arial"/>
              </w:rPr>
              <w:t>Total de Efectivo y Equivalentes</w:t>
            </w:r>
          </w:p>
        </w:tc>
        <w:tc>
          <w:tcPr>
            <w:tcW w:w="0" w:type="auto"/>
          </w:tcPr>
          <w:p w:rsidR="00B76367" w:rsidRPr="00B76367" w:rsidRDefault="00B76367" w:rsidP="00B76367">
            <w:pPr>
              <w:jc w:val="both"/>
              <w:rPr>
                <w:rFonts w:asciiTheme="minorHAnsi" w:hAnsiTheme="minorHAnsi" w:cs="Arial"/>
                <w:b/>
              </w:rPr>
            </w:pPr>
            <w:r w:rsidRPr="00B76367">
              <w:rPr>
                <w:rFonts w:asciiTheme="minorHAnsi" w:hAnsiTheme="minorHAnsi" w:cs="Arial"/>
                <w:b/>
              </w:rPr>
              <w:t>469,532.25</w:t>
            </w:r>
          </w:p>
        </w:tc>
        <w:tc>
          <w:tcPr>
            <w:tcW w:w="0" w:type="auto"/>
          </w:tcPr>
          <w:p w:rsidR="00B76367" w:rsidRPr="00B76367" w:rsidRDefault="00B76367" w:rsidP="00B76367">
            <w:pPr>
              <w:jc w:val="both"/>
              <w:rPr>
                <w:rFonts w:asciiTheme="minorHAnsi" w:hAnsiTheme="minorHAnsi" w:cs="Arial"/>
                <w:b/>
              </w:rPr>
            </w:pPr>
            <w:r w:rsidRPr="00B76367">
              <w:rPr>
                <w:rFonts w:asciiTheme="minorHAnsi" w:hAnsiTheme="minorHAnsi" w:cs="Arial"/>
                <w:b/>
              </w:rPr>
              <w:t>625,274.17</w:t>
            </w:r>
          </w:p>
        </w:tc>
      </w:tr>
    </w:tbl>
    <w:p w:rsidR="007D55E3" w:rsidRPr="005C1091" w:rsidRDefault="007D55E3" w:rsidP="00E4291A">
      <w:pPr>
        <w:spacing w:line="240" w:lineRule="auto"/>
        <w:jc w:val="both"/>
        <w:rPr>
          <w:rFonts w:cs="Arial"/>
          <w:sz w:val="20"/>
          <w:szCs w:val="20"/>
        </w:rPr>
      </w:pPr>
    </w:p>
    <w:p w:rsidR="007D55E3" w:rsidRPr="005C1091" w:rsidRDefault="007D55E3" w:rsidP="00E4291A">
      <w:pPr>
        <w:spacing w:line="240" w:lineRule="auto"/>
        <w:jc w:val="both"/>
        <w:rPr>
          <w:rFonts w:cs="Arial"/>
          <w:sz w:val="20"/>
          <w:szCs w:val="20"/>
        </w:rPr>
      </w:pPr>
    </w:p>
    <w:p w:rsidR="00594617" w:rsidRPr="005C1091" w:rsidRDefault="00594617" w:rsidP="00E4291A">
      <w:pPr>
        <w:spacing w:line="240" w:lineRule="auto"/>
        <w:jc w:val="both"/>
        <w:rPr>
          <w:rFonts w:cs="Arial"/>
          <w:sz w:val="20"/>
          <w:szCs w:val="20"/>
        </w:rPr>
      </w:pPr>
    </w:p>
    <w:p w:rsidR="00594617" w:rsidRPr="00CC5473" w:rsidRDefault="00594617" w:rsidP="00E4291A">
      <w:pPr>
        <w:tabs>
          <w:tab w:val="left" w:pos="3270"/>
        </w:tabs>
        <w:spacing w:line="240" w:lineRule="auto"/>
        <w:jc w:val="both"/>
        <w:rPr>
          <w:rFonts w:cs="Arial"/>
          <w:b/>
          <w:sz w:val="20"/>
          <w:szCs w:val="20"/>
        </w:rPr>
      </w:pPr>
      <w:r w:rsidRPr="00CC5473">
        <w:rPr>
          <w:rFonts w:cs="Arial"/>
          <w:b/>
          <w:sz w:val="20"/>
          <w:szCs w:val="20"/>
        </w:rPr>
        <w:t>NOTAS DE MEMORIA</w:t>
      </w:r>
      <w:r w:rsidR="00CC5473" w:rsidRPr="00CC5473">
        <w:rPr>
          <w:rFonts w:cs="Arial"/>
          <w:b/>
          <w:sz w:val="20"/>
          <w:szCs w:val="20"/>
        </w:rPr>
        <w:tab/>
      </w:r>
    </w:p>
    <w:p w:rsidR="002C58EF" w:rsidRPr="00195872" w:rsidRDefault="007D55E3" w:rsidP="00E4291A">
      <w:pPr>
        <w:spacing w:line="240" w:lineRule="auto"/>
        <w:jc w:val="both"/>
        <w:rPr>
          <w:rFonts w:cs="Arial"/>
          <w:sz w:val="20"/>
          <w:szCs w:val="20"/>
        </w:rPr>
      </w:pPr>
      <w:r w:rsidRPr="005C1091">
        <w:rPr>
          <w:rFonts w:cs="Arial"/>
          <w:sz w:val="20"/>
          <w:szCs w:val="20"/>
        </w:rPr>
        <w:t xml:space="preserve">La Universidad Tecnológica del </w:t>
      </w:r>
      <w:proofErr w:type="spellStart"/>
      <w:r w:rsidRPr="005C1091">
        <w:rPr>
          <w:rFonts w:cs="Arial"/>
          <w:sz w:val="20"/>
          <w:szCs w:val="20"/>
        </w:rPr>
        <w:t>Mayab</w:t>
      </w:r>
      <w:proofErr w:type="spellEnd"/>
      <w:r w:rsidRPr="005C1091">
        <w:rPr>
          <w:rFonts w:cs="Arial"/>
          <w:sz w:val="20"/>
          <w:szCs w:val="20"/>
        </w:rPr>
        <w:t xml:space="preserve"> no cuenta con cuentas de orden.</w:t>
      </w:r>
    </w:p>
    <w:p w:rsidR="002C58EF" w:rsidRPr="004732C8" w:rsidRDefault="002C58EF" w:rsidP="004732C8">
      <w:pPr>
        <w:spacing w:line="240" w:lineRule="auto"/>
        <w:jc w:val="both"/>
        <w:rPr>
          <w:rFonts w:cs="Arial"/>
          <w:sz w:val="20"/>
          <w:szCs w:val="20"/>
        </w:rPr>
      </w:pPr>
      <w:r w:rsidRPr="004732C8">
        <w:rPr>
          <w:rFonts w:cs="Arial"/>
          <w:sz w:val="20"/>
          <w:szCs w:val="20"/>
        </w:rPr>
        <w:t xml:space="preserve">Bajo protesta de </w:t>
      </w:r>
      <w:r w:rsidR="004732C8">
        <w:rPr>
          <w:rFonts w:cs="Arial"/>
          <w:sz w:val="20"/>
          <w:szCs w:val="20"/>
        </w:rPr>
        <w:t>decir</w:t>
      </w:r>
      <w:r w:rsidRPr="004732C8">
        <w:rPr>
          <w:rFonts w:cs="Arial"/>
          <w:sz w:val="20"/>
          <w:szCs w:val="20"/>
        </w:rPr>
        <w:t xml:space="preserve"> verdad declaramos que los Estados Financieros y sus </w:t>
      </w:r>
      <w:r w:rsidR="008C176D">
        <w:rPr>
          <w:rFonts w:cs="Arial"/>
          <w:sz w:val="20"/>
          <w:szCs w:val="20"/>
        </w:rPr>
        <w:t>N</w:t>
      </w:r>
      <w:bookmarkStart w:id="0" w:name="_GoBack"/>
      <w:bookmarkEnd w:id="0"/>
      <w:r w:rsidRPr="004732C8">
        <w:rPr>
          <w:rFonts w:cs="Arial"/>
          <w:sz w:val="20"/>
          <w:szCs w:val="20"/>
        </w:rPr>
        <w:t>otas son razonablemente correctos y responsabilidad del emisor.</w:t>
      </w:r>
    </w:p>
    <w:sectPr w:rsidR="002C58EF" w:rsidRPr="004732C8" w:rsidSect="008C176D">
      <w:footerReference w:type="default" r:id="rId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86B" w:rsidRDefault="00C2486B" w:rsidP="00195872">
      <w:pPr>
        <w:spacing w:after="0" w:line="240" w:lineRule="auto"/>
      </w:pPr>
      <w:r>
        <w:separator/>
      </w:r>
    </w:p>
  </w:endnote>
  <w:endnote w:type="continuationSeparator" w:id="0">
    <w:p w:rsidR="00C2486B" w:rsidRDefault="00C2486B" w:rsidP="0019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72" w:rsidRPr="00195872" w:rsidRDefault="00195872">
    <w:pPr>
      <w:pStyle w:val="Piedepgina"/>
      <w:jc w:val="right"/>
      <w:rPr>
        <w:b/>
      </w:rPr>
    </w:pPr>
  </w:p>
  <w:p w:rsidR="00195872" w:rsidRDefault="001958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86B" w:rsidRDefault="00C2486B" w:rsidP="00195872">
      <w:pPr>
        <w:spacing w:after="0" w:line="240" w:lineRule="auto"/>
      </w:pPr>
      <w:r>
        <w:separator/>
      </w:r>
    </w:p>
  </w:footnote>
  <w:footnote w:type="continuationSeparator" w:id="0">
    <w:p w:rsidR="00C2486B" w:rsidRDefault="00C2486B" w:rsidP="00195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6F3344A1"/>
    <w:multiLevelType w:val="hybridMultilevel"/>
    <w:tmpl w:val="4EB259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AEA27B0"/>
    <w:multiLevelType w:val="hybridMultilevel"/>
    <w:tmpl w:val="AF7820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B86099A"/>
    <w:multiLevelType w:val="hybridMultilevel"/>
    <w:tmpl w:val="2214D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6003E"/>
    <w:rsid w:val="0006188D"/>
    <w:rsid w:val="000773CA"/>
    <w:rsid w:val="000B01B2"/>
    <w:rsid w:val="00132F7C"/>
    <w:rsid w:val="00195872"/>
    <w:rsid w:val="0027073C"/>
    <w:rsid w:val="002A7869"/>
    <w:rsid w:val="002C58EF"/>
    <w:rsid w:val="002C6CCA"/>
    <w:rsid w:val="002D788C"/>
    <w:rsid w:val="003129FF"/>
    <w:rsid w:val="0036525D"/>
    <w:rsid w:val="00374448"/>
    <w:rsid w:val="003E2DC9"/>
    <w:rsid w:val="003E5BEC"/>
    <w:rsid w:val="003F00B6"/>
    <w:rsid w:val="00432C1A"/>
    <w:rsid w:val="004732C8"/>
    <w:rsid w:val="004A0705"/>
    <w:rsid w:val="005620D4"/>
    <w:rsid w:val="00594617"/>
    <w:rsid w:val="005C1091"/>
    <w:rsid w:val="005C2A42"/>
    <w:rsid w:val="005D6466"/>
    <w:rsid w:val="00601382"/>
    <w:rsid w:val="00626DFB"/>
    <w:rsid w:val="0067300E"/>
    <w:rsid w:val="006F0BF0"/>
    <w:rsid w:val="006F3019"/>
    <w:rsid w:val="007522AF"/>
    <w:rsid w:val="007D55E3"/>
    <w:rsid w:val="007E2674"/>
    <w:rsid w:val="008C176D"/>
    <w:rsid w:val="008C23DA"/>
    <w:rsid w:val="008F151E"/>
    <w:rsid w:val="00915AD7"/>
    <w:rsid w:val="00934109"/>
    <w:rsid w:val="009F0748"/>
    <w:rsid w:val="00A51C74"/>
    <w:rsid w:val="00AA0BFD"/>
    <w:rsid w:val="00AB30B7"/>
    <w:rsid w:val="00B0078B"/>
    <w:rsid w:val="00B232BB"/>
    <w:rsid w:val="00B56042"/>
    <w:rsid w:val="00B76367"/>
    <w:rsid w:val="00B90BB3"/>
    <w:rsid w:val="00BF6CAF"/>
    <w:rsid w:val="00C2486B"/>
    <w:rsid w:val="00CC5473"/>
    <w:rsid w:val="00D3786E"/>
    <w:rsid w:val="00D72313"/>
    <w:rsid w:val="00D83798"/>
    <w:rsid w:val="00E4291A"/>
    <w:rsid w:val="00EC3BFD"/>
    <w:rsid w:val="00ED2E4F"/>
    <w:rsid w:val="00EE35D1"/>
    <w:rsid w:val="00F25686"/>
    <w:rsid w:val="00F327D5"/>
    <w:rsid w:val="00F428A2"/>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qFormat/>
    <w:rsid w:val="007D55E3"/>
    <w:pPr>
      <w:spacing w:after="101" w:line="216" w:lineRule="exact"/>
      <w:ind w:firstLine="288"/>
      <w:jc w:val="both"/>
    </w:pPr>
    <w:rPr>
      <w:rFonts w:ascii="Arial" w:eastAsia="Times New Roman" w:hAnsi="Arial" w:cs="Times New Roman"/>
      <w:sz w:val="18"/>
      <w:szCs w:val="20"/>
      <w:lang w:val="es-ES" w:eastAsia="es-ES"/>
    </w:rPr>
  </w:style>
  <w:style w:type="paragraph" w:customStyle="1" w:styleId="ROMANOS">
    <w:name w:val="ROMANOS"/>
    <w:basedOn w:val="Normal"/>
    <w:rsid w:val="007D55E3"/>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7D55E3"/>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7D55E3"/>
    <w:rPr>
      <w:rFonts w:ascii="Arial" w:eastAsia="Times New Roman" w:hAnsi="Arial" w:cs="Times New Roman"/>
      <w:sz w:val="18"/>
      <w:szCs w:val="20"/>
      <w:lang w:val="es-ES" w:eastAsia="es-ES"/>
    </w:rPr>
  </w:style>
  <w:style w:type="paragraph" w:styleId="Prrafodelista">
    <w:name w:val="List Paragraph"/>
    <w:basedOn w:val="Normal"/>
    <w:uiPriority w:val="34"/>
    <w:qFormat/>
    <w:rsid w:val="007D55E3"/>
    <w:pPr>
      <w:ind w:left="720"/>
      <w:contextualSpacing/>
    </w:pPr>
    <w:rPr>
      <w:rFonts w:ascii="Calibri" w:eastAsia="Calibri" w:hAnsi="Calibri" w:cs="Times New Roman"/>
    </w:rPr>
  </w:style>
  <w:style w:type="paragraph" w:styleId="NormalWeb">
    <w:name w:val="Normal (Web)"/>
    <w:basedOn w:val="Normal"/>
    <w:uiPriority w:val="99"/>
    <w:semiHidden/>
    <w:unhideWhenUsed/>
    <w:rsid w:val="0019587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Nmerodelnea">
    <w:name w:val="line number"/>
    <w:basedOn w:val="Fuentedeprrafopredeter"/>
    <w:uiPriority w:val="99"/>
    <w:semiHidden/>
    <w:unhideWhenUsed/>
    <w:rsid w:val="00195872"/>
  </w:style>
  <w:style w:type="paragraph" w:styleId="Encabezado">
    <w:name w:val="header"/>
    <w:basedOn w:val="Normal"/>
    <w:link w:val="EncabezadoCar"/>
    <w:uiPriority w:val="99"/>
    <w:unhideWhenUsed/>
    <w:rsid w:val="001958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872"/>
  </w:style>
  <w:style w:type="paragraph" w:styleId="Piedepgina">
    <w:name w:val="footer"/>
    <w:basedOn w:val="Normal"/>
    <w:link w:val="PiedepginaCar"/>
    <w:uiPriority w:val="99"/>
    <w:unhideWhenUsed/>
    <w:rsid w:val="001958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5872"/>
  </w:style>
  <w:style w:type="paragraph" w:styleId="Textodeglobo">
    <w:name w:val="Balloon Text"/>
    <w:basedOn w:val="Normal"/>
    <w:link w:val="TextodegloboCar"/>
    <w:uiPriority w:val="99"/>
    <w:semiHidden/>
    <w:unhideWhenUsed/>
    <w:rsid w:val="001958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587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o">
    <w:name w:val="Texto"/>
    <w:basedOn w:val="Normal"/>
    <w:link w:val="TextoCar"/>
    <w:qFormat/>
    <w:rsid w:val="007D55E3"/>
    <w:pPr>
      <w:spacing w:after="101" w:line="216" w:lineRule="exact"/>
      <w:ind w:firstLine="288"/>
      <w:jc w:val="both"/>
    </w:pPr>
    <w:rPr>
      <w:rFonts w:ascii="Arial" w:eastAsia="Times New Roman" w:hAnsi="Arial" w:cs="Times New Roman"/>
      <w:sz w:val="18"/>
      <w:szCs w:val="20"/>
      <w:lang w:val="es-ES" w:eastAsia="es-ES"/>
    </w:rPr>
  </w:style>
  <w:style w:type="paragraph" w:customStyle="1" w:styleId="ROMANOS">
    <w:name w:val="ROMANOS"/>
    <w:basedOn w:val="Normal"/>
    <w:rsid w:val="007D55E3"/>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7D55E3"/>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7D55E3"/>
    <w:rPr>
      <w:rFonts w:ascii="Arial" w:eastAsia="Times New Roman" w:hAnsi="Arial" w:cs="Times New Roman"/>
      <w:sz w:val="18"/>
      <w:szCs w:val="20"/>
      <w:lang w:val="es-ES" w:eastAsia="es-ES"/>
    </w:rPr>
  </w:style>
  <w:style w:type="paragraph" w:styleId="Prrafodelista">
    <w:name w:val="List Paragraph"/>
    <w:basedOn w:val="Normal"/>
    <w:uiPriority w:val="34"/>
    <w:qFormat/>
    <w:rsid w:val="007D55E3"/>
    <w:pPr>
      <w:ind w:left="720"/>
      <w:contextualSpacing/>
    </w:pPr>
    <w:rPr>
      <w:rFonts w:ascii="Calibri" w:eastAsia="Calibri" w:hAnsi="Calibri" w:cs="Times New Roman"/>
    </w:rPr>
  </w:style>
  <w:style w:type="paragraph" w:styleId="NormalWeb">
    <w:name w:val="Normal (Web)"/>
    <w:basedOn w:val="Normal"/>
    <w:uiPriority w:val="99"/>
    <w:semiHidden/>
    <w:unhideWhenUsed/>
    <w:rsid w:val="0019587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Nmerodelnea">
    <w:name w:val="line number"/>
    <w:basedOn w:val="Fuentedeprrafopredeter"/>
    <w:uiPriority w:val="99"/>
    <w:semiHidden/>
    <w:unhideWhenUsed/>
    <w:rsid w:val="00195872"/>
  </w:style>
  <w:style w:type="paragraph" w:styleId="Encabezado">
    <w:name w:val="header"/>
    <w:basedOn w:val="Normal"/>
    <w:link w:val="EncabezadoCar"/>
    <w:uiPriority w:val="99"/>
    <w:unhideWhenUsed/>
    <w:rsid w:val="001958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872"/>
  </w:style>
  <w:style w:type="paragraph" w:styleId="Piedepgina">
    <w:name w:val="footer"/>
    <w:basedOn w:val="Normal"/>
    <w:link w:val="PiedepginaCar"/>
    <w:uiPriority w:val="99"/>
    <w:unhideWhenUsed/>
    <w:rsid w:val="001958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5872"/>
  </w:style>
  <w:style w:type="paragraph" w:styleId="Textodeglobo">
    <w:name w:val="Balloon Text"/>
    <w:basedOn w:val="Normal"/>
    <w:link w:val="TextodegloboCar"/>
    <w:uiPriority w:val="99"/>
    <w:semiHidden/>
    <w:unhideWhenUsed/>
    <w:rsid w:val="001958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5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56536">
      <w:bodyDiv w:val="1"/>
      <w:marLeft w:val="0"/>
      <w:marRight w:val="0"/>
      <w:marTop w:val="0"/>
      <w:marBottom w:val="0"/>
      <w:divBdr>
        <w:top w:val="none" w:sz="0" w:space="0" w:color="auto"/>
        <w:left w:val="none" w:sz="0" w:space="0" w:color="auto"/>
        <w:bottom w:val="none" w:sz="0" w:space="0" w:color="auto"/>
        <w:right w:val="none" w:sz="0" w:space="0" w:color="auto"/>
      </w:divBdr>
    </w:div>
    <w:div w:id="1488280375">
      <w:bodyDiv w:val="1"/>
      <w:marLeft w:val="0"/>
      <w:marRight w:val="0"/>
      <w:marTop w:val="0"/>
      <w:marBottom w:val="0"/>
      <w:divBdr>
        <w:top w:val="none" w:sz="0" w:space="0" w:color="auto"/>
        <w:left w:val="none" w:sz="0" w:space="0" w:color="auto"/>
        <w:bottom w:val="none" w:sz="0" w:space="0" w:color="auto"/>
        <w:right w:val="none" w:sz="0" w:space="0" w:color="auto"/>
      </w:divBdr>
    </w:div>
    <w:div w:id="19514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DB0DD-40A0-46C6-B834-C99814B8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1653</Words>
  <Characters>9094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Alvar Ricardo Cachón Pérez</cp:lastModifiedBy>
  <cp:revision>4</cp:revision>
  <cp:lastPrinted>2017-02-20T19:38:00Z</cp:lastPrinted>
  <dcterms:created xsi:type="dcterms:W3CDTF">2017-04-27T18:13:00Z</dcterms:created>
  <dcterms:modified xsi:type="dcterms:W3CDTF">2018-05-08T14:43:00Z</dcterms:modified>
</cp:coreProperties>
</file>