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5D8" w:rsidRPr="00E21637" w:rsidRDefault="006F3019" w:rsidP="006F3019">
      <w:pPr>
        <w:spacing w:line="240" w:lineRule="auto"/>
        <w:jc w:val="center"/>
        <w:rPr>
          <w:rFonts w:eastAsia="Calibri" w:cs="Arial"/>
          <w:b/>
          <w:sz w:val="20"/>
          <w:szCs w:val="20"/>
          <w:lang w:val="es-ES"/>
        </w:rPr>
      </w:pPr>
      <w:r w:rsidRPr="00E21637">
        <w:rPr>
          <w:rFonts w:eastAsia="Calibri" w:cs="Arial"/>
          <w:b/>
          <w:sz w:val="20"/>
          <w:szCs w:val="20"/>
          <w:lang w:val="es-ES"/>
        </w:rPr>
        <w:t>Cuenta Pública</w:t>
      </w:r>
      <w:r w:rsidR="003843EA">
        <w:rPr>
          <w:rFonts w:eastAsia="Calibri" w:cs="Arial"/>
          <w:b/>
          <w:sz w:val="20"/>
          <w:szCs w:val="20"/>
          <w:lang w:val="es-ES"/>
        </w:rPr>
        <w:t xml:space="preserve"> 2017</w:t>
      </w:r>
    </w:p>
    <w:p w:rsidR="006F3019" w:rsidRPr="00E21637" w:rsidRDefault="006F0BF0" w:rsidP="006F3019">
      <w:pPr>
        <w:spacing w:line="240" w:lineRule="auto"/>
        <w:jc w:val="center"/>
        <w:rPr>
          <w:rFonts w:eastAsia="Calibri" w:cs="Arial"/>
          <w:b/>
          <w:sz w:val="20"/>
          <w:szCs w:val="20"/>
          <w:lang w:val="es-ES"/>
        </w:rPr>
      </w:pPr>
      <w:r w:rsidRPr="00E21637">
        <w:rPr>
          <w:rFonts w:eastAsia="Calibri" w:cs="Arial"/>
          <w:b/>
          <w:sz w:val="20"/>
          <w:szCs w:val="20"/>
          <w:lang w:val="es-ES"/>
        </w:rPr>
        <w:t>Notas a los Estados Financieros</w:t>
      </w:r>
    </w:p>
    <w:p w:rsidR="006F3019" w:rsidRPr="00E21637" w:rsidRDefault="000773CA" w:rsidP="006F3019">
      <w:pPr>
        <w:spacing w:line="240" w:lineRule="auto"/>
        <w:jc w:val="center"/>
        <w:rPr>
          <w:rFonts w:eastAsia="Calibri" w:cs="Arial"/>
          <w:b/>
          <w:sz w:val="20"/>
          <w:szCs w:val="20"/>
          <w:lang w:val="es-ES"/>
        </w:rPr>
      </w:pPr>
      <w:r w:rsidRPr="00E21637">
        <w:rPr>
          <w:rFonts w:eastAsia="Calibri" w:cs="Arial"/>
          <w:b/>
          <w:sz w:val="20"/>
          <w:szCs w:val="20"/>
          <w:lang w:val="es-ES"/>
        </w:rPr>
        <w:t>A</w:t>
      </w:r>
      <w:r w:rsidR="003843EA">
        <w:rPr>
          <w:rFonts w:eastAsia="Calibri" w:cs="Arial"/>
          <w:b/>
          <w:sz w:val="20"/>
          <w:szCs w:val="20"/>
          <w:lang w:val="es-ES"/>
        </w:rPr>
        <w:t>l 31 de Marzo de 2017</w:t>
      </w:r>
    </w:p>
    <w:p w:rsidR="006F3019" w:rsidRPr="00E21637" w:rsidRDefault="006F3019" w:rsidP="006F3019">
      <w:pPr>
        <w:spacing w:line="240" w:lineRule="auto"/>
        <w:jc w:val="center"/>
        <w:rPr>
          <w:rFonts w:eastAsia="Calibri" w:cs="Arial"/>
          <w:b/>
          <w:sz w:val="20"/>
          <w:szCs w:val="20"/>
          <w:lang w:val="es-ES"/>
        </w:rPr>
      </w:pPr>
      <w:r w:rsidRPr="00E21637">
        <w:rPr>
          <w:rFonts w:eastAsia="Calibri" w:cs="Arial"/>
          <w:b/>
          <w:sz w:val="20"/>
          <w:szCs w:val="20"/>
          <w:lang w:val="es-ES"/>
        </w:rPr>
        <w:t>(Pesos)</w:t>
      </w:r>
    </w:p>
    <w:p w:rsidR="006F3019" w:rsidRPr="00E21637" w:rsidRDefault="006F3019" w:rsidP="006F3019">
      <w:pPr>
        <w:spacing w:line="240" w:lineRule="auto"/>
        <w:jc w:val="center"/>
        <w:rPr>
          <w:rFonts w:eastAsia="Calibri" w:cs="Arial"/>
          <w:b/>
          <w:sz w:val="20"/>
          <w:szCs w:val="20"/>
          <w:lang w:val="es-ES"/>
        </w:rPr>
      </w:pPr>
    </w:p>
    <w:p w:rsidR="006F3019" w:rsidRPr="00E21637" w:rsidRDefault="00CC7969" w:rsidP="006F3019">
      <w:pPr>
        <w:spacing w:line="240" w:lineRule="auto"/>
        <w:rPr>
          <w:rFonts w:cs="Arial"/>
          <w:b/>
          <w:sz w:val="20"/>
          <w:szCs w:val="20"/>
        </w:rPr>
      </w:pPr>
      <w:r w:rsidRPr="00E21637">
        <w:rPr>
          <w:rFonts w:cs="Arial"/>
          <w:b/>
          <w:sz w:val="20"/>
          <w:szCs w:val="20"/>
        </w:rPr>
        <w:t>Ente Público</w:t>
      </w:r>
      <w:proofErr w:type="gramStart"/>
      <w:r w:rsidRPr="00E21637">
        <w:rPr>
          <w:rFonts w:cs="Arial"/>
          <w:b/>
          <w:sz w:val="20"/>
          <w:szCs w:val="20"/>
        </w:rPr>
        <w:t xml:space="preserve">:  </w:t>
      </w:r>
      <w:r w:rsidR="00B356F2" w:rsidRPr="00E21637">
        <w:rPr>
          <w:rFonts w:cs="Arial"/>
          <w:b/>
          <w:sz w:val="20"/>
          <w:szCs w:val="20"/>
        </w:rPr>
        <w:t>UNIVERSIDAD</w:t>
      </w:r>
      <w:proofErr w:type="gramEnd"/>
      <w:r w:rsidR="00B356F2" w:rsidRPr="00E21637">
        <w:rPr>
          <w:rFonts w:cs="Arial"/>
          <w:b/>
          <w:sz w:val="20"/>
          <w:szCs w:val="20"/>
        </w:rPr>
        <w:t xml:space="preserve"> TECNOLÓGICA DEL PONIENTE</w:t>
      </w:r>
    </w:p>
    <w:p w:rsidR="00907B67" w:rsidRPr="00907B67" w:rsidRDefault="00907B67" w:rsidP="00907B67">
      <w:pPr>
        <w:spacing w:line="240" w:lineRule="auto"/>
        <w:rPr>
          <w:rFonts w:cs="Arial"/>
          <w:b/>
          <w:sz w:val="20"/>
          <w:szCs w:val="20"/>
        </w:rPr>
      </w:pPr>
      <w:r w:rsidRPr="00907B67">
        <w:rPr>
          <w:rFonts w:cs="Arial"/>
          <w:b/>
          <w:sz w:val="20"/>
          <w:szCs w:val="20"/>
        </w:rPr>
        <w:t>NOTAS DE GESTIÓN ADMINISTRATIVO</w:t>
      </w:r>
    </w:p>
    <w:p w:rsidR="00907B67" w:rsidRPr="00907B67" w:rsidRDefault="00907B67" w:rsidP="00907B67">
      <w:pPr>
        <w:spacing w:line="240" w:lineRule="auto"/>
        <w:rPr>
          <w:rFonts w:cs="Arial"/>
          <w:b/>
          <w:sz w:val="20"/>
          <w:szCs w:val="20"/>
        </w:rPr>
      </w:pPr>
      <w:r w:rsidRPr="00907B67">
        <w:rPr>
          <w:rFonts w:cs="Arial"/>
          <w:b/>
          <w:sz w:val="20"/>
          <w:szCs w:val="20"/>
        </w:rPr>
        <w:t>1.- Panorama Económico y Financiero</w:t>
      </w:r>
    </w:p>
    <w:p w:rsidR="00907B67" w:rsidRPr="00907B67" w:rsidRDefault="00907B67" w:rsidP="00907B67">
      <w:pPr>
        <w:spacing w:line="240" w:lineRule="auto"/>
        <w:rPr>
          <w:rFonts w:cs="Arial"/>
          <w:sz w:val="20"/>
          <w:szCs w:val="20"/>
        </w:rPr>
      </w:pPr>
      <w:r w:rsidRPr="00907B67">
        <w:rPr>
          <w:rFonts w:cs="Arial"/>
          <w:sz w:val="20"/>
          <w:szCs w:val="20"/>
        </w:rPr>
        <w:t xml:space="preserve">Se informa sobre las condiciones económico-financieras bajo las cuales la Universidad está operando. </w:t>
      </w:r>
    </w:p>
    <w:p w:rsidR="00907B67" w:rsidRPr="00907B67" w:rsidRDefault="00907B67" w:rsidP="003939AE">
      <w:pPr>
        <w:spacing w:line="240" w:lineRule="auto"/>
        <w:jc w:val="both"/>
        <w:rPr>
          <w:rFonts w:cs="Arial"/>
          <w:sz w:val="20"/>
          <w:szCs w:val="20"/>
        </w:rPr>
      </w:pPr>
      <w:r w:rsidRPr="00907B67">
        <w:rPr>
          <w:rFonts w:cs="Arial"/>
          <w:sz w:val="20"/>
          <w:szCs w:val="20"/>
        </w:rPr>
        <w:t>El comportamiento financiero.- la limitación de recursos en las partidas de publicidad no permite que se realice una amplia promoción, esta situación refleja un efecto relevante en la matrícula en relación a ciclos anteriores y por tanto en una reducción de la captación de ingresos, se está buscando otras fuentes de ingresos que nos permitan cubrir los gastos que el continuo crecimiento de la infraestructura nos está ocasionando, tal es el caso del nuevo laboratorio y la biblioteca inaugurada en 2015 que ha concluido su equipamiento y ha pasado a formar parte de los activos de la Universidad, por lo que se genera para el presente ejercicio un incremento del consumo de energía eléctrica, servicios de mantenimiento y consumo de materiales. Esto redunda en una carencia para cubrir todos los compromisos del ejercicio y ejercicios subsecuentes con la asignación ordinaria de las aportaciones y la proyección de captación de alumnado que se tiene prevista. Actualmente los servicios básicos que se generan no cuentan con la suficiencia en el presupuesto recaudado, se han realizando cambios a luces ahorradoras y financiando con las reservas generadas para contingencias cuando la obtención de recursos  no es recaudada  oportunamente o el calendario de las aportaciones no va acorde al gasto a ejercer por circunstancias no programadas, y conforme se obtengan recursos se van reintegrando. La situación actual de no contar con las aportaciones al peso a peso, genera que se continúe sin la liquidez para cubrir las cuotas patronales del Isstey. En el mes presente ejercicio al no contar con el techo presupuestal para liquidar las deudas, se registra lo correspondiente a cuotas 2017 en cuentas de orden contable identificadas por ejercicio fiscal.  Se está buscando soluciones para cubrir los otros compromisos que se originan de períodos anteriores y continuamos sin poder liquidar generando cada ejercicio ese pasivo presupuestal y perjudicando a los nuevos ingresos que no pueden recibir el alta del servicio médico por los saldos pendientes de la institución. En el mes a reportar se tiene pendiente la recepción firmada del convenio federal 2017.</w:t>
      </w:r>
    </w:p>
    <w:p w:rsidR="00907B67" w:rsidRPr="00907B67" w:rsidRDefault="00907B67" w:rsidP="00907B67">
      <w:pPr>
        <w:spacing w:line="240" w:lineRule="auto"/>
        <w:rPr>
          <w:rFonts w:cs="Arial"/>
          <w:b/>
          <w:sz w:val="20"/>
          <w:szCs w:val="20"/>
        </w:rPr>
      </w:pPr>
      <w:r w:rsidRPr="00907B67">
        <w:rPr>
          <w:rFonts w:cs="Arial"/>
          <w:b/>
          <w:sz w:val="20"/>
          <w:szCs w:val="20"/>
        </w:rPr>
        <w:lastRenderedPageBreak/>
        <w:t>2.- Autorización e Historia</w:t>
      </w:r>
    </w:p>
    <w:p w:rsidR="00907B67" w:rsidRPr="00907B67" w:rsidRDefault="00907B67" w:rsidP="003939AE">
      <w:pPr>
        <w:spacing w:line="240" w:lineRule="auto"/>
        <w:jc w:val="both"/>
        <w:rPr>
          <w:rFonts w:cs="Arial"/>
          <w:sz w:val="20"/>
          <w:szCs w:val="20"/>
        </w:rPr>
      </w:pPr>
      <w:r w:rsidRPr="00907B67">
        <w:rPr>
          <w:rFonts w:cs="Arial"/>
          <w:sz w:val="20"/>
          <w:szCs w:val="20"/>
        </w:rPr>
        <w:t>a)</w:t>
      </w:r>
      <w:r w:rsidRPr="00907B67">
        <w:rPr>
          <w:rFonts w:cs="Arial"/>
          <w:sz w:val="20"/>
          <w:szCs w:val="20"/>
        </w:rPr>
        <w:tab/>
        <w:t xml:space="preserve">Fecha de creación de la Universidad: La Universidad Tecnológica del Poniente miembro del Sistema Nacional de Universidades Tecnológicas, con personalidad Jurídica y Patrimonio Propio.  Con Registro Federal de Contribuyentes UTP1107225G5 y Domicilio en la calle 29 sin número de la colonia Las Tres Cruces, en Maxcanú, Yucatán. Fue constituida por el decreto Número 435 publicado el 21 de Julio del 2011, como un organismo público Descentralizado del gobierno del Estado de Yucatán,  con Financiamiento de Recursos Estatales y Federales. </w:t>
      </w:r>
    </w:p>
    <w:p w:rsidR="00907B67" w:rsidRPr="00907B67" w:rsidRDefault="00907B67" w:rsidP="003939AE">
      <w:pPr>
        <w:spacing w:line="240" w:lineRule="auto"/>
        <w:jc w:val="both"/>
        <w:rPr>
          <w:rFonts w:cs="Arial"/>
          <w:sz w:val="20"/>
          <w:szCs w:val="20"/>
        </w:rPr>
      </w:pPr>
      <w:r w:rsidRPr="00907B67">
        <w:rPr>
          <w:rFonts w:cs="Arial"/>
          <w:sz w:val="20"/>
          <w:szCs w:val="20"/>
        </w:rPr>
        <w:t>b)</w:t>
      </w:r>
      <w:r w:rsidRPr="00907B67">
        <w:rPr>
          <w:rFonts w:cs="Arial"/>
          <w:sz w:val="20"/>
          <w:szCs w:val="20"/>
        </w:rPr>
        <w:tab/>
        <w:t>Principales cambios en su estructura.  Derivado de las restricciones presupuestales, se mantiene su estructura de niveles mandos medios y superiores, con 8 plazas ocupadas de mandos medios, el total de plazas activas</w:t>
      </w:r>
      <w:proofErr w:type="gramStart"/>
      <w:r w:rsidRPr="00907B67">
        <w:rPr>
          <w:rFonts w:cs="Arial"/>
          <w:sz w:val="20"/>
          <w:szCs w:val="20"/>
        </w:rPr>
        <w:t>:  son</w:t>
      </w:r>
      <w:proofErr w:type="gramEnd"/>
      <w:r w:rsidRPr="00907B67">
        <w:rPr>
          <w:rFonts w:cs="Arial"/>
          <w:sz w:val="20"/>
          <w:szCs w:val="20"/>
        </w:rPr>
        <w:t xml:space="preserve"> la de un rector, tres directores de área, 4 jefes de departamento. Actualmente la Dirección de Administración y Finanzas cuenta con dos Jefaturas de Departamento</w:t>
      </w:r>
      <w:proofErr w:type="gramStart"/>
      <w:r w:rsidRPr="00907B67">
        <w:rPr>
          <w:rFonts w:cs="Arial"/>
          <w:sz w:val="20"/>
          <w:szCs w:val="20"/>
        </w:rPr>
        <w:t>:  la</w:t>
      </w:r>
      <w:proofErr w:type="gramEnd"/>
      <w:r w:rsidRPr="00907B67">
        <w:rPr>
          <w:rFonts w:cs="Arial"/>
          <w:sz w:val="20"/>
          <w:szCs w:val="20"/>
        </w:rPr>
        <w:t xml:space="preserve"> de Servicios Administrativos y la de Control Escolar. El organigrama del 100% se presenta con solo cambios en nomenclaturas y reasignación de funciones en sus áreas y departamentos para cubrir las necesidades de operación de la Universidad sin incrementar el total de empleados activos. </w:t>
      </w:r>
    </w:p>
    <w:p w:rsidR="00907B67" w:rsidRPr="00907B67" w:rsidRDefault="00907B67" w:rsidP="00907B67">
      <w:pPr>
        <w:spacing w:line="240" w:lineRule="auto"/>
        <w:rPr>
          <w:rFonts w:cs="Arial"/>
          <w:b/>
          <w:sz w:val="20"/>
          <w:szCs w:val="20"/>
        </w:rPr>
      </w:pPr>
      <w:r w:rsidRPr="00907B67">
        <w:rPr>
          <w:rFonts w:cs="Arial"/>
          <w:b/>
          <w:sz w:val="20"/>
          <w:szCs w:val="20"/>
        </w:rPr>
        <w:t>3.</w:t>
      </w:r>
      <w:r w:rsidRPr="00907B67">
        <w:rPr>
          <w:rFonts w:cs="Arial"/>
          <w:b/>
          <w:sz w:val="20"/>
          <w:szCs w:val="20"/>
        </w:rPr>
        <w:tab/>
        <w:t>Organización y Objeto Social</w:t>
      </w:r>
    </w:p>
    <w:p w:rsidR="00907B67" w:rsidRPr="00907B67" w:rsidRDefault="00907B67" w:rsidP="00907B67">
      <w:pPr>
        <w:spacing w:line="240" w:lineRule="auto"/>
        <w:rPr>
          <w:rFonts w:cs="Arial"/>
          <w:sz w:val="20"/>
          <w:szCs w:val="20"/>
        </w:rPr>
      </w:pPr>
      <w:r w:rsidRPr="00907B67">
        <w:rPr>
          <w:rFonts w:cs="Arial"/>
          <w:sz w:val="20"/>
          <w:szCs w:val="20"/>
        </w:rPr>
        <w:t>a)</w:t>
      </w:r>
      <w:r w:rsidRPr="00907B67">
        <w:rPr>
          <w:rFonts w:cs="Arial"/>
          <w:sz w:val="20"/>
          <w:szCs w:val="20"/>
        </w:rPr>
        <w:tab/>
        <w:t>Objeto social.</w:t>
      </w:r>
    </w:p>
    <w:p w:rsidR="00907B67" w:rsidRPr="00907B67" w:rsidRDefault="00907B67" w:rsidP="00907B67">
      <w:pPr>
        <w:spacing w:line="240" w:lineRule="auto"/>
        <w:rPr>
          <w:rFonts w:cs="Arial"/>
          <w:sz w:val="20"/>
          <w:szCs w:val="20"/>
        </w:rPr>
      </w:pPr>
      <w:r w:rsidRPr="00907B67">
        <w:rPr>
          <w:rFonts w:cs="Arial"/>
          <w:sz w:val="20"/>
          <w:szCs w:val="20"/>
        </w:rPr>
        <w:t>1.- Ofrecer Estudios de Buena Calidad en el nivel de Técnico Superior Universitario.</w:t>
      </w:r>
    </w:p>
    <w:p w:rsidR="00907B67" w:rsidRPr="00907B67" w:rsidRDefault="00907B67" w:rsidP="00907B67">
      <w:pPr>
        <w:spacing w:line="240" w:lineRule="auto"/>
        <w:rPr>
          <w:rFonts w:cs="Arial"/>
          <w:sz w:val="20"/>
          <w:szCs w:val="20"/>
        </w:rPr>
      </w:pPr>
      <w:r w:rsidRPr="00907B67">
        <w:rPr>
          <w:rFonts w:cs="Arial"/>
          <w:sz w:val="20"/>
          <w:szCs w:val="20"/>
        </w:rPr>
        <w:t>2.- Desarrollar Estudios o Proyectos en las áreas de competencia.</w:t>
      </w:r>
    </w:p>
    <w:p w:rsidR="00907B67" w:rsidRPr="00907B67" w:rsidRDefault="00907B67" w:rsidP="00907B67">
      <w:pPr>
        <w:spacing w:line="240" w:lineRule="auto"/>
        <w:rPr>
          <w:rFonts w:cs="Arial"/>
          <w:sz w:val="20"/>
          <w:szCs w:val="20"/>
        </w:rPr>
      </w:pPr>
      <w:r w:rsidRPr="00907B67">
        <w:rPr>
          <w:rFonts w:cs="Arial"/>
          <w:sz w:val="20"/>
          <w:szCs w:val="20"/>
        </w:rPr>
        <w:t>3.-Desarrolar Programas de Apoyo Técnico en Beneficio de la Comunidad.</w:t>
      </w:r>
    </w:p>
    <w:p w:rsidR="00907B67" w:rsidRPr="00907B67" w:rsidRDefault="00907B67" w:rsidP="00907B67">
      <w:pPr>
        <w:spacing w:line="240" w:lineRule="auto"/>
        <w:rPr>
          <w:rFonts w:cs="Arial"/>
          <w:sz w:val="20"/>
          <w:szCs w:val="20"/>
        </w:rPr>
      </w:pPr>
      <w:r w:rsidRPr="00907B67">
        <w:rPr>
          <w:rFonts w:cs="Arial"/>
          <w:sz w:val="20"/>
          <w:szCs w:val="20"/>
        </w:rPr>
        <w:t>4.-Promover la Vida Científica y Tecnológica de la Sociedad.</w:t>
      </w:r>
    </w:p>
    <w:p w:rsidR="00907B67" w:rsidRPr="00907B67" w:rsidRDefault="00907B67" w:rsidP="00907B67">
      <w:pPr>
        <w:spacing w:line="240" w:lineRule="auto"/>
        <w:rPr>
          <w:rFonts w:cs="Arial"/>
          <w:sz w:val="20"/>
          <w:szCs w:val="20"/>
        </w:rPr>
      </w:pPr>
      <w:r w:rsidRPr="00907B67">
        <w:rPr>
          <w:rFonts w:cs="Arial"/>
          <w:sz w:val="20"/>
          <w:szCs w:val="20"/>
        </w:rPr>
        <w:t>5.-El compromiso de la Formación de Profesionales comprometidos con el desarrollo   Económico y Social la cual permitirá elevar el nivel económico de esta región poniente del Estado de Yucatán y de la Sociedad en General.</w:t>
      </w:r>
    </w:p>
    <w:p w:rsidR="00907B67" w:rsidRPr="00907B67" w:rsidRDefault="00907B67" w:rsidP="00907B67">
      <w:pPr>
        <w:spacing w:line="240" w:lineRule="auto"/>
        <w:rPr>
          <w:rFonts w:cs="Arial"/>
          <w:sz w:val="20"/>
          <w:szCs w:val="20"/>
        </w:rPr>
      </w:pPr>
      <w:r w:rsidRPr="00907B67">
        <w:rPr>
          <w:rFonts w:cs="Arial"/>
          <w:sz w:val="20"/>
          <w:szCs w:val="20"/>
        </w:rPr>
        <w:t>b)</w:t>
      </w:r>
      <w:r w:rsidRPr="00907B67">
        <w:rPr>
          <w:rFonts w:cs="Arial"/>
          <w:sz w:val="20"/>
          <w:szCs w:val="20"/>
        </w:rPr>
        <w:tab/>
        <w:t>Principal actividad. Educación Superior Tecnológica</w:t>
      </w:r>
    </w:p>
    <w:p w:rsidR="00907B67" w:rsidRPr="00907B67" w:rsidRDefault="00907B67" w:rsidP="00907B67">
      <w:pPr>
        <w:spacing w:line="240" w:lineRule="auto"/>
        <w:rPr>
          <w:rFonts w:cs="Arial"/>
          <w:sz w:val="20"/>
          <w:szCs w:val="20"/>
        </w:rPr>
      </w:pPr>
      <w:r w:rsidRPr="00907B67">
        <w:rPr>
          <w:rFonts w:cs="Arial"/>
          <w:sz w:val="20"/>
          <w:szCs w:val="20"/>
        </w:rPr>
        <w:t>c)</w:t>
      </w:r>
      <w:r w:rsidRPr="00907B67">
        <w:rPr>
          <w:rFonts w:cs="Arial"/>
          <w:sz w:val="20"/>
          <w:szCs w:val="20"/>
        </w:rPr>
        <w:tab/>
        <w:t>Ejercicio fiscal. 2017</w:t>
      </w:r>
    </w:p>
    <w:p w:rsidR="00907B67" w:rsidRPr="00907B67" w:rsidRDefault="00907B67" w:rsidP="00907B67">
      <w:pPr>
        <w:spacing w:line="240" w:lineRule="auto"/>
        <w:rPr>
          <w:rFonts w:cs="Arial"/>
          <w:sz w:val="20"/>
          <w:szCs w:val="20"/>
        </w:rPr>
      </w:pPr>
      <w:r w:rsidRPr="00907B67">
        <w:rPr>
          <w:rFonts w:cs="Arial"/>
          <w:sz w:val="20"/>
          <w:szCs w:val="20"/>
        </w:rPr>
        <w:t>d)</w:t>
      </w:r>
      <w:r w:rsidRPr="00907B67">
        <w:rPr>
          <w:rFonts w:cs="Arial"/>
          <w:sz w:val="20"/>
          <w:szCs w:val="20"/>
        </w:rPr>
        <w:tab/>
        <w:t>Régimen jurídico. Organismo Público Descentralizado del Gobierno del Estado</w:t>
      </w:r>
    </w:p>
    <w:p w:rsidR="00907B67" w:rsidRPr="00907B67" w:rsidRDefault="00907B67" w:rsidP="00907B67">
      <w:pPr>
        <w:spacing w:line="240" w:lineRule="auto"/>
        <w:rPr>
          <w:rFonts w:cs="Arial"/>
          <w:sz w:val="20"/>
          <w:szCs w:val="20"/>
        </w:rPr>
      </w:pPr>
      <w:r w:rsidRPr="00907B67">
        <w:rPr>
          <w:rFonts w:cs="Arial"/>
          <w:sz w:val="20"/>
          <w:szCs w:val="20"/>
        </w:rPr>
        <w:lastRenderedPageBreak/>
        <w:t>e)</w:t>
      </w:r>
      <w:r w:rsidRPr="00907B67">
        <w:rPr>
          <w:rFonts w:cs="Arial"/>
          <w:sz w:val="20"/>
          <w:szCs w:val="20"/>
        </w:rPr>
        <w:tab/>
        <w:t>Consideraciones fiscales del ente: Las obligaciones fiscales son de retención de isr por sueldos y salarios, declaraciones anuales de sueldos y salarios, declaraciones mensuales de clientes y proveedores, el impuesto sobre nóminas y la cuota patronal del ISSTEY.</w:t>
      </w:r>
    </w:p>
    <w:p w:rsidR="00907B67" w:rsidRPr="00907B67" w:rsidRDefault="00907B67" w:rsidP="00907B67">
      <w:pPr>
        <w:spacing w:line="240" w:lineRule="auto"/>
        <w:rPr>
          <w:rFonts w:cs="Arial"/>
          <w:b/>
          <w:sz w:val="20"/>
          <w:szCs w:val="20"/>
        </w:rPr>
      </w:pPr>
    </w:p>
    <w:p w:rsidR="00907B67" w:rsidRPr="00907B67" w:rsidRDefault="00907B67" w:rsidP="00907B67">
      <w:pPr>
        <w:spacing w:line="240" w:lineRule="auto"/>
        <w:rPr>
          <w:rFonts w:cs="Arial"/>
          <w:b/>
          <w:sz w:val="20"/>
          <w:szCs w:val="20"/>
        </w:rPr>
      </w:pPr>
      <w:r w:rsidRPr="00907B67">
        <w:rPr>
          <w:rFonts w:cs="Arial"/>
          <w:b/>
          <w:sz w:val="20"/>
          <w:szCs w:val="20"/>
        </w:rPr>
        <w:t xml:space="preserve">4.      Estructura organizacional básica. </w:t>
      </w:r>
    </w:p>
    <w:p w:rsidR="00907B67" w:rsidRPr="00907B67" w:rsidRDefault="00907B67" w:rsidP="003939AE">
      <w:pPr>
        <w:spacing w:line="240" w:lineRule="auto"/>
        <w:jc w:val="both"/>
        <w:rPr>
          <w:rFonts w:cs="Arial"/>
          <w:sz w:val="20"/>
          <w:szCs w:val="20"/>
        </w:rPr>
      </w:pPr>
      <w:r w:rsidRPr="00907B67">
        <w:rPr>
          <w:rFonts w:cs="Arial"/>
          <w:sz w:val="20"/>
          <w:szCs w:val="20"/>
        </w:rPr>
        <w:t>Por cuestiones de austeridad presupuestal no se gestionó crecimiento de la estructura contratada por el crecimiento de las instalaciones y el incremento de la oferta educativa propuesta para este ejercicio.  Se tiene como plantilla total de 76 plazas, de las cuales tiene liberadas 51 plazas, por razones de suficiencia presupuestal se ha mantenido en 11 plazas de PTC (Profesor Asociado de tiempo completo con labores de investigación educativa). A continuación se presenta como está conformada la estructura del 100% del  personal, los Profesores con pago por hora clase (hora-semana-mes), están bajo el régimen de eventuales con contratos cuatrimestrales según las horas de clase establecidas en las cargas horarias y las materias a impartir en cada cuatrimestre.</w:t>
      </w:r>
    </w:p>
    <w:p w:rsidR="00907B67" w:rsidRPr="00907B67" w:rsidRDefault="00907B67" w:rsidP="00907B67">
      <w:pPr>
        <w:spacing w:line="240" w:lineRule="auto"/>
        <w:rPr>
          <w:rFonts w:cs="Arial"/>
          <w:sz w:val="20"/>
          <w:szCs w:val="20"/>
        </w:rPr>
      </w:pPr>
      <w:r w:rsidRPr="00907B67">
        <w:rPr>
          <w:rFonts w:cs="Arial"/>
          <w:sz w:val="20"/>
          <w:szCs w:val="20"/>
        </w:rPr>
        <w:tab/>
        <w:t>Número de Plazas ocupadas/ Puesto al 31 de marzo 2017</w:t>
      </w:r>
    </w:p>
    <w:p w:rsidR="00907B67" w:rsidRPr="00907B67" w:rsidRDefault="00907B67" w:rsidP="00907B67">
      <w:pPr>
        <w:spacing w:line="240" w:lineRule="auto"/>
        <w:rPr>
          <w:rFonts w:cs="Arial"/>
          <w:sz w:val="20"/>
          <w:szCs w:val="20"/>
        </w:rPr>
      </w:pPr>
      <w:r w:rsidRPr="00907B67">
        <w:rPr>
          <w:rFonts w:cs="Arial"/>
          <w:sz w:val="20"/>
          <w:szCs w:val="20"/>
        </w:rPr>
        <w:t xml:space="preserve"> 1  Rector</w:t>
      </w:r>
    </w:p>
    <w:p w:rsidR="00907B67" w:rsidRPr="00907B67" w:rsidRDefault="00907B67" w:rsidP="00907B67">
      <w:pPr>
        <w:spacing w:line="240" w:lineRule="auto"/>
        <w:rPr>
          <w:rFonts w:cs="Arial"/>
          <w:sz w:val="20"/>
          <w:szCs w:val="20"/>
        </w:rPr>
      </w:pPr>
      <w:r w:rsidRPr="00907B67">
        <w:rPr>
          <w:rFonts w:cs="Arial"/>
          <w:sz w:val="20"/>
          <w:szCs w:val="20"/>
        </w:rPr>
        <w:t xml:space="preserve"> 3 Director</w:t>
      </w:r>
    </w:p>
    <w:p w:rsidR="00907B67" w:rsidRPr="00907B67" w:rsidRDefault="00907B67" w:rsidP="00907B67">
      <w:pPr>
        <w:spacing w:line="240" w:lineRule="auto"/>
        <w:rPr>
          <w:rFonts w:cs="Arial"/>
          <w:sz w:val="20"/>
          <w:szCs w:val="20"/>
        </w:rPr>
      </w:pPr>
      <w:r w:rsidRPr="00907B67">
        <w:rPr>
          <w:rFonts w:cs="Arial"/>
          <w:sz w:val="20"/>
          <w:szCs w:val="20"/>
        </w:rPr>
        <w:t xml:space="preserve"> 4 Jefe de Departamento</w:t>
      </w:r>
    </w:p>
    <w:p w:rsidR="00907B67" w:rsidRPr="00907B67" w:rsidRDefault="00907B67" w:rsidP="00907B67">
      <w:pPr>
        <w:spacing w:line="240" w:lineRule="auto"/>
        <w:rPr>
          <w:rFonts w:cs="Arial"/>
          <w:sz w:val="20"/>
          <w:szCs w:val="20"/>
        </w:rPr>
      </w:pPr>
      <w:r w:rsidRPr="00907B67">
        <w:rPr>
          <w:rFonts w:cs="Arial"/>
          <w:sz w:val="20"/>
          <w:szCs w:val="20"/>
        </w:rPr>
        <w:t xml:space="preserve"> 6 Profesor Asociado C</w:t>
      </w:r>
    </w:p>
    <w:p w:rsidR="00907B67" w:rsidRPr="00907B67" w:rsidRDefault="00907B67" w:rsidP="00907B67">
      <w:pPr>
        <w:spacing w:line="240" w:lineRule="auto"/>
        <w:rPr>
          <w:rFonts w:cs="Arial"/>
          <w:sz w:val="20"/>
          <w:szCs w:val="20"/>
        </w:rPr>
      </w:pPr>
      <w:r w:rsidRPr="00907B67">
        <w:rPr>
          <w:rFonts w:cs="Arial"/>
          <w:sz w:val="20"/>
          <w:szCs w:val="20"/>
        </w:rPr>
        <w:t xml:space="preserve"> 1 Profesor Asociado B</w:t>
      </w:r>
      <w:r w:rsidRPr="00907B67">
        <w:rPr>
          <w:rFonts w:cs="Arial"/>
          <w:sz w:val="20"/>
          <w:szCs w:val="20"/>
        </w:rPr>
        <w:tab/>
      </w:r>
    </w:p>
    <w:p w:rsidR="00907B67" w:rsidRPr="00907B67" w:rsidRDefault="00907B67" w:rsidP="00907B67">
      <w:pPr>
        <w:spacing w:line="240" w:lineRule="auto"/>
        <w:rPr>
          <w:rFonts w:cs="Arial"/>
          <w:sz w:val="20"/>
          <w:szCs w:val="20"/>
        </w:rPr>
      </w:pPr>
      <w:r w:rsidRPr="00907B67">
        <w:rPr>
          <w:rFonts w:cs="Arial"/>
          <w:sz w:val="20"/>
          <w:szCs w:val="20"/>
        </w:rPr>
        <w:t xml:space="preserve"> 4 Profesor Asociado A</w:t>
      </w:r>
    </w:p>
    <w:p w:rsidR="00907B67" w:rsidRPr="00907B67" w:rsidRDefault="00907B67" w:rsidP="00907B67">
      <w:pPr>
        <w:spacing w:line="240" w:lineRule="auto"/>
        <w:rPr>
          <w:rFonts w:cs="Arial"/>
          <w:sz w:val="20"/>
          <w:szCs w:val="20"/>
        </w:rPr>
      </w:pPr>
      <w:r w:rsidRPr="00907B67">
        <w:rPr>
          <w:rFonts w:cs="Arial"/>
          <w:sz w:val="20"/>
          <w:szCs w:val="20"/>
        </w:rPr>
        <w:t xml:space="preserve"> 3 Coordinador</w:t>
      </w:r>
      <w:r w:rsidRPr="00907B67">
        <w:rPr>
          <w:rFonts w:cs="Arial"/>
          <w:sz w:val="20"/>
          <w:szCs w:val="20"/>
        </w:rPr>
        <w:tab/>
      </w:r>
    </w:p>
    <w:p w:rsidR="00907B67" w:rsidRPr="00907B67" w:rsidRDefault="00907B67" w:rsidP="00907B67">
      <w:pPr>
        <w:spacing w:line="240" w:lineRule="auto"/>
        <w:rPr>
          <w:rFonts w:cs="Arial"/>
          <w:sz w:val="20"/>
          <w:szCs w:val="20"/>
        </w:rPr>
      </w:pPr>
      <w:r w:rsidRPr="00907B67">
        <w:rPr>
          <w:rFonts w:cs="Arial"/>
          <w:sz w:val="20"/>
          <w:szCs w:val="20"/>
        </w:rPr>
        <w:t xml:space="preserve"> 1 Ingeniero en sistemas</w:t>
      </w:r>
      <w:r w:rsidRPr="00907B67">
        <w:rPr>
          <w:rFonts w:cs="Arial"/>
          <w:sz w:val="20"/>
          <w:szCs w:val="20"/>
        </w:rPr>
        <w:tab/>
      </w:r>
    </w:p>
    <w:p w:rsidR="00907B67" w:rsidRPr="00907B67" w:rsidRDefault="00907B67" w:rsidP="00907B67">
      <w:pPr>
        <w:spacing w:line="240" w:lineRule="auto"/>
        <w:rPr>
          <w:rFonts w:cs="Arial"/>
          <w:sz w:val="20"/>
          <w:szCs w:val="20"/>
        </w:rPr>
      </w:pPr>
      <w:r w:rsidRPr="00907B67">
        <w:rPr>
          <w:rFonts w:cs="Arial"/>
          <w:sz w:val="20"/>
          <w:szCs w:val="20"/>
        </w:rPr>
        <w:t>9 Jefe de oficina C</w:t>
      </w:r>
      <w:r w:rsidRPr="00907B67">
        <w:rPr>
          <w:rFonts w:cs="Arial"/>
          <w:sz w:val="20"/>
          <w:szCs w:val="20"/>
        </w:rPr>
        <w:tab/>
      </w:r>
    </w:p>
    <w:p w:rsidR="00907B67" w:rsidRPr="00907B67" w:rsidRDefault="00907B67" w:rsidP="00907B67">
      <w:pPr>
        <w:spacing w:line="240" w:lineRule="auto"/>
        <w:rPr>
          <w:rFonts w:cs="Arial"/>
          <w:sz w:val="20"/>
          <w:szCs w:val="20"/>
        </w:rPr>
      </w:pPr>
      <w:r w:rsidRPr="00907B67">
        <w:rPr>
          <w:rFonts w:cs="Arial"/>
          <w:sz w:val="20"/>
          <w:szCs w:val="20"/>
        </w:rPr>
        <w:t xml:space="preserve"> 1 Secretaria de Rector</w:t>
      </w:r>
      <w:r w:rsidRPr="00907B67">
        <w:rPr>
          <w:rFonts w:cs="Arial"/>
          <w:sz w:val="20"/>
          <w:szCs w:val="20"/>
        </w:rPr>
        <w:tab/>
      </w:r>
      <w:r w:rsidRPr="00907B67">
        <w:rPr>
          <w:rFonts w:cs="Arial"/>
          <w:sz w:val="20"/>
          <w:szCs w:val="20"/>
        </w:rPr>
        <w:tab/>
      </w:r>
    </w:p>
    <w:p w:rsidR="00907B67" w:rsidRPr="00907B67" w:rsidRDefault="00907B67" w:rsidP="00907B67">
      <w:pPr>
        <w:spacing w:line="240" w:lineRule="auto"/>
        <w:rPr>
          <w:rFonts w:cs="Arial"/>
          <w:sz w:val="20"/>
          <w:szCs w:val="20"/>
        </w:rPr>
      </w:pPr>
      <w:r w:rsidRPr="00907B67">
        <w:rPr>
          <w:rFonts w:cs="Arial"/>
          <w:sz w:val="20"/>
          <w:szCs w:val="20"/>
        </w:rPr>
        <w:lastRenderedPageBreak/>
        <w:t xml:space="preserve">5 Analista Administrativo </w:t>
      </w:r>
      <w:r w:rsidRPr="00907B67">
        <w:rPr>
          <w:rFonts w:cs="Arial"/>
          <w:sz w:val="20"/>
          <w:szCs w:val="20"/>
        </w:rPr>
        <w:tab/>
      </w:r>
    </w:p>
    <w:p w:rsidR="00907B67" w:rsidRPr="00907B67" w:rsidRDefault="00907B67" w:rsidP="00907B67">
      <w:pPr>
        <w:spacing w:line="240" w:lineRule="auto"/>
        <w:rPr>
          <w:rFonts w:cs="Arial"/>
          <w:sz w:val="20"/>
          <w:szCs w:val="20"/>
        </w:rPr>
      </w:pPr>
      <w:r w:rsidRPr="00907B67">
        <w:rPr>
          <w:rFonts w:cs="Arial"/>
          <w:sz w:val="20"/>
          <w:szCs w:val="20"/>
        </w:rPr>
        <w:t xml:space="preserve"> 3 Asistente de Servicios de Mantenimiento </w:t>
      </w:r>
      <w:r w:rsidRPr="00907B67">
        <w:rPr>
          <w:rFonts w:cs="Arial"/>
          <w:sz w:val="20"/>
          <w:szCs w:val="20"/>
        </w:rPr>
        <w:tab/>
      </w:r>
    </w:p>
    <w:p w:rsidR="00907B67" w:rsidRPr="00907B67" w:rsidRDefault="00907B67" w:rsidP="00907B67">
      <w:pPr>
        <w:spacing w:line="240" w:lineRule="auto"/>
        <w:rPr>
          <w:rFonts w:cs="Arial"/>
          <w:sz w:val="20"/>
          <w:szCs w:val="20"/>
        </w:rPr>
      </w:pPr>
      <w:r w:rsidRPr="00907B67">
        <w:rPr>
          <w:rFonts w:cs="Arial"/>
          <w:sz w:val="20"/>
          <w:szCs w:val="20"/>
          <w:u w:val="single"/>
        </w:rPr>
        <w:t>10</w:t>
      </w:r>
      <w:r w:rsidRPr="00907B67">
        <w:rPr>
          <w:rFonts w:cs="Arial"/>
          <w:sz w:val="20"/>
          <w:szCs w:val="20"/>
        </w:rPr>
        <w:t xml:space="preserve"> Profesor de Asignatura H-S-M</w:t>
      </w:r>
    </w:p>
    <w:p w:rsidR="00907B67" w:rsidRPr="00907B67" w:rsidRDefault="00907B67" w:rsidP="00907B67">
      <w:pPr>
        <w:spacing w:line="240" w:lineRule="auto"/>
        <w:rPr>
          <w:rFonts w:cs="Arial"/>
          <w:sz w:val="20"/>
          <w:szCs w:val="20"/>
        </w:rPr>
      </w:pPr>
      <w:r w:rsidRPr="00907B67">
        <w:rPr>
          <w:rFonts w:cs="Arial"/>
          <w:sz w:val="20"/>
          <w:szCs w:val="20"/>
        </w:rPr>
        <w:t>51  Total</w:t>
      </w:r>
    </w:p>
    <w:p w:rsidR="00907B67" w:rsidRPr="00907B67" w:rsidRDefault="00907B67" w:rsidP="00907B67">
      <w:pPr>
        <w:spacing w:line="240" w:lineRule="auto"/>
        <w:rPr>
          <w:rFonts w:cs="Arial"/>
          <w:sz w:val="20"/>
          <w:szCs w:val="20"/>
        </w:rPr>
      </w:pPr>
    </w:p>
    <w:p w:rsidR="00907B67" w:rsidRPr="00907B67" w:rsidRDefault="00907B67" w:rsidP="00907B67">
      <w:pPr>
        <w:spacing w:line="240" w:lineRule="auto"/>
        <w:rPr>
          <w:rFonts w:cs="Arial"/>
          <w:sz w:val="20"/>
          <w:szCs w:val="20"/>
        </w:rPr>
      </w:pPr>
    </w:p>
    <w:p w:rsidR="00907B67" w:rsidRPr="00907B67" w:rsidRDefault="00907B67" w:rsidP="00907B67">
      <w:pPr>
        <w:spacing w:line="240" w:lineRule="auto"/>
        <w:rPr>
          <w:rFonts w:cs="Arial"/>
          <w:b/>
          <w:sz w:val="20"/>
          <w:szCs w:val="20"/>
        </w:rPr>
      </w:pPr>
      <w:r w:rsidRPr="00907B67">
        <w:rPr>
          <w:rFonts w:cs="Arial"/>
          <w:b/>
          <w:sz w:val="20"/>
          <w:szCs w:val="20"/>
        </w:rPr>
        <w:t>5.</w:t>
      </w:r>
      <w:r w:rsidRPr="00907B67">
        <w:rPr>
          <w:rFonts w:cs="Arial"/>
          <w:b/>
          <w:sz w:val="20"/>
          <w:szCs w:val="20"/>
        </w:rPr>
        <w:tab/>
        <w:t>Bases de Preparación de los Estados Financieros</w:t>
      </w:r>
    </w:p>
    <w:p w:rsidR="00907B67" w:rsidRPr="00907B67" w:rsidRDefault="00907B67" w:rsidP="003939AE">
      <w:pPr>
        <w:spacing w:line="240" w:lineRule="auto"/>
        <w:jc w:val="both"/>
        <w:rPr>
          <w:rFonts w:cs="Arial"/>
          <w:sz w:val="20"/>
          <w:szCs w:val="20"/>
        </w:rPr>
      </w:pPr>
      <w:r w:rsidRPr="00907B67">
        <w:rPr>
          <w:rFonts w:cs="Arial"/>
          <w:sz w:val="20"/>
          <w:szCs w:val="20"/>
        </w:rPr>
        <w:t>a)</w:t>
      </w:r>
      <w:r w:rsidRPr="00907B67">
        <w:rPr>
          <w:rFonts w:cs="Arial"/>
          <w:sz w:val="20"/>
          <w:szCs w:val="20"/>
        </w:rPr>
        <w:tab/>
        <w:t>La Universidad  en el presente ejercicio ha concluido  el proceso de incorporación al Sistema Automatizado de Contabilidad Gubernamental para cumplir  con  la normatividad emitida por el CONAC y las disposiciones legales aplicables, así mismo durante el transcurso del ejercicio ha ido aplicando los cambios que se han presentado o recomendado en las observaciones de auditoria.</w:t>
      </w:r>
    </w:p>
    <w:p w:rsidR="00907B67" w:rsidRPr="00907B67" w:rsidRDefault="00907B67" w:rsidP="003939AE">
      <w:pPr>
        <w:spacing w:line="240" w:lineRule="auto"/>
        <w:jc w:val="both"/>
        <w:rPr>
          <w:rFonts w:cs="Arial"/>
          <w:sz w:val="20"/>
          <w:szCs w:val="20"/>
        </w:rPr>
      </w:pPr>
      <w:r w:rsidRPr="00907B67">
        <w:rPr>
          <w:rFonts w:cs="Arial"/>
          <w:sz w:val="20"/>
          <w:szCs w:val="20"/>
        </w:rPr>
        <w:t>b)</w:t>
      </w:r>
      <w:r w:rsidRPr="00907B67">
        <w:rPr>
          <w:rFonts w:cs="Arial"/>
          <w:sz w:val="20"/>
          <w:szCs w:val="20"/>
        </w:rPr>
        <w:tab/>
        <w:t>La normatividad aplicada para el reconocimiento, valuación y revelación de los diferentes rubros de la información financiera, así como las bases de medición utilizadas para la elaboración de los estados financieros es el costo histórico o valor de factura y los criterios de aplicación de los mismos son los establecidos en los criterios de la Contabilidad Gubernamental.</w:t>
      </w:r>
    </w:p>
    <w:p w:rsidR="00907B67" w:rsidRPr="00907B67" w:rsidRDefault="00907B67" w:rsidP="003939AE">
      <w:pPr>
        <w:spacing w:line="240" w:lineRule="auto"/>
        <w:jc w:val="both"/>
        <w:rPr>
          <w:rFonts w:cs="Arial"/>
          <w:sz w:val="20"/>
          <w:szCs w:val="20"/>
        </w:rPr>
      </w:pPr>
      <w:r w:rsidRPr="00907B67">
        <w:rPr>
          <w:rFonts w:cs="Arial"/>
          <w:sz w:val="20"/>
          <w:szCs w:val="20"/>
        </w:rPr>
        <w:t>c)</w:t>
      </w:r>
      <w:r w:rsidRPr="00907B67">
        <w:rPr>
          <w:rFonts w:cs="Arial"/>
          <w:sz w:val="20"/>
          <w:szCs w:val="20"/>
        </w:rPr>
        <w:tab/>
        <w:t>Postulados básicos. Se está capacitando al personal para el conocimiento y aplicación del sistema de contabilidad Gubernamental y los postulados  y normatividad vigente.</w:t>
      </w:r>
    </w:p>
    <w:p w:rsidR="00907B67" w:rsidRPr="00907B67" w:rsidRDefault="00907B67" w:rsidP="003939AE">
      <w:pPr>
        <w:spacing w:line="240" w:lineRule="auto"/>
        <w:jc w:val="both"/>
        <w:rPr>
          <w:rFonts w:cs="Arial"/>
          <w:sz w:val="20"/>
          <w:szCs w:val="20"/>
        </w:rPr>
      </w:pPr>
      <w:r w:rsidRPr="00907B67">
        <w:rPr>
          <w:rFonts w:cs="Arial"/>
          <w:sz w:val="20"/>
          <w:szCs w:val="20"/>
        </w:rPr>
        <w:t>d)</w:t>
      </w:r>
      <w:r w:rsidRPr="00907B67">
        <w:rPr>
          <w:rFonts w:cs="Arial"/>
          <w:sz w:val="20"/>
          <w:szCs w:val="20"/>
        </w:rPr>
        <w:tab/>
        <w:t>Normatividad supletoria. No aplica.</w:t>
      </w:r>
    </w:p>
    <w:p w:rsidR="00907B67" w:rsidRPr="00907B67" w:rsidRDefault="00907B67" w:rsidP="003939AE">
      <w:pPr>
        <w:spacing w:line="240" w:lineRule="auto"/>
        <w:jc w:val="both"/>
        <w:rPr>
          <w:rFonts w:cs="Arial"/>
          <w:sz w:val="20"/>
          <w:szCs w:val="20"/>
        </w:rPr>
      </w:pPr>
      <w:r w:rsidRPr="00907B67">
        <w:rPr>
          <w:rFonts w:cs="Arial"/>
          <w:sz w:val="20"/>
          <w:szCs w:val="20"/>
        </w:rPr>
        <w:t>e)</w:t>
      </w:r>
      <w:r w:rsidRPr="00907B67">
        <w:rPr>
          <w:rFonts w:cs="Arial"/>
          <w:sz w:val="20"/>
          <w:szCs w:val="20"/>
        </w:rPr>
        <w:tab/>
        <w:t>La Universidad ya genera la base devengado de acuerdo a la Ley de Contabilidad en forma sistemática y automatizada.</w:t>
      </w:r>
    </w:p>
    <w:p w:rsidR="00907B67" w:rsidRPr="00907B67" w:rsidRDefault="00907B67" w:rsidP="003939AE">
      <w:pPr>
        <w:spacing w:line="240" w:lineRule="auto"/>
        <w:jc w:val="both"/>
        <w:rPr>
          <w:rFonts w:cs="Arial"/>
          <w:b/>
          <w:sz w:val="20"/>
          <w:szCs w:val="20"/>
        </w:rPr>
      </w:pPr>
      <w:r w:rsidRPr="00907B67">
        <w:rPr>
          <w:rFonts w:cs="Arial"/>
          <w:b/>
          <w:sz w:val="20"/>
          <w:szCs w:val="20"/>
        </w:rPr>
        <w:t>6.</w:t>
      </w:r>
      <w:r w:rsidRPr="00907B67">
        <w:rPr>
          <w:rFonts w:cs="Arial"/>
          <w:b/>
          <w:sz w:val="20"/>
          <w:szCs w:val="20"/>
        </w:rPr>
        <w:tab/>
        <w:t>Políticas de Contabilidad Significativas</w:t>
      </w:r>
    </w:p>
    <w:p w:rsidR="00907B67" w:rsidRPr="00907B67" w:rsidRDefault="00907B67" w:rsidP="003939AE">
      <w:pPr>
        <w:spacing w:line="240" w:lineRule="auto"/>
        <w:jc w:val="both"/>
        <w:rPr>
          <w:rFonts w:cs="Arial"/>
          <w:sz w:val="20"/>
          <w:szCs w:val="20"/>
        </w:rPr>
      </w:pPr>
      <w:r w:rsidRPr="00907B67">
        <w:rPr>
          <w:rFonts w:cs="Arial"/>
          <w:sz w:val="20"/>
          <w:szCs w:val="20"/>
        </w:rPr>
        <w:t>a)</w:t>
      </w:r>
      <w:r w:rsidRPr="00907B67">
        <w:rPr>
          <w:rFonts w:cs="Arial"/>
          <w:sz w:val="20"/>
          <w:szCs w:val="20"/>
        </w:rPr>
        <w:tab/>
        <w:t>Actualización: se informa que la Universidad es de nueva creación con apenas cuatro años de ejercicios fiscales y en constante crecimiento en su infraestructura y oferta educativa, por lo cual sus activos y Hacienda pública se encuentran a precio actualizado.</w:t>
      </w:r>
    </w:p>
    <w:p w:rsidR="00907B67" w:rsidRPr="00907B67" w:rsidRDefault="00907B67" w:rsidP="003939AE">
      <w:pPr>
        <w:spacing w:line="240" w:lineRule="auto"/>
        <w:jc w:val="both"/>
        <w:rPr>
          <w:rFonts w:cs="Arial"/>
          <w:sz w:val="20"/>
          <w:szCs w:val="20"/>
        </w:rPr>
      </w:pPr>
      <w:r w:rsidRPr="00907B67">
        <w:rPr>
          <w:rFonts w:cs="Arial"/>
          <w:sz w:val="20"/>
          <w:szCs w:val="20"/>
        </w:rPr>
        <w:lastRenderedPageBreak/>
        <w:t>b)</w:t>
      </w:r>
      <w:r w:rsidRPr="00907B67">
        <w:rPr>
          <w:rFonts w:cs="Arial"/>
          <w:sz w:val="20"/>
          <w:szCs w:val="20"/>
        </w:rPr>
        <w:tab/>
        <w:t>Informar sobre la realización de operaciones en el extranjero y de sus efectos en la información financiera gubernamental. La Universidad mantiene relaciones internacionales para ofrecer alumnado y personal académico la oportunidad de intercambios académicos y culturales.</w:t>
      </w:r>
    </w:p>
    <w:p w:rsidR="00907B67" w:rsidRPr="00907B67" w:rsidRDefault="00907B67" w:rsidP="003939AE">
      <w:pPr>
        <w:spacing w:line="240" w:lineRule="auto"/>
        <w:jc w:val="both"/>
        <w:rPr>
          <w:rFonts w:cs="Arial"/>
          <w:sz w:val="20"/>
          <w:szCs w:val="20"/>
        </w:rPr>
      </w:pPr>
      <w:r w:rsidRPr="00907B67">
        <w:rPr>
          <w:rFonts w:cs="Arial"/>
          <w:sz w:val="20"/>
          <w:szCs w:val="20"/>
        </w:rPr>
        <w:t>c)</w:t>
      </w:r>
      <w:r w:rsidRPr="00907B67">
        <w:rPr>
          <w:rFonts w:cs="Arial"/>
          <w:sz w:val="20"/>
          <w:szCs w:val="20"/>
        </w:rPr>
        <w:tab/>
        <w:t>Método de valuación de la inversión en acciones de Compañías subsidiarias no consolidadas y asociadas. No aplica</w:t>
      </w:r>
    </w:p>
    <w:p w:rsidR="00907B67" w:rsidRPr="00907B67" w:rsidRDefault="00907B67" w:rsidP="003939AE">
      <w:pPr>
        <w:spacing w:line="240" w:lineRule="auto"/>
        <w:jc w:val="both"/>
        <w:rPr>
          <w:rFonts w:cs="Arial"/>
          <w:sz w:val="20"/>
          <w:szCs w:val="20"/>
        </w:rPr>
      </w:pPr>
      <w:r w:rsidRPr="00907B67">
        <w:rPr>
          <w:rFonts w:cs="Arial"/>
          <w:sz w:val="20"/>
          <w:szCs w:val="20"/>
        </w:rPr>
        <w:t>d)</w:t>
      </w:r>
      <w:r w:rsidRPr="00907B67">
        <w:rPr>
          <w:rFonts w:cs="Arial"/>
          <w:sz w:val="20"/>
          <w:szCs w:val="20"/>
        </w:rPr>
        <w:tab/>
        <w:t>Sistema y método de valuación de inventarios y costo de lo vendido. Primeras Entradas, Primeras Salidas. No se manejan inventarios. Las adquisiciones para materiales e insumos de operación se compran en cantidades mínimas y se utilizan en el mismo mes, no acumulando inversión de materiales en almacén al fin del mes.</w:t>
      </w:r>
    </w:p>
    <w:p w:rsidR="00907B67" w:rsidRPr="00907B67" w:rsidRDefault="00907B67" w:rsidP="003939AE">
      <w:pPr>
        <w:spacing w:line="240" w:lineRule="auto"/>
        <w:jc w:val="both"/>
        <w:rPr>
          <w:rFonts w:cs="Arial"/>
          <w:sz w:val="20"/>
          <w:szCs w:val="20"/>
        </w:rPr>
      </w:pPr>
      <w:r w:rsidRPr="00907B67">
        <w:rPr>
          <w:rFonts w:cs="Arial"/>
          <w:sz w:val="20"/>
          <w:szCs w:val="20"/>
        </w:rPr>
        <w:t>e)</w:t>
      </w:r>
      <w:r w:rsidRPr="00907B67">
        <w:rPr>
          <w:rFonts w:cs="Arial"/>
          <w:sz w:val="20"/>
          <w:szCs w:val="20"/>
        </w:rPr>
        <w:tab/>
        <w:t>Beneficios a empleados</w:t>
      </w:r>
      <w:proofErr w:type="gramStart"/>
      <w:r w:rsidRPr="00907B67">
        <w:rPr>
          <w:rFonts w:cs="Arial"/>
          <w:sz w:val="20"/>
          <w:szCs w:val="20"/>
        </w:rPr>
        <w:t>:  No</w:t>
      </w:r>
      <w:proofErr w:type="gramEnd"/>
      <w:r w:rsidRPr="00907B67">
        <w:rPr>
          <w:rFonts w:cs="Arial"/>
          <w:sz w:val="20"/>
          <w:szCs w:val="20"/>
        </w:rPr>
        <w:t xml:space="preserve"> aplica</w:t>
      </w:r>
    </w:p>
    <w:p w:rsidR="00907B67" w:rsidRPr="00907B67" w:rsidRDefault="00907B67" w:rsidP="003939AE">
      <w:pPr>
        <w:spacing w:line="240" w:lineRule="auto"/>
        <w:jc w:val="both"/>
        <w:rPr>
          <w:rFonts w:cs="Arial"/>
          <w:sz w:val="20"/>
          <w:szCs w:val="20"/>
        </w:rPr>
      </w:pPr>
      <w:r w:rsidRPr="00907B67">
        <w:rPr>
          <w:rFonts w:cs="Arial"/>
          <w:sz w:val="20"/>
          <w:szCs w:val="20"/>
        </w:rPr>
        <w:t>f)</w:t>
      </w:r>
      <w:r w:rsidRPr="00907B67">
        <w:rPr>
          <w:rFonts w:cs="Arial"/>
          <w:sz w:val="20"/>
          <w:szCs w:val="20"/>
        </w:rPr>
        <w:tab/>
        <w:t>Provisiones: objetivo de su creación, monto y plazo. Aun no se aplican provisiones laborales.</w:t>
      </w:r>
    </w:p>
    <w:p w:rsidR="00907B67" w:rsidRPr="00907B67" w:rsidRDefault="00907B67" w:rsidP="003939AE">
      <w:pPr>
        <w:spacing w:line="240" w:lineRule="auto"/>
        <w:jc w:val="both"/>
        <w:rPr>
          <w:rFonts w:cs="Arial"/>
          <w:sz w:val="20"/>
          <w:szCs w:val="20"/>
        </w:rPr>
      </w:pPr>
      <w:r w:rsidRPr="00907B67">
        <w:rPr>
          <w:rFonts w:cs="Arial"/>
          <w:sz w:val="20"/>
          <w:szCs w:val="20"/>
        </w:rPr>
        <w:t>g)</w:t>
      </w:r>
      <w:r w:rsidRPr="00907B67">
        <w:rPr>
          <w:rFonts w:cs="Arial"/>
          <w:sz w:val="20"/>
          <w:szCs w:val="20"/>
        </w:rPr>
        <w:tab/>
        <w:t>Reservas: Se crearon reservas  en el ejercicio 2011 y 2012 se han utilizado conforme la operación ha requerido cuando los ingresos por aportaciones no cubren los gastos corrientes más relevantes e indispensables para cubrir la calidad educativa y el mantenimiento del plantel, de igual forma cuando se obtienen recursos adicionales se resarce la reserva.</w:t>
      </w:r>
    </w:p>
    <w:p w:rsidR="00907B67" w:rsidRPr="00907B67" w:rsidRDefault="00907B67" w:rsidP="003939AE">
      <w:pPr>
        <w:spacing w:line="240" w:lineRule="auto"/>
        <w:jc w:val="both"/>
        <w:rPr>
          <w:rFonts w:cs="Arial"/>
          <w:sz w:val="20"/>
          <w:szCs w:val="20"/>
        </w:rPr>
      </w:pPr>
      <w:r w:rsidRPr="00907B67">
        <w:rPr>
          <w:rFonts w:cs="Arial"/>
          <w:sz w:val="20"/>
          <w:szCs w:val="20"/>
        </w:rPr>
        <w:t>h)</w:t>
      </w:r>
      <w:r w:rsidRPr="00907B67">
        <w:rPr>
          <w:rFonts w:cs="Arial"/>
          <w:sz w:val="20"/>
          <w:szCs w:val="20"/>
        </w:rPr>
        <w:tab/>
        <w:t>Cambios en políticas contables y corrección de errores.  No se han presentado cambios de políticas contables a la fecha.</w:t>
      </w:r>
    </w:p>
    <w:p w:rsidR="00907B67" w:rsidRPr="00907B67" w:rsidRDefault="00907B67" w:rsidP="003939AE">
      <w:pPr>
        <w:spacing w:line="240" w:lineRule="auto"/>
        <w:jc w:val="both"/>
        <w:rPr>
          <w:rFonts w:cs="Arial"/>
          <w:sz w:val="20"/>
          <w:szCs w:val="20"/>
        </w:rPr>
      </w:pPr>
      <w:r w:rsidRPr="00907B67">
        <w:rPr>
          <w:rFonts w:cs="Arial"/>
          <w:sz w:val="20"/>
          <w:szCs w:val="20"/>
        </w:rPr>
        <w:t>i)</w:t>
      </w:r>
      <w:r w:rsidRPr="00907B67">
        <w:rPr>
          <w:rFonts w:cs="Arial"/>
          <w:sz w:val="20"/>
          <w:szCs w:val="20"/>
        </w:rPr>
        <w:tab/>
        <w:t>Reclasificaciones. Se han realizado reclasificaciones entre cuentas por la incorporación del sistema de control patrimonial y cuentas del saacg.</w:t>
      </w:r>
    </w:p>
    <w:p w:rsidR="00907B67" w:rsidRPr="00907B67" w:rsidRDefault="00907B67" w:rsidP="003939AE">
      <w:pPr>
        <w:spacing w:line="240" w:lineRule="auto"/>
        <w:jc w:val="both"/>
        <w:rPr>
          <w:rFonts w:cs="Arial"/>
          <w:sz w:val="20"/>
          <w:szCs w:val="20"/>
        </w:rPr>
      </w:pPr>
      <w:r w:rsidRPr="00907B67">
        <w:rPr>
          <w:rFonts w:cs="Arial"/>
          <w:sz w:val="20"/>
          <w:szCs w:val="20"/>
        </w:rPr>
        <w:t>j)</w:t>
      </w:r>
      <w:r w:rsidRPr="00907B67">
        <w:rPr>
          <w:rFonts w:cs="Arial"/>
          <w:sz w:val="20"/>
          <w:szCs w:val="20"/>
        </w:rPr>
        <w:tab/>
        <w:t>Depuración y cancelación de saldos. No se han realizado depuraciones excepto el registro de redondeos generados por pagos los cuales al término del ejercicio se registran contra ingresos propios por el monto total recaudado.</w:t>
      </w:r>
    </w:p>
    <w:p w:rsidR="00907B67" w:rsidRPr="00907B67" w:rsidRDefault="00907B67" w:rsidP="003939AE">
      <w:pPr>
        <w:spacing w:line="240" w:lineRule="auto"/>
        <w:jc w:val="both"/>
        <w:rPr>
          <w:rFonts w:cs="Arial"/>
          <w:sz w:val="20"/>
          <w:szCs w:val="20"/>
        </w:rPr>
      </w:pPr>
      <w:r w:rsidRPr="00907B67">
        <w:rPr>
          <w:rFonts w:cs="Arial"/>
          <w:sz w:val="20"/>
          <w:szCs w:val="20"/>
        </w:rPr>
        <w:t>k)          Registro de adeudos de cuotas patronales al ISSTEY 2016 realizado en cuentas de orden contable al no contar con la suficiencia en el presupuesto ajustado con el que se operó el ejercicio fiscal 2016.</w:t>
      </w:r>
    </w:p>
    <w:p w:rsidR="00907B67" w:rsidRDefault="00907B67" w:rsidP="003939AE">
      <w:pPr>
        <w:spacing w:line="240" w:lineRule="auto"/>
        <w:jc w:val="both"/>
        <w:rPr>
          <w:rFonts w:cs="Arial"/>
          <w:sz w:val="20"/>
          <w:szCs w:val="20"/>
        </w:rPr>
      </w:pPr>
      <w:r w:rsidRPr="00907B67">
        <w:rPr>
          <w:rFonts w:cs="Arial"/>
          <w:sz w:val="20"/>
          <w:szCs w:val="20"/>
        </w:rPr>
        <w:t>l)          En el ejercicio 2017 se inicia el registro en el sistema gubernamental del control patrimonial con la carga inicial de todos los bienes del inventario físico y conciliado con contabilidad.</w:t>
      </w:r>
    </w:p>
    <w:p w:rsidR="00907B67" w:rsidRDefault="00907B67" w:rsidP="003939AE">
      <w:pPr>
        <w:spacing w:line="240" w:lineRule="auto"/>
        <w:jc w:val="both"/>
        <w:rPr>
          <w:rFonts w:cs="Arial"/>
          <w:sz w:val="20"/>
          <w:szCs w:val="20"/>
        </w:rPr>
      </w:pPr>
    </w:p>
    <w:p w:rsidR="00907B67" w:rsidRPr="00907B67" w:rsidRDefault="00907B67" w:rsidP="003939AE">
      <w:pPr>
        <w:spacing w:line="240" w:lineRule="auto"/>
        <w:jc w:val="both"/>
        <w:rPr>
          <w:rFonts w:cs="Arial"/>
          <w:sz w:val="20"/>
          <w:szCs w:val="20"/>
        </w:rPr>
      </w:pPr>
    </w:p>
    <w:p w:rsidR="00907B67" w:rsidRPr="00907B67" w:rsidRDefault="00907B67" w:rsidP="003939AE">
      <w:pPr>
        <w:spacing w:line="240" w:lineRule="auto"/>
        <w:jc w:val="both"/>
        <w:rPr>
          <w:rFonts w:cs="Arial"/>
          <w:b/>
          <w:sz w:val="20"/>
          <w:szCs w:val="20"/>
        </w:rPr>
      </w:pPr>
      <w:r w:rsidRPr="00907B67">
        <w:rPr>
          <w:rFonts w:cs="Arial"/>
          <w:b/>
          <w:sz w:val="20"/>
          <w:szCs w:val="20"/>
        </w:rPr>
        <w:lastRenderedPageBreak/>
        <w:t>7.</w:t>
      </w:r>
      <w:r w:rsidRPr="00907B67">
        <w:rPr>
          <w:rFonts w:cs="Arial"/>
          <w:b/>
          <w:sz w:val="20"/>
          <w:szCs w:val="20"/>
        </w:rPr>
        <w:tab/>
        <w:t xml:space="preserve">Posición en Moneda Extranjera y Protección por Riesgo Cambiario. </w:t>
      </w:r>
    </w:p>
    <w:p w:rsidR="00907B67" w:rsidRPr="00907B67" w:rsidRDefault="00907B67" w:rsidP="003939AE">
      <w:pPr>
        <w:spacing w:line="240" w:lineRule="auto"/>
        <w:jc w:val="both"/>
        <w:rPr>
          <w:rFonts w:cs="Arial"/>
          <w:sz w:val="20"/>
          <w:szCs w:val="20"/>
        </w:rPr>
      </w:pPr>
      <w:r w:rsidRPr="00907B67">
        <w:rPr>
          <w:rFonts w:cs="Arial"/>
          <w:sz w:val="20"/>
          <w:szCs w:val="20"/>
        </w:rPr>
        <w:t>No aplica. Lo anterior, por no contar con registros en los rubros de activo y pasivo por este concepto ni sobre los métodos de protección de riesgo por variaciones en el tipo de cambio.</w:t>
      </w:r>
    </w:p>
    <w:p w:rsidR="00907B67" w:rsidRPr="00907B67" w:rsidRDefault="00907B67" w:rsidP="003939AE">
      <w:pPr>
        <w:spacing w:line="240" w:lineRule="auto"/>
        <w:jc w:val="both"/>
        <w:rPr>
          <w:rFonts w:cs="Arial"/>
          <w:b/>
          <w:sz w:val="20"/>
          <w:szCs w:val="20"/>
        </w:rPr>
      </w:pPr>
      <w:r w:rsidRPr="00907B67">
        <w:rPr>
          <w:rFonts w:cs="Arial"/>
          <w:b/>
          <w:sz w:val="20"/>
          <w:szCs w:val="20"/>
        </w:rPr>
        <w:t>8.            Reporte Analítico del Activo</w:t>
      </w:r>
    </w:p>
    <w:p w:rsidR="00907B67" w:rsidRPr="00907B67" w:rsidRDefault="00907B67" w:rsidP="003939AE">
      <w:pPr>
        <w:spacing w:line="240" w:lineRule="auto"/>
        <w:jc w:val="both"/>
        <w:rPr>
          <w:rFonts w:cs="Arial"/>
          <w:sz w:val="20"/>
          <w:szCs w:val="20"/>
        </w:rPr>
      </w:pPr>
      <w:r w:rsidRPr="00907B67">
        <w:rPr>
          <w:rFonts w:cs="Arial"/>
          <w:sz w:val="20"/>
          <w:szCs w:val="20"/>
        </w:rPr>
        <w:t>a)</w:t>
      </w:r>
      <w:r w:rsidRPr="00907B67">
        <w:rPr>
          <w:rFonts w:cs="Arial"/>
          <w:sz w:val="20"/>
          <w:szCs w:val="20"/>
        </w:rPr>
        <w:tab/>
        <w:t>Vida útil o porcentajes de depreciación, deterioro o amortización utilizados en los diferentes tipos de activos. Son los referidos en los criterios de la Ley de Contabilidad Gubernamental y considerados en la elaboración de las políticas contables de la Universidad.</w:t>
      </w:r>
    </w:p>
    <w:p w:rsidR="00907B67" w:rsidRPr="00907B67" w:rsidRDefault="00907B67" w:rsidP="003939AE">
      <w:pPr>
        <w:spacing w:line="240" w:lineRule="auto"/>
        <w:jc w:val="both"/>
        <w:rPr>
          <w:rFonts w:cs="Arial"/>
          <w:sz w:val="20"/>
          <w:szCs w:val="20"/>
        </w:rPr>
      </w:pPr>
      <w:r w:rsidRPr="00907B67">
        <w:rPr>
          <w:rFonts w:cs="Arial"/>
          <w:sz w:val="20"/>
          <w:szCs w:val="20"/>
        </w:rPr>
        <w:t>b)</w:t>
      </w:r>
      <w:r w:rsidRPr="00907B67">
        <w:rPr>
          <w:rFonts w:cs="Arial"/>
          <w:sz w:val="20"/>
          <w:szCs w:val="20"/>
        </w:rPr>
        <w:tab/>
        <w:t>Cambios en el porcentaje de depreciación o valor residual de los activos. Se aplican los señalados en ley.</w:t>
      </w:r>
    </w:p>
    <w:p w:rsidR="00907B67" w:rsidRPr="00907B67" w:rsidRDefault="00907B67" w:rsidP="003939AE">
      <w:pPr>
        <w:spacing w:line="240" w:lineRule="auto"/>
        <w:jc w:val="both"/>
        <w:rPr>
          <w:rFonts w:cs="Arial"/>
          <w:sz w:val="20"/>
          <w:szCs w:val="20"/>
        </w:rPr>
      </w:pPr>
      <w:r w:rsidRPr="00907B67">
        <w:rPr>
          <w:rFonts w:cs="Arial"/>
          <w:sz w:val="20"/>
          <w:szCs w:val="20"/>
        </w:rPr>
        <w:t>c)</w:t>
      </w:r>
      <w:r w:rsidRPr="00907B67">
        <w:rPr>
          <w:rFonts w:cs="Arial"/>
          <w:sz w:val="20"/>
          <w:szCs w:val="20"/>
        </w:rPr>
        <w:tab/>
        <w:t>Importe de los gastos capitalizados en el ejercicio, tanto financieros como de investigación y desarrollo. No aplica.</w:t>
      </w:r>
    </w:p>
    <w:p w:rsidR="00907B67" w:rsidRPr="00907B67" w:rsidRDefault="00907B67" w:rsidP="003939AE">
      <w:pPr>
        <w:spacing w:line="240" w:lineRule="auto"/>
        <w:jc w:val="both"/>
        <w:rPr>
          <w:rFonts w:cs="Arial"/>
          <w:sz w:val="20"/>
          <w:szCs w:val="20"/>
        </w:rPr>
      </w:pPr>
      <w:r w:rsidRPr="00907B67">
        <w:rPr>
          <w:rFonts w:cs="Arial"/>
          <w:sz w:val="20"/>
          <w:szCs w:val="20"/>
        </w:rPr>
        <w:t>d)</w:t>
      </w:r>
      <w:r w:rsidRPr="00907B67">
        <w:rPr>
          <w:rFonts w:cs="Arial"/>
          <w:sz w:val="20"/>
          <w:szCs w:val="20"/>
        </w:rPr>
        <w:tab/>
        <w:t>Riesgos por tipo de cambio o tipo de interés de las inversiones financieras. No aplica</w:t>
      </w:r>
    </w:p>
    <w:p w:rsidR="00907B67" w:rsidRPr="00907B67" w:rsidRDefault="00907B67" w:rsidP="003939AE">
      <w:pPr>
        <w:spacing w:line="240" w:lineRule="auto"/>
        <w:jc w:val="both"/>
        <w:rPr>
          <w:rFonts w:cs="Arial"/>
          <w:sz w:val="20"/>
          <w:szCs w:val="20"/>
        </w:rPr>
      </w:pPr>
      <w:r w:rsidRPr="00907B67">
        <w:rPr>
          <w:rFonts w:cs="Arial"/>
          <w:sz w:val="20"/>
          <w:szCs w:val="20"/>
        </w:rPr>
        <w:t>e)</w:t>
      </w:r>
      <w:r w:rsidRPr="00907B67">
        <w:rPr>
          <w:rFonts w:cs="Arial"/>
          <w:sz w:val="20"/>
          <w:szCs w:val="20"/>
        </w:rPr>
        <w:tab/>
        <w:t>Valor activado en el ejercicio de los bienes construidos por la entidad. No aplica</w:t>
      </w:r>
    </w:p>
    <w:p w:rsidR="00907B67" w:rsidRPr="00907B67" w:rsidRDefault="00907B67" w:rsidP="003939AE">
      <w:pPr>
        <w:spacing w:line="240" w:lineRule="auto"/>
        <w:jc w:val="both"/>
        <w:rPr>
          <w:rFonts w:cs="Arial"/>
          <w:sz w:val="20"/>
          <w:szCs w:val="20"/>
        </w:rPr>
      </w:pPr>
      <w:r w:rsidRPr="00907B67">
        <w:rPr>
          <w:rFonts w:cs="Arial"/>
          <w:sz w:val="20"/>
          <w:szCs w:val="20"/>
        </w:rPr>
        <w:t>f)</w:t>
      </w:r>
      <w:r w:rsidRPr="00907B67">
        <w:rPr>
          <w:rFonts w:cs="Arial"/>
          <w:sz w:val="20"/>
          <w:szCs w:val="20"/>
        </w:rPr>
        <w:tab/>
        <w:t>Otras circunstancias de carácter significativo que afecten el activo, tales como bienes en garantía, señalados en embargos, litigios, títulos de inversiones entregados en garantías, baja significativa del valor de inversiones financieras, etc. No aplica</w:t>
      </w:r>
    </w:p>
    <w:p w:rsidR="00907B67" w:rsidRPr="00907B67" w:rsidRDefault="00907B67" w:rsidP="003939AE">
      <w:pPr>
        <w:spacing w:line="240" w:lineRule="auto"/>
        <w:jc w:val="both"/>
        <w:rPr>
          <w:rFonts w:cs="Arial"/>
          <w:sz w:val="20"/>
          <w:szCs w:val="20"/>
        </w:rPr>
      </w:pPr>
      <w:r w:rsidRPr="00907B67">
        <w:rPr>
          <w:rFonts w:cs="Arial"/>
          <w:sz w:val="20"/>
          <w:szCs w:val="20"/>
        </w:rPr>
        <w:t>g)</w:t>
      </w:r>
      <w:r w:rsidRPr="00907B67">
        <w:rPr>
          <w:rFonts w:cs="Arial"/>
          <w:sz w:val="20"/>
          <w:szCs w:val="20"/>
        </w:rPr>
        <w:tab/>
        <w:t>Desmantelamiento de Activos, procedimientos, implicaciones, efectos contables. No aplica</w:t>
      </w:r>
    </w:p>
    <w:p w:rsidR="00907B67" w:rsidRPr="00907B67" w:rsidRDefault="00907B67" w:rsidP="003939AE">
      <w:pPr>
        <w:spacing w:line="240" w:lineRule="auto"/>
        <w:jc w:val="both"/>
        <w:rPr>
          <w:rFonts w:cs="Arial"/>
          <w:sz w:val="20"/>
          <w:szCs w:val="20"/>
        </w:rPr>
      </w:pPr>
      <w:r w:rsidRPr="00907B67">
        <w:rPr>
          <w:rFonts w:cs="Arial"/>
          <w:sz w:val="20"/>
          <w:szCs w:val="20"/>
        </w:rPr>
        <w:t>h)</w:t>
      </w:r>
      <w:r w:rsidRPr="00907B67">
        <w:rPr>
          <w:rFonts w:cs="Arial"/>
          <w:sz w:val="20"/>
          <w:szCs w:val="20"/>
        </w:rPr>
        <w:tab/>
        <w:t xml:space="preserve">Administración de activos;  Las áreas académicas realizan la planeación y determinación de los proyectos de investigación que pueden participar para aportar equipamiento a la Universidad para llevar a cabo sus proyectos de investigación. </w:t>
      </w:r>
    </w:p>
    <w:p w:rsidR="00907B67" w:rsidRPr="00907B67" w:rsidRDefault="00907B67" w:rsidP="003939AE">
      <w:pPr>
        <w:spacing w:line="240" w:lineRule="auto"/>
        <w:jc w:val="both"/>
        <w:rPr>
          <w:rFonts w:cs="Arial"/>
          <w:sz w:val="20"/>
          <w:szCs w:val="20"/>
        </w:rPr>
      </w:pPr>
      <w:r w:rsidRPr="00907B67">
        <w:rPr>
          <w:rFonts w:cs="Arial"/>
          <w:sz w:val="20"/>
          <w:szCs w:val="20"/>
        </w:rPr>
        <w:t>Las principales variaciones en el activo no aplican.</w:t>
      </w:r>
    </w:p>
    <w:p w:rsidR="00907B67" w:rsidRPr="00907B67" w:rsidRDefault="00907B67" w:rsidP="003939AE">
      <w:pPr>
        <w:spacing w:line="240" w:lineRule="auto"/>
        <w:jc w:val="both"/>
        <w:rPr>
          <w:rFonts w:cs="Arial"/>
          <w:b/>
          <w:sz w:val="20"/>
          <w:szCs w:val="20"/>
        </w:rPr>
      </w:pPr>
      <w:r w:rsidRPr="00907B67">
        <w:rPr>
          <w:rFonts w:cs="Arial"/>
          <w:b/>
          <w:sz w:val="20"/>
          <w:szCs w:val="20"/>
        </w:rPr>
        <w:t>9.</w:t>
      </w:r>
      <w:r w:rsidRPr="00907B67">
        <w:rPr>
          <w:rFonts w:cs="Arial"/>
          <w:b/>
          <w:sz w:val="20"/>
          <w:szCs w:val="20"/>
        </w:rPr>
        <w:tab/>
        <w:t>Fideicomisos, Mandatos y Análogos.</w:t>
      </w:r>
    </w:p>
    <w:p w:rsidR="00907B67" w:rsidRDefault="00907B67" w:rsidP="003939AE">
      <w:pPr>
        <w:spacing w:line="240" w:lineRule="auto"/>
        <w:jc w:val="both"/>
        <w:rPr>
          <w:rFonts w:cs="Arial"/>
          <w:sz w:val="20"/>
          <w:szCs w:val="20"/>
        </w:rPr>
      </w:pPr>
      <w:r w:rsidRPr="00907B67">
        <w:rPr>
          <w:rFonts w:cs="Arial"/>
          <w:sz w:val="20"/>
          <w:szCs w:val="20"/>
        </w:rPr>
        <w:t xml:space="preserve"> No aplica</w:t>
      </w:r>
    </w:p>
    <w:p w:rsidR="00907B67" w:rsidRPr="00907B67" w:rsidRDefault="00907B67" w:rsidP="003939AE">
      <w:pPr>
        <w:spacing w:line="240" w:lineRule="auto"/>
        <w:jc w:val="both"/>
        <w:rPr>
          <w:rFonts w:cs="Arial"/>
          <w:b/>
          <w:sz w:val="20"/>
          <w:szCs w:val="20"/>
        </w:rPr>
      </w:pPr>
    </w:p>
    <w:p w:rsidR="00907B67" w:rsidRPr="00907B67" w:rsidRDefault="00907B67" w:rsidP="003939AE">
      <w:pPr>
        <w:spacing w:line="240" w:lineRule="auto"/>
        <w:jc w:val="both"/>
        <w:rPr>
          <w:rFonts w:cs="Arial"/>
          <w:b/>
          <w:sz w:val="20"/>
          <w:szCs w:val="20"/>
        </w:rPr>
      </w:pPr>
      <w:r w:rsidRPr="00907B67">
        <w:rPr>
          <w:rFonts w:cs="Arial"/>
          <w:b/>
          <w:sz w:val="20"/>
          <w:szCs w:val="20"/>
        </w:rPr>
        <w:lastRenderedPageBreak/>
        <w:t>10.</w:t>
      </w:r>
      <w:r w:rsidRPr="00907B67">
        <w:rPr>
          <w:rFonts w:cs="Arial"/>
          <w:b/>
          <w:sz w:val="20"/>
          <w:szCs w:val="20"/>
        </w:rPr>
        <w:tab/>
        <w:t xml:space="preserve">Reporte de la Recaudación. </w:t>
      </w:r>
    </w:p>
    <w:p w:rsidR="00907B67" w:rsidRPr="00907B67" w:rsidRDefault="00907B67" w:rsidP="003939AE">
      <w:pPr>
        <w:spacing w:line="240" w:lineRule="auto"/>
        <w:jc w:val="both"/>
        <w:rPr>
          <w:rFonts w:cs="Arial"/>
          <w:sz w:val="20"/>
          <w:szCs w:val="20"/>
        </w:rPr>
      </w:pPr>
      <w:r w:rsidRPr="00907B67">
        <w:rPr>
          <w:rFonts w:cs="Arial"/>
          <w:sz w:val="20"/>
          <w:szCs w:val="20"/>
        </w:rPr>
        <w:t>a)</w:t>
      </w:r>
      <w:r w:rsidRPr="00907B67">
        <w:rPr>
          <w:rFonts w:cs="Arial"/>
          <w:sz w:val="20"/>
          <w:szCs w:val="20"/>
        </w:rPr>
        <w:tab/>
        <w:t>Se presenta en la información financiera los “Analítico de Ingresos” con la integración de la recaudación por aportaciones estatales y federales mensual y acumulado.</w:t>
      </w:r>
    </w:p>
    <w:p w:rsidR="00907B67" w:rsidRPr="00907B67" w:rsidRDefault="00907B67" w:rsidP="003939AE">
      <w:pPr>
        <w:spacing w:line="240" w:lineRule="auto"/>
        <w:jc w:val="both"/>
        <w:rPr>
          <w:rFonts w:cs="Arial"/>
          <w:sz w:val="20"/>
          <w:szCs w:val="20"/>
        </w:rPr>
      </w:pPr>
      <w:r w:rsidRPr="00907B67">
        <w:rPr>
          <w:rFonts w:cs="Arial"/>
          <w:sz w:val="20"/>
          <w:szCs w:val="20"/>
        </w:rPr>
        <w:t>b)</w:t>
      </w:r>
      <w:r w:rsidRPr="00907B67">
        <w:rPr>
          <w:rFonts w:cs="Arial"/>
          <w:sz w:val="20"/>
          <w:szCs w:val="20"/>
        </w:rPr>
        <w:tab/>
        <w:t>Proyección de la recaudación e ingresos en el mediano plazo. Se consideró que para este ejercicio se consolidarán proyectos de investigación y por servicios tecnológicos lo cual incrementaría los ingresos proyectados para este ejercicio a favor para el cumplimiento de las metas al concretarse los convenios de vinculación ya que estos proyectos generarán material para las prácticas y desarrollo del alumnado y académicos involucrados.</w:t>
      </w:r>
    </w:p>
    <w:p w:rsidR="00907B67" w:rsidRPr="00907B67" w:rsidRDefault="00907B67" w:rsidP="003939AE">
      <w:pPr>
        <w:spacing w:line="240" w:lineRule="auto"/>
        <w:jc w:val="both"/>
        <w:rPr>
          <w:rFonts w:cs="Arial"/>
          <w:b/>
          <w:sz w:val="20"/>
          <w:szCs w:val="20"/>
        </w:rPr>
      </w:pPr>
      <w:r w:rsidRPr="00907B67">
        <w:rPr>
          <w:rFonts w:cs="Arial"/>
          <w:b/>
          <w:sz w:val="20"/>
          <w:szCs w:val="20"/>
        </w:rPr>
        <w:t>11.</w:t>
      </w:r>
      <w:r w:rsidRPr="00907B67">
        <w:rPr>
          <w:rFonts w:cs="Arial"/>
          <w:b/>
          <w:sz w:val="20"/>
          <w:szCs w:val="20"/>
        </w:rPr>
        <w:tab/>
        <w:t xml:space="preserve">Información sobre la Deuda y el Reporte Analítico de la Deuda </w:t>
      </w:r>
    </w:p>
    <w:p w:rsidR="00907B67" w:rsidRPr="00907B67" w:rsidRDefault="00907B67" w:rsidP="003939AE">
      <w:pPr>
        <w:spacing w:line="240" w:lineRule="auto"/>
        <w:jc w:val="both"/>
        <w:rPr>
          <w:rFonts w:cs="Arial"/>
          <w:sz w:val="20"/>
          <w:szCs w:val="20"/>
        </w:rPr>
      </w:pPr>
      <w:r w:rsidRPr="00907B67">
        <w:rPr>
          <w:rFonts w:cs="Arial"/>
          <w:sz w:val="20"/>
          <w:szCs w:val="20"/>
        </w:rPr>
        <w:t>No aplica.</w:t>
      </w:r>
    </w:p>
    <w:p w:rsidR="00907B67" w:rsidRPr="00907B67" w:rsidRDefault="00907B67" w:rsidP="003939AE">
      <w:pPr>
        <w:spacing w:line="240" w:lineRule="auto"/>
        <w:jc w:val="both"/>
        <w:rPr>
          <w:rFonts w:cs="Arial"/>
          <w:b/>
          <w:sz w:val="20"/>
          <w:szCs w:val="20"/>
        </w:rPr>
      </w:pPr>
      <w:r w:rsidRPr="00907B67">
        <w:rPr>
          <w:rFonts w:cs="Arial"/>
          <w:b/>
          <w:sz w:val="20"/>
          <w:szCs w:val="20"/>
        </w:rPr>
        <w:t xml:space="preserve">12. Calificaciones otorgadas. </w:t>
      </w:r>
    </w:p>
    <w:p w:rsidR="00907B67" w:rsidRPr="00907B67" w:rsidRDefault="00907B67" w:rsidP="003939AE">
      <w:pPr>
        <w:spacing w:line="240" w:lineRule="auto"/>
        <w:jc w:val="both"/>
        <w:rPr>
          <w:rFonts w:cs="Arial"/>
          <w:sz w:val="20"/>
          <w:szCs w:val="20"/>
        </w:rPr>
      </w:pPr>
      <w:r w:rsidRPr="00907B67">
        <w:rPr>
          <w:rFonts w:cs="Arial"/>
          <w:sz w:val="20"/>
          <w:szCs w:val="20"/>
        </w:rPr>
        <w:t>No aplica.</w:t>
      </w:r>
    </w:p>
    <w:p w:rsidR="00907B67" w:rsidRPr="00907B67" w:rsidRDefault="00907B67" w:rsidP="003939AE">
      <w:pPr>
        <w:spacing w:line="240" w:lineRule="auto"/>
        <w:jc w:val="both"/>
        <w:rPr>
          <w:rFonts w:cs="Arial"/>
          <w:b/>
          <w:sz w:val="20"/>
          <w:szCs w:val="20"/>
        </w:rPr>
      </w:pPr>
      <w:r w:rsidRPr="00907B67">
        <w:rPr>
          <w:rFonts w:cs="Arial"/>
          <w:b/>
          <w:sz w:val="20"/>
          <w:szCs w:val="20"/>
        </w:rPr>
        <w:t>13.</w:t>
      </w:r>
      <w:r w:rsidRPr="00907B67">
        <w:rPr>
          <w:rFonts w:cs="Arial"/>
          <w:b/>
          <w:sz w:val="20"/>
          <w:szCs w:val="20"/>
        </w:rPr>
        <w:tab/>
        <w:t>Proceso de Mejora</w:t>
      </w:r>
    </w:p>
    <w:p w:rsidR="00907B67" w:rsidRPr="00907B67" w:rsidRDefault="00907B67" w:rsidP="003939AE">
      <w:pPr>
        <w:spacing w:line="240" w:lineRule="auto"/>
        <w:jc w:val="both"/>
        <w:rPr>
          <w:rFonts w:cs="Arial"/>
          <w:sz w:val="20"/>
          <w:szCs w:val="20"/>
        </w:rPr>
      </w:pPr>
      <w:r w:rsidRPr="00907B67">
        <w:rPr>
          <w:rFonts w:cs="Arial"/>
          <w:sz w:val="20"/>
          <w:szCs w:val="20"/>
        </w:rPr>
        <w:t>a)</w:t>
      </w:r>
      <w:r w:rsidRPr="00907B67">
        <w:rPr>
          <w:rFonts w:cs="Arial"/>
          <w:sz w:val="20"/>
          <w:szCs w:val="20"/>
        </w:rPr>
        <w:tab/>
        <w:t>Principales Políticas de control interno.</w:t>
      </w:r>
    </w:p>
    <w:p w:rsidR="00907B67" w:rsidRPr="00907B67" w:rsidRDefault="00907B67" w:rsidP="003939AE">
      <w:pPr>
        <w:spacing w:line="240" w:lineRule="auto"/>
        <w:jc w:val="both"/>
        <w:rPr>
          <w:rFonts w:cs="Arial"/>
          <w:sz w:val="20"/>
          <w:szCs w:val="20"/>
        </w:rPr>
      </w:pPr>
      <w:r w:rsidRPr="00907B67">
        <w:rPr>
          <w:rFonts w:cs="Arial"/>
          <w:sz w:val="20"/>
          <w:szCs w:val="20"/>
        </w:rPr>
        <w:t>Se continúa la implementación y seguimiento de las políticas de control interno así como el Instrumento de Calidad en el Servicio, y se continúa con los procesos de auditoria de calidad de las 4 carreras acreditadas.</w:t>
      </w:r>
    </w:p>
    <w:p w:rsidR="00907B67" w:rsidRPr="00907B67" w:rsidRDefault="00907B67" w:rsidP="003939AE">
      <w:pPr>
        <w:spacing w:line="240" w:lineRule="auto"/>
        <w:jc w:val="both"/>
        <w:rPr>
          <w:rFonts w:cs="Arial"/>
          <w:sz w:val="20"/>
          <w:szCs w:val="20"/>
        </w:rPr>
      </w:pPr>
      <w:r w:rsidRPr="00907B67">
        <w:rPr>
          <w:rFonts w:cs="Arial"/>
          <w:sz w:val="20"/>
          <w:szCs w:val="20"/>
        </w:rPr>
        <w:t>b)</w:t>
      </w:r>
      <w:r w:rsidRPr="00907B67">
        <w:rPr>
          <w:rFonts w:cs="Arial"/>
          <w:sz w:val="20"/>
          <w:szCs w:val="20"/>
        </w:rPr>
        <w:tab/>
        <w:t xml:space="preserve">Medidas de desempeño financiero, metas y alcance. </w:t>
      </w:r>
    </w:p>
    <w:p w:rsidR="00907B67" w:rsidRPr="00907B67" w:rsidRDefault="00907B67" w:rsidP="003939AE">
      <w:pPr>
        <w:spacing w:line="240" w:lineRule="auto"/>
        <w:jc w:val="both"/>
        <w:rPr>
          <w:rFonts w:cs="Arial"/>
          <w:sz w:val="20"/>
          <w:szCs w:val="20"/>
        </w:rPr>
      </w:pPr>
      <w:r w:rsidRPr="00907B67">
        <w:rPr>
          <w:rFonts w:cs="Arial"/>
          <w:sz w:val="20"/>
          <w:szCs w:val="20"/>
        </w:rPr>
        <w:t xml:space="preserve">Se realizan las evaluaciones del desempeño financiero y de metas en la evaluación de POA actualmente UBP cuatrimestralmente a través del departamento de planeación y evaluación. </w:t>
      </w:r>
    </w:p>
    <w:p w:rsidR="00907B67" w:rsidRPr="00907B67" w:rsidRDefault="00907B67" w:rsidP="003939AE">
      <w:pPr>
        <w:spacing w:line="240" w:lineRule="auto"/>
        <w:jc w:val="both"/>
        <w:rPr>
          <w:rFonts w:cs="Arial"/>
          <w:sz w:val="20"/>
          <w:szCs w:val="20"/>
        </w:rPr>
      </w:pPr>
      <w:r w:rsidRPr="00907B67">
        <w:rPr>
          <w:rFonts w:cs="Arial"/>
          <w:sz w:val="20"/>
          <w:szCs w:val="20"/>
        </w:rPr>
        <w:t>En el presente ejercicio se han programado la capacitación del académico a través de las instancias del gobierno participando en concursos para obtener recursos federales que permitan financiar estos cursos.</w:t>
      </w:r>
    </w:p>
    <w:p w:rsidR="00907B67" w:rsidRPr="00907B67" w:rsidRDefault="00907B67" w:rsidP="003939AE">
      <w:pPr>
        <w:spacing w:line="240" w:lineRule="auto"/>
        <w:jc w:val="both"/>
        <w:rPr>
          <w:rFonts w:cs="Arial"/>
          <w:b/>
          <w:sz w:val="20"/>
          <w:szCs w:val="20"/>
        </w:rPr>
      </w:pPr>
    </w:p>
    <w:p w:rsidR="00907B67" w:rsidRPr="00907B67" w:rsidRDefault="00907B67" w:rsidP="003939AE">
      <w:pPr>
        <w:spacing w:line="240" w:lineRule="auto"/>
        <w:jc w:val="both"/>
        <w:rPr>
          <w:rFonts w:cs="Arial"/>
          <w:b/>
          <w:sz w:val="20"/>
          <w:szCs w:val="20"/>
        </w:rPr>
      </w:pPr>
      <w:r w:rsidRPr="00907B67">
        <w:rPr>
          <w:rFonts w:cs="Arial"/>
          <w:b/>
          <w:sz w:val="20"/>
          <w:szCs w:val="20"/>
        </w:rPr>
        <w:lastRenderedPageBreak/>
        <w:t>14.</w:t>
      </w:r>
      <w:r w:rsidRPr="00907B67">
        <w:rPr>
          <w:rFonts w:cs="Arial"/>
          <w:b/>
          <w:sz w:val="20"/>
          <w:szCs w:val="20"/>
        </w:rPr>
        <w:tab/>
        <w:t xml:space="preserve">Información por Segmentos. </w:t>
      </w:r>
    </w:p>
    <w:p w:rsidR="00907B67" w:rsidRPr="00907B67" w:rsidRDefault="00907B67" w:rsidP="003939AE">
      <w:pPr>
        <w:spacing w:line="240" w:lineRule="auto"/>
        <w:jc w:val="both"/>
        <w:rPr>
          <w:rFonts w:cs="Arial"/>
          <w:sz w:val="20"/>
          <w:szCs w:val="20"/>
        </w:rPr>
      </w:pPr>
      <w:r w:rsidRPr="00907B67">
        <w:rPr>
          <w:rFonts w:cs="Arial"/>
          <w:sz w:val="20"/>
          <w:szCs w:val="20"/>
        </w:rPr>
        <w:t>No aplica</w:t>
      </w:r>
    </w:p>
    <w:p w:rsidR="00907B67" w:rsidRPr="00907B67" w:rsidRDefault="00907B67" w:rsidP="003939AE">
      <w:pPr>
        <w:spacing w:line="240" w:lineRule="auto"/>
        <w:jc w:val="both"/>
        <w:rPr>
          <w:rFonts w:cs="Arial"/>
          <w:b/>
          <w:sz w:val="20"/>
          <w:szCs w:val="20"/>
        </w:rPr>
      </w:pPr>
      <w:r w:rsidRPr="00907B67">
        <w:rPr>
          <w:rFonts w:cs="Arial"/>
          <w:b/>
          <w:sz w:val="20"/>
          <w:szCs w:val="20"/>
        </w:rPr>
        <w:t>15.</w:t>
      </w:r>
      <w:r w:rsidRPr="00907B67">
        <w:rPr>
          <w:rFonts w:cs="Arial"/>
          <w:b/>
          <w:sz w:val="20"/>
          <w:szCs w:val="20"/>
        </w:rPr>
        <w:tab/>
        <w:t xml:space="preserve">Eventos Posteriores al Cierre.  </w:t>
      </w:r>
    </w:p>
    <w:p w:rsidR="00907B67" w:rsidRPr="00907B67" w:rsidRDefault="00907B67" w:rsidP="003939AE">
      <w:pPr>
        <w:spacing w:line="240" w:lineRule="auto"/>
        <w:jc w:val="both"/>
        <w:rPr>
          <w:rFonts w:cs="Arial"/>
          <w:sz w:val="20"/>
          <w:szCs w:val="20"/>
        </w:rPr>
      </w:pPr>
      <w:r w:rsidRPr="00907B67">
        <w:rPr>
          <w:rFonts w:cs="Arial"/>
          <w:sz w:val="20"/>
          <w:szCs w:val="20"/>
        </w:rPr>
        <w:t>No se presentaron eventos.</w:t>
      </w:r>
    </w:p>
    <w:p w:rsidR="00907B67" w:rsidRPr="00907B67" w:rsidRDefault="00907B67" w:rsidP="003939AE">
      <w:pPr>
        <w:spacing w:line="240" w:lineRule="auto"/>
        <w:jc w:val="both"/>
        <w:rPr>
          <w:rFonts w:cs="Arial"/>
          <w:b/>
          <w:sz w:val="20"/>
          <w:szCs w:val="20"/>
        </w:rPr>
      </w:pPr>
      <w:r w:rsidRPr="00907B67">
        <w:rPr>
          <w:rFonts w:cs="Arial"/>
          <w:b/>
          <w:sz w:val="20"/>
          <w:szCs w:val="20"/>
        </w:rPr>
        <w:t>16.</w:t>
      </w:r>
      <w:r w:rsidRPr="00907B67">
        <w:rPr>
          <w:rFonts w:cs="Arial"/>
          <w:b/>
          <w:sz w:val="20"/>
          <w:szCs w:val="20"/>
        </w:rPr>
        <w:tab/>
        <w:t>Partes Relacionadas</w:t>
      </w:r>
    </w:p>
    <w:p w:rsidR="00907B67" w:rsidRPr="00907B67" w:rsidRDefault="00907B67" w:rsidP="003939AE">
      <w:pPr>
        <w:spacing w:line="240" w:lineRule="auto"/>
        <w:jc w:val="both"/>
        <w:rPr>
          <w:rFonts w:cs="Arial"/>
          <w:sz w:val="20"/>
          <w:szCs w:val="20"/>
        </w:rPr>
      </w:pPr>
      <w:r w:rsidRPr="00907B67">
        <w:rPr>
          <w:rFonts w:cs="Arial"/>
          <w:sz w:val="20"/>
          <w:szCs w:val="20"/>
        </w:rPr>
        <w:t xml:space="preserve"> No existen partes relacionadas que pudieran ejercer influencia significativa sobre la toma de decisiones financieras y operativas, ajenas al Organo de Gobierno y las Instancias que nos regulan.</w:t>
      </w:r>
    </w:p>
    <w:p w:rsidR="00907B67" w:rsidRPr="00907B67" w:rsidRDefault="00907B67" w:rsidP="003939AE">
      <w:pPr>
        <w:spacing w:line="240" w:lineRule="auto"/>
        <w:jc w:val="both"/>
        <w:rPr>
          <w:rFonts w:cs="Arial"/>
          <w:b/>
          <w:sz w:val="20"/>
          <w:szCs w:val="20"/>
        </w:rPr>
      </w:pPr>
      <w:r w:rsidRPr="00907B67">
        <w:rPr>
          <w:rFonts w:cs="Arial"/>
          <w:b/>
          <w:sz w:val="20"/>
          <w:szCs w:val="20"/>
        </w:rPr>
        <w:t>17.</w:t>
      </w:r>
      <w:r w:rsidRPr="00907B67">
        <w:rPr>
          <w:rFonts w:cs="Arial"/>
          <w:b/>
          <w:sz w:val="20"/>
          <w:szCs w:val="20"/>
        </w:rPr>
        <w:tab/>
        <w:t xml:space="preserve">Responsabilidad Sobre la Presentación Razonable de la Información Contable. </w:t>
      </w:r>
    </w:p>
    <w:p w:rsidR="00907B67" w:rsidRPr="00907B67" w:rsidRDefault="00907B67" w:rsidP="003939AE">
      <w:pPr>
        <w:spacing w:line="240" w:lineRule="auto"/>
        <w:jc w:val="both"/>
        <w:rPr>
          <w:rFonts w:cs="Arial"/>
          <w:sz w:val="20"/>
          <w:szCs w:val="20"/>
        </w:rPr>
      </w:pPr>
      <w:r w:rsidRPr="00907B67">
        <w:rPr>
          <w:rFonts w:cs="Arial"/>
          <w:sz w:val="20"/>
          <w:szCs w:val="20"/>
        </w:rPr>
        <w:t>La Información Contable se encuentra firmada en cada página de la misma para dar fe de la veracidad de la información contenida.</w:t>
      </w:r>
    </w:p>
    <w:p w:rsidR="00907B67" w:rsidRPr="00907B67" w:rsidRDefault="00907B67" w:rsidP="003939AE">
      <w:pPr>
        <w:spacing w:line="240" w:lineRule="auto"/>
        <w:jc w:val="both"/>
        <w:rPr>
          <w:rFonts w:cs="Arial"/>
          <w:b/>
          <w:sz w:val="20"/>
          <w:szCs w:val="20"/>
        </w:rPr>
      </w:pPr>
      <w:r w:rsidRPr="00907B67">
        <w:rPr>
          <w:rFonts w:cs="Arial"/>
          <w:b/>
          <w:sz w:val="20"/>
          <w:szCs w:val="20"/>
        </w:rPr>
        <w:t>NOTAS DE DESGLOSE</w:t>
      </w:r>
    </w:p>
    <w:p w:rsidR="00907B67" w:rsidRPr="00907B67" w:rsidRDefault="00907B67" w:rsidP="003939AE">
      <w:pPr>
        <w:spacing w:line="240" w:lineRule="auto"/>
        <w:jc w:val="both"/>
        <w:rPr>
          <w:rFonts w:cs="Arial"/>
          <w:b/>
          <w:sz w:val="20"/>
          <w:szCs w:val="20"/>
        </w:rPr>
      </w:pPr>
      <w:r w:rsidRPr="00907B67">
        <w:rPr>
          <w:rFonts w:cs="Arial"/>
          <w:b/>
          <w:sz w:val="20"/>
          <w:szCs w:val="20"/>
        </w:rPr>
        <w:t>1.- Efectivo y Equivalente.</w:t>
      </w:r>
    </w:p>
    <w:p w:rsidR="00907B67" w:rsidRPr="00907B67" w:rsidRDefault="00907B67" w:rsidP="003939AE">
      <w:pPr>
        <w:spacing w:line="240" w:lineRule="auto"/>
        <w:jc w:val="both"/>
        <w:rPr>
          <w:rFonts w:cs="Arial"/>
          <w:sz w:val="20"/>
          <w:szCs w:val="20"/>
        </w:rPr>
      </w:pPr>
      <w:r w:rsidRPr="00907B67">
        <w:rPr>
          <w:rFonts w:cs="Arial"/>
          <w:sz w:val="20"/>
          <w:szCs w:val="20"/>
        </w:rPr>
        <w:t>En el rubro de Efectivo y Equivalentes a la fecha de corte se encuentra con un saldo de $</w:t>
      </w:r>
      <w:r w:rsidRPr="00907B67">
        <w:rPr>
          <w:sz w:val="20"/>
          <w:szCs w:val="20"/>
        </w:rPr>
        <w:t xml:space="preserve"> 4</w:t>
      </w:r>
      <w:r w:rsidRPr="00907B67">
        <w:rPr>
          <w:rFonts w:cs="Arial"/>
          <w:sz w:val="20"/>
          <w:szCs w:val="20"/>
        </w:rPr>
        <w:t xml:space="preserve">´443,550.66. El Fondo fijo que está asignado para gastos menores que surjan durante la operación, </w:t>
      </w:r>
      <w:proofErr w:type="gramStart"/>
      <w:r w:rsidRPr="00907B67">
        <w:rPr>
          <w:rFonts w:cs="Arial"/>
          <w:sz w:val="20"/>
          <w:szCs w:val="20"/>
        </w:rPr>
        <w:t>están</w:t>
      </w:r>
      <w:proofErr w:type="gramEnd"/>
      <w:r w:rsidRPr="00907B67">
        <w:rPr>
          <w:rFonts w:cs="Arial"/>
          <w:sz w:val="20"/>
          <w:szCs w:val="20"/>
        </w:rPr>
        <w:t xml:space="preserve"> a cargo de la Rectora por $2,000.00 y la Directora de Administración y Finanzas por $5,000.00, ambos fueron liberados al inicio del ejercicio. El saldo en  bancos se relaciona en la información contable. </w:t>
      </w:r>
    </w:p>
    <w:p w:rsidR="00907B67" w:rsidRPr="00907B67" w:rsidRDefault="00907B67" w:rsidP="003939AE">
      <w:pPr>
        <w:spacing w:line="240" w:lineRule="auto"/>
        <w:jc w:val="both"/>
        <w:rPr>
          <w:rFonts w:cs="Arial"/>
          <w:sz w:val="20"/>
          <w:szCs w:val="20"/>
        </w:rPr>
      </w:pPr>
      <w:r w:rsidRPr="00907B67">
        <w:rPr>
          <w:rFonts w:cs="Arial"/>
          <w:sz w:val="20"/>
          <w:szCs w:val="20"/>
        </w:rPr>
        <w:t xml:space="preserve">Las cuentas de bancos </w:t>
      </w:r>
      <w:proofErr w:type="gramStart"/>
      <w:r w:rsidRPr="00907B67">
        <w:rPr>
          <w:rFonts w:cs="Arial"/>
          <w:sz w:val="20"/>
          <w:szCs w:val="20"/>
        </w:rPr>
        <w:t>está</w:t>
      </w:r>
      <w:proofErr w:type="gramEnd"/>
      <w:r w:rsidRPr="00907B67">
        <w:rPr>
          <w:rFonts w:cs="Arial"/>
          <w:sz w:val="20"/>
          <w:szCs w:val="20"/>
        </w:rPr>
        <w:t xml:space="preserve">  a nombre de la Universidad  con firmas mancomunadas. La cuenta de Bancos presenta el movimiento del mes por las aportaciones federal y estatal así como de ingresos propios que en este mes ingresó el cobro de algunos convenios celebrados </w:t>
      </w:r>
    </w:p>
    <w:p w:rsidR="00907B67" w:rsidRPr="00907B67" w:rsidRDefault="00907B67" w:rsidP="003939AE">
      <w:pPr>
        <w:spacing w:line="240" w:lineRule="auto"/>
        <w:jc w:val="both"/>
        <w:rPr>
          <w:rFonts w:cs="Arial"/>
          <w:sz w:val="20"/>
          <w:szCs w:val="20"/>
        </w:rPr>
      </w:pPr>
      <w:r w:rsidRPr="00907B67">
        <w:rPr>
          <w:rFonts w:cs="Arial"/>
          <w:sz w:val="20"/>
          <w:szCs w:val="20"/>
        </w:rPr>
        <w:t xml:space="preserve">La chequera de la reserva se ha utilizado  temporalmente el efectivo para cubrir gastos en tanto se regularizan los montos de las inscripciones y las aportaciones estatales. Este ejercicio fiscal, a diferencia de los anteriores años los ingresos </w:t>
      </w:r>
      <w:proofErr w:type="gramStart"/>
      <w:r w:rsidRPr="00907B67">
        <w:rPr>
          <w:rFonts w:cs="Arial"/>
          <w:sz w:val="20"/>
          <w:szCs w:val="20"/>
        </w:rPr>
        <w:t>están</w:t>
      </w:r>
      <w:proofErr w:type="gramEnd"/>
      <w:r w:rsidRPr="00907B67">
        <w:rPr>
          <w:rFonts w:cs="Arial"/>
          <w:sz w:val="20"/>
          <w:szCs w:val="20"/>
        </w:rPr>
        <w:t xml:space="preserve"> calendarizados en relación al estimado de ingresos del presupuesto autorizado. </w:t>
      </w:r>
    </w:p>
    <w:p w:rsidR="00907B67" w:rsidRPr="00907B67" w:rsidRDefault="00907B67" w:rsidP="003939AE">
      <w:pPr>
        <w:spacing w:line="240" w:lineRule="auto"/>
        <w:jc w:val="both"/>
        <w:rPr>
          <w:rFonts w:cs="Arial"/>
          <w:sz w:val="20"/>
          <w:szCs w:val="20"/>
        </w:rPr>
      </w:pPr>
      <w:r w:rsidRPr="00907B67">
        <w:rPr>
          <w:rFonts w:cs="Arial"/>
          <w:sz w:val="20"/>
          <w:szCs w:val="20"/>
        </w:rPr>
        <w:t xml:space="preserve">La Universidad tiene compromisos fiscales realizados sin embargo las aportaciones estatales anuales no son suficientes para cubrir el 100% de los gastos de operación y contribuciones a realizar, como  la deuda de los pagos de impuestos de la aportación patronal del ISSTEY del período 2015,  las cuales se encuentran reflejadas en el </w:t>
      </w:r>
      <w:r w:rsidRPr="00907B67">
        <w:rPr>
          <w:rFonts w:cs="Arial"/>
          <w:sz w:val="20"/>
          <w:szCs w:val="20"/>
        </w:rPr>
        <w:lastRenderedPageBreak/>
        <w:t xml:space="preserve">devengado y provisionadas contablemente, el monto acumulado se detalla en la cuenta de impuestos por pagar. En lo referente al ejercicio fiscal 2016, el presupuesto es muy reducido y no se tiene la suficiencia para provisionar los meses de enero a diciembre, sin embargo se reflejan en las cuentas de orden contable para provisión del monto adeudado.  </w:t>
      </w:r>
    </w:p>
    <w:p w:rsidR="00907B67" w:rsidRPr="00907B67" w:rsidRDefault="00907B67" w:rsidP="003939AE">
      <w:pPr>
        <w:spacing w:line="240" w:lineRule="auto"/>
        <w:jc w:val="both"/>
        <w:rPr>
          <w:rFonts w:cs="Arial"/>
          <w:sz w:val="20"/>
          <w:szCs w:val="20"/>
        </w:rPr>
      </w:pPr>
      <w:r w:rsidRPr="00907B67">
        <w:rPr>
          <w:rFonts w:cs="Arial"/>
          <w:sz w:val="20"/>
          <w:szCs w:val="20"/>
        </w:rPr>
        <w:t>La cuenta de derechos a recibir efectivo se integra por  $</w:t>
      </w:r>
      <w:r w:rsidRPr="00907B67">
        <w:rPr>
          <w:sz w:val="20"/>
          <w:szCs w:val="20"/>
        </w:rPr>
        <w:t xml:space="preserve"> 226,612.91</w:t>
      </w:r>
      <w:r w:rsidRPr="00907B67">
        <w:rPr>
          <w:rFonts w:cs="Arial"/>
          <w:sz w:val="20"/>
          <w:szCs w:val="20"/>
        </w:rPr>
        <w:t xml:space="preserve"> con viáticos y gastos a comprobar otorgados a empleados de la Universidad para representación de la UTP en actividades oficiales. Quedó en la cuenta de anticipo a proveedores un saldo de $2,320.00  por el pago anticipado de la renta de copiadoras en el mes ya que el contrato establece pago anticipado y facturación al corte del mes. </w:t>
      </w:r>
    </w:p>
    <w:p w:rsidR="00907B67" w:rsidRPr="00907B67" w:rsidRDefault="00907B67" w:rsidP="003939AE">
      <w:pPr>
        <w:spacing w:line="240" w:lineRule="auto"/>
        <w:jc w:val="both"/>
        <w:rPr>
          <w:rFonts w:cs="Arial"/>
          <w:b/>
          <w:sz w:val="20"/>
          <w:szCs w:val="20"/>
        </w:rPr>
      </w:pPr>
      <w:r w:rsidRPr="00907B67">
        <w:rPr>
          <w:rFonts w:cs="Arial"/>
          <w:b/>
          <w:sz w:val="20"/>
          <w:szCs w:val="20"/>
        </w:rPr>
        <w:t>2.- Ingresos de afectación especifica</w:t>
      </w:r>
    </w:p>
    <w:p w:rsidR="00907B67" w:rsidRPr="00907B67" w:rsidRDefault="00907B67" w:rsidP="003939AE">
      <w:pPr>
        <w:spacing w:line="240" w:lineRule="auto"/>
        <w:jc w:val="both"/>
        <w:rPr>
          <w:rFonts w:cs="Arial"/>
          <w:sz w:val="20"/>
          <w:szCs w:val="20"/>
        </w:rPr>
      </w:pPr>
      <w:r w:rsidRPr="00907B67">
        <w:rPr>
          <w:rFonts w:cs="Arial"/>
          <w:sz w:val="20"/>
          <w:szCs w:val="20"/>
        </w:rPr>
        <w:t>Depósito de fondos de terceros: Se tiene recursos de convenios de ejercicios anteriores de los Programas PROFOCIE2015 y 2016,  PROMEP2014, PRODEP2015 por proyectos presentados por los profesores en proceso de ejecución y/o comprobación ante la Coordinación General de Universidades Tecnológicas y Politécnicas. De igual forma se mantiene el proyecto con la fundación Kellogs y otras instituciones para desarrollar tecnología de alimentos en la localidad de Teabo para el periodo may2016-mayo2017, con una aportación inicial de $2´228,664.73 la cual está identificada en las cuentas de administración de terceros ya que es comprobable y auditable por cinco años ante el órgano fiscalizador de la fundación el convenio está celebrado en la moneda de origen de los Estados Unidos de Norteamérica y se presenta en pesos mexicanos al tipo de cambio del día de la recepción de la transferencia bancaria. Este ingreso tiene un período de aplicación específico de doce meses, es decir concluye su comprobación en mayo 2017. De este proyecto la Universidad participa con asistencia técnica la cual se factura y registra contablemente como ingresos para la afectación presupuestal correspondiente. En el mes de diciembre se presentó  la comprobación ante la Coordinación General de Universidades de la aplicación de los recursos del Profocíe y se obtuvo la aprobación de la aplicación de los remanentes obtenidos</w:t>
      </w:r>
      <w:proofErr w:type="gramStart"/>
      <w:r w:rsidRPr="00907B67">
        <w:rPr>
          <w:rFonts w:cs="Arial"/>
          <w:sz w:val="20"/>
          <w:szCs w:val="20"/>
        </w:rPr>
        <w:t>..</w:t>
      </w:r>
      <w:proofErr w:type="gramEnd"/>
    </w:p>
    <w:p w:rsidR="00907B67" w:rsidRPr="00907B67" w:rsidRDefault="00907B67" w:rsidP="003939AE">
      <w:pPr>
        <w:spacing w:line="240" w:lineRule="auto"/>
        <w:jc w:val="both"/>
        <w:rPr>
          <w:rFonts w:cs="Arial"/>
          <w:b/>
          <w:sz w:val="20"/>
          <w:szCs w:val="20"/>
        </w:rPr>
      </w:pPr>
      <w:r w:rsidRPr="00907B67">
        <w:rPr>
          <w:rFonts w:cs="Arial"/>
          <w:b/>
          <w:sz w:val="20"/>
          <w:szCs w:val="20"/>
        </w:rPr>
        <w:t>3.-Pendientes de cobro por tipo de contribución:</w:t>
      </w:r>
    </w:p>
    <w:p w:rsidR="00907B67" w:rsidRPr="00907B67" w:rsidRDefault="00907B67" w:rsidP="003939AE">
      <w:pPr>
        <w:spacing w:line="240" w:lineRule="auto"/>
        <w:jc w:val="both"/>
        <w:rPr>
          <w:rFonts w:cs="Arial"/>
          <w:sz w:val="20"/>
          <w:szCs w:val="20"/>
        </w:rPr>
      </w:pPr>
      <w:r w:rsidRPr="00907B67">
        <w:rPr>
          <w:rFonts w:cs="Arial"/>
          <w:sz w:val="20"/>
          <w:szCs w:val="20"/>
        </w:rPr>
        <w:t xml:space="preserve">Por tipo de contribución se informa que no se encuentra pendiente cobro de contribuciones y por recuperar de hasta cinco ejercicios anteriores, asimismo no se cuenta con montos sujetos a algún tipo de juicio con una antigüedad mayor a la señalada y la factibilidad de cobro. </w:t>
      </w:r>
    </w:p>
    <w:p w:rsidR="00907B67" w:rsidRPr="00907B67" w:rsidRDefault="00907B67" w:rsidP="003939AE">
      <w:pPr>
        <w:spacing w:line="240" w:lineRule="auto"/>
        <w:jc w:val="both"/>
        <w:rPr>
          <w:rFonts w:cs="Arial"/>
          <w:sz w:val="20"/>
          <w:szCs w:val="20"/>
        </w:rPr>
      </w:pPr>
      <w:r w:rsidRPr="00907B67">
        <w:rPr>
          <w:rFonts w:cs="Arial"/>
          <w:sz w:val="20"/>
          <w:szCs w:val="20"/>
        </w:rPr>
        <w:t xml:space="preserve">En los registros quedó pendiente de cobro las facturas emitidas a la Universidad Tecnológica Metropolitana por el convenio de los proyectos de  INAES PRONAFI por servicios de asistencia técnica. </w:t>
      </w:r>
    </w:p>
    <w:p w:rsidR="00907B67" w:rsidRDefault="00907B67" w:rsidP="003939AE">
      <w:pPr>
        <w:spacing w:line="240" w:lineRule="auto"/>
        <w:jc w:val="both"/>
        <w:rPr>
          <w:rFonts w:cs="Arial"/>
          <w:sz w:val="20"/>
          <w:szCs w:val="20"/>
        </w:rPr>
      </w:pPr>
      <w:r w:rsidRPr="00907B67">
        <w:rPr>
          <w:rFonts w:cs="Arial"/>
          <w:sz w:val="20"/>
          <w:szCs w:val="20"/>
        </w:rPr>
        <w:t xml:space="preserve">Análisis del Subsidio: Se tiene pendiente  regularizar la aportación del subsidio estatal para cumplir con el convenio de coordinación con la federación y homologar las aportaciones al monto federal conforme al siguiente histórico: </w:t>
      </w:r>
    </w:p>
    <w:p w:rsidR="00907B67" w:rsidRPr="00907B67" w:rsidRDefault="00907B67" w:rsidP="00907B67">
      <w:pPr>
        <w:spacing w:line="240" w:lineRule="auto"/>
        <w:rPr>
          <w:rFonts w:cs="Arial"/>
          <w:sz w:val="20"/>
          <w:szCs w:val="20"/>
        </w:rPr>
      </w:pPr>
    </w:p>
    <w:tbl>
      <w:tblPr>
        <w:tblW w:w="11023" w:type="dxa"/>
        <w:jc w:val="center"/>
        <w:tblLook w:val="04A0" w:firstRow="1" w:lastRow="0" w:firstColumn="1" w:lastColumn="0" w:noHBand="0" w:noVBand="1"/>
      </w:tblPr>
      <w:tblGrid>
        <w:gridCol w:w="6629"/>
        <w:gridCol w:w="2268"/>
        <w:gridCol w:w="2126"/>
      </w:tblGrid>
      <w:tr w:rsidR="00907B67" w:rsidRPr="00907B67" w:rsidTr="00907B67">
        <w:trPr>
          <w:jc w:val="center"/>
        </w:trPr>
        <w:tc>
          <w:tcPr>
            <w:tcW w:w="6629" w:type="dxa"/>
            <w:vAlign w:val="bottom"/>
          </w:tcPr>
          <w:p w:rsidR="00907B67" w:rsidRPr="00907B67" w:rsidRDefault="00907B67">
            <w:pPr>
              <w:rPr>
                <w:rFonts w:eastAsia="Times New Roman" w:cs="Arial"/>
                <w:color w:val="000000"/>
                <w:sz w:val="20"/>
                <w:szCs w:val="20"/>
              </w:rPr>
            </w:pPr>
          </w:p>
          <w:p w:rsidR="00907B67" w:rsidRPr="00907B67" w:rsidRDefault="00907B67">
            <w:pPr>
              <w:rPr>
                <w:rFonts w:eastAsia="Times New Roman" w:cs="Arial"/>
                <w:color w:val="000000"/>
                <w:sz w:val="20"/>
                <w:szCs w:val="20"/>
              </w:rPr>
            </w:pPr>
            <w:r w:rsidRPr="00907B67">
              <w:rPr>
                <w:rFonts w:eastAsia="Times New Roman" w:cs="Arial"/>
                <w:color w:val="000000"/>
                <w:sz w:val="20"/>
                <w:szCs w:val="20"/>
              </w:rPr>
              <w:t>APORTACION ORDINARIA:</w:t>
            </w:r>
          </w:p>
        </w:tc>
        <w:tc>
          <w:tcPr>
            <w:tcW w:w="2268" w:type="dxa"/>
            <w:vAlign w:val="bottom"/>
            <w:hideMark/>
          </w:tcPr>
          <w:p w:rsidR="00907B67" w:rsidRPr="00907B67" w:rsidRDefault="00907B67">
            <w:pPr>
              <w:rPr>
                <w:rFonts w:eastAsia="Times New Roman"/>
                <w:color w:val="000000"/>
                <w:sz w:val="20"/>
                <w:szCs w:val="20"/>
              </w:rPr>
            </w:pPr>
            <w:r w:rsidRPr="00907B67">
              <w:rPr>
                <w:rFonts w:eastAsia="Times New Roman"/>
                <w:color w:val="000000"/>
                <w:sz w:val="20"/>
                <w:szCs w:val="20"/>
              </w:rPr>
              <w:t>FEDERACION</w:t>
            </w:r>
          </w:p>
        </w:tc>
        <w:tc>
          <w:tcPr>
            <w:tcW w:w="2126" w:type="dxa"/>
            <w:vAlign w:val="bottom"/>
            <w:hideMark/>
          </w:tcPr>
          <w:p w:rsidR="00907B67" w:rsidRPr="00907B67" w:rsidRDefault="00907B67">
            <w:pPr>
              <w:rPr>
                <w:rFonts w:eastAsia="Times New Roman" w:cs="Arial"/>
                <w:color w:val="000000"/>
                <w:sz w:val="20"/>
                <w:szCs w:val="20"/>
              </w:rPr>
            </w:pPr>
            <w:r w:rsidRPr="00907B67">
              <w:rPr>
                <w:rFonts w:eastAsia="Times New Roman" w:cs="Arial"/>
                <w:color w:val="000000"/>
                <w:sz w:val="20"/>
                <w:szCs w:val="20"/>
              </w:rPr>
              <w:t>ESTADO</w:t>
            </w:r>
          </w:p>
        </w:tc>
      </w:tr>
      <w:tr w:rsidR="00907B67" w:rsidRPr="00907B67" w:rsidTr="00907B67">
        <w:trPr>
          <w:jc w:val="center"/>
        </w:trPr>
        <w:tc>
          <w:tcPr>
            <w:tcW w:w="6629" w:type="dxa"/>
            <w:vAlign w:val="bottom"/>
            <w:hideMark/>
          </w:tcPr>
          <w:p w:rsidR="00907B67" w:rsidRPr="00907B67" w:rsidRDefault="00907B67">
            <w:pPr>
              <w:rPr>
                <w:rFonts w:eastAsia="Times New Roman" w:cs="Arial"/>
                <w:color w:val="000000"/>
                <w:sz w:val="20"/>
                <w:szCs w:val="20"/>
              </w:rPr>
            </w:pPr>
            <w:r w:rsidRPr="00907B67">
              <w:rPr>
                <w:rFonts w:eastAsia="Times New Roman" w:cs="Arial"/>
                <w:color w:val="000000"/>
                <w:sz w:val="20"/>
                <w:szCs w:val="20"/>
              </w:rPr>
              <w:t xml:space="preserve">Presupuesto según Convenio de Colaboración 2011 </w:t>
            </w:r>
          </w:p>
        </w:tc>
        <w:tc>
          <w:tcPr>
            <w:tcW w:w="2268" w:type="dxa"/>
            <w:vAlign w:val="bottom"/>
            <w:hideMark/>
          </w:tcPr>
          <w:p w:rsidR="00907B67" w:rsidRPr="00907B67" w:rsidRDefault="00907B67">
            <w:pPr>
              <w:jc w:val="right"/>
              <w:rPr>
                <w:rFonts w:eastAsia="Times New Roman" w:cs="Arial"/>
                <w:color w:val="000000"/>
                <w:sz w:val="20"/>
                <w:szCs w:val="20"/>
              </w:rPr>
            </w:pPr>
            <w:r w:rsidRPr="00907B67">
              <w:rPr>
                <w:rFonts w:eastAsia="Times New Roman" w:cs="Arial"/>
                <w:color w:val="000000"/>
                <w:sz w:val="20"/>
                <w:szCs w:val="20"/>
              </w:rPr>
              <w:t>2,249,903.00</w:t>
            </w:r>
          </w:p>
        </w:tc>
        <w:tc>
          <w:tcPr>
            <w:tcW w:w="2126" w:type="dxa"/>
            <w:vAlign w:val="bottom"/>
            <w:hideMark/>
          </w:tcPr>
          <w:p w:rsidR="00907B67" w:rsidRPr="00907B67" w:rsidRDefault="00907B67">
            <w:pPr>
              <w:jc w:val="right"/>
              <w:rPr>
                <w:rFonts w:eastAsia="Times New Roman" w:cs="Arial"/>
                <w:color w:val="000000"/>
                <w:sz w:val="20"/>
                <w:szCs w:val="20"/>
              </w:rPr>
            </w:pPr>
            <w:r w:rsidRPr="00907B67">
              <w:rPr>
                <w:rFonts w:eastAsia="Times New Roman" w:cs="Arial"/>
                <w:color w:val="000000"/>
                <w:sz w:val="20"/>
                <w:szCs w:val="20"/>
              </w:rPr>
              <w:t>0</w:t>
            </w:r>
          </w:p>
        </w:tc>
      </w:tr>
      <w:tr w:rsidR="00907B67" w:rsidRPr="00907B67" w:rsidTr="00907B67">
        <w:trPr>
          <w:jc w:val="center"/>
        </w:trPr>
        <w:tc>
          <w:tcPr>
            <w:tcW w:w="6629" w:type="dxa"/>
            <w:vAlign w:val="bottom"/>
            <w:hideMark/>
          </w:tcPr>
          <w:p w:rsidR="00907B67" w:rsidRPr="00907B67" w:rsidRDefault="00907B67">
            <w:pPr>
              <w:rPr>
                <w:rFonts w:eastAsia="Times New Roman" w:cs="Arial"/>
                <w:color w:val="000000"/>
                <w:sz w:val="20"/>
                <w:szCs w:val="20"/>
              </w:rPr>
            </w:pPr>
            <w:r w:rsidRPr="00907B67">
              <w:rPr>
                <w:rFonts w:eastAsia="Times New Roman" w:cs="Arial"/>
                <w:color w:val="000000"/>
                <w:sz w:val="20"/>
                <w:szCs w:val="20"/>
              </w:rPr>
              <w:t>Presupuesto según Convenio de Colaboración 2012</w:t>
            </w:r>
          </w:p>
        </w:tc>
        <w:tc>
          <w:tcPr>
            <w:tcW w:w="2268" w:type="dxa"/>
            <w:vAlign w:val="bottom"/>
            <w:hideMark/>
          </w:tcPr>
          <w:p w:rsidR="00907B67" w:rsidRPr="00907B67" w:rsidRDefault="00907B67">
            <w:pPr>
              <w:jc w:val="right"/>
              <w:rPr>
                <w:rFonts w:eastAsia="Times New Roman" w:cs="Arial"/>
                <w:color w:val="000000"/>
                <w:sz w:val="20"/>
                <w:szCs w:val="20"/>
              </w:rPr>
            </w:pPr>
            <w:r w:rsidRPr="00907B67">
              <w:rPr>
                <w:rFonts w:eastAsia="Times New Roman" w:cs="Arial"/>
                <w:color w:val="000000"/>
                <w:sz w:val="20"/>
                <w:szCs w:val="20"/>
              </w:rPr>
              <w:t>6,819,674.00</w:t>
            </w:r>
          </w:p>
        </w:tc>
        <w:tc>
          <w:tcPr>
            <w:tcW w:w="2126" w:type="dxa"/>
            <w:vAlign w:val="bottom"/>
            <w:hideMark/>
          </w:tcPr>
          <w:p w:rsidR="00907B67" w:rsidRPr="00907B67" w:rsidRDefault="00907B67">
            <w:pPr>
              <w:jc w:val="right"/>
              <w:rPr>
                <w:rFonts w:eastAsia="Times New Roman" w:cs="Arial"/>
                <w:color w:val="000000"/>
                <w:sz w:val="20"/>
                <w:szCs w:val="20"/>
              </w:rPr>
            </w:pPr>
            <w:r w:rsidRPr="00907B67">
              <w:rPr>
                <w:rFonts w:eastAsia="Times New Roman" w:cs="Arial"/>
                <w:color w:val="000000"/>
                <w:sz w:val="20"/>
                <w:szCs w:val="20"/>
              </w:rPr>
              <w:t>3,500,000.00</w:t>
            </w:r>
          </w:p>
        </w:tc>
      </w:tr>
      <w:tr w:rsidR="00907B67" w:rsidRPr="00907B67" w:rsidTr="00907B67">
        <w:trPr>
          <w:jc w:val="center"/>
        </w:trPr>
        <w:tc>
          <w:tcPr>
            <w:tcW w:w="6629" w:type="dxa"/>
            <w:vAlign w:val="bottom"/>
            <w:hideMark/>
          </w:tcPr>
          <w:p w:rsidR="00907B67" w:rsidRPr="00907B67" w:rsidRDefault="00907B67">
            <w:pPr>
              <w:rPr>
                <w:rFonts w:eastAsia="Times New Roman" w:cs="Arial"/>
                <w:color w:val="000000"/>
                <w:sz w:val="20"/>
                <w:szCs w:val="20"/>
              </w:rPr>
            </w:pPr>
            <w:r w:rsidRPr="00907B67">
              <w:rPr>
                <w:rFonts w:eastAsia="Times New Roman" w:cs="Arial"/>
                <w:color w:val="000000"/>
                <w:sz w:val="20"/>
                <w:szCs w:val="20"/>
              </w:rPr>
              <w:t>Ampliación extraordinaria 2012</w:t>
            </w:r>
          </w:p>
        </w:tc>
        <w:tc>
          <w:tcPr>
            <w:tcW w:w="2268" w:type="dxa"/>
            <w:vAlign w:val="bottom"/>
          </w:tcPr>
          <w:p w:rsidR="00907B67" w:rsidRPr="00907B67" w:rsidRDefault="00907B67">
            <w:pPr>
              <w:rPr>
                <w:rFonts w:eastAsia="Times New Roman"/>
                <w:color w:val="000000"/>
                <w:sz w:val="20"/>
                <w:szCs w:val="20"/>
              </w:rPr>
            </w:pPr>
          </w:p>
        </w:tc>
        <w:tc>
          <w:tcPr>
            <w:tcW w:w="2126" w:type="dxa"/>
            <w:vAlign w:val="bottom"/>
            <w:hideMark/>
          </w:tcPr>
          <w:p w:rsidR="00907B67" w:rsidRPr="00907B67" w:rsidRDefault="00907B67">
            <w:pPr>
              <w:jc w:val="right"/>
              <w:rPr>
                <w:rFonts w:eastAsia="Times New Roman" w:cs="Arial"/>
                <w:color w:val="000000"/>
                <w:sz w:val="20"/>
                <w:szCs w:val="20"/>
              </w:rPr>
            </w:pPr>
            <w:r w:rsidRPr="00907B67">
              <w:rPr>
                <w:rFonts w:eastAsia="Times New Roman" w:cs="Arial"/>
                <w:color w:val="000000"/>
                <w:sz w:val="20"/>
                <w:szCs w:val="20"/>
              </w:rPr>
              <w:t>5,000,000.00</w:t>
            </w:r>
          </w:p>
        </w:tc>
      </w:tr>
      <w:tr w:rsidR="00907B67" w:rsidRPr="00907B67" w:rsidTr="00907B67">
        <w:trPr>
          <w:jc w:val="center"/>
        </w:trPr>
        <w:tc>
          <w:tcPr>
            <w:tcW w:w="6629" w:type="dxa"/>
            <w:vAlign w:val="bottom"/>
            <w:hideMark/>
          </w:tcPr>
          <w:p w:rsidR="00907B67" w:rsidRPr="00907B67" w:rsidRDefault="00907B67">
            <w:pPr>
              <w:rPr>
                <w:rFonts w:eastAsia="Times New Roman" w:cs="Arial"/>
                <w:color w:val="000000"/>
                <w:sz w:val="20"/>
                <w:szCs w:val="20"/>
              </w:rPr>
            </w:pPr>
            <w:r w:rsidRPr="00907B67">
              <w:rPr>
                <w:rFonts w:eastAsia="Times New Roman" w:cs="Arial"/>
                <w:color w:val="000000"/>
                <w:sz w:val="20"/>
                <w:szCs w:val="20"/>
              </w:rPr>
              <w:t>Reducción a la Radicación en aportación mensual de Ago2012.</w:t>
            </w:r>
          </w:p>
        </w:tc>
        <w:tc>
          <w:tcPr>
            <w:tcW w:w="2268" w:type="dxa"/>
            <w:vAlign w:val="bottom"/>
          </w:tcPr>
          <w:p w:rsidR="00907B67" w:rsidRPr="00907B67" w:rsidRDefault="00907B67">
            <w:pPr>
              <w:rPr>
                <w:rFonts w:eastAsia="Times New Roman"/>
                <w:color w:val="000000"/>
                <w:sz w:val="20"/>
                <w:szCs w:val="20"/>
              </w:rPr>
            </w:pPr>
          </w:p>
        </w:tc>
        <w:tc>
          <w:tcPr>
            <w:tcW w:w="2126" w:type="dxa"/>
            <w:vAlign w:val="bottom"/>
          </w:tcPr>
          <w:p w:rsidR="00907B67" w:rsidRPr="00907B67" w:rsidRDefault="00907B67">
            <w:pPr>
              <w:rPr>
                <w:rFonts w:eastAsia="Times New Roman"/>
                <w:color w:val="000000"/>
                <w:sz w:val="20"/>
                <w:szCs w:val="20"/>
              </w:rPr>
            </w:pPr>
          </w:p>
        </w:tc>
      </w:tr>
      <w:tr w:rsidR="00907B67" w:rsidRPr="00907B67" w:rsidTr="00907B67">
        <w:trPr>
          <w:jc w:val="center"/>
        </w:trPr>
        <w:tc>
          <w:tcPr>
            <w:tcW w:w="6629" w:type="dxa"/>
            <w:vAlign w:val="bottom"/>
            <w:hideMark/>
          </w:tcPr>
          <w:p w:rsidR="00907B67" w:rsidRPr="00907B67" w:rsidRDefault="00907B67">
            <w:pPr>
              <w:rPr>
                <w:rFonts w:eastAsia="Times New Roman" w:cs="Arial"/>
                <w:color w:val="000000"/>
                <w:sz w:val="20"/>
                <w:szCs w:val="20"/>
              </w:rPr>
            </w:pPr>
            <w:r w:rsidRPr="00907B67">
              <w:rPr>
                <w:rFonts w:eastAsia="Times New Roman" w:cs="Arial"/>
                <w:color w:val="000000"/>
                <w:sz w:val="20"/>
                <w:szCs w:val="20"/>
              </w:rPr>
              <w:t xml:space="preserve"> Aportación no realizada ago2012.</w:t>
            </w:r>
          </w:p>
        </w:tc>
        <w:tc>
          <w:tcPr>
            <w:tcW w:w="2268" w:type="dxa"/>
            <w:vAlign w:val="bottom"/>
            <w:hideMark/>
          </w:tcPr>
          <w:p w:rsidR="00907B67" w:rsidRPr="00907B67" w:rsidRDefault="00907B67">
            <w:pPr>
              <w:rPr>
                <w:rFonts w:eastAsia="Times New Roman" w:cs="Arial"/>
                <w:color w:val="000000"/>
                <w:sz w:val="20"/>
                <w:szCs w:val="20"/>
              </w:rPr>
            </w:pPr>
            <w:r w:rsidRPr="00907B67">
              <w:rPr>
                <w:rFonts w:eastAsia="Times New Roman" w:cs="Arial"/>
                <w:color w:val="000000"/>
                <w:sz w:val="20"/>
                <w:szCs w:val="20"/>
              </w:rPr>
              <w:t> </w:t>
            </w:r>
          </w:p>
        </w:tc>
        <w:tc>
          <w:tcPr>
            <w:tcW w:w="2126" w:type="dxa"/>
            <w:vAlign w:val="bottom"/>
            <w:hideMark/>
          </w:tcPr>
          <w:p w:rsidR="00907B67" w:rsidRPr="00907B67" w:rsidRDefault="00907B67">
            <w:pPr>
              <w:jc w:val="right"/>
              <w:rPr>
                <w:rFonts w:eastAsia="Times New Roman" w:cs="Arial"/>
                <w:color w:val="000000"/>
                <w:sz w:val="20"/>
                <w:szCs w:val="20"/>
              </w:rPr>
            </w:pPr>
            <w:r w:rsidRPr="00907B67">
              <w:rPr>
                <w:rFonts w:eastAsia="Times New Roman" w:cs="Arial"/>
                <w:color w:val="000000"/>
                <w:sz w:val="20"/>
                <w:szCs w:val="20"/>
              </w:rPr>
              <w:t>-129,616.50</w:t>
            </w:r>
          </w:p>
        </w:tc>
      </w:tr>
      <w:tr w:rsidR="00907B67" w:rsidRPr="00907B67" w:rsidTr="00907B67">
        <w:trPr>
          <w:jc w:val="center"/>
        </w:trPr>
        <w:tc>
          <w:tcPr>
            <w:tcW w:w="6629" w:type="dxa"/>
            <w:vAlign w:val="bottom"/>
            <w:hideMark/>
          </w:tcPr>
          <w:p w:rsidR="00907B67" w:rsidRPr="00907B67" w:rsidRDefault="00907B67">
            <w:pPr>
              <w:rPr>
                <w:rFonts w:eastAsia="Times New Roman" w:cs="Arial"/>
                <w:color w:val="000000"/>
                <w:sz w:val="20"/>
                <w:szCs w:val="20"/>
              </w:rPr>
            </w:pPr>
            <w:r w:rsidRPr="00907B67">
              <w:rPr>
                <w:rFonts w:eastAsia="Times New Roman" w:cs="Arial"/>
                <w:color w:val="000000"/>
                <w:sz w:val="20"/>
                <w:szCs w:val="20"/>
              </w:rPr>
              <w:t>Presupuesto según Convenio de Colaboración 2013</w:t>
            </w:r>
          </w:p>
        </w:tc>
        <w:tc>
          <w:tcPr>
            <w:tcW w:w="2268" w:type="dxa"/>
            <w:vAlign w:val="bottom"/>
            <w:hideMark/>
          </w:tcPr>
          <w:p w:rsidR="00907B67" w:rsidRPr="00907B67" w:rsidRDefault="00907B67">
            <w:pPr>
              <w:jc w:val="right"/>
              <w:rPr>
                <w:rFonts w:eastAsia="Times New Roman" w:cs="Arial"/>
                <w:color w:val="000000"/>
                <w:sz w:val="20"/>
                <w:szCs w:val="20"/>
              </w:rPr>
            </w:pPr>
            <w:r w:rsidRPr="00907B67">
              <w:rPr>
                <w:rFonts w:eastAsia="Times New Roman" w:cs="Arial"/>
                <w:color w:val="000000"/>
                <w:sz w:val="20"/>
                <w:szCs w:val="20"/>
              </w:rPr>
              <w:t>7,919,757.00</w:t>
            </w:r>
          </w:p>
        </w:tc>
        <w:tc>
          <w:tcPr>
            <w:tcW w:w="2126" w:type="dxa"/>
            <w:vAlign w:val="bottom"/>
            <w:hideMark/>
          </w:tcPr>
          <w:p w:rsidR="00907B67" w:rsidRPr="00907B67" w:rsidRDefault="00907B67">
            <w:pPr>
              <w:jc w:val="right"/>
              <w:rPr>
                <w:rFonts w:eastAsia="Times New Roman" w:cs="Arial"/>
                <w:color w:val="000000"/>
                <w:sz w:val="20"/>
                <w:szCs w:val="20"/>
              </w:rPr>
            </w:pPr>
            <w:r w:rsidRPr="00907B67">
              <w:rPr>
                <w:rFonts w:eastAsia="Times New Roman" w:cs="Arial"/>
                <w:color w:val="000000"/>
                <w:sz w:val="20"/>
                <w:szCs w:val="20"/>
              </w:rPr>
              <w:t>3,640,000.00</w:t>
            </w:r>
          </w:p>
        </w:tc>
      </w:tr>
      <w:tr w:rsidR="00907B67" w:rsidRPr="00907B67" w:rsidTr="00907B67">
        <w:trPr>
          <w:jc w:val="center"/>
        </w:trPr>
        <w:tc>
          <w:tcPr>
            <w:tcW w:w="6629" w:type="dxa"/>
            <w:vAlign w:val="bottom"/>
            <w:hideMark/>
          </w:tcPr>
          <w:p w:rsidR="00907B67" w:rsidRPr="00907B67" w:rsidRDefault="00907B67">
            <w:pPr>
              <w:rPr>
                <w:rFonts w:eastAsia="Times New Roman" w:cs="Arial"/>
                <w:color w:val="000000"/>
                <w:sz w:val="20"/>
                <w:szCs w:val="20"/>
              </w:rPr>
            </w:pPr>
            <w:r w:rsidRPr="00907B67">
              <w:rPr>
                <w:rFonts w:eastAsia="Times New Roman" w:cs="Arial"/>
                <w:color w:val="000000"/>
                <w:sz w:val="20"/>
                <w:szCs w:val="20"/>
              </w:rPr>
              <w:t>Presupuesto según Convenio de Colaboración 2014</w:t>
            </w:r>
          </w:p>
        </w:tc>
        <w:tc>
          <w:tcPr>
            <w:tcW w:w="2268" w:type="dxa"/>
            <w:vAlign w:val="bottom"/>
            <w:hideMark/>
          </w:tcPr>
          <w:p w:rsidR="00907B67" w:rsidRPr="00907B67" w:rsidRDefault="00907B67">
            <w:pPr>
              <w:jc w:val="right"/>
              <w:rPr>
                <w:rFonts w:eastAsia="Times New Roman" w:cs="Arial"/>
                <w:color w:val="000000"/>
                <w:sz w:val="20"/>
                <w:szCs w:val="20"/>
              </w:rPr>
            </w:pPr>
            <w:r w:rsidRPr="00907B67">
              <w:rPr>
                <w:rFonts w:eastAsia="Times New Roman" w:cs="Arial"/>
                <w:color w:val="000000"/>
                <w:sz w:val="20"/>
                <w:szCs w:val="20"/>
              </w:rPr>
              <w:t>8,913,235.00</w:t>
            </w:r>
          </w:p>
        </w:tc>
        <w:tc>
          <w:tcPr>
            <w:tcW w:w="2126" w:type="dxa"/>
            <w:vAlign w:val="bottom"/>
            <w:hideMark/>
          </w:tcPr>
          <w:p w:rsidR="00907B67" w:rsidRPr="00907B67" w:rsidRDefault="00907B67">
            <w:pPr>
              <w:jc w:val="right"/>
              <w:rPr>
                <w:rFonts w:eastAsia="Times New Roman" w:cs="Arial"/>
                <w:color w:val="000000"/>
                <w:sz w:val="20"/>
                <w:szCs w:val="20"/>
              </w:rPr>
            </w:pPr>
            <w:r w:rsidRPr="00907B67">
              <w:rPr>
                <w:rFonts w:eastAsia="Times New Roman" w:cs="Arial"/>
                <w:color w:val="000000"/>
                <w:sz w:val="20"/>
                <w:szCs w:val="20"/>
              </w:rPr>
              <w:t>3,785,600.00</w:t>
            </w:r>
          </w:p>
        </w:tc>
      </w:tr>
      <w:tr w:rsidR="00907B67" w:rsidRPr="00907B67" w:rsidTr="00907B67">
        <w:trPr>
          <w:jc w:val="center"/>
        </w:trPr>
        <w:tc>
          <w:tcPr>
            <w:tcW w:w="6629" w:type="dxa"/>
            <w:vAlign w:val="bottom"/>
            <w:hideMark/>
          </w:tcPr>
          <w:p w:rsidR="00907B67" w:rsidRPr="00907B67" w:rsidRDefault="00907B67">
            <w:pPr>
              <w:rPr>
                <w:rFonts w:eastAsia="Times New Roman" w:cs="Arial"/>
                <w:color w:val="000000"/>
                <w:sz w:val="20"/>
                <w:szCs w:val="20"/>
              </w:rPr>
            </w:pPr>
            <w:r w:rsidRPr="00907B67">
              <w:rPr>
                <w:rFonts w:eastAsia="Times New Roman" w:cs="Arial"/>
                <w:color w:val="000000"/>
                <w:sz w:val="20"/>
                <w:szCs w:val="20"/>
              </w:rPr>
              <w:t xml:space="preserve">Ampliación Presupuestal incremento salarial 2014 / Imp. s nominas  </w:t>
            </w:r>
          </w:p>
        </w:tc>
        <w:tc>
          <w:tcPr>
            <w:tcW w:w="2268" w:type="dxa"/>
            <w:vAlign w:val="bottom"/>
            <w:hideMark/>
          </w:tcPr>
          <w:p w:rsidR="00907B67" w:rsidRPr="00907B67" w:rsidRDefault="00907B67">
            <w:pPr>
              <w:jc w:val="right"/>
              <w:rPr>
                <w:rFonts w:eastAsia="Times New Roman"/>
                <w:color w:val="000000"/>
                <w:sz w:val="20"/>
                <w:szCs w:val="20"/>
              </w:rPr>
            </w:pPr>
            <w:r w:rsidRPr="00907B67">
              <w:rPr>
                <w:rFonts w:eastAsia="Times New Roman"/>
                <w:color w:val="000000"/>
                <w:sz w:val="20"/>
                <w:szCs w:val="20"/>
              </w:rPr>
              <w:t>201,812.00</w:t>
            </w:r>
          </w:p>
        </w:tc>
        <w:tc>
          <w:tcPr>
            <w:tcW w:w="2126" w:type="dxa"/>
            <w:vAlign w:val="bottom"/>
            <w:hideMark/>
          </w:tcPr>
          <w:p w:rsidR="00907B67" w:rsidRPr="00907B67" w:rsidRDefault="00907B67">
            <w:pPr>
              <w:jc w:val="right"/>
              <w:rPr>
                <w:rFonts w:eastAsia="Times New Roman"/>
                <w:color w:val="000000"/>
                <w:sz w:val="20"/>
                <w:szCs w:val="20"/>
              </w:rPr>
            </w:pPr>
            <w:r w:rsidRPr="00907B67">
              <w:rPr>
                <w:rFonts w:eastAsia="Times New Roman"/>
                <w:color w:val="000000"/>
                <w:sz w:val="20"/>
                <w:szCs w:val="20"/>
              </w:rPr>
              <w:t>348,002.00</w:t>
            </w:r>
          </w:p>
        </w:tc>
      </w:tr>
      <w:tr w:rsidR="00907B67" w:rsidRPr="00907B67" w:rsidTr="00907B67">
        <w:trPr>
          <w:jc w:val="center"/>
        </w:trPr>
        <w:tc>
          <w:tcPr>
            <w:tcW w:w="6629" w:type="dxa"/>
            <w:vAlign w:val="bottom"/>
            <w:hideMark/>
          </w:tcPr>
          <w:p w:rsidR="00907B67" w:rsidRPr="00907B67" w:rsidRDefault="00907B67">
            <w:pPr>
              <w:rPr>
                <w:rFonts w:eastAsia="Times New Roman" w:cs="Arial"/>
                <w:color w:val="000000"/>
                <w:sz w:val="20"/>
                <w:szCs w:val="20"/>
              </w:rPr>
            </w:pPr>
            <w:r w:rsidRPr="00907B67">
              <w:rPr>
                <w:rFonts w:eastAsia="Times New Roman" w:cs="Arial"/>
                <w:color w:val="000000"/>
                <w:sz w:val="20"/>
                <w:szCs w:val="20"/>
              </w:rPr>
              <w:t>Presupuesto según Convenio de Colaboración 2015  (¨1)</w:t>
            </w:r>
          </w:p>
        </w:tc>
        <w:tc>
          <w:tcPr>
            <w:tcW w:w="2268" w:type="dxa"/>
            <w:vAlign w:val="bottom"/>
            <w:hideMark/>
          </w:tcPr>
          <w:p w:rsidR="00907B67" w:rsidRPr="00907B67" w:rsidRDefault="00907B67">
            <w:pPr>
              <w:jc w:val="right"/>
              <w:rPr>
                <w:rFonts w:eastAsia="Times New Roman" w:cs="Arial"/>
                <w:color w:val="000000"/>
                <w:sz w:val="20"/>
                <w:szCs w:val="20"/>
              </w:rPr>
            </w:pPr>
            <w:r w:rsidRPr="00907B67">
              <w:rPr>
                <w:rFonts w:eastAsia="Times New Roman" w:cs="Arial"/>
                <w:color w:val="000000"/>
                <w:sz w:val="20"/>
                <w:szCs w:val="20"/>
              </w:rPr>
              <w:t>9,115,047.00</w:t>
            </w:r>
          </w:p>
        </w:tc>
        <w:tc>
          <w:tcPr>
            <w:tcW w:w="2126" w:type="dxa"/>
            <w:vAlign w:val="bottom"/>
            <w:hideMark/>
          </w:tcPr>
          <w:p w:rsidR="00907B67" w:rsidRPr="00907B67" w:rsidRDefault="00907B67">
            <w:pPr>
              <w:jc w:val="right"/>
              <w:rPr>
                <w:rFonts w:eastAsia="Times New Roman" w:cs="Arial"/>
                <w:color w:val="000000"/>
                <w:sz w:val="20"/>
                <w:szCs w:val="20"/>
              </w:rPr>
            </w:pPr>
            <w:r w:rsidRPr="00907B67">
              <w:rPr>
                <w:rFonts w:eastAsia="Times New Roman" w:cs="Arial"/>
                <w:color w:val="000000"/>
                <w:sz w:val="20"/>
                <w:szCs w:val="20"/>
              </w:rPr>
              <w:t>3,937,024.00</w:t>
            </w:r>
          </w:p>
        </w:tc>
      </w:tr>
      <w:tr w:rsidR="00907B67" w:rsidRPr="00907B67" w:rsidTr="00907B67">
        <w:trPr>
          <w:jc w:val="center"/>
        </w:trPr>
        <w:tc>
          <w:tcPr>
            <w:tcW w:w="6629" w:type="dxa"/>
            <w:vAlign w:val="bottom"/>
            <w:hideMark/>
          </w:tcPr>
          <w:p w:rsidR="00907B67" w:rsidRPr="00907B67" w:rsidRDefault="00907B67">
            <w:pPr>
              <w:rPr>
                <w:rFonts w:eastAsia="Times New Roman" w:cs="Arial"/>
                <w:color w:val="000000"/>
                <w:sz w:val="20"/>
                <w:szCs w:val="20"/>
              </w:rPr>
            </w:pPr>
            <w:r w:rsidRPr="00907B67">
              <w:rPr>
                <w:rFonts w:eastAsia="Times New Roman" w:cs="Arial"/>
                <w:color w:val="000000"/>
                <w:sz w:val="20"/>
                <w:szCs w:val="20"/>
              </w:rPr>
              <w:t>Ampliación extraordinaria 2015</w:t>
            </w:r>
          </w:p>
        </w:tc>
        <w:tc>
          <w:tcPr>
            <w:tcW w:w="2268" w:type="dxa"/>
            <w:vAlign w:val="bottom"/>
          </w:tcPr>
          <w:p w:rsidR="00907B67" w:rsidRPr="00907B67" w:rsidRDefault="00907B67">
            <w:pPr>
              <w:rPr>
                <w:rFonts w:eastAsia="Times New Roman"/>
                <w:color w:val="000000"/>
                <w:sz w:val="20"/>
                <w:szCs w:val="20"/>
              </w:rPr>
            </w:pPr>
          </w:p>
        </w:tc>
        <w:tc>
          <w:tcPr>
            <w:tcW w:w="2126" w:type="dxa"/>
            <w:vAlign w:val="bottom"/>
            <w:hideMark/>
          </w:tcPr>
          <w:p w:rsidR="00907B67" w:rsidRPr="00907B67" w:rsidRDefault="00907B67">
            <w:pPr>
              <w:jc w:val="right"/>
              <w:rPr>
                <w:rFonts w:eastAsia="Times New Roman" w:cs="Arial"/>
                <w:color w:val="000000"/>
                <w:sz w:val="20"/>
                <w:szCs w:val="20"/>
              </w:rPr>
            </w:pPr>
            <w:r w:rsidRPr="00907B67">
              <w:rPr>
                <w:rFonts w:eastAsia="Times New Roman" w:cs="Arial"/>
                <w:color w:val="000000"/>
                <w:sz w:val="20"/>
                <w:szCs w:val="20"/>
              </w:rPr>
              <w:t>1,000,000.00</w:t>
            </w:r>
          </w:p>
        </w:tc>
      </w:tr>
      <w:tr w:rsidR="00907B67" w:rsidRPr="00907B67" w:rsidTr="00907B67">
        <w:trPr>
          <w:jc w:val="center"/>
        </w:trPr>
        <w:tc>
          <w:tcPr>
            <w:tcW w:w="6629" w:type="dxa"/>
            <w:vAlign w:val="bottom"/>
            <w:hideMark/>
          </w:tcPr>
          <w:p w:rsidR="00907B67" w:rsidRPr="00907B67" w:rsidRDefault="00907B67">
            <w:pPr>
              <w:rPr>
                <w:rFonts w:eastAsia="Times New Roman" w:cs="Arial"/>
                <w:color w:val="000000"/>
                <w:sz w:val="20"/>
                <w:szCs w:val="20"/>
              </w:rPr>
            </w:pPr>
            <w:r w:rsidRPr="00907B67">
              <w:rPr>
                <w:rFonts w:eastAsia="Times New Roman" w:cs="Arial"/>
                <w:color w:val="000000"/>
                <w:sz w:val="20"/>
                <w:szCs w:val="20"/>
              </w:rPr>
              <w:t>Presupuesto según Convenio de Colaboración 2016 (*2)</w:t>
            </w:r>
          </w:p>
        </w:tc>
        <w:tc>
          <w:tcPr>
            <w:tcW w:w="2268" w:type="dxa"/>
            <w:vAlign w:val="bottom"/>
            <w:hideMark/>
          </w:tcPr>
          <w:p w:rsidR="00907B67" w:rsidRPr="00907B67" w:rsidRDefault="00907B67">
            <w:pPr>
              <w:jc w:val="right"/>
              <w:rPr>
                <w:rFonts w:eastAsia="Times New Roman" w:cs="Arial"/>
                <w:color w:val="000000"/>
                <w:sz w:val="20"/>
                <w:szCs w:val="20"/>
              </w:rPr>
            </w:pPr>
            <w:r w:rsidRPr="00907B67">
              <w:rPr>
                <w:rFonts w:eastAsia="Times New Roman" w:cs="Arial"/>
                <w:color w:val="000000"/>
                <w:sz w:val="20"/>
                <w:szCs w:val="20"/>
              </w:rPr>
              <w:t>9,396,173.00</w:t>
            </w:r>
          </w:p>
        </w:tc>
        <w:tc>
          <w:tcPr>
            <w:tcW w:w="2126" w:type="dxa"/>
            <w:vAlign w:val="bottom"/>
            <w:hideMark/>
          </w:tcPr>
          <w:p w:rsidR="00907B67" w:rsidRPr="00907B67" w:rsidRDefault="00907B67">
            <w:pPr>
              <w:jc w:val="right"/>
              <w:rPr>
                <w:rFonts w:eastAsia="Times New Roman" w:cs="Arial"/>
                <w:color w:val="000000"/>
                <w:sz w:val="20"/>
                <w:szCs w:val="20"/>
              </w:rPr>
            </w:pPr>
            <w:r w:rsidRPr="00907B67">
              <w:rPr>
                <w:rFonts w:eastAsia="Times New Roman" w:cs="Arial"/>
                <w:color w:val="000000"/>
                <w:sz w:val="20"/>
                <w:szCs w:val="20"/>
              </w:rPr>
              <w:t>4´094,505.00</w:t>
            </w:r>
          </w:p>
        </w:tc>
      </w:tr>
      <w:tr w:rsidR="00907B67" w:rsidRPr="00907B67" w:rsidTr="00907B67">
        <w:trPr>
          <w:jc w:val="center"/>
        </w:trPr>
        <w:tc>
          <w:tcPr>
            <w:tcW w:w="6629" w:type="dxa"/>
            <w:vAlign w:val="bottom"/>
            <w:hideMark/>
          </w:tcPr>
          <w:p w:rsidR="00907B67" w:rsidRPr="00907B67" w:rsidRDefault="00907B67">
            <w:pPr>
              <w:rPr>
                <w:rFonts w:eastAsia="Times New Roman" w:cs="Arial"/>
                <w:color w:val="000000"/>
                <w:sz w:val="20"/>
                <w:szCs w:val="20"/>
              </w:rPr>
            </w:pPr>
            <w:r w:rsidRPr="00907B67">
              <w:rPr>
                <w:rFonts w:eastAsia="Times New Roman" w:cs="Arial"/>
                <w:color w:val="000000"/>
                <w:sz w:val="20"/>
                <w:szCs w:val="20"/>
              </w:rPr>
              <w:t>Ampliación extraordinaria 2016</w:t>
            </w:r>
          </w:p>
        </w:tc>
        <w:tc>
          <w:tcPr>
            <w:tcW w:w="2268" w:type="dxa"/>
            <w:vAlign w:val="bottom"/>
          </w:tcPr>
          <w:p w:rsidR="00907B67" w:rsidRPr="00907B67" w:rsidRDefault="00907B67">
            <w:pPr>
              <w:rPr>
                <w:rFonts w:eastAsia="Times New Roman"/>
                <w:color w:val="000000"/>
                <w:sz w:val="20"/>
                <w:szCs w:val="20"/>
              </w:rPr>
            </w:pPr>
          </w:p>
        </w:tc>
        <w:tc>
          <w:tcPr>
            <w:tcW w:w="2126" w:type="dxa"/>
            <w:vAlign w:val="bottom"/>
            <w:hideMark/>
          </w:tcPr>
          <w:p w:rsidR="00907B67" w:rsidRPr="00907B67" w:rsidRDefault="00907B67">
            <w:pPr>
              <w:jc w:val="right"/>
              <w:rPr>
                <w:rFonts w:eastAsia="Times New Roman" w:cs="Arial"/>
                <w:color w:val="000000"/>
                <w:sz w:val="20"/>
                <w:szCs w:val="20"/>
              </w:rPr>
            </w:pPr>
            <w:r w:rsidRPr="00907B67">
              <w:rPr>
                <w:rFonts w:cs="Arial"/>
                <w:sz w:val="20"/>
                <w:szCs w:val="20"/>
              </w:rPr>
              <w:t>1´910,143.00</w:t>
            </w:r>
          </w:p>
        </w:tc>
      </w:tr>
      <w:tr w:rsidR="00907B67" w:rsidRPr="00907B67" w:rsidTr="00907B67">
        <w:trPr>
          <w:jc w:val="center"/>
        </w:trPr>
        <w:tc>
          <w:tcPr>
            <w:tcW w:w="6629" w:type="dxa"/>
            <w:vAlign w:val="bottom"/>
            <w:hideMark/>
          </w:tcPr>
          <w:p w:rsidR="00907B67" w:rsidRPr="00907B67" w:rsidRDefault="00907B67">
            <w:pPr>
              <w:spacing w:line="240" w:lineRule="auto"/>
              <w:rPr>
                <w:rFonts w:cs="Arial"/>
                <w:sz w:val="20"/>
                <w:szCs w:val="20"/>
              </w:rPr>
            </w:pPr>
            <w:r w:rsidRPr="00907B67">
              <w:rPr>
                <w:rFonts w:cs="Arial"/>
                <w:sz w:val="20"/>
                <w:szCs w:val="20"/>
              </w:rPr>
              <w:t xml:space="preserve">Aportación ordinaria 2017  (*3)                                                                                         </w:t>
            </w:r>
          </w:p>
        </w:tc>
        <w:tc>
          <w:tcPr>
            <w:tcW w:w="2268" w:type="dxa"/>
            <w:vAlign w:val="bottom"/>
            <w:hideMark/>
          </w:tcPr>
          <w:p w:rsidR="00907B67" w:rsidRPr="00907B67" w:rsidRDefault="00907B67">
            <w:pPr>
              <w:jc w:val="right"/>
              <w:rPr>
                <w:rFonts w:eastAsia="Times New Roman"/>
                <w:color w:val="000000"/>
                <w:sz w:val="20"/>
                <w:szCs w:val="20"/>
              </w:rPr>
            </w:pPr>
            <w:r w:rsidRPr="00907B67">
              <w:rPr>
                <w:rFonts w:cs="Arial"/>
                <w:sz w:val="20"/>
                <w:szCs w:val="20"/>
              </w:rPr>
              <w:t>$</w:t>
            </w:r>
            <w:r w:rsidRPr="00907B67">
              <w:rPr>
                <w:sz w:val="20"/>
                <w:szCs w:val="20"/>
              </w:rPr>
              <w:t xml:space="preserve"> </w:t>
            </w:r>
            <w:r w:rsidRPr="00907B67">
              <w:rPr>
                <w:rFonts w:cs="Arial"/>
                <w:sz w:val="20"/>
                <w:szCs w:val="20"/>
              </w:rPr>
              <w:t xml:space="preserve">10´151,813.00                 </w:t>
            </w:r>
          </w:p>
        </w:tc>
        <w:tc>
          <w:tcPr>
            <w:tcW w:w="2126" w:type="dxa"/>
            <w:vAlign w:val="bottom"/>
            <w:hideMark/>
          </w:tcPr>
          <w:p w:rsidR="00907B67" w:rsidRPr="00907B67" w:rsidRDefault="00907B67">
            <w:pPr>
              <w:jc w:val="right"/>
              <w:rPr>
                <w:rFonts w:eastAsia="Times New Roman"/>
                <w:color w:val="000000"/>
                <w:sz w:val="20"/>
                <w:szCs w:val="20"/>
              </w:rPr>
            </w:pPr>
            <w:r w:rsidRPr="00907B67">
              <w:rPr>
                <w:rFonts w:cs="Arial"/>
                <w:color w:val="000000"/>
                <w:sz w:val="20"/>
                <w:szCs w:val="20"/>
                <w:lang w:eastAsia="es-MX"/>
              </w:rPr>
              <w:t>6,213,905.00</w:t>
            </w:r>
          </w:p>
        </w:tc>
      </w:tr>
      <w:tr w:rsidR="00907B67" w:rsidRPr="00907B67" w:rsidTr="00907B67">
        <w:trPr>
          <w:jc w:val="center"/>
        </w:trPr>
        <w:tc>
          <w:tcPr>
            <w:tcW w:w="6629" w:type="dxa"/>
            <w:vAlign w:val="bottom"/>
            <w:hideMark/>
          </w:tcPr>
          <w:p w:rsidR="00907B67" w:rsidRPr="00907B67" w:rsidRDefault="00907B67">
            <w:pPr>
              <w:rPr>
                <w:rFonts w:eastAsia="Times New Roman" w:cs="Arial"/>
                <w:color w:val="000000"/>
                <w:sz w:val="20"/>
                <w:szCs w:val="20"/>
              </w:rPr>
            </w:pPr>
            <w:r w:rsidRPr="00907B67">
              <w:rPr>
                <w:rFonts w:eastAsia="Times New Roman" w:cs="Arial"/>
                <w:color w:val="000000"/>
                <w:sz w:val="20"/>
                <w:szCs w:val="20"/>
              </w:rPr>
              <w:t xml:space="preserve">Total  Aportaciones para regularizar al 31/Dic/2016                       </w:t>
            </w:r>
          </w:p>
        </w:tc>
        <w:tc>
          <w:tcPr>
            <w:tcW w:w="2268" w:type="dxa"/>
            <w:vAlign w:val="bottom"/>
            <w:hideMark/>
          </w:tcPr>
          <w:p w:rsidR="00907B67" w:rsidRPr="00907B67" w:rsidRDefault="00907B67">
            <w:pPr>
              <w:jc w:val="right"/>
              <w:rPr>
                <w:rFonts w:eastAsia="Times New Roman"/>
                <w:color w:val="000000"/>
                <w:sz w:val="20"/>
                <w:szCs w:val="20"/>
              </w:rPr>
            </w:pPr>
            <w:r w:rsidRPr="00907B67">
              <w:rPr>
                <w:rFonts w:eastAsia="Times New Roman"/>
                <w:color w:val="000000"/>
                <w:sz w:val="20"/>
                <w:szCs w:val="20"/>
              </w:rPr>
              <w:t>54,767,414.00</w:t>
            </w:r>
          </w:p>
        </w:tc>
        <w:tc>
          <w:tcPr>
            <w:tcW w:w="2126" w:type="dxa"/>
            <w:vAlign w:val="bottom"/>
            <w:hideMark/>
          </w:tcPr>
          <w:p w:rsidR="00907B67" w:rsidRPr="00907B67" w:rsidRDefault="00907B67">
            <w:pPr>
              <w:jc w:val="right"/>
              <w:rPr>
                <w:rFonts w:eastAsia="Times New Roman"/>
                <w:color w:val="000000"/>
                <w:sz w:val="20"/>
                <w:szCs w:val="20"/>
              </w:rPr>
            </w:pPr>
            <w:r w:rsidRPr="00907B67">
              <w:rPr>
                <w:rFonts w:eastAsia="Times New Roman"/>
                <w:color w:val="000000"/>
                <w:sz w:val="20"/>
                <w:szCs w:val="20"/>
              </w:rPr>
              <w:t>33,299,562.50</w:t>
            </w:r>
          </w:p>
        </w:tc>
      </w:tr>
      <w:tr w:rsidR="00907B67" w:rsidRPr="00907B67" w:rsidTr="00907B67">
        <w:trPr>
          <w:jc w:val="center"/>
        </w:trPr>
        <w:tc>
          <w:tcPr>
            <w:tcW w:w="6629" w:type="dxa"/>
            <w:vAlign w:val="bottom"/>
          </w:tcPr>
          <w:p w:rsidR="00907B67" w:rsidRPr="00907B67" w:rsidRDefault="00907B67">
            <w:pPr>
              <w:rPr>
                <w:rFonts w:eastAsia="Times New Roman" w:cs="Arial"/>
                <w:color w:val="000000"/>
                <w:sz w:val="20"/>
                <w:szCs w:val="20"/>
              </w:rPr>
            </w:pPr>
          </w:p>
        </w:tc>
        <w:tc>
          <w:tcPr>
            <w:tcW w:w="2268" w:type="dxa"/>
            <w:vAlign w:val="bottom"/>
          </w:tcPr>
          <w:p w:rsidR="00907B67" w:rsidRPr="00907B67" w:rsidRDefault="00907B67">
            <w:pPr>
              <w:jc w:val="right"/>
              <w:rPr>
                <w:rFonts w:eastAsia="Times New Roman" w:cs="Arial"/>
                <w:color w:val="000000"/>
                <w:sz w:val="20"/>
                <w:szCs w:val="20"/>
              </w:rPr>
            </w:pPr>
          </w:p>
        </w:tc>
        <w:tc>
          <w:tcPr>
            <w:tcW w:w="2126" w:type="dxa"/>
            <w:vAlign w:val="bottom"/>
          </w:tcPr>
          <w:p w:rsidR="00907B67" w:rsidRPr="00907B67" w:rsidRDefault="00907B67">
            <w:pPr>
              <w:jc w:val="right"/>
              <w:rPr>
                <w:rFonts w:eastAsia="Times New Roman" w:cs="Arial"/>
                <w:color w:val="000000"/>
                <w:sz w:val="20"/>
                <w:szCs w:val="20"/>
              </w:rPr>
            </w:pPr>
          </w:p>
        </w:tc>
      </w:tr>
      <w:tr w:rsidR="00907B67" w:rsidRPr="00907B67" w:rsidTr="00907B67">
        <w:trPr>
          <w:jc w:val="center"/>
        </w:trPr>
        <w:tc>
          <w:tcPr>
            <w:tcW w:w="6629" w:type="dxa"/>
            <w:vAlign w:val="bottom"/>
            <w:hideMark/>
          </w:tcPr>
          <w:p w:rsidR="00907B67" w:rsidRPr="00907B67" w:rsidRDefault="00907B67">
            <w:pPr>
              <w:rPr>
                <w:rFonts w:eastAsia="Times New Roman" w:cs="Arial"/>
                <w:color w:val="000000"/>
                <w:sz w:val="20"/>
                <w:szCs w:val="20"/>
              </w:rPr>
            </w:pPr>
            <w:r w:rsidRPr="00907B67">
              <w:rPr>
                <w:rFonts w:eastAsia="Times New Roman" w:cs="Arial"/>
                <w:color w:val="000000"/>
                <w:sz w:val="20"/>
                <w:szCs w:val="20"/>
              </w:rPr>
              <w:t>FADOE 2011 según convenio de colaboración</w:t>
            </w:r>
          </w:p>
        </w:tc>
        <w:tc>
          <w:tcPr>
            <w:tcW w:w="2268" w:type="dxa"/>
            <w:vAlign w:val="bottom"/>
            <w:hideMark/>
          </w:tcPr>
          <w:p w:rsidR="00907B67" w:rsidRPr="00907B67" w:rsidRDefault="00907B67">
            <w:pPr>
              <w:jc w:val="right"/>
              <w:rPr>
                <w:rFonts w:eastAsia="Times New Roman" w:cs="Arial"/>
                <w:color w:val="000000"/>
                <w:sz w:val="20"/>
                <w:szCs w:val="20"/>
              </w:rPr>
            </w:pPr>
            <w:r w:rsidRPr="00907B67">
              <w:rPr>
                <w:rFonts w:eastAsia="Times New Roman" w:cs="Arial"/>
                <w:color w:val="000000"/>
                <w:sz w:val="20"/>
                <w:szCs w:val="20"/>
              </w:rPr>
              <w:t>4´446,511.00</w:t>
            </w:r>
          </w:p>
        </w:tc>
        <w:tc>
          <w:tcPr>
            <w:tcW w:w="2126" w:type="dxa"/>
            <w:vAlign w:val="bottom"/>
            <w:hideMark/>
          </w:tcPr>
          <w:p w:rsidR="00907B67" w:rsidRPr="00907B67" w:rsidRDefault="00907B67">
            <w:pPr>
              <w:jc w:val="right"/>
              <w:rPr>
                <w:rFonts w:eastAsia="Times New Roman" w:cs="Arial"/>
                <w:color w:val="000000"/>
                <w:sz w:val="20"/>
                <w:szCs w:val="20"/>
              </w:rPr>
            </w:pPr>
            <w:r w:rsidRPr="00907B67">
              <w:rPr>
                <w:rFonts w:eastAsia="Times New Roman" w:cs="Arial"/>
                <w:color w:val="000000"/>
                <w:sz w:val="20"/>
                <w:szCs w:val="20"/>
              </w:rPr>
              <w:t>0.00</w:t>
            </w:r>
          </w:p>
        </w:tc>
      </w:tr>
      <w:tr w:rsidR="00907B67" w:rsidRPr="00907B67" w:rsidTr="00907B67">
        <w:trPr>
          <w:jc w:val="center"/>
        </w:trPr>
        <w:tc>
          <w:tcPr>
            <w:tcW w:w="6629" w:type="dxa"/>
            <w:vAlign w:val="bottom"/>
            <w:hideMark/>
          </w:tcPr>
          <w:p w:rsidR="00907B67" w:rsidRPr="00907B67" w:rsidRDefault="00907B67">
            <w:pPr>
              <w:rPr>
                <w:rFonts w:eastAsia="Times New Roman" w:cs="Arial"/>
                <w:color w:val="000000"/>
                <w:sz w:val="20"/>
                <w:szCs w:val="20"/>
              </w:rPr>
            </w:pPr>
            <w:r w:rsidRPr="00907B67">
              <w:rPr>
                <w:rFonts w:eastAsia="Times New Roman" w:cs="Arial"/>
                <w:color w:val="000000"/>
                <w:sz w:val="20"/>
                <w:szCs w:val="20"/>
              </w:rPr>
              <w:t>FADOE 2013  según Convenio de Colaboración</w:t>
            </w:r>
          </w:p>
        </w:tc>
        <w:tc>
          <w:tcPr>
            <w:tcW w:w="2268" w:type="dxa"/>
            <w:vAlign w:val="bottom"/>
            <w:hideMark/>
          </w:tcPr>
          <w:p w:rsidR="00907B67" w:rsidRPr="00907B67" w:rsidRDefault="00907B67">
            <w:pPr>
              <w:jc w:val="right"/>
              <w:rPr>
                <w:rFonts w:eastAsia="Times New Roman" w:cs="Arial"/>
                <w:color w:val="000000"/>
                <w:sz w:val="20"/>
                <w:szCs w:val="20"/>
              </w:rPr>
            </w:pPr>
            <w:r w:rsidRPr="00907B67">
              <w:rPr>
                <w:rFonts w:eastAsia="Times New Roman" w:cs="Arial"/>
                <w:color w:val="000000"/>
                <w:sz w:val="20"/>
                <w:szCs w:val="20"/>
              </w:rPr>
              <w:t>512,645.00</w:t>
            </w:r>
          </w:p>
        </w:tc>
        <w:tc>
          <w:tcPr>
            <w:tcW w:w="2126" w:type="dxa"/>
            <w:vAlign w:val="bottom"/>
            <w:hideMark/>
          </w:tcPr>
          <w:p w:rsidR="00907B67" w:rsidRPr="00907B67" w:rsidRDefault="00907B67">
            <w:pPr>
              <w:jc w:val="right"/>
              <w:rPr>
                <w:rFonts w:eastAsia="Times New Roman" w:cs="Arial"/>
                <w:color w:val="000000"/>
                <w:sz w:val="20"/>
                <w:szCs w:val="20"/>
              </w:rPr>
            </w:pPr>
            <w:r w:rsidRPr="00907B67">
              <w:rPr>
                <w:rFonts w:eastAsia="Times New Roman" w:cs="Arial"/>
                <w:color w:val="000000"/>
                <w:sz w:val="20"/>
                <w:szCs w:val="20"/>
              </w:rPr>
              <w:t>0.00</w:t>
            </w:r>
          </w:p>
        </w:tc>
      </w:tr>
      <w:tr w:rsidR="00907B67" w:rsidRPr="00907B67" w:rsidTr="00907B67">
        <w:trPr>
          <w:jc w:val="center"/>
        </w:trPr>
        <w:tc>
          <w:tcPr>
            <w:tcW w:w="6629" w:type="dxa"/>
            <w:vAlign w:val="bottom"/>
            <w:hideMark/>
          </w:tcPr>
          <w:p w:rsidR="00907B67" w:rsidRPr="00907B67" w:rsidRDefault="00907B67">
            <w:pPr>
              <w:rPr>
                <w:rFonts w:eastAsia="Times New Roman" w:cs="Arial"/>
                <w:color w:val="000000"/>
                <w:sz w:val="20"/>
                <w:szCs w:val="20"/>
              </w:rPr>
            </w:pPr>
            <w:r w:rsidRPr="00907B67">
              <w:rPr>
                <w:rFonts w:eastAsia="Times New Roman" w:cs="Arial"/>
                <w:color w:val="000000"/>
                <w:sz w:val="20"/>
                <w:szCs w:val="20"/>
              </w:rPr>
              <w:t>Total de aportaciones estatales por gestionar para cumplir con el compromiso de peso a peso:</w:t>
            </w:r>
          </w:p>
        </w:tc>
        <w:tc>
          <w:tcPr>
            <w:tcW w:w="2268" w:type="dxa"/>
            <w:vAlign w:val="bottom"/>
          </w:tcPr>
          <w:p w:rsidR="00907B67" w:rsidRPr="00907B67" w:rsidRDefault="00907B67">
            <w:pPr>
              <w:jc w:val="right"/>
              <w:rPr>
                <w:rFonts w:eastAsia="Times New Roman" w:cs="Arial"/>
                <w:color w:val="000000"/>
                <w:sz w:val="20"/>
                <w:szCs w:val="20"/>
              </w:rPr>
            </w:pPr>
          </w:p>
        </w:tc>
        <w:tc>
          <w:tcPr>
            <w:tcW w:w="2126" w:type="dxa"/>
            <w:vAlign w:val="bottom"/>
            <w:hideMark/>
          </w:tcPr>
          <w:p w:rsidR="00907B67" w:rsidRPr="00907B67" w:rsidRDefault="00907B67">
            <w:pPr>
              <w:jc w:val="right"/>
              <w:rPr>
                <w:rFonts w:eastAsia="Times New Roman" w:cs="Arial"/>
                <w:color w:val="000000"/>
                <w:sz w:val="20"/>
                <w:szCs w:val="20"/>
              </w:rPr>
            </w:pPr>
            <w:r w:rsidRPr="00907B67">
              <w:rPr>
                <w:rFonts w:eastAsia="Times New Roman" w:cs="Arial"/>
                <w:color w:val="000000"/>
                <w:sz w:val="20"/>
                <w:szCs w:val="20"/>
              </w:rPr>
              <w:t>26,427,007.50</w:t>
            </w:r>
          </w:p>
        </w:tc>
      </w:tr>
    </w:tbl>
    <w:p w:rsidR="00907B67" w:rsidRPr="00907B67" w:rsidRDefault="00907B67" w:rsidP="003939AE">
      <w:pPr>
        <w:spacing w:line="240" w:lineRule="auto"/>
        <w:jc w:val="both"/>
        <w:rPr>
          <w:rFonts w:cs="Arial"/>
          <w:sz w:val="20"/>
          <w:szCs w:val="20"/>
        </w:rPr>
      </w:pPr>
      <w:r w:rsidRPr="00907B67">
        <w:rPr>
          <w:rFonts w:cs="Arial"/>
          <w:sz w:val="20"/>
          <w:szCs w:val="20"/>
        </w:rPr>
        <w:t>Nota¨*1 Presupuesto publicado en el DOE  para 2015 $9´667,205.00 reducido x federación a $9´115,047.00 Presupuesto según Convenio de Colaboración 2015</w:t>
      </w:r>
    </w:p>
    <w:p w:rsidR="00907B67" w:rsidRPr="00907B67" w:rsidRDefault="00907B67" w:rsidP="003939AE">
      <w:pPr>
        <w:spacing w:line="240" w:lineRule="auto"/>
        <w:jc w:val="both"/>
        <w:rPr>
          <w:rFonts w:cs="Arial"/>
          <w:sz w:val="20"/>
          <w:szCs w:val="20"/>
        </w:rPr>
      </w:pPr>
      <w:r w:rsidRPr="00907B67">
        <w:rPr>
          <w:rFonts w:cs="Arial"/>
          <w:sz w:val="20"/>
          <w:szCs w:val="20"/>
        </w:rPr>
        <w:t>Nota *2 Presupuesto publicado en el DOE  para 2016 $9´115,047.00  y modificado por la federación a $</w:t>
      </w:r>
      <w:r w:rsidRPr="00907B67">
        <w:rPr>
          <w:sz w:val="20"/>
          <w:szCs w:val="20"/>
        </w:rPr>
        <w:t xml:space="preserve"> </w:t>
      </w:r>
      <w:r w:rsidRPr="00907B67">
        <w:rPr>
          <w:rFonts w:cs="Arial"/>
          <w:sz w:val="20"/>
          <w:szCs w:val="20"/>
        </w:rPr>
        <w:t>9´396,173.00  Presupuesto según Convenio de Colaboración 2016</w:t>
      </w:r>
    </w:p>
    <w:p w:rsidR="00907B67" w:rsidRPr="00907B67" w:rsidRDefault="00907B67" w:rsidP="003939AE">
      <w:pPr>
        <w:spacing w:line="240" w:lineRule="auto"/>
        <w:jc w:val="both"/>
        <w:rPr>
          <w:rFonts w:cs="Arial"/>
          <w:sz w:val="20"/>
          <w:szCs w:val="20"/>
        </w:rPr>
      </w:pPr>
      <w:r w:rsidRPr="00907B67">
        <w:rPr>
          <w:rFonts w:cs="Arial"/>
          <w:sz w:val="20"/>
          <w:szCs w:val="20"/>
        </w:rPr>
        <w:t>Nota *3 Presupuesto publicado en el DOE  para 2017 $9´097,413.00  y modificado por la federación a $</w:t>
      </w:r>
      <w:r w:rsidRPr="00907B67">
        <w:rPr>
          <w:sz w:val="20"/>
          <w:szCs w:val="20"/>
        </w:rPr>
        <w:t xml:space="preserve"> </w:t>
      </w:r>
      <w:r w:rsidRPr="00907B67">
        <w:rPr>
          <w:rFonts w:cs="Arial"/>
          <w:sz w:val="20"/>
          <w:szCs w:val="20"/>
        </w:rPr>
        <w:t>10´151,813.00  Presupuesto según Convenio de Colaboración 2017</w:t>
      </w:r>
    </w:p>
    <w:p w:rsidR="00907B67" w:rsidRPr="00907B67" w:rsidRDefault="00907B67" w:rsidP="003939AE">
      <w:pPr>
        <w:spacing w:line="240" w:lineRule="auto"/>
        <w:jc w:val="both"/>
        <w:rPr>
          <w:rFonts w:cs="Arial"/>
          <w:b/>
          <w:sz w:val="20"/>
          <w:szCs w:val="20"/>
        </w:rPr>
      </w:pPr>
      <w:r w:rsidRPr="00907B67">
        <w:rPr>
          <w:rFonts w:cs="Arial"/>
          <w:b/>
          <w:sz w:val="20"/>
          <w:szCs w:val="20"/>
        </w:rPr>
        <w:t>4.-Bienes Disponibles para su Transformación o Consumo (inventarios). Esta Universidad no realiza procesos productivos por lo que no aplica esta nota.</w:t>
      </w:r>
    </w:p>
    <w:p w:rsidR="00907B67" w:rsidRPr="00907B67" w:rsidRDefault="00907B67" w:rsidP="003939AE">
      <w:pPr>
        <w:spacing w:line="240" w:lineRule="auto"/>
        <w:jc w:val="both"/>
        <w:rPr>
          <w:rFonts w:cs="Arial"/>
          <w:sz w:val="20"/>
          <w:szCs w:val="20"/>
        </w:rPr>
      </w:pPr>
      <w:r w:rsidRPr="00907B67">
        <w:rPr>
          <w:rFonts w:cs="Arial"/>
          <w:sz w:val="20"/>
          <w:szCs w:val="20"/>
        </w:rPr>
        <w:t>De la cuenta Almacén se informa que se utiliza el método de valuación primeras entradas primeras salidas derivado de que las compras se realizan y se entrega el producto en ese mismo acto no generando existencias para almacén reflejando cero existencia al fin del mes. Sólo se compra lo mínimo evitando acumulación de papelería e insumos, quedando sin existencia de insumos al cierre del mes. Esto permite realizar reducciones al consumo y poder realizar la reasignación de los recursos del mes en base a las prioridades que la operación misma va exigiendo.</w:t>
      </w:r>
    </w:p>
    <w:p w:rsidR="00907B67" w:rsidRPr="00907B67" w:rsidRDefault="00907B67" w:rsidP="003939AE">
      <w:pPr>
        <w:spacing w:line="240" w:lineRule="auto"/>
        <w:jc w:val="both"/>
        <w:rPr>
          <w:rFonts w:cs="Arial"/>
          <w:b/>
          <w:sz w:val="20"/>
          <w:szCs w:val="20"/>
        </w:rPr>
      </w:pPr>
      <w:r w:rsidRPr="00907B67">
        <w:rPr>
          <w:rFonts w:cs="Arial"/>
          <w:b/>
          <w:sz w:val="20"/>
          <w:szCs w:val="20"/>
        </w:rPr>
        <w:t xml:space="preserve">5.-Inversiones Financieras. </w:t>
      </w:r>
    </w:p>
    <w:p w:rsidR="00907B67" w:rsidRPr="00907B67" w:rsidRDefault="00907B67" w:rsidP="003939AE">
      <w:pPr>
        <w:spacing w:line="240" w:lineRule="auto"/>
        <w:jc w:val="both"/>
        <w:rPr>
          <w:rFonts w:cs="Arial"/>
          <w:sz w:val="20"/>
          <w:szCs w:val="20"/>
        </w:rPr>
      </w:pPr>
      <w:r w:rsidRPr="00907B67">
        <w:rPr>
          <w:rFonts w:cs="Arial"/>
          <w:sz w:val="20"/>
          <w:szCs w:val="20"/>
        </w:rPr>
        <w:t xml:space="preserve">De la cuenta Inversiones financieras, no se manejan fideicomisos. Sólo  se manejan cuentas productivas de los recursos federales especiales dy se manejaron fondos de inversión los cuales fueron reportados en el punto I de estas notas. No contamos con saldos de las participaciones y aportaciones de capital en el período. </w:t>
      </w:r>
    </w:p>
    <w:p w:rsidR="00907B67" w:rsidRDefault="00907B67" w:rsidP="00907B67">
      <w:pPr>
        <w:spacing w:line="240" w:lineRule="auto"/>
        <w:rPr>
          <w:rFonts w:cs="Arial"/>
          <w:b/>
          <w:sz w:val="20"/>
          <w:szCs w:val="20"/>
        </w:rPr>
      </w:pPr>
    </w:p>
    <w:p w:rsidR="00907B67" w:rsidRPr="00907B67" w:rsidRDefault="00907B67" w:rsidP="00907B67">
      <w:pPr>
        <w:spacing w:line="240" w:lineRule="auto"/>
        <w:rPr>
          <w:rFonts w:cs="Arial"/>
          <w:b/>
          <w:sz w:val="20"/>
          <w:szCs w:val="20"/>
        </w:rPr>
      </w:pPr>
    </w:p>
    <w:p w:rsidR="00907B67" w:rsidRPr="00907B67" w:rsidRDefault="00907B67" w:rsidP="00907B67">
      <w:pPr>
        <w:spacing w:line="240" w:lineRule="auto"/>
        <w:rPr>
          <w:rFonts w:cs="Arial"/>
          <w:b/>
          <w:sz w:val="20"/>
          <w:szCs w:val="20"/>
        </w:rPr>
      </w:pPr>
      <w:r w:rsidRPr="00907B67">
        <w:rPr>
          <w:rFonts w:cs="Arial"/>
          <w:b/>
          <w:sz w:val="20"/>
          <w:szCs w:val="20"/>
        </w:rPr>
        <w:lastRenderedPageBreak/>
        <w:t xml:space="preserve">6.-Bienes Muebles, Inmuebles e Intangibles. </w:t>
      </w:r>
    </w:p>
    <w:p w:rsidR="00907B67" w:rsidRPr="00907B67" w:rsidRDefault="00907B67" w:rsidP="003939AE">
      <w:pPr>
        <w:spacing w:line="240" w:lineRule="auto"/>
        <w:jc w:val="both"/>
        <w:rPr>
          <w:rFonts w:cs="Arial"/>
          <w:sz w:val="20"/>
          <w:szCs w:val="20"/>
        </w:rPr>
      </w:pPr>
      <w:r w:rsidRPr="00907B67">
        <w:rPr>
          <w:rFonts w:cs="Arial"/>
          <w:sz w:val="20"/>
          <w:szCs w:val="20"/>
        </w:rPr>
        <w:t>El método de depreciación a partir del mes de enero del 2017, se genera a través del sistema de control patrimonial del saacg.net, se aplica con las tasas con dos dígitos sin redondear,  publicadas en la ley de contabilidad gubernamental y los criterios de aplicación de los mismos. Asimismo, los bienes son adquiridos principalmente entre 2011 y 2013, por lo que algunos ya requieren mantenimiento o reposición,  por las condiciones de uso  del equipo en este trimestre se están cotizando mantenimientos correctivos y preventivos a los utensilios y accesorios de cocina, equipos de cómputo, varios no-break, lockers, maquinarias, sistema de bombeo y suministro de agua y riego a áreas verdes que por el uso constante sufren del desgaste natural y requieren algunas renovaciones. De igual forma derivado de la revisión de las condiciones de los techos del inmueble que por las constantes lluvias han cedido a las filtraciones y grietas se están resanando con trabajos de albañilería para evitar un daño de mayores consecuencias en el inmueble.  Se está trabajando en la depuración de los inventarios que se encuentren en condiciones no rescatables.</w:t>
      </w:r>
    </w:p>
    <w:p w:rsidR="00907B67" w:rsidRPr="00907B67" w:rsidRDefault="00907B67" w:rsidP="003939AE">
      <w:pPr>
        <w:spacing w:line="240" w:lineRule="auto"/>
        <w:jc w:val="both"/>
        <w:rPr>
          <w:rFonts w:cs="Arial"/>
          <w:sz w:val="20"/>
          <w:szCs w:val="20"/>
        </w:rPr>
      </w:pPr>
      <w:r w:rsidRPr="00907B67">
        <w:rPr>
          <w:rFonts w:cs="Arial"/>
          <w:sz w:val="20"/>
          <w:szCs w:val="20"/>
        </w:rPr>
        <w:t>Las Cuentas de Bienes Muebles, Inmuebles e Intangibles se registran según normatividad vigente en base al valor de factura o acta de entrega recepción en su caso.</w:t>
      </w:r>
    </w:p>
    <w:p w:rsidR="00907B67" w:rsidRPr="00907B67" w:rsidRDefault="00907B67" w:rsidP="003939AE">
      <w:pPr>
        <w:spacing w:line="240" w:lineRule="auto"/>
        <w:jc w:val="both"/>
        <w:rPr>
          <w:rFonts w:cs="Arial"/>
          <w:sz w:val="20"/>
          <w:szCs w:val="20"/>
        </w:rPr>
      </w:pPr>
      <w:r w:rsidRPr="00907B67">
        <w:rPr>
          <w:rFonts w:cs="Arial"/>
          <w:sz w:val="20"/>
          <w:szCs w:val="20"/>
        </w:rPr>
        <w:t xml:space="preserve">El Inventario físico de Activos se encuentra Documentado y en los registros contables debidamente conciliado con inventario físico. Se está en el proceso de regularización de la documentación del inmueble. </w:t>
      </w:r>
    </w:p>
    <w:p w:rsidR="00907B67" w:rsidRPr="00907B67" w:rsidRDefault="00907B67" w:rsidP="003939AE">
      <w:pPr>
        <w:spacing w:line="240" w:lineRule="auto"/>
        <w:jc w:val="both"/>
        <w:rPr>
          <w:rFonts w:cs="Arial"/>
          <w:b/>
          <w:sz w:val="20"/>
          <w:szCs w:val="20"/>
        </w:rPr>
      </w:pPr>
      <w:r w:rsidRPr="00907B67">
        <w:rPr>
          <w:rFonts w:cs="Arial"/>
          <w:b/>
          <w:sz w:val="20"/>
          <w:szCs w:val="20"/>
        </w:rPr>
        <w:t>7.-Estimaciones y Deterioros</w:t>
      </w:r>
    </w:p>
    <w:p w:rsidR="00907B67" w:rsidRPr="00907B67" w:rsidRDefault="00907B67" w:rsidP="003939AE">
      <w:pPr>
        <w:spacing w:line="240" w:lineRule="auto"/>
        <w:jc w:val="both"/>
        <w:rPr>
          <w:rFonts w:cs="Arial"/>
          <w:sz w:val="20"/>
          <w:szCs w:val="20"/>
        </w:rPr>
      </w:pPr>
      <w:r w:rsidRPr="00907B67">
        <w:rPr>
          <w:rFonts w:cs="Arial"/>
          <w:sz w:val="20"/>
          <w:szCs w:val="20"/>
        </w:rPr>
        <w:t>No se informan los criterios utilizados para la determinación de las estimaciones; por no aplicarse aún en la Universidad. Se está en el proceso de elaboración de políticas internas.</w:t>
      </w:r>
    </w:p>
    <w:p w:rsidR="00907B67" w:rsidRPr="00907B67" w:rsidRDefault="00907B67" w:rsidP="003939AE">
      <w:pPr>
        <w:spacing w:line="240" w:lineRule="auto"/>
        <w:jc w:val="both"/>
        <w:rPr>
          <w:rFonts w:cs="Arial"/>
          <w:b/>
          <w:sz w:val="20"/>
          <w:szCs w:val="20"/>
        </w:rPr>
      </w:pPr>
      <w:r w:rsidRPr="00907B67">
        <w:rPr>
          <w:rFonts w:cs="Arial"/>
          <w:b/>
          <w:sz w:val="20"/>
          <w:szCs w:val="20"/>
        </w:rPr>
        <w:t xml:space="preserve">8.-Otros Activos. </w:t>
      </w:r>
    </w:p>
    <w:p w:rsidR="00907B67" w:rsidRPr="00907B67" w:rsidRDefault="00907B67" w:rsidP="003939AE">
      <w:pPr>
        <w:spacing w:line="240" w:lineRule="auto"/>
        <w:jc w:val="both"/>
        <w:rPr>
          <w:rFonts w:cs="Arial"/>
          <w:sz w:val="20"/>
          <w:szCs w:val="20"/>
        </w:rPr>
      </w:pPr>
      <w:r w:rsidRPr="00907B67">
        <w:rPr>
          <w:rFonts w:cs="Arial"/>
          <w:sz w:val="20"/>
          <w:szCs w:val="20"/>
        </w:rPr>
        <w:t xml:space="preserve">La Universidad cuenta con un depósito en garantía ante la CFE por la contratación del servicio de energía eléctrica celebrado en dic2011 por la cantidad de $45,570.00 </w:t>
      </w:r>
    </w:p>
    <w:p w:rsidR="00907B67" w:rsidRPr="00907B67" w:rsidRDefault="00907B67" w:rsidP="003939AE">
      <w:pPr>
        <w:spacing w:line="240" w:lineRule="auto"/>
        <w:jc w:val="both"/>
        <w:rPr>
          <w:rFonts w:cs="Arial"/>
          <w:b/>
          <w:sz w:val="20"/>
          <w:szCs w:val="20"/>
        </w:rPr>
      </w:pPr>
      <w:r w:rsidRPr="00907B67">
        <w:rPr>
          <w:rFonts w:cs="Arial"/>
          <w:b/>
          <w:sz w:val="20"/>
          <w:szCs w:val="20"/>
        </w:rPr>
        <w:t xml:space="preserve">9.-Pasivos. </w:t>
      </w:r>
    </w:p>
    <w:p w:rsidR="00907B67" w:rsidRPr="00907B67" w:rsidRDefault="00907B67" w:rsidP="003939AE">
      <w:pPr>
        <w:jc w:val="both"/>
        <w:rPr>
          <w:rFonts w:cs="Arial"/>
          <w:sz w:val="20"/>
          <w:szCs w:val="20"/>
        </w:rPr>
      </w:pPr>
      <w:r w:rsidRPr="00907B67">
        <w:rPr>
          <w:rFonts w:cs="Arial"/>
          <w:sz w:val="20"/>
          <w:szCs w:val="20"/>
        </w:rPr>
        <w:t>Se presenta un pasivo total de $3´872,290.51  de las cuales al cierre del mes se refleja  como saldo de cuentas por pagar de $</w:t>
      </w:r>
      <w:r w:rsidRPr="00907B67">
        <w:rPr>
          <w:sz w:val="20"/>
          <w:szCs w:val="20"/>
        </w:rPr>
        <w:t xml:space="preserve"> </w:t>
      </w:r>
      <w:r w:rsidRPr="00907B67">
        <w:rPr>
          <w:rFonts w:cs="Arial"/>
          <w:sz w:val="20"/>
          <w:szCs w:val="20"/>
        </w:rPr>
        <w:t xml:space="preserve">1´092,052.37 que se integra con la retención de ISR, cuotas y entero de retenciones por enterar del mes. La provisión de por las cuotas patronales del ISSTEY 2016 se encuentra en las cuentas de orden contable por que están sin recursos para liquidar el adeudo parcial  de 2015, de Impuesto sobre nóminas se encuentra registrado en impuesto por pagar,   los pagos están al día y el saldo es el registro del impuesto por pagar del mes. El techo presupuestal en el presente ejercicio es insuficiente para la provisión y pago de las contribuciones de Isstey, sólo se registra en cuentas de orden contable  de la cuota patronal Isstey. </w:t>
      </w:r>
    </w:p>
    <w:p w:rsidR="00907B67" w:rsidRPr="00907B67" w:rsidRDefault="00907B67" w:rsidP="003939AE">
      <w:pPr>
        <w:jc w:val="both"/>
        <w:rPr>
          <w:rFonts w:cs="Arial"/>
          <w:sz w:val="20"/>
          <w:szCs w:val="20"/>
        </w:rPr>
      </w:pPr>
      <w:bookmarkStart w:id="0" w:name="_GoBack"/>
      <w:r w:rsidRPr="00907B67">
        <w:rPr>
          <w:rFonts w:cs="Arial"/>
          <w:sz w:val="20"/>
          <w:szCs w:val="20"/>
        </w:rPr>
        <w:lastRenderedPageBreak/>
        <w:t>Recursos localizados en Fondos de Bienes de Terceros en Administración y/o en Garantía a corto y largo plazo.-  Son Recursos obtenidos de aportaciones extraordinarias por parte de la Federación de los Programas PROMEP2014, PRODEP2015 y PROFOCIE2015 y 2016, y los Convenios celebrados para fines específicos, siendo el más representativo el convenio con la fundación Kellogs, recursos referidos al inicio de las notas, y de otros pasivos por recaudación de derechos para titulación en trámite de Ingenierías Técnicas y de titulación en trámite de Técnicos Superior Universitarios, estos pagos están identificados ya que los alumnos depositan en caja el valor de los derechos de SEP para trámites de titulación y la Universidad realiza la gestión de cobrar al alumno y realizar el pago de los derechos para su titulación registrando estos ingresos en  Fondos de Bienes de Terceros en Administración y/o en Garantía a corto y largo plazo.</w:t>
      </w:r>
    </w:p>
    <w:p w:rsidR="00907B67" w:rsidRPr="00907B67" w:rsidRDefault="00907B67" w:rsidP="003939AE">
      <w:pPr>
        <w:spacing w:line="240" w:lineRule="auto"/>
        <w:jc w:val="both"/>
        <w:rPr>
          <w:rFonts w:cs="Arial"/>
          <w:b/>
          <w:sz w:val="20"/>
          <w:szCs w:val="20"/>
        </w:rPr>
      </w:pPr>
      <w:r w:rsidRPr="00907B67">
        <w:rPr>
          <w:rFonts w:cs="Arial"/>
          <w:b/>
          <w:sz w:val="20"/>
          <w:szCs w:val="20"/>
        </w:rPr>
        <w:t xml:space="preserve">10.-Se informa  que no se tiene saldo en  las cuentas de los pasivos diferidos. </w:t>
      </w:r>
    </w:p>
    <w:p w:rsidR="00907B67" w:rsidRPr="00907B67" w:rsidRDefault="00907B67" w:rsidP="003939AE">
      <w:pPr>
        <w:spacing w:line="240" w:lineRule="auto"/>
        <w:jc w:val="both"/>
        <w:rPr>
          <w:rFonts w:cs="Arial"/>
          <w:b/>
          <w:sz w:val="20"/>
          <w:szCs w:val="20"/>
        </w:rPr>
      </w:pPr>
      <w:r w:rsidRPr="00907B67">
        <w:rPr>
          <w:rFonts w:cs="Arial"/>
          <w:b/>
          <w:sz w:val="20"/>
          <w:szCs w:val="20"/>
        </w:rPr>
        <w:t xml:space="preserve">11.- Ingresos de Gestión. </w:t>
      </w:r>
    </w:p>
    <w:p w:rsidR="00907B67" w:rsidRPr="00907B67" w:rsidRDefault="00907B67" w:rsidP="003939AE">
      <w:pPr>
        <w:spacing w:line="240" w:lineRule="auto"/>
        <w:jc w:val="both"/>
        <w:rPr>
          <w:rFonts w:cs="Arial"/>
          <w:sz w:val="20"/>
          <w:szCs w:val="20"/>
        </w:rPr>
      </w:pPr>
      <w:r w:rsidRPr="00907B67">
        <w:rPr>
          <w:rFonts w:cs="Arial"/>
          <w:sz w:val="20"/>
          <w:szCs w:val="20"/>
        </w:rPr>
        <w:t>De los rubros de aportaciones, y transferencias, subsidios, otras ayudas y asignaciones, se informa que se recaudó de ingresos propios el cobro de  inscripciones y servicios prestados al alumnado de fotocopiado e impresiones y reposiciones de credenciales, servicios de asistencia técnica y servicios tecnológicos  por convenios celebrados. Sigue pendiente de cobro las facturas emitidas a la UTM del convenio de 2016.</w:t>
      </w:r>
    </w:p>
    <w:p w:rsidR="00907B67" w:rsidRPr="00907B67" w:rsidRDefault="00907B67" w:rsidP="003939AE">
      <w:pPr>
        <w:spacing w:line="240" w:lineRule="auto"/>
        <w:jc w:val="both"/>
        <w:rPr>
          <w:rFonts w:cs="Arial"/>
          <w:sz w:val="20"/>
          <w:szCs w:val="20"/>
        </w:rPr>
      </w:pPr>
      <w:r w:rsidRPr="00907B67">
        <w:rPr>
          <w:rFonts w:cs="Arial"/>
          <w:sz w:val="20"/>
          <w:szCs w:val="20"/>
        </w:rPr>
        <w:t xml:space="preserve">De  la aportación estatal se recaudó la aportación programada del mes por $1´045,892.00 y de la aportacion federal se recibió  $927,816.00  de ministraciones en el mes. La operación se financió provisionalmente con recursos de la reserva en tanto se reciben los depósitos. </w:t>
      </w:r>
    </w:p>
    <w:p w:rsidR="00907B67" w:rsidRPr="00907B67" w:rsidRDefault="00907B67" w:rsidP="003939AE">
      <w:pPr>
        <w:spacing w:line="240" w:lineRule="auto"/>
        <w:jc w:val="both"/>
        <w:rPr>
          <w:rFonts w:cs="Arial"/>
          <w:sz w:val="20"/>
          <w:szCs w:val="20"/>
        </w:rPr>
      </w:pPr>
      <w:r w:rsidRPr="00907B67">
        <w:rPr>
          <w:rFonts w:cs="Arial"/>
          <w:sz w:val="20"/>
          <w:szCs w:val="20"/>
        </w:rPr>
        <w:t xml:space="preserve">En el período a reportar se ejercieron sin incremento en la plantilla académica  los servicios personales, se fusionan grupos para reducir costos y se redujo el consumo de materiales y suministros y servicios generales para la operación normal y al mismo tiempo se incluye el costo de operación de los proyectos obtenidos en el presente ejercicio. En el mes como medidas de fomento al ahorro se han reducido las actividades de promoción y difusión,  se continúa la instalación y cambios  en los accesos para reducir el consumo de energía, se han reprogramados las actividades culturales y deportivas, así como las prácticas académicas fuera de la Universidad, se ha reducido el consumo de insumos y reducción en los viajes para diligencias a la capital del Estado para reducir el consumo de gasolina, buscando no afectar la calidad educativa. El gasto se ejerce conforme una afectación racional y austera del gasto reduciendo los techos de operación anuales. </w:t>
      </w:r>
    </w:p>
    <w:p w:rsidR="00907B67" w:rsidRPr="00907B67" w:rsidRDefault="00907B67" w:rsidP="003939AE">
      <w:pPr>
        <w:spacing w:line="240" w:lineRule="auto"/>
        <w:jc w:val="both"/>
        <w:rPr>
          <w:rFonts w:cs="Arial"/>
          <w:b/>
          <w:sz w:val="20"/>
          <w:szCs w:val="20"/>
        </w:rPr>
      </w:pPr>
    </w:p>
    <w:p w:rsidR="00907B67" w:rsidRPr="00907B67" w:rsidRDefault="00907B67" w:rsidP="003939AE">
      <w:pPr>
        <w:spacing w:line="240" w:lineRule="auto"/>
        <w:jc w:val="both"/>
        <w:rPr>
          <w:rFonts w:cs="Arial"/>
          <w:b/>
          <w:sz w:val="20"/>
          <w:szCs w:val="20"/>
        </w:rPr>
      </w:pPr>
      <w:r w:rsidRPr="00907B67">
        <w:rPr>
          <w:rFonts w:cs="Arial"/>
          <w:b/>
          <w:sz w:val="20"/>
          <w:szCs w:val="20"/>
        </w:rPr>
        <w:t>12.-NOTAS AL ESTADO DE VARIACIÓN EN LA HACIENDA PÚBLICA</w:t>
      </w:r>
    </w:p>
    <w:p w:rsidR="00907B67" w:rsidRDefault="00907B67" w:rsidP="003939AE">
      <w:pPr>
        <w:spacing w:line="240" w:lineRule="auto"/>
        <w:jc w:val="both"/>
        <w:rPr>
          <w:rFonts w:cs="Arial"/>
          <w:sz w:val="20"/>
          <w:szCs w:val="20"/>
        </w:rPr>
      </w:pPr>
      <w:r w:rsidRPr="00907B67">
        <w:rPr>
          <w:rFonts w:cs="Arial"/>
          <w:sz w:val="20"/>
          <w:szCs w:val="20"/>
        </w:rPr>
        <w:t xml:space="preserve">En el mes  a reportar no se presentan variaciones relevantes en el patrimonio. </w:t>
      </w:r>
    </w:p>
    <w:p w:rsidR="00907B67" w:rsidRPr="00907B67" w:rsidRDefault="00907B67" w:rsidP="003939AE">
      <w:pPr>
        <w:spacing w:line="240" w:lineRule="auto"/>
        <w:jc w:val="both"/>
        <w:rPr>
          <w:rFonts w:cs="Arial"/>
          <w:sz w:val="20"/>
          <w:szCs w:val="20"/>
        </w:rPr>
      </w:pPr>
    </w:p>
    <w:p w:rsidR="00907B67" w:rsidRPr="00907B67" w:rsidRDefault="00907B67" w:rsidP="003939AE">
      <w:pPr>
        <w:spacing w:line="240" w:lineRule="auto"/>
        <w:jc w:val="both"/>
        <w:rPr>
          <w:rFonts w:cs="Arial"/>
          <w:b/>
          <w:sz w:val="20"/>
          <w:szCs w:val="20"/>
        </w:rPr>
      </w:pPr>
      <w:r w:rsidRPr="00907B67">
        <w:rPr>
          <w:rFonts w:cs="Arial"/>
          <w:b/>
          <w:sz w:val="20"/>
          <w:szCs w:val="20"/>
        </w:rPr>
        <w:lastRenderedPageBreak/>
        <w:t>13.- NOTAS AL ESTADO DE FLUJOS DE EFECTIVO</w:t>
      </w:r>
    </w:p>
    <w:p w:rsidR="00907B67" w:rsidRPr="00907B67" w:rsidRDefault="00907B67" w:rsidP="003939AE">
      <w:pPr>
        <w:spacing w:line="240" w:lineRule="auto"/>
        <w:jc w:val="both"/>
        <w:rPr>
          <w:rFonts w:cs="Arial"/>
          <w:sz w:val="20"/>
          <w:szCs w:val="20"/>
        </w:rPr>
      </w:pPr>
      <w:r w:rsidRPr="00907B67">
        <w:rPr>
          <w:rFonts w:cs="Arial"/>
          <w:sz w:val="20"/>
          <w:szCs w:val="20"/>
        </w:rPr>
        <w:t xml:space="preserve">El análisis de los saldos inicial y final que figuran en la última parte del Estado de Flujo de Efectivo no se presentan situaciones relevantes en el efectivo de la Universidad derivados de la operación cotidiana y las cuales se han detallado en las notas anteriores. </w:t>
      </w:r>
    </w:p>
    <w:p w:rsidR="00907B67" w:rsidRPr="00907B67" w:rsidRDefault="00907B67" w:rsidP="003939AE">
      <w:pPr>
        <w:spacing w:line="240" w:lineRule="auto"/>
        <w:jc w:val="both"/>
        <w:rPr>
          <w:rFonts w:cs="Arial"/>
          <w:b/>
          <w:sz w:val="20"/>
          <w:szCs w:val="20"/>
        </w:rPr>
      </w:pPr>
      <w:r w:rsidRPr="00907B67">
        <w:rPr>
          <w:rFonts w:cs="Arial"/>
          <w:b/>
          <w:sz w:val="20"/>
          <w:szCs w:val="20"/>
        </w:rPr>
        <w:t>NOTAS DE MEMORIA</w:t>
      </w:r>
    </w:p>
    <w:p w:rsidR="00907B67" w:rsidRPr="00907B67" w:rsidRDefault="00907B67" w:rsidP="003939AE">
      <w:pPr>
        <w:spacing w:line="240" w:lineRule="auto"/>
        <w:jc w:val="both"/>
        <w:rPr>
          <w:rFonts w:cs="Arial"/>
          <w:b/>
          <w:sz w:val="20"/>
          <w:szCs w:val="20"/>
        </w:rPr>
      </w:pPr>
      <w:r w:rsidRPr="00907B67">
        <w:rPr>
          <w:rFonts w:cs="Arial"/>
          <w:b/>
          <w:sz w:val="20"/>
          <w:szCs w:val="20"/>
        </w:rPr>
        <w:t xml:space="preserve">1.-Cuentas de Orden Contables. </w:t>
      </w:r>
    </w:p>
    <w:p w:rsidR="00907B67" w:rsidRPr="00907B67" w:rsidRDefault="00907B67" w:rsidP="003939AE">
      <w:pPr>
        <w:spacing w:line="240" w:lineRule="auto"/>
        <w:jc w:val="both"/>
        <w:rPr>
          <w:rFonts w:cs="Arial"/>
          <w:sz w:val="20"/>
          <w:szCs w:val="20"/>
        </w:rPr>
      </w:pPr>
      <w:r w:rsidRPr="00907B67">
        <w:rPr>
          <w:rFonts w:cs="Arial"/>
          <w:sz w:val="20"/>
          <w:szCs w:val="20"/>
        </w:rPr>
        <w:t>Al corte del mes a reportar se realizaron registros en  estas cuentas del capítulo 7000 por la provisión de las cuotas patronales del ISSTEY correspondientes al mes de febrero 2017 las cuales no cuentan con la suficiencia presupuestal para su liquidación</w:t>
      </w:r>
      <w:proofErr w:type="gramStart"/>
      <w:r w:rsidRPr="00907B67">
        <w:rPr>
          <w:rFonts w:cs="Arial"/>
          <w:sz w:val="20"/>
          <w:szCs w:val="20"/>
        </w:rPr>
        <w:t>..</w:t>
      </w:r>
      <w:proofErr w:type="gramEnd"/>
    </w:p>
    <w:tbl>
      <w:tblPr>
        <w:tblW w:w="10200" w:type="dxa"/>
        <w:jc w:val="center"/>
        <w:tblInd w:w="49" w:type="dxa"/>
        <w:tblCellMar>
          <w:left w:w="70" w:type="dxa"/>
          <w:right w:w="70" w:type="dxa"/>
        </w:tblCellMar>
        <w:tblLook w:val="04A0" w:firstRow="1" w:lastRow="0" w:firstColumn="1" w:lastColumn="0" w:noHBand="0" w:noVBand="1"/>
      </w:tblPr>
      <w:tblGrid>
        <w:gridCol w:w="1200"/>
        <w:gridCol w:w="1200"/>
        <w:gridCol w:w="6000"/>
        <w:gridCol w:w="1800"/>
      </w:tblGrid>
      <w:tr w:rsidR="00907B67" w:rsidRPr="00907B67" w:rsidTr="00907B67">
        <w:trPr>
          <w:trHeight w:val="300"/>
          <w:jc w:val="center"/>
        </w:trPr>
        <w:tc>
          <w:tcPr>
            <w:tcW w:w="1200" w:type="dxa"/>
            <w:shd w:val="clear" w:color="auto" w:fill="FFFFFF"/>
            <w:hideMark/>
          </w:tcPr>
          <w:bookmarkEnd w:id="0"/>
          <w:p w:rsidR="00907B67" w:rsidRPr="00907B67" w:rsidRDefault="00907B67">
            <w:pPr>
              <w:spacing w:after="0" w:line="240" w:lineRule="auto"/>
              <w:rPr>
                <w:rFonts w:eastAsia="Times New Roman" w:cs="Arial"/>
                <w:b/>
                <w:bCs/>
                <w:color w:val="000000"/>
                <w:sz w:val="20"/>
                <w:szCs w:val="20"/>
                <w:lang w:eastAsia="es-MX"/>
              </w:rPr>
            </w:pPr>
            <w:r w:rsidRPr="00907B67">
              <w:rPr>
                <w:rFonts w:eastAsia="Times New Roman" w:cs="Arial"/>
                <w:b/>
                <w:bCs/>
                <w:color w:val="000000"/>
                <w:sz w:val="20"/>
                <w:szCs w:val="20"/>
                <w:lang w:eastAsia="es-MX"/>
              </w:rPr>
              <w:t>Nat.</w:t>
            </w:r>
          </w:p>
        </w:tc>
        <w:tc>
          <w:tcPr>
            <w:tcW w:w="1200" w:type="dxa"/>
            <w:shd w:val="clear" w:color="auto" w:fill="FFFFFF"/>
            <w:hideMark/>
          </w:tcPr>
          <w:p w:rsidR="00907B67" w:rsidRPr="00907B67" w:rsidRDefault="00907B67">
            <w:pPr>
              <w:spacing w:after="0" w:line="240" w:lineRule="auto"/>
              <w:rPr>
                <w:rFonts w:eastAsia="Times New Roman" w:cs="Arial"/>
                <w:b/>
                <w:bCs/>
                <w:color w:val="000000"/>
                <w:sz w:val="20"/>
                <w:szCs w:val="20"/>
                <w:lang w:eastAsia="es-MX"/>
              </w:rPr>
            </w:pPr>
            <w:r w:rsidRPr="00907B67">
              <w:rPr>
                <w:rFonts w:eastAsia="Times New Roman" w:cs="Arial"/>
                <w:b/>
                <w:bCs/>
                <w:color w:val="000000"/>
                <w:sz w:val="20"/>
                <w:szCs w:val="20"/>
                <w:lang w:eastAsia="es-MX"/>
              </w:rPr>
              <w:t>Cuenta</w:t>
            </w:r>
          </w:p>
        </w:tc>
        <w:tc>
          <w:tcPr>
            <w:tcW w:w="6000" w:type="dxa"/>
            <w:shd w:val="clear" w:color="auto" w:fill="FFFFFF"/>
            <w:hideMark/>
          </w:tcPr>
          <w:p w:rsidR="00907B67" w:rsidRPr="00907B67" w:rsidRDefault="00907B67">
            <w:pPr>
              <w:spacing w:after="0" w:line="240" w:lineRule="auto"/>
              <w:jc w:val="center"/>
              <w:rPr>
                <w:rFonts w:eastAsia="Times New Roman" w:cs="Arial"/>
                <w:b/>
                <w:bCs/>
                <w:color w:val="000000"/>
                <w:sz w:val="20"/>
                <w:szCs w:val="20"/>
                <w:lang w:eastAsia="es-MX"/>
              </w:rPr>
            </w:pPr>
            <w:r w:rsidRPr="00907B67">
              <w:rPr>
                <w:rFonts w:eastAsia="Times New Roman" w:cs="Arial"/>
                <w:b/>
                <w:bCs/>
                <w:color w:val="000000"/>
                <w:sz w:val="20"/>
                <w:szCs w:val="20"/>
                <w:lang w:eastAsia="es-MX"/>
              </w:rPr>
              <w:t>Nombre de la cuenta</w:t>
            </w:r>
          </w:p>
        </w:tc>
        <w:tc>
          <w:tcPr>
            <w:tcW w:w="1800" w:type="dxa"/>
            <w:shd w:val="clear" w:color="auto" w:fill="FFFFFF"/>
            <w:hideMark/>
          </w:tcPr>
          <w:p w:rsidR="00907B67" w:rsidRPr="00907B67" w:rsidRDefault="00907B67">
            <w:pPr>
              <w:spacing w:after="0" w:line="240" w:lineRule="auto"/>
              <w:rPr>
                <w:rFonts w:eastAsia="Times New Roman" w:cs="Arial"/>
                <w:b/>
                <w:bCs/>
                <w:color w:val="000000"/>
                <w:sz w:val="20"/>
                <w:szCs w:val="20"/>
                <w:lang w:eastAsia="es-MX"/>
              </w:rPr>
            </w:pPr>
            <w:r w:rsidRPr="00907B67">
              <w:rPr>
                <w:rFonts w:eastAsia="Times New Roman" w:cs="Arial"/>
                <w:b/>
                <w:bCs/>
                <w:color w:val="000000"/>
                <w:sz w:val="20"/>
                <w:szCs w:val="20"/>
                <w:lang w:eastAsia="es-MX"/>
              </w:rPr>
              <w:t>DEUDOR</w:t>
            </w:r>
          </w:p>
        </w:tc>
      </w:tr>
      <w:tr w:rsidR="00907B67" w:rsidRPr="00907B67" w:rsidTr="00907B67">
        <w:trPr>
          <w:trHeight w:val="300"/>
          <w:jc w:val="center"/>
        </w:trPr>
        <w:tc>
          <w:tcPr>
            <w:tcW w:w="1200" w:type="dxa"/>
            <w:shd w:val="clear" w:color="auto" w:fill="FFFFFF"/>
            <w:vAlign w:val="bottom"/>
            <w:hideMark/>
          </w:tcPr>
          <w:p w:rsidR="00907B67" w:rsidRPr="00907B67" w:rsidRDefault="00907B67">
            <w:pPr>
              <w:spacing w:after="0" w:line="240" w:lineRule="auto"/>
              <w:rPr>
                <w:rFonts w:eastAsia="Times New Roman" w:cs="Arial"/>
                <w:color w:val="000000"/>
                <w:sz w:val="20"/>
                <w:szCs w:val="20"/>
                <w:lang w:eastAsia="es-MX"/>
              </w:rPr>
            </w:pPr>
            <w:r w:rsidRPr="00907B67">
              <w:rPr>
                <w:rFonts w:eastAsia="Times New Roman" w:cs="Arial"/>
                <w:color w:val="000000"/>
                <w:sz w:val="20"/>
                <w:szCs w:val="20"/>
                <w:lang w:eastAsia="es-MX"/>
              </w:rPr>
              <w:t>D</w:t>
            </w:r>
          </w:p>
        </w:tc>
        <w:tc>
          <w:tcPr>
            <w:tcW w:w="1200" w:type="dxa"/>
            <w:shd w:val="clear" w:color="auto" w:fill="FFFFFF"/>
            <w:vAlign w:val="bottom"/>
            <w:hideMark/>
          </w:tcPr>
          <w:p w:rsidR="00907B67" w:rsidRPr="00907B67" w:rsidRDefault="00907B67">
            <w:pPr>
              <w:spacing w:after="0" w:line="240" w:lineRule="auto"/>
              <w:rPr>
                <w:rFonts w:eastAsia="Times New Roman" w:cs="Arial"/>
                <w:color w:val="000000"/>
                <w:sz w:val="20"/>
                <w:szCs w:val="20"/>
                <w:lang w:eastAsia="es-MX"/>
              </w:rPr>
            </w:pPr>
            <w:r w:rsidRPr="00907B67">
              <w:rPr>
                <w:rFonts w:eastAsia="Times New Roman" w:cs="Arial"/>
                <w:color w:val="000000"/>
                <w:sz w:val="20"/>
                <w:szCs w:val="20"/>
                <w:lang w:eastAsia="es-MX"/>
              </w:rPr>
              <w:t>7700</w:t>
            </w:r>
          </w:p>
        </w:tc>
        <w:tc>
          <w:tcPr>
            <w:tcW w:w="6000" w:type="dxa"/>
            <w:shd w:val="clear" w:color="auto" w:fill="FFFFFF"/>
            <w:vAlign w:val="bottom"/>
            <w:hideMark/>
          </w:tcPr>
          <w:p w:rsidR="00907B67" w:rsidRPr="00907B67" w:rsidRDefault="00907B67">
            <w:pPr>
              <w:spacing w:after="0" w:line="240" w:lineRule="auto"/>
              <w:rPr>
                <w:rFonts w:eastAsia="Times New Roman" w:cs="Arial"/>
                <w:color w:val="000000"/>
                <w:sz w:val="20"/>
                <w:szCs w:val="20"/>
                <w:lang w:eastAsia="es-MX"/>
              </w:rPr>
            </w:pPr>
            <w:r w:rsidRPr="00907B67">
              <w:rPr>
                <w:rFonts w:eastAsia="Times New Roman" w:cs="Arial"/>
                <w:color w:val="000000"/>
                <w:sz w:val="20"/>
                <w:szCs w:val="20"/>
                <w:lang w:eastAsia="es-MX"/>
              </w:rPr>
              <w:t>PROVISIONES CONTABLES</w:t>
            </w:r>
          </w:p>
        </w:tc>
        <w:tc>
          <w:tcPr>
            <w:tcW w:w="1800" w:type="dxa"/>
            <w:shd w:val="clear" w:color="auto" w:fill="FFFFFF"/>
            <w:vAlign w:val="bottom"/>
            <w:hideMark/>
          </w:tcPr>
          <w:p w:rsidR="00907B67" w:rsidRPr="00907B67" w:rsidRDefault="00907B67">
            <w:pPr>
              <w:spacing w:after="0" w:line="240" w:lineRule="auto"/>
              <w:jc w:val="right"/>
              <w:rPr>
                <w:rFonts w:eastAsia="Times New Roman" w:cs="Arial"/>
                <w:color w:val="000000"/>
                <w:sz w:val="20"/>
                <w:szCs w:val="20"/>
                <w:lang w:eastAsia="es-MX"/>
              </w:rPr>
            </w:pPr>
            <w:r w:rsidRPr="00907B67">
              <w:rPr>
                <w:rFonts w:eastAsia="Times New Roman" w:cs="Arial"/>
                <w:color w:val="000000"/>
                <w:sz w:val="20"/>
                <w:szCs w:val="20"/>
                <w:lang w:eastAsia="es-MX"/>
              </w:rPr>
              <w:t>$0.00</w:t>
            </w:r>
          </w:p>
        </w:tc>
      </w:tr>
      <w:tr w:rsidR="00907B67" w:rsidRPr="00907B67" w:rsidTr="00907B67">
        <w:trPr>
          <w:trHeight w:val="300"/>
          <w:jc w:val="center"/>
        </w:trPr>
        <w:tc>
          <w:tcPr>
            <w:tcW w:w="1200" w:type="dxa"/>
            <w:shd w:val="clear" w:color="auto" w:fill="FFFFFF"/>
            <w:vAlign w:val="bottom"/>
            <w:hideMark/>
          </w:tcPr>
          <w:p w:rsidR="00907B67" w:rsidRPr="00907B67" w:rsidRDefault="00907B67">
            <w:pPr>
              <w:spacing w:after="0" w:line="240" w:lineRule="auto"/>
              <w:rPr>
                <w:rFonts w:eastAsia="Times New Roman" w:cs="Arial"/>
                <w:color w:val="000000"/>
                <w:sz w:val="20"/>
                <w:szCs w:val="20"/>
                <w:lang w:eastAsia="es-MX"/>
              </w:rPr>
            </w:pPr>
            <w:r w:rsidRPr="00907B67">
              <w:rPr>
                <w:rFonts w:eastAsia="Times New Roman" w:cs="Arial"/>
                <w:color w:val="000000"/>
                <w:sz w:val="20"/>
                <w:szCs w:val="20"/>
                <w:lang w:eastAsia="es-MX"/>
              </w:rPr>
              <w:t>D</w:t>
            </w:r>
          </w:p>
        </w:tc>
        <w:tc>
          <w:tcPr>
            <w:tcW w:w="1200" w:type="dxa"/>
            <w:shd w:val="clear" w:color="auto" w:fill="FFFFFF"/>
            <w:vAlign w:val="bottom"/>
            <w:hideMark/>
          </w:tcPr>
          <w:p w:rsidR="00907B67" w:rsidRPr="00907B67" w:rsidRDefault="00907B67">
            <w:pPr>
              <w:spacing w:after="0" w:line="240" w:lineRule="auto"/>
              <w:rPr>
                <w:rFonts w:eastAsia="Times New Roman" w:cs="Arial"/>
                <w:b/>
                <w:bCs/>
                <w:color w:val="000000"/>
                <w:sz w:val="20"/>
                <w:szCs w:val="20"/>
                <w:lang w:eastAsia="es-MX"/>
              </w:rPr>
            </w:pPr>
            <w:r w:rsidRPr="00907B67">
              <w:rPr>
                <w:rFonts w:eastAsia="Times New Roman" w:cs="Arial"/>
                <w:b/>
                <w:bCs/>
                <w:color w:val="000000"/>
                <w:sz w:val="20"/>
                <w:szCs w:val="20"/>
                <w:lang w:eastAsia="es-MX"/>
              </w:rPr>
              <w:t>7710</w:t>
            </w:r>
          </w:p>
        </w:tc>
        <w:tc>
          <w:tcPr>
            <w:tcW w:w="6000" w:type="dxa"/>
            <w:shd w:val="clear" w:color="auto" w:fill="FFFFFF"/>
            <w:vAlign w:val="bottom"/>
            <w:hideMark/>
          </w:tcPr>
          <w:p w:rsidR="00907B67" w:rsidRPr="00907B67" w:rsidRDefault="00907B67">
            <w:pPr>
              <w:spacing w:after="0" w:line="240" w:lineRule="auto"/>
              <w:rPr>
                <w:rFonts w:eastAsia="Times New Roman" w:cs="Arial"/>
                <w:color w:val="000000"/>
                <w:sz w:val="20"/>
                <w:szCs w:val="20"/>
                <w:lang w:eastAsia="es-MX"/>
              </w:rPr>
            </w:pPr>
            <w:r w:rsidRPr="00907B67">
              <w:rPr>
                <w:rFonts w:eastAsia="Times New Roman" w:cs="Arial"/>
                <w:color w:val="000000"/>
                <w:sz w:val="20"/>
                <w:szCs w:val="20"/>
                <w:lang w:eastAsia="es-MX"/>
              </w:rPr>
              <w:t>PROVISION DE OBLIGACION</w:t>
            </w:r>
          </w:p>
        </w:tc>
        <w:tc>
          <w:tcPr>
            <w:tcW w:w="1800" w:type="dxa"/>
            <w:shd w:val="clear" w:color="auto" w:fill="FFFFFF"/>
            <w:vAlign w:val="bottom"/>
            <w:hideMark/>
          </w:tcPr>
          <w:p w:rsidR="00907B67" w:rsidRPr="00907B67" w:rsidRDefault="00907B67">
            <w:pPr>
              <w:spacing w:after="0" w:line="240" w:lineRule="auto"/>
              <w:jc w:val="right"/>
              <w:rPr>
                <w:rFonts w:eastAsia="Times New Roman" w:cs="Arial"/>
                <w:b/>
                <w:bCs/>
                <w:color w:val="000000"/>
                <w:sz w:val="20"/>
                <w:szCs w:val="20"/>
                <w:lang w:eastAsia="es-MX"/>
              </w:rPr>
            </w:pPr>
            <w:r w:rsidRPr="00907B67">
              <w:rPr>
                <w:rFonts w:eastAsia="Times New Roman" w:cs="Arial"/>
                <w:b/>
                <w:bCs/>
                <w:color w:val="000000"/>
                <w:sz w:val="20"/>
                <w:szCs w:val="20"/>
                <w:lang w:eastAsia="es-MX"/>
              </w:rPr>
              <w:t>$1,907,865.41</w:t>
            </w:r>
          </w:p>
        </w:tc>
      </w:tr>
      <w:tr w:rsidR="00907B67" w:rsidRPr="00907B67" w:rsidTr="00907B67">
        <w:trPr>
          <w:trHeight w:val="285"/>
          <w:jc w:val="center"/>
        </w:trPr>
        <w:tc>
          <w:tcPr>
            <w:tcW w:w="1200" w:type="dxa"/>
            <w:shd w:val="clear" w:color="auto" w:fill="FFFFFF"/>
            <w:vAlign w:val="bottom"/>
            <w:hideMark/>
          </w:tcPr>
          <w:p w:rsidR="00907B67" w:rsidRPr="00907B67" w:rsidRDefault="00907B67">
            <w:pPr>
              <w:spacing w:after="0" w:line="240" w:lineRule="auto"/>
              <w:rPr>
                <w:rFonts w:eastAsia="Times New Roman" w:cs="Arial"/>
                <w:color w:val="000000"/>
                <w:sz w:val="20"/>
                <w:szCs w:val="20"/>
                <w:lang w:eastAsia="es-MX"/>
              </w:rPr>
            </w:pPr>
            <w:r w:rsidRPr="00907B67">
              <w:rPr>
                <w:rFonts w:eastAsia="Times New Roman" w:cs="Arial"/>
                <w:color w:val="000000"/>
                <w:sz w:val="20"/>
                <w:szCs w:val="20"/>
                <w:lang w:eastAsia="es-MX"/>
              </w:rPr>
              <w:t>D</w:t>
            </w:r>
          </w:p>
        </w:tc>
        <w:tc>
          <w:tcPr>
            <w:tcW w:w="1200" w:type="dxa"/>
            <w:shd w:val="clear" w:color="auto" w:fill="FFFFFF"/>
            <w:vAlign w:val="bottom"/>
            <w:hideMark/>
          </w:tcPr>
          <w:p w:rsidR="00907B67" w:rsidRPr="00907B67" w:rsidRDefault="00907B67">
            <w:pPr>
              <w:spacing w:after="0" w:line="240" w:lineRule="auto"/>
              <w:rPr>
                <w:rFonts w:eastAsia="Times New Roman" w:cs="Arial"/>
                <w:color w:val="000000"/>
                <w:sz w:val="20"/>
                <w:szCs w:val="20"/>
                <w:lang w:eastAsia="es-MX"/>
              </w:rPr>
            </w:pPr>
            <w:r w:rsidRPr="00907B67">
              <w:rPr>
                <w:rFonts w:eastAsia="Times New Roman" w:cs="Arial"/>
                <w:color w:val="000000"/>
                <w:sz w:val="20"/>
                <w:szCs w:val="20"/>
                <w:lang w:eastAsia="es-MX"/>
              </w:rPr>
              <w:t>7710-001</w:t>
            </w:r>
          </w:p>
        </w:tc>
        <w:tc>
          <w:tcPr>
            <w:tcW w:w="6000" w:type="dxa"/>
            <w:shd w:val="clear" w:color="auto" w:fill="FFFFFF"/>
            <w:vAlign w:val="bottom"/>
            <w:hideMark/>
          </w:tcPr>
          <w:p w:rsidR="00907B67" w:rsidRPr="00907B67" w:rsidRDefault="00907B67">
            <w:pPr>
              <w:spacing w:after="0" w:line="240" w:lineRule="auto"/>
              <w:rPr>
                <w:rFonts w:eastAsia="Times New Roman" w:cs="Arial"/>
                <w:color w:val="000000"/>
                <w:sz w:val="20"/>
                <w:szCs w:val="20"/>
                <w:lang w:eastAsia="es-MX"/>
              </w:rPr>
            </w:pPr>
            <w:r w:rsidRPr="00907B67">
              <w:rPr>
                <w:rFonts w:eastAsia="Times New Roman" w:cs="Arial"/>
                <w:color w:val="000000"/>
                <w:sz w:val="20"/>
                <w:szCs w:val="20"/>
                <w:lang w:eastAsia="es-MX"/>
              </w:rPr>
              <w:t>Cuota Patronal Isstey 2016</w:t>
            </w:r>
          </w:p>
        </w:tc>
        <w:tc>
          <w:tcPr>
            <w:tcW w:w="1800" w:type="dxa"/>
            <w:shd w:val="clear" w:color="auto" w:fill="FFFFFF"/>
            <w:vAlign w:val="bottom"/>
            <w:hideMark/>
          </w:tcPr>
          <w:p w:rsidR="00907B67" w:rsidRPr="00907B67" w:rsidRDefault="00907B67">
            <w:pPr>
              <w:spacing w:after="0" w:line="240" w:lineRule="auto"/>
              <w:jc w:val="right"/>
              <w:rPr>
                <w:rFonts w:eastAsia="Times New Roman" w:cs="Arial"/>
                <w:color w:val="000000"/>
                <w:sz w:val="20"/>
                <w:szCs w:val="20"/>
                <w:lang w:eastAsia="es-MX"/>
              </w:rPr>
            </w:pPr>
            <w:r w:rsidRPr="00907B67">
              <w:rPr>
                <w:rFonts w:eastAsia="Times New Roman" w:cs="Arial"/>
                <w:color w:val="000000"/>
                <w:sz w:val="20"/>
                <w:szCs w:val="20"/>
                <w:lang w:eastAsia="es-MX"/>
              </w:rPr>
              <w:t>$999,357.17</w:t>
            </w:r>
          </w:p>
        </w:tc>
      </w:tr>
      <w:tr w:rsidR="00907B67" w:rsidRPr="00907B67" w:rsidTr="00907B67">
        <w:trPr>
          <w:trHeight w:val="285"/>
          <w:jc w:val="center"/>
        </w:trPr>
        <w:tc>
          <w:tcPr>
            <w:tcW w:w="1200" w:type="dxa"/>
            <w:shd w:val="clear" w:color="auto" w:fill="FFFFFF"/>
            <w:vAlign w:val="bottom"/>
            <w:hideMark/>
          </w:tcPr>
          <w:p w:rsidR="00907B67" w:rsidRPr="00907B67" w:rsidRDefault="00907B67">
            <w:pPr>
              <w:spacing w:after="0" w:line="240" w:lineRule="auto"/>
              <w:rPr>
                <w:rFonts w:eastAsia="Times New Roman" w:cs="Arial"/>
                <w:color w:val="000000"/>
                <w:sz w:val="20"/>
                <w:szCs w:val="20"/>
                <w:lang w:eastAsia="es-MX"/>
              </w:rPr>
            </w:pPr>
            <w:r w:rsidRPr="00907B67">
              <w:rPr>
                <w:rFonts w:eastAsia="Times New Roman" w:cs="Arial"/>
                <w:color w:val="000000"/>
                <w:sz w:val="20"/>
                <w:szCs w:val="20"/>
                <w:lang w:eastAsia="es-MX"/>
              </w:rPr>
              <w:t>D</w:t>
            </w:r>
          </w:p>
        </w:tc>
        <w:tc>
          <w:tcPr>
            <w:tcW w:w="1200" w:type="dxa"/>
            <w:shd w:val="clear" w:color="auto" w:fill="FFFFFF"/>
            <w:vAlign w:val="bottom"/>
            <w:hideMark/>
          </w:tcPr>
          <w:p w:rsidR="00907B67" w:rsidRPr="00907B67" w:rsidRDefault="00907B67">
            <w:pPr>
              <w:spacing w:after="0" w:line="240" w:lineRule="auto"/>
              <w:rPr>
                <w:rFonts w:eastAsia="Times New Roman" w:cs="Arial"/>
                <w:color w:val="000000"/>
                <w:sz w:val="20"/>
                <w:szCs w:val="20"/>
                <w:lang w:eastAsia="es-MX"/>
              </w:rPr>
            </w:pPr>
            <w:r w:rsidRPr="00907B67">
              <w:rPr>
                <w:rFonts w:eastAsia="Times New Roman" w:cs="Arial"/>
                <w:color w:val="000000"/>
                <w:sz w:val="20"/>
                <w:szCs w:val="20"/>
                <w:lang w:eastAsia="es-MX"/>
              </w:rPr>
              <w:t>7710-002</w:t>
            </w:r>
          </w:p>
        </w:tc>
        <w:tc>
          <w:tcPr>
            <w:tcW w:w="6000" w:type="dxa"/>
            <w:shd w:val="clear" w:color="auto" w:fill="FFFFFF"/>
            <w:vAlign w:val="bottom"/>
            <w:hideMark/>
          </w:tcPr>
          <w:p w:rsidR="00907B67" w:rsidRPr="00907B67" w:rsidRDefault="00907B67">
            <w:pPr>
              <w:spacing w:after="0" w:line="240" w:lineRule="auto"/>
              <w:rPr>
                <w:rFonts w:eastAsia="Times New Roman" w:cs="Arial"/>
                <w:color w:val="000000"/>
                <w:sz w:val="20"/>
                <w:szCs w:val="20"/>
                <w:lang w:eastAsia="es-MX"/>
              </w:rPr>
            </w:pPr>
            <w:r w:rsidRPr="00907B67">
              <w:rPr>
                <w:rFonts w:eastAsia="Times New Roman" w:cs="Arial"/>
                <w:color w:val="000000"/>
                <w:sz w:val="20"/>
                <w:szCs w:val="20"/>
                <w:lang w:eastAsia="es-MX"/>
              </w:rPr>
              <w:t>Cuota Patronal Isstey 2017</w:t>
            </w:r>
          </w:p>
        </w:tc>
        <w:tc>
          <w:tcPr>
            <w:tcW w:w="1800" w:type="dxa"/>
            <w:shd w:val="clear" w:color="auto" w:fill="FFFFFF"/>
            <w:vAlign w:val="bottom"/>
            <w:hideMark/>
          </w:tcPr>
          <w:p w:rsidR="00907B67" w:rsidRPr="00907B67" w:rsidRDefault="00907B67">
            <w:pPr>
              <w:spacing w:after="0" w:line="240" w:lineRule="auto"/>
              <w:jc w:val="right"/>
              <w:rPr>
                <w:rFonts w:eastAsia="Times New Roman" w:cs="Arial"/>
                <w:color w:val="000000"/>
                <w:sz w:val="20"/>
                <w:szCs w:val="20"/>
                <w:lang w:eastAsia="es-MX"/>
              </w:rPr>
            </w:pPr>
            <w:r w:rsidRPr="00907B67">
              <w:rPr>
                <w:rFonts w:eastAsia="Times New Roman" w:cs="Arial"/>
                <w:color w:val="000000"/>
                <w:sz w:val="20"/>
                <w:szCs w:val="20"/>
                <w:lang w:eastAsia="es-MX"/>
              </w:rPr>
              <w:t>$144,455.12</w:t>
            </w:r>
          </w:p>
        </w:tc>
      </w:tr>
      <w:tr w:rsidR="00907B67" w:rsidRPr="00907B67" w:rsidTr="00907B67">
        <w:trPr>
          <w:trHeight w:val="285"/>
          <w:jc w:val="center"/>
        </w:trPr>
        <w:tc>
          <w:tcPr>
            <w:tcW w:w="1200" w:type="dxa"/>
            <w:shd w:val="clear" w:color="auto" w:fill="FFFFFF"/>
            <w:vAlign w:val="bottom"/>
            <w:hideMark/>
          </w:tcPr>
          <w:p w:rsidR="00907B67" w:rsidRPr="00907B67" w:rsidRDefault="00907B67">
            <w:pPr>
              <w:spacing w:after="0" w:line="240" w:lineRule="auto"/>
              <w:rPr>
                <w:rFonts w:eastAsia="Times New Roman" w:cs="Arial"/>
                <w:color w:val="000000"/>
                <w:sz w:val="20"/>
                <w:szCs w:val="20"/>
                <w:lang w:eastAsia="es-MX"/>
              </w:rPr>
            </w:pPr>
            <w:r w:rsidRPr="00907B67">
              <w:rPr>
                <w:rFonts w:eastAsia="Times New Roman" w:cs="Arial"/>
                <w:color w:val="000000"/>
                <w:sz w:val="20"/>
                <w:szCs w:val="20"/>
                <w:lang w:eastAsia="es-MX"/>
              </w:rPr>
              <w:t>D</w:t>
            </w:r>
          </w:p>
        </w:tc>
        <w:tc>
          <w:tcPr>
            <w:tcW w:w="1200" w:type="dxa"/>
            <w:shd w:val="clear" w:color="auto" w:fill="FFFFFF"/>
            <w:vAlign w:val="bottom"/>
            <w:hideMark/>
          </w:tcPr>
          <w:p w:rsidR="00907B67" w:rsidRPr="00907B67" w:rsidRDefault="00907B67">
            <w:pPr>
              <w:spacing w:after="0" w:line="240" w:lineRule="auto"/>
              <w:rPr>
                <w:rFonts w:eastAsia="Times New Roman" w:cs="Arial"/>
                <w:color w:val="000000"/>
                <w:sz w:val="20"/>
                <w:szCs w:val="20"/>
                <w:lang w:eastAsia="es-MX"/>
              </w:rPr>
            </w:pPr>
            <w:r w:rsidRPr="00907B67">
              <w:rPr>
                <w:rFonts w:eastAsia="Times New Roman" w:cs="Arial"/>
                <w:color w:val="000000"/>
                <w:sz w:val="20"/>
                <w:szCs w:val="20"/>
                <w:lang w:eastAsia="es-MX"/>
              </w:rPr>
              <w:t>7710-003</w:t>
            </w:r>
          </w:p>
        </w:tc>
        <w:tc>
          <w:tcPr>
            <w:tcW w:w="6000" w:type="dxa"/>
            <w:shd w:val="clear" w:color="auto" w:fill="FFFFFF"/>
            <w:vAlign w:val="bottom"/>
            <w:hideMark/>
          </w:tcPr>
          <w:p w:rsidR="00907B67" w:rsidRPr="00907B67" w:rsidRDefault="00907B67">
            <w:pPr>
              <w:spacing w:after="0" w:line="240" w:lineRule="auto"/>
              <w:rPr>
                <w:rFonts w:eastAsia="Times New Roman" w:cs="Arial"/>
                <w:color w:val="000000"/>
                <w:sz w:val="20"/>
                <w:szCs w:val="20"/>
                <w:lang w:eastAsia="es-MX"/>
              </w:rPr>
            </w:pPr>
            <w:r w:rsidRPr="00907B67">
              <w:rPr>
                <w:rFonts w:eastAsia="Times New Roman" w:cs="Arial"/>
                <w:color w:val="000000"/>
                <w:sz w:val="20"/>
                <w:szCs w:val="20"/>
                <w:lang w:eastAsia="es-MX"/>
              </w:rPr>
              <w:t>Cuota Patronal Isstey 2015</w:t>
            </w:r>
          </w:p>
        </w:tc>
        <w:tc>
          <w:tcPr>
            <w:tcW w:w="1800" w:type="dxa"/>
            <w:shd w:val="clear" w:color="auto" w:fill="FFFFFF"/>
            <w:vAlign w:val="bottom"/>
            <w:hideMark/>
          </w:tcPr>
          <w:p w:rsidR="00907B67" w:rsidRPr="00907B67" w:rsidRDefault="00907B67">
            <w:pPr>
              <w:spacing w:after="0" w:line="240" w:lineRule="auto"/>
              <w:jc w:val="right"/>
              <w:rPr>
                <w:rFonts w:eastAsia="Times New Roman" w:cs="Arial"/>
                <w:color w:val="000000"/>
                <w:sz w:val="20"/>
                <w:szCs w:val="20"/>
                <w:lang w:eastAsia="es-MX"/>
              </w:rPr>
            </w:pPr>
            <w:r w:rsidRPr="00907B67">
              <w:rPr>
                <w:rFonts w:eastAsia="Times New Roman" w:cs="Arial"/>
                <w:color w:val="000000"/>
                <w:sz w:val="20"/>
                <w:szCs w:val="20"/>
                <w:lang w:eastAsia="es-MX"/>
              </w:rPr>
              <w:t>$764,053.12</w:t>
            </w:r>
          </w:p>
        </w:tc>
      </w:tr>
      <w:tr w:rsidR="00907B67" w:rsidRPr="00907B67" w:rsidTr="00907B67">
        <w:trPr>
          <w:trHeight w:val="300"/>
          <w:jc w:val="center"/>
        </w:trPr>
        <w:tc>
          <w:tcPr>
            <w:tcW w:w="1200" w:type="dxa"/>
            <w:shd w:val="clear" w:color="auto" w:fill="FFFFFF"/>
            <w:vAlign w:val="bottom"/>
            <w:hideMark/>
          </w:tcPr>
          <w:p w:rsidR="00907B67" w:rsidRPr="00907B67" w:rsidRDefault="00907B67">
            <w:pPr>
              <w:spacing w:after="0" w:line="240" w:lineRule="auto"/>
              <w:rPr>
                <w:rFonts w:eastAsia="Times New Roman" w:cs="Arial"/>
                <w:color w:val="000000"/>
                <w:sz w:val="20"/>
                <w:szCs w:val="20"/>
                <w:lang w:eastAsia="es-MX"/>
              </w:rPr>
            </w:pPr>
            <w:r w:rsidRPr="00907B67">
              <w:rPr>
                <w:rFonts w:eastAsia="Times New Roman" w:cs="Arial"/>
                <w:color w:val="000000"/>
                <w:sz w:val="20"/>
                <w:szCs w:val="20"/>
                <w:lang w:eastAsia="es-MX"/>
              </w:rPr>
              <w:t>A</w:t>
            </w:r>
          </w:p>
        </w:tc>
        <w:tc>
          <w:tcPr>
            <w:tcW w:w="1200" w:type="dxa"/>
            <w:shd w:val="clear" w:color="auto" w:fill="FFFFFF"/>
            <w:vAlign w:val="bottom"/>
            <w:hideMark/>
          </w:tcPr>
          <w:p w:rsidR="00907B67" w:rsidRPr="00907B67" w:rsidRDefault="00907B67">
            <w:pPr>
              <w:spacing w:after="0" w:line="240" w:lineRule="auto"/>
              <w:rPr>
                <w:rFonts w:eastAsia="Times New Roman" w:cs="Arial"/>
                <w:b/>
                <w:bCs/>
                <w:color w:val="000000"/>
                <w:sz w:val="20"/>
                <w:szCs w:val="20"/>
                <w:lang w:eastAsia="es-MX"/>
              </w:rPr>
            </w:pPr>
            <w:r w:rsidRPr="00907B67">
              <w:rPr>
                <w:rFonts w:eastAsia="Times New Roman" w:cs="Arial"/>
                <w:b/>
                <w:bCs/>
                <w:color w:val="000000"/>
                <w:sz w:val="20"/>
                <w:szCs w:val="20"/>
                <w:lang w:eastAsia="es-MX"/>
              </w:rPr>
              <w:t>7720</w:t>
            </w:r>
          </w:p>
        </w:tc>
        <w:tc>
          <w:tcPr>
            <w:tcW w:w="6000" w:type="dxa"/>
            <w:shd w:val="clear" w:color="auto" w:fill="FFFFFF"/>
            <w:vAlign w:val="bottom"/>
            <w:hideMark/>
          </w:tcPr>
          <w:p w:rsidR="00907B67" w:rsidRPr="00907B67" w:rsidRDefault="00907B67">
            <w:pPr>
              <w:spacing w:after="0" w:line="240" w:lineRule="auto"/>
              <w:rPr>
                <w:rFonts w:eastAsia="Times New Roman" w:cs="Arial"/>
                <w:color w:val="000000"/>
                <w:sz w:val="20"/>
                <w:szCs w:val="20"/>
                <w:lang w:eastAsia="es-MX"/>
              </w:rPr>
            </w:pPr>
            <w:r w:rsidRPr="00907B67">
              <w:rPr>
                <w:rFonts w:eastAsia="Times New Roman" w:cs="Arial"/>
                <w:color w:val="000000"/>
                <w:sz w:val="20"/>
                <w:szCs w:val="20"/>
                <w:lang w:eastAsia="es-MX"/>
              </w:rPr>
              <w:t>OBLIGACIONES PROVISIONADAS</w:t>
            </w:r>
          </w:p>
        </w:tc>
        <w:tc>
          <w:tcPr>
            <w:tcW w:w="1800" w:type="dxa"/>
            <w:shd w:val="clear" w:color="auto" w:fill="FFFFFF"/>
            <w:vAlign w:val="bottom"/>
            <w:hideMark/>
          </w:tcPr>
          <w:p w:rsidR="00907B67" w:rsidRPr="00907B67" w:rsidRDefault="00907B67">
            <w:pPr>
              <w:spacing w:after="0" w:line="240" w:lineRule="auto"/>
              <w:jc w:val="right"/>
              <w:rPr>
                <w:rFonts w:eastAsia="Times New Roman" w:cs="Arial"/>
                <w:b/>
                <w:bCs/>
                <w:color w:val="000000"/>
                <w:sz w:val="20"/>
                <w:szCs w:val="20"/>
                <w:lang w:eastAsia="es-MX"/>
              </w:rPr>
            </w:pPr>
            <w:r w:rsidRPr="00907B67">
              <w:rPr>
                <w:rFonts w:eastAsia="Times New Roman" w:cs="Arial"/>
                <w:b/>
                <w:bCs/>
                <w:color w:val="000000"/>
                <w:sz w:val="20"/>
                <w:szCs w:val="20"/>
                <w:lang w:eastAsia="es-MX"/>
              </w:rPr>
              <w:t>$1,907,865.41</w:t>
            </w:r>
          </w:p>
        </w:tc>
      </w:tr>
      <w:tr w:rsidR="00907B67" w:rsidRPr="00907B67" w:rsidTr="00907B67">
        <w:trPr>
          <w:trHeight w:val="285"/>
          <w:jc w:val="center"/>
        </w:trPr>
        <w:tc>
          <w:tcPr>
            <w:tcW w:w="1200" w:type="dxa"/>
            <w:shd w:val="clear" w:color="auto" w:fill="FFFFFF"/>
            <w:vAlign w:val="bottom"/>
            <w:hideMark/>
          </w:tcPr>
          <w:p w:rsidR="00907B67" w:rsidRPr="00907B67" w:rsidRDefault="00907B67">
            <w:pPr>
              <w:spacing w:after="0" w:line="240" w:lineRule="auto"/>
              <w:rPr>
                <w:rFonts w:eastAsia="Times New Roman" w:cs="Arial"/>
                <w:color w:val="000000"/>
                <w:sz w:val="20"/>
                <w:szCs w:val="20"/>
                <w:lang w:eastAsia="es-MX"/>
              </w:rPr>
            </w:pPr>
            <w:r w:rsidRPr="00907B67">
              <w:rPr>
                <w:rFonts w:eastAsia="Times New Roman" w:cs="Arial"/>
                <w:color w:val="000000"/>
                <w:sz w:val="20"/>
                <w:szCs w:val="20"/>
                <w:lang w:eastAsia="es-MX"/>
              </w:rPr>
              <w:t>A</w:t>
            </w:r>
          </w:p>
        </w:tc>
        <w:tc>
          <w:tcPr>
            <w:tcW w:w="1200" w:type="dxa"/>
            <w:shd w:val="clear" w:color="auto" w:fill="FFFFFF"/>
            <w:vAlign w:val="bottom"/>
            <w:hideMark/>
          </w:tcPr>
          <w:p w:rsidR="00907B67" w:rsidRPr="00907B67" w:rsidRDefault="00907B67">
            <w:pPr>
              <w:spacing w:after="0" w:line="240" w:lineRule="auto"/>
              <w:rPr>
                <w:rFonts w:eastAsia="Times New Roman" w:cs="Arial"/>
                <w:color w:val="000000"/>
                <w:sz w:val="20"/>
                <w:szCs w:val="20"/>
                <w:lang w:eastAsia="es-MX"/>
              </w:rPr>
            </w:pPr>
            <w:r w:rsidRPr="00907B67">
              <w:rPr>
                <w:rFonts w:eastAsia="Times New Roman" w:cs="Arial"/>
                <w:color w:val="000000"/>
                <w:sz w:val="20"/>
                <w:szCs w:val="20"/>
                <w:lang w:eastAsia="es-MX"/>
              </w:rPr>
              <w:t>7720-001</w:t>
            </w:r>
          </w:p>
        </w:tc>
        <w:tc>
          <w:tcPr>
            <w:tcW w:w="6000" w:type="dxa"/>
            <w:shd w:val="clear" w:color="auto" w:fill="FFFFFF"/>
            <w:vAlign w:val="bottom"/>
            <w:hideMark/>
          </w:tcPr>
          <w:p w:rsidR="00907B67" w:rsidRPr="00907B67" w:rsidRDefault="00907B67">
            <w:pPr>
              <w:spacing w:after="0" w:line="240" w:lineRule="auto"/>
              <w:rPr>
                <w:rFonts w:eastAsia="Times New Roman" w:cs="Arial"/>
                <w:color w:val="000000"/>
                <w:sz w:val="20"/>
                <w:szCs w:val="20"/>
                <w:lang w:eastAsia="es-MX"/>
              </w:rPr>
            </w:pPr>
            <w:r w:rsidRPr="00907B67">
              <w:rPr>
                <w:rFonts w:eastAsia="Times New Roman" w:cs="Arial"/>
                <w:color w:val="000000"/>
                <w:sz w:val="20"/>
                <w:szCs w:val="20"/>
                <w:lang w:eastAsia="es-MX"/>
              </w:rPr>
              <w:t>Cuota Patronal Isstey 2016</w:t>
            </w:r>
          </w:p>
        </w:tc>
        <w:tc>
          <w:tcPr>
            <w:tcW w:w="1800" w:type="dxa"/>
            <w:shd w:val="clear" w:color="auto" w:fill="FFFFFF"/>
            <w:vAlign w:val="bottom"/>
            <w:hideMark/>
          </w:tcPr>
          <w:p w:rsidR="00907B67" w:rsidRPr="00907B67" w:rsidRDefault="00907B67">
            <w:pPr>
              <w:spacing w:after="0" w:line="240" w:lineRule="auto"/>
              <w:jc w:val="right"/>
              <w:rPr>
                <w:rFonts w:eastAsia="Times New Roman" w:cs="Arial"/>
                <w:color w:val="000000"/>
                <w:sz w:val="20"/>
                <w:szCs w:val="20"/>
                <w:lang w:eastAsia="es-MX"/>
              </w:rPr>
            </w:pPr>
            <w:r w:rsidRPr="00907B67">
              <w:rPr>
                <w:rFonts w:eastAsia="Times New Roman" w:cs="Arial"/>
                <w:color w:val="000000"/>
                <w:sz w:val="20"/>
                <w:szCs w:val="20"/>
                <w:lang w:eastAsia="es-MX"/>
              </w:rPr>
              <w:t>$999,357.17</w:t>
            </w:r>
          </w:p>
        </w:tc>
      </w:tr>
      <w:tr w:rsidR="00907B67" w:rsidRPr="00907B67" w:rsidTr="00907B67">
        <w:trPr>
          <w:trHeight w:val="285"/>
          <w:jc w:val="center"/>
        </w:trPr>
        <w:tc>
          <w:tcPr>
            <w:tcW w:w="1200" w:type="dxa"/>
            <w:shd w:val="clear" w:color="auto" w:fill="FFFFFF"/>
            <w:vAlign w:val="bottom"/>
            <w:hideMark/>
          </w:tcPr>
          <w:p w:rsidR="00907B67" w:rsidRPr="00907B67" w:rsidRDefault="00907B67">
            <w:pPr>
              <w:spacing w:after="0" w:line="240" w:lineRule="auto"/>
              <w:rPr>
                <w:rFonts w:eastAsia="Times New Roman" w:cs="Arial"/>
                <w:color w:val="000000"/>
                <w:sz w:val="20"/>
                <w:szCs w:val="20"/>
                <w:lang w:eastAsia="es-MX"/>
              </w:rPr>
            </w:pPr>
            <w:r w:rsidRPr="00907B67">
              <w:rPr>
                <w:rFonts w:eastAsia="Times New Roman" w:cs="Arial"/>
                <w:color w:val="000000"/>
                <w:sz w:val="20"/>
                <w:szCs w:val="20"/>
                <w:lang w:eastAsia="es-MX"/>
              </w:rPr>
              <w:t>A</w:t>
            </w:r>
          </w:p>
        </w:tc>
        <w:tc>
          <w:tcPr>
            <w:tcW w:w="1200" w:type="dxa"/>
            <w:shd w:val="clear" w:color="auto" w:fill="FFFFFF"/>
            <w:vAlign w:val="bottom"/>
            <w:hideMark/>
          </w:tcPr>
          <w:p w:rsidR="00907B67" w:rsidRPr="00907B67" w:rsidRDefault="00907B67">
            <w:pPr>
              <w:spacing w:after="0" w:line="240" w:lineRule="auto"/>
              <w:rPr>
                <w:rFonts w:eastAsia="Times New Roman" w:cs="Arial"/>
                <w:color w:val="000000"/>
                <w:sz w:val="20"/>
                <w:szCs w:val="20"/>
                <w:lang w:eastAsia="es-MX"/>
              </w:rPr>
            </w:pPr>
            <w:r w:rsidRPr="00907B67">
              <w:rPr>
                <w:rFonts w:eastAsia="Times New Roman" w:cs="Arial"/>
                <w:color w:val="000000"/>
                <w:sz w:val="20"/>
                <w:szCs w:val="20"/>
                <w:lang w:eastAsia="es-MX"/>
              </w:rPr>
              <w:t>7720-002</w:t>
            </w:r>
          </w:p>
        </w:tc>
        <w:tc>
          <w:tcPr>
            <w:tcW w:w="6000" w:type="dxa"/>
            <w:shd w:val="clear" w:color="auto" w:fill="FFFFFF"/>
            <w:vAlign w:val="bottom"/>
            <w:hideMark/>
          </w:tcPr>
          <w:p w:rsidR="00907B67" w:rsidRPr="00907B67" w:rsidRDefault="00907B67">
            <w:pPr>
              <w:spacing w:after="0" w:line="240" w:lineRule="auto"/>
              <w:rPr>
                <w:rFonts w:eastAsia="Times New Roman" w:cs="Arial"/>
                <w:color w:val="000000"/>
                <w:sz w:val="20"/>
                <w:szCs w:val="20"/>
                <w:lang w:eastAsia="es-MX"/>
              </w:rPr>
            </w:pPr>
            <w:r w:rsidRPr="00907B67">
              <w:rPr>
                <w:rFonts w:eastAsia="Times New Roman" w:cs="Arial"/>
                <w:color w:val="000000"/>
                <w:sz w:val="20"/>
                <w:szCs w:val="20"/>
                <w:lang w:eastAsia="es-MX"/>
              </w:rPr>
              <w:t>Cuota Patronal Isstey 2017</w:t>
            </w:r>
          </w:p>
        </w:tc>
        <w:tc>
          <w:tcPr>
            <w:tcW w:w="1800" w:type="dxa"/>
            <w:shd w:val="clear" w:color="auto" w:fill="FFFFFF"/>
            <w:vAlign w:val="bottom"/>
            <w:hideMark/>
          </w:tcPr>
          <w:p w:rsidR="00907B67" w:rsidRPr="00907B67" w:rsidRDefault="00907B67">
            <w:pPr>
              <w:spacing w:after="0" w:line="240" w:lineRule="auto"/>
              <w:jc w:val="right"/>
              <w:rPr>
                <w:rFonts w:eastAsia="Times New Roman" w:cs="Arial"/>
                <w:color w:val="000000"/>
                <w:sz w:val="20"/>
                <w:szCs w:val="20"/>
                <w:lang w:eastAsia="es-MX"/>
              </w:rPr>
            </w:pPr>
            <w:r w:rsidRPr="00907B67">
              <w:rPr>
                <w:rFonts w:eastAsia="Times New Roman" w:cs="Arial"/>
                <w:color w:val="000000"/>
                <w:sz w:val="20"/>
                <w:szCs w:val="20"/>
                <w:lang w:eastAsia="es-MX"/>
              </w:rPr>
              <w:t>$144,455.12</w:t>
            </w:r>
          </w:p>
        </w:tc>
      </w:tr>
      <w:tr w:rsidR="00907B67" w:rsidRPr="00907B67" w:rsidTr="00907B67">
        <w:trPr>
          <w:trHeight w:val="285"/>
          <w:jc w:val="center"/>
        </w:trPr>
        <w:tc>
          <w:tcPr>
            <w:tcW w:w="1200" w:type="dxa"/>
            <w:shd w:val="clear" w:color="auto" w:fill="FFFFFF"/>
            <w:vAlign w:val="bottom"/>
            <w:hideMark/>
          </w:tcPr>
          <w:p w:rsidR="00907B67" w:rsidRPr="00907B67" w:rsidRDefault="00907B67">
            <w:pPr>
              <w:spacing w:after="0" w:line="240" w:lineRule="auto"/>
              <w:rPr>
                <w:rFonts w:eastAsia="Times New Roman" w:cs="Arial"/>
                <w:color w:val="000000"/>
                <w:sz w:val="20"/>
                <w:szCs w:val="20"/>
                <w:lang w:eastAsia="es-MX"/>
              </w:rPr>
            </w:pPr>
            <w:r w:rsidRPr="00907B67">
              <w:rPr>
                <w:rFonts w:eastAsia="Times New Roman" w:cs="Arial"/>
                <w:color w:val="000000"/>
                <w:sz w:val="20"/>
                <w:szCs w:val="20"/>
                <w:lang w:eastAsia="es-MX"/>
              </w:rPr>
              <w:t>A</w:t>
            </w:r>
          </w:p>
        </w:tc>
        <w:tc>
          <w:tcPr>
            <w:tcW w:w="1200" w:type="dxa"/>
            <w:shd w:val="clear" w:color="auto" w:fill="FFFFFF"/>
            <w:vAlign w:val="bottom"/>
            <w:hideMark/>
          </w:tcPr>
          <w:p w:rsidR="00907B67" w:rsidRPr="00907B67" w:rsidRDefault="00907B67">
            <w:pPr>
              <w:spacing w:after="0" w:line="240" w:lineRule="auto"/>
              <w:rPr>
                <w:rFonts w:eastAsia="Times New Roman" w:cs="Arial"/>
                <w:color w:val="000000"/>
                <w:sz w:val="20"/>
                <w:szCs w:val="20"/>
                <w:lang w:eastAsia="es-MX"/>
              </w:rPr>
            </w:pPr>
            <w:r w:rsidRPr="00907B67">
              <w:rPr>
                <w:rFonts w:eastAsia="Times New Roman" w:cs="Arial"/>
                <w:color w:val="000000"/>
                <w:sz w:val="20"/>
                <w:szCs w:val="20"/>
                <w:lang w:eastAsia="es-MX"/>
              </w:rPr>
              <w:t>7720-003</w:t>
            </w:r>
          </w:p>
        </w:tc>
        <w:tc>
          <w:tcPr>
            <w:tcW w:w="6000" w:type="dxa"/>
            <w:shd w:val="clear" w:color="auto" w:fill="FFFFFF"/>
            <w:vAlign w:val="bottom"/>
            <w:hideMark/>
          </w:tcPr>
          <w:p w:rsidR="00907B67" w:rsidRPr="00907B67" w:rsidRDefault="00907B67">
            <w:pPr>
              <w:spacing w:after="0" w:line="240" w:lineRule="auto"/>
              <w:rPr>
                <w:rFonts w:eastAsia="Times New Roman" w:cs="Arial"/>
                <w:color w:val="000000"/>
                <w:sz w:val="20"/>
                <w:szCs w:val="20"/>
                <w:lang w:eastAsia="es-MX"/>
              </w:rPr>
            </w:pPr>
            <w:r w:rsidRPr="00907B67">
              <w:rPr>
                <w:rFonts w:eastAsia="Times New Roman" w:cs="Arial"/>
                <w:color w:val="000000"/>
                <w:sz w:val="20"/>
                <w:szCs w:val="20"/>
                <w:lang w:eastAsia="es-MX"/>
              </w:rPr>
              <w:t>Cuota Patronal Isstey 2015</w:t>
            </w:r>
          </w:p>
        </w:tc>
        <w:tc>
          <w:tcPr>
            <w:tcW w:w="1800" w:type="dxa"/>
            <w:shd w:val="clear" w:color="auto" w:fill="FFFFFF"/>
            <w:vAlign w:val="bottom"/>
            <w:hideMark/>
          </w:tcPr>
          <w:p w:rsidR="00907B67" w:rsidRPr="00907B67" w:rsidRDefault="00907B67">
            <w:pPr>
              <w:spacing w:after="0" w:line="240" w:lineRule="auto"/>
              <w:jc w:val="right"/>
              <w:rPr>
                <w:rFonts w:eastAsia="Times New Roman" w:cs="Arial"/>
                <w:color w:val="000000"/>
                <w:sz w:val="20"/>
                <w:szCs w:val="20"/>
                <w:lang w:eastAsia="es-MX"/>
              </w:rPr>
            </w:pPr>
            <w:r w:rsidRPr="00907B67">
              <w:rPr>
                <w:rFonts w:eastAsia="Times New Roman" w:cs="Arial"/>
                <w:color w:val="000000"/>
                <w:sz w:val="20"/>
                <w:szCs w:val="20"/>
                <w:lang w:eastAsia="es-MX"/>
              </w:rPr>
              <w:t>$764,053.12</w:t>
            </w:r>
          </w:p>
        </w:tc>
      </w:tr>
    </w:tbl>
    <w:p w:rsidR="00907B67" w:rsidRPr="00907B67" w:rsidRDefault="00907B67" w:rsidP="00907B67">
      <w:pPr>
        <w:spacing w:line="240" w:lineRule="auto"/>
        <w:rPr>
          <w:rFonts w:cs="Arial"/>
          <w:sz w:val="20"/>
          <w:szCs w:val="20"/>
        </w:rPr>
      </w:pPr>
    </w:p>
    <w:p w:rsidR="00907B67" w:rsidRPr="00907B67" w:rsidRDefault="00907B67" w:rsidP="00907B67">
      <w:pPr>
        <w:spacing w:line="240" w:lineRule="auto"/>
        <w:rPr>
          <w:rFonts w:cs="Arial"/>
          <w:b/>
          <w:sz w:val="20"/>
          <w:szCs w:val="20"/>
        </w:rPr>
      </w:pPr>
      <w:r w:rsidRPr="00907B67">
        <w:rPr>
          <w:rFonts w:cs="Arial"/>
          <w:b/>
          <w:sz w:val="20"/>
          <w:szCs w:val="20"/>
        </w:rPr>
        <w:t xml:space="preserve">2.-Cuentas de Orden Presupuestal. </w:t>
      </w:r>
    </w:p>
    <w:p w:rsidR="00907B67" w:rsidRDefault="00907B67" w:rsidP="00907B67">
      <w:pPr>
        <w:spacing w:line="240" w:lineRule="auto"/>
        <w:rPr>
          <w:rFonts w:cs="Arial"/>
          <w:sz w:val="20"/>
          <w:szCs w:val="20"/>
        </w:rPr>
      </w:pPr>
      <w:r w:rsidRPr="00907B67">
        <w:rPr>
          <w:rFonts w:cs="Arial"/>
          <w:sz w:val="20"/>
          <w:szCs w:val="20"/>
        </w:rPr>
        <w:t>Se presenta a manera concentrada los registros acumulados al corte del mes en cada una de las cuentas presupuestales:</w:t>
      </w:r>
    </w:p>
    <w:p w:rsidR="00907B67" w:rsidRDefault="00907B67" w:rsidP="00907B67">
      <w:pPr>
        <w:spacing w:line="240" w:lineRule="auto"/>
        <w:rPr>
          <w:rFonts w:cs="Arial"/>
          <w:sz w:val="20"/>
          <w:szCs w:val="20"/>
        </w:rPr>
      </w:pPr>
    </w:p>
    <w:p w:rsidR="00907B67" w:rsidRPr="00907B67" w:rsidRDefault="00907B67" w:rsidP="00907B67">
      <w:pPr>
        <w:spacing w:line="240" w:lineRule="auto"/>
        <w:rPr>
          <w:rFonts w:cs="Arial"/>
          <w:sz w:val="20"/>
          <w:szCs w:val="20"/>
        </w:rPr>
      </w:pPr>
    </w:p>
    <w:tbl>
      <w:tblPr>
        <w:tblW w:w="6696" w:type="dxa"/>
        <w:jc w:val="center"/>
        <w:tblInd w:w="1139" w:type="dxa"/>
        <w:tblCellMar>
          <w:left w:w="70" w:type="dxa"/>
          <w:right w:w="70" w:type="dxa"/>
        </w:tblCellMar>
        <w:tblLook w:val="04A0" w:firstRow="1" w:lastRow="0" w:firstColumn="1" w:lastColumn="0" w:noHBand="0" w:noVBand="1"/>
      </w:tblPr>
      <w:tblGrid>
        <w:gridCol w:w="483"/>
        <w:gridCol w:w="720"/>
        <w:gridCol w:w="3132"/>
        <w:gridCol w:w="1205"/>
        <w:gridCol w:w="1156"/>
      </w:tblGrid>
      <w:tr w:rsidR="00907B67" w:rsidRPr="00907B67" w:rsidTr="00907B67">
        <w:trPr>
          <w:trHeight w:val="210"/>
          <w:jc w:val="center"/>
        </w:trPr>
        <w:tc>
          <w:tcPr>
            <w:tcW w:w="483" w:type="dxa"/>
            <w:shd w:val="clear" w:color="auto" w:fill="FFFFFF"/>
            <w:hideMark/>
          </w:tcPr>
          <w:p w:rsidR="00907B67" w:rsidRPr="00907B67" w:rsidRDefault="00907B67">
            <w:pPr>
              <w:spacing w:after="0" w:line="240" w:lineRule="auto"/>
              <w:rPr>
                <w:rFonts w:eastAsia="Times New Roman" w:cs="Tahoma"/>
                <w:color w:val="000000"/>
                <w:sz w:val="20"/>
                <w:szCs w:val="20"/>
                <w:lang w:eastAsia="es-MX"/>
              </w:rPr>
            </w:pPr>
            <w:r w:rsidRPr="00907B67">
              <w:rPr>
                <w:rFonts w:eastAsia="Times New Roman" w:cs="Tahoma"/>
                <w:color w:val="000000"/>
                <w:sz w:val="20"/>
                <w:szCs w:val="20"/>
                <w:lang w:eastAsia="es-MX"/>
              </w:rPr>
              <w:lastRenderedPageBreak/>
              <w:t>Nat.</w:t>
            </w:r>
          </w:p>
        </w:tc>
        <w:tc>
          <w:tcPr>
            <w:tcW w:w="720" w:type="dxa"/>
            <w:shd w:val="clear" w:color="auto" w:fill="FFFFFF"/>
            <w:hideMark/>
          </w:tcPr>
          <w:p w:rsidR="00907B67" w:rsidRPr="00907B67" w:rsidRDefault="00907B67">
            <w:pPr>
              <w:spacing w:after="0" w:line="240" w:lineRule="auto"/>
              <w:rPr>
                <w:rFonts w:eastAsia="Times New Roman" w:cs="Tahoma"/>
                <w:color w:val="000000"/>
                <w:sz w:val="20"/>
                <w:szCs w:val="20"/>
                <w:lang w:eastAsia="es-MX"/>
              </w:rPr>
            </w:pPr>
            <w:r w:rsidRPr="00907B67">
              <w:rPr>
                <w:rFonts w:eastAsia="Times New Roman" w:cs="Tahoma"/>
                <w:color w:val="000000"/>
                <w:sz w:val="20"/>
                <w:szCs w:val="20"/>
                <w:lang w:eastAsia="es-MX"/>
              </w:rPr>
              <w:t>Cuenta</w:t>
            </w:r>
          </w:p>
        </w:tc>
        <w:tc>
          <w:tcPr>
            <w:tcW w:w="3132" w:type="dxa"/>
            <w:shd w:val="clear" w:color="auto" w:fill="FFFFFF"/>
            <w:hideMark/>
          </w:tcPr>
          <w:p w:rsidR="00907B67" w:rsidRPr="00907B67" w:rsidRDefault="00907B67">
            <w:pPr>
              <w:spacing w:after="0" w:line="240" w:lineRule="auto"/>
              <w:rPr>
                <w:rFonts w:eastAsia="Times New Roman" w:cs="Tahoma"/>
                <w:color w:val="000000"/>
                <w:sz w:val="20"/>
                <w:szCs w:val="20"/>
                <w:lang w:eastAsia="es-MX"/>
              </w:rPr>
            </w:pPr>
            <w:r w:rsidRPr="00907B67">
              <w:rPr>
                <w:rFonts w:eastAsia="Times New Roman" w:cs="Tahoma"/>
                <w:color w:val="000000"/>
                <w:sz w:val="20"/>
                <w:szCs w:val="20"/>
                <w:lang w:eastAsia="es-MX"/>
              </w:rPr>
              <w:t>Nombre de la cuenta</w:t>
            </w:r>
          </w:p>
        </w:tc>
        <w:tc>
          <w:tcPr>
            <w:tcW w:w="1205" w:type="dxa"/>
            <w:shd w:val="clear" w:color="auto" w:fill="FFFFFF"/>
            <w:hideMark/>
          </w:tcPr>
          <w:p w:rsidR="00907B67" w:rsidRPr="00907B67" w:rsidRDefault="00907B67">
            <w:pPr>
              <w:spacing w:after="0" w:line="240" w:lineRule="auto"/>
              <w:jc w:val="right"/>
              <w:rPr>
                <w:rFonts w:eastAsia="Times New Roman" w:cs="Tahoma"/>
                <w:color w:val="000000"/>
                <w:sz w:val="20"/>
                <w:szCs w:val="20"/>
                <w:lang w:eastAsia="es-MX"/>
              </w:rPr>
            </w:pPr>
            <w:r w:rsidRPr="00907B67">
              <w:rPr>
                <w:rFonts w:eastAsia="Times New Roman" w:cs="Tahoma"/>
                <w:color w:val="000000"/>
                <w:sz w:val="20"/>
                <w:szCs w:val="20"/>
                <w:lang w:eastAsia="es-MX"/>
              </w:rPr>
              <w:t>SALDOS</w:t>
            </w:r>
          </w:p>
        </w:tc>
        <w:tc>
          <w:tcPr>
            <w:tcW w:w="1156" w:type="dxa"/>
            <w:shd w:val="clear" w:color="auto" w:fill="FFFFFF"/>
            <w:hideMark/>
          </w:tcPr>
          <w:p w:rsidR="00907B67" w:rsidRPr="00907B67" w:rsidRDefault="00907B67">
            <w:pPr>
              <w:spacing w:after="0" w:line="240" w:lineRule="auto"/>
              <w:rPr>
                <w:sz w:val="20"/>
                <w:szCs w:val="20"/>
                <w:lang w:eastAsia="es-MX"/>
              </w:rPr>
            </w:pPr>
          </w:p>
        </w:tc>
      </w:tr>
      <w:tr w:rsidR="00907B67" w:rsidRPr="00907B67" w:rsidTr="00907B67">
        <w:trPr>
          <w:trHeight w:val="210"/>
          <w:jc w:val="center"/>
        </w:trPr>
        <w:tc>
          <w:tcPr>
            <w:tcW w:w="483" w:type="dxa"/>
            <w:shd w:val="clear" w:color="auto" w:fill="FFFFFF"/>
            <w:hideMark/>
          </w:tcPr>
          <w:p w:rsidR="00907B67" w:rsidRPr="00907B67" w:rsidRDefault="00907B67">
            <w:pPr>
              <w:spacing w:after="0" w:line="240" w:lineRule="auto"/>
              <w:rPr>
                <w:rFonts w:eastAsia="Times New Roman" w:cs="Tahoma"/>
                <w:color w:val="000000"/>
                <w:sz w:val="20"/>
                <w:szCs w:val="20"/>
                <w:lang w:eastAsia="es-MX"/>
              </w:rPr>
            </w:pPr>
            <w:r w:rsidRPr="00907B67">
              <w:rPr>
                <w:rFonts w:eastAsia="Times New Roman" w:cs="Tahoma"/>
                <w:color w:val="000000"/>
                <w:sz w:val="20"/>
                <w:szCs w:val="20"/>
                <w:lang w:eastAsia="es-MX"/>
              </w:rPr>
              <w:t>D</w:t>
            </w:r>
          </w:p>
        </w:tc>
        <w:tc>
          <w:tcPr>
            <w:tcW w:w="720" w:type="dxa"/>
            <w:shd w:val="clear" w:color="auto" w:fill="FFFFFF"/>
            <w:hideMark/>
          </w:tcPr>
          <w:p w:rsidR="00907B67" w:rsidRPr="00907B67" w:rsidRDefault="00907B67">
            <w:pPr>
              <w:spacing w:after="0" w:line="240" w:lineRule="auto"/>
              <w:rPr>
                <w:rFonts w:eastAsia="Times New Roman" w:cs="Tahoma"/>
                <w:color w:val="000000"/>
                <w:sz w:val="20"/>
                <w:szCs w:val="20"/>
                <w:lang w:eastAsia="es-MX"/>
              </w:rPr>
            </w:pPr>
            <w:r w:rsidRPr="00907B67">
              <w:rPr>
                <w:rFonts w:eastAsia="Times New Roman" w:cs="Tahoma"/>
                <w:color w:val="000000"/>
                <w:sz w:val="20"/>
                <w:szCs w:val="20"/>
                <w:lang w:eastAsia="es-MX"/>
              </w:rPr>
              <w:t>8000</w:t>
            </w:r>
          </w:p>
        </w:tc>
        <w:tc>
          <w:tcPr>
            <w:tcW w:w="3132" w:type="dxa"/>
            <w:shd w:val="clear" w:color="auto" w:fill="FFFFFF"/>
            <w:hideMark/>
          </w:tcPr>
          <w:p w:rsidR="00907B67" w:rsidRPr="00907B67" w:rsidRDefault="00907B67">
            <w:pPr>
              <w:spacing w:after="0" w:line="240" w:lineRule="auto"/>
              <w:rPr>
                <w:rFonts w:eastAsia="Times New Roman" w:cs="Tahoma"/>
                <w:color w:val="000000"/>
                <w:sz w:val="20"/>
                <w:szCs w:val="20"/>
                <w:lang w:eastAsia="es-MX"/>
              </w:rPr>
            </w:pPr>
            <w:r w:rsidRPr="00907B67">
              <w:rPr>
                <w:rFonts w:eastAsia="Times New Roman" w:cs="Tahoma"/>
                <w:color w:val="000000"/>
                <w:sz w:val="20"/>
                <w:szCs w:val="20"/>
                <w:lang w:eastAsia="es-MX"/>
              </w:rPr>
              <w:t>CUENTAS DE ORDEN PRESUPUESTARIAS</w:t>
            </w:r>
          </w:p>
        </w:tc>
        <w:tc>
          <w:tcPr>
            <w:tcW w:w="1205" w:type="dxa"/>
            <w:shd w:val="clear" w:color="auto" w:fill="FFFFFF"/>
            <w:hideMark/>
          </w:tcPr>
          <w:p w:rsidR="00907B67" w:rsidRPr="00907B67" w:rsidRDefault="00907B67">
            <w:pPr>
              <w:spacing w:after="0" w:line="240" w:lineRule="auto"/>
              <w:jc w:val="right"/>
              <w:rPr>
                <w:rFonts w:eastAsia="Times New Roman" w:cs="Tahoma"/>
                <w:color w:val="000000"/>
                <w:sz w:val="20"/>
                <w:szCs w:val="20"/>
                <w:lang w:eastAsia="es-MX"/>
              </w:rPr>
            </w:pPr>
            <w:r w:rsidRPr="00907B67">
              <w:rPr>
                <w:rFonts w:eastAsia="Times New Roman" w:cs="Tahoma"/>
                <w:color w:val="000000"/>
                <w:sz w:val="20"/>
                <w:szCs w:val="20"/>
                <w:lang w:eastAsia="es-MX"/>
              </w:rPr>
              <w:t>0.00</w:t>
            </w:r>
          </w:p>
        </w:tc>
        <w:tc>
          <w:tcPr>
            <w:tcW w:w="1156" w:type="dxa"/>
            <w:shd w:val="clear" w:color="auto" w:fill="FFFFFF"/>
            <w:hideMark/>
          </w:tcPr>
          <w:p w:rsidR="00907B67" w:rsidRPr="00907B67" w:rsidRDefault="00907B67">
            <w:pPr>
              <w:spacing w:after="0" w:line="240" w:lineRule="auto"/>
              <w:rPr>
                <w:sz w:val="20"/>
                <w:szCs w:val="20"/>
                <w:lang w:eastAsia="es-MX"/>
              </w:rPr>
            </w:pPr>
          </w:p>
        </w:tc>
      </w:tr>
      <w:tr w:rsidR="00907B67" w:rsidRPr="00907B67" w:rsidTr="00907B67">
        <w:trPr>
          <w:trHeight w:val="210"/>
          <w:jc w:val="center"/>
        </w:trPr>
        <w:tc>
          <w:tcPr>
            <w:tcW w:w="483" w:type="dxa"/>
            <w:shd w:val="clear" w:color="auto" w:fill="FFFFFF"/>
            <w:hideMark/>
          </w:tcPr>
          <w:p w:rsidR="00907B67" w:rsidRPr="00907B67" w:rsidRDefault="00907B67">
            <w:pPr>
              <w:spacing w:after="0" w:line="240" w:lineRule="auto"/>
              <w:rPr>
                <w:rFonts w:eastAsia="Times New Roman" w:cs="Tahoma"/>
                <w:color w:val="000000"/>
                <w:sz w:val="20"/>
                <w:szCs w:val="20"/>
                <w:lang w:eastAsia="es-MX"/>
              </w:rPr>
            </w:pPr>
            <w:r w:rsidRPr="00907B67">
              <w:rPr>
                <w:rFonts w:eastAsia="Times New Roman" w:cs="Tahoma"/>
                <w:color w:val="000000"/>
                <w:sz w:val="20"/>
                <w:szCs w:val="20"/>
                <w:lang w:eastAsia="es-MX"/>
              </w:rPr>
              <w:t>D</w:t>
            </w:r>
          </w:p>
        </w:tc>
        <w:tc>
          <w:tcPr>
            <w:tcW w:w="720" w:type="dxa"/>
            <w:shd w:val="clear" w:color="auto" w:fill="FFFFFF"/>
            <w:hideMark/>
          </w:tcPr>
          <w:p w:rsidR="00907B67" w:rsidRPr="00907B67" w:rsidRDefault="00907B67">
            <w:pPr>
              <w:spacing w:after="0" w:line="240" w:lineRule="auto"/>
              <w:rPr>
                <w:rFonts w:eastAsia="Times New Roman" w:cs="Tahoma"/>
                <w:color w:val="000000"/>
                <w:sz w:val="20"/>
                <w:szCs w:val="20"/>
                <w:lang w:eastAsia="es-MX"/>
              </w:rPr>
            </w:pPr>
            <w:r w:rsidRPr="00907B67">
              <w:rPr>
                <w:rFonts w:eastAsia="Times New Roman" w:cs="Tahoma"/>
                <w:color w:val="000000"/>
                <w:sz w:val="20"/>
                <w:szCs w:val="20"/>
                <w:lang w:eastAsia="es-MX"/>
              </w:rPr>
              <w:t>8100</w:t>
            </w:r>
          </w:p>
        </w:tc>
        <w:tc>
          <w:tcPr>
            <w:tcW w:w="3132" w:type="dxa"/>
            <w:shd w:val="clear" w:color="auto" w:fill="FFFFFF"/>
            <w:hideMark/>
          </w:tcPr>
          <w:p w:rsidR="00907B67" w:rsidRPr="00907B67" w:rsidRDefault="00907B67">
            <w:pPr>
              <w:spacing w:after="0" w:line="240" w:lineRule="auto"/>
              <w:rPr>
                <w:rFonts w:eastAsia="Times New Roman" w:cs="Tahoma"/>
                <w:color w:val="000000"/>
                <w:sz w:val="20"/>
                <w:szCs w:val="20"/>
                <w:lang w:eastAsia="es-MX"/>
              </w:rPr>
            </w:pPr>
            <w:r w:rsidRPr="00907B67">
              <w:rPr>
                <w:rFonts w:eastAsia="Times New Roman" w:cs="Tahoma"/>
                <w:color w:val="000000"/>
                <w:sz w:val="20"/>
                <w:szCs w:val="20"/>
                <w:lang w:eastAsia="es-MX"/>
              </w:rPr>
              <w:t>LEY DE INGRESOS</w:t>
            </w:r>
          </w:p>
        </w:tc>
        <w:tc>
          <w:tcPr>
            <w:tcW w:w="1205" w:type="dxa"/>
            <w:shd w:val="clear" w:color="auto" w:fill="FFFFFF"/>
            <w:hideMark/>
          </w:tcPr>
          <w:p w:rsidR="00907B67" w:rsidRPr="00907B67" w:rsidRDefault="00907B67">
            <w:pPr>
              <w:spacing w:after="0" w:line="240" w:lineRule="auto"/>
              <w:jc w:val="right"/>
              <w:rPr>
                <w:rFonts w:eastAsia="Times New Roman" w:cs="Tahoma"/>
                <w:color w:val="000000"/>
                <w:sz w:val="20"/>
                <w:szCs w:val="20"/>
                <w:lang w:eastAsia="es-MX"/>
              </w:rPr>
            </w:pPr>
            <w:r w:rsidRPr="00907B67">
              <w:rPr>
                <w:rFonts w:eastAsia="Times New Roman" w:cs="Tahoma"/>
                <w:color w:val="000000"/>
                <w:sz w:val="20"/>
                <w:szCs w:val="20"/>
                <w:lang w:eastAsia="es-MX"/>
              </w:rPr>
              <w:t>0.00</w:t>
            </w:r>
          </w:p>
        </w:tc>
        <w:tc>
          <w:tcPr>
            <w:tcW w:w="1156" w:type="dxa"/>
            <w:shd w:val="clear" w:color="auto" w:fill="FFFFFF"/>
            <w:hideMark/>
          </w:tcPr>
          <w:p w:rsidR="00907B67" w:rsidRPr="00907B67" w:rsidRDefault="00907B67">
            <w:pPr>
              <w:spacing w:after="0" w:line="240" w:lineRule="auto"/>
              <w:rPr>
                <w:sz w:val="20"/>
                <w:szCs w:val="20"/>
                <w:lang w:eastAsia="es-MX"/>
              </w:rPr>
            </w:pPr>
          </w:p>
        </w:tc>
      </w:tr>
      <w:tr w:rsidR="00907B67" w:rsidRPr="00907B67" w:rsidTr="00907B67">
        <w:trPr>
          <w:trHeight w:val="210"/>
          <w:jc w:val="center"/>
        </w:trPr>
        <w:tc>
          <w:tcPr>
            <w:tcW w:w="483" w:type="dxa"/>
            <w:shd w:val="clear" w:color="auto" w:fill="FFFFFF"/>
            <w:hideMark/>
          </w:tcPr>
          <w:p w:rsidR="00907B67" w:rsidRPr="00907B67" w:rsidRDefault="00907B67">
            <w:pPr>
              <w:spacing w:after="0" w:line="240" w:lineRule="auto"/>
              <w:rPr>
                <w:rFonts w:eastAsia="Times New Roman" w:cs="Tahoma"/>
                <w:color w:val="000000"/>
                <w:sz w:val="20"/>
                <w:szCs w:val="20"/>
                <w:lang w:eastAsia="es-MX"/>
              </w:rPr>
            </w:pPr>
            <w:r w:rsidRPr="00907B67">
              <w:rPr>
                <w:rFonts w:eastAsia="Times New Roman" w:cs="Tahoma"/>
                <w:color w:val="000000"/>
                <w:sz w:val="20"/>
                <w:szCs w:val="20"/>
                <w:lang w:eastAsia="es-MX"/>
              </w:rPr>
              <w:t>D</w:t>
            </w:r>
          </w:p>
        </w:tc>
        <w:tc>
          <w:tcPr>
            <w:tcW w:w="720" w:type="dxa"/>
            <w:shd w:val="clear" w:color="auto" w:fill="FFFFFF"/>
            <w:hideMark/>
          </w:tcPr>
          <w:p w:rsidR="00907B67" w:rsidRPr="00907B67" w:rsidRDefault="00907B67">
            <w:pPr>
              <w:spacing w:after="0" w:line="240" w:lineRule="auto"/>
              <w:rPr>
                <w:rFonts w:eastAsia="Times New Roman" w:cs="Tahoma"/>
                <w:color w:val="000000"/>
                <w:sz w:val="20"/>
                <w:szCs w:val="20"/>
                <w:lang w:eastAsia="es-MX"/>
              </w:rPr>
            </w:pPr>
            <w:r w:rsidRPr="00907B67">
              <w:rPr>
                <w:rFonts w:eastAsia="Times New Roman" w:cs="Tahoma"/>
                <w:color w:val="000000"/>
                <w:sz w:val="20"/>
                <w:szCs w:val="20"/>
                <w:lang w:eastAsia="es-MX"/>
              </w:rPr>
              <w:t>8110</w:t>
            </w:r>
          </w:p>
        </w:tc>
        <w:tc>
          <w:tcPr>
            <w:tcW w:w="3132" w:type="dxa"/>
            <w:shd w:val="clear" w:color="auto" w:fill="FFFFFF"/>
            <w:hideMark/>
          </w:tcPr>
          <w:p w:rsidR="00907B67" w:rsidRPr="00907B67" w:rsidRDefault="00907B67">
            <w:pPr>
              <w:spacing w:after="0" w:line="240" w:lineRule="auto"/>
              <w:rPr>
                <w:rFonts w:eastAsia="Times New Roman" w:cs="Tahoma"/>
                <w:color w:val="000000"/>
                <w:sz w:val="20"/>
                <w:szCs w:val="20"/>
                <w:lang w:eastAsia="es-MX"/>
              </w:rPr>
            </w:pPr>
            <w:r w:rsidRPr="00907B67">
              <w:rPr>
                <w:rFonts w:eastAsia="Times New Roman" w:cs="Tahoma"/>
                <w:color w:val="000000"/>
                <w:sz w:val="20"/>
                <w:szCs w:val="20"/>
                <w:lang w:eastAsia="es-MX"/>
              </w:rPr>
              <w:t>LEY DE INGRESOS ESTIMADA</w:t>
            </w:r>
          </w:p>
        </w:tc>
        <w:tc>
          <w:tcPr>
            <w:tcW w:w="1205" w:type="dxa"/>
            <w:shd w:val="clear" w:color="auto" w:fill="FFFFFF"/>
            <w:hideMark/>
          </w:tcPr>
          <w:p w:rsidR="00907B67" w:rsidRPr="00907B67" w:rsidRDefault="00907B67">
            <w:pPr>
              <w:spacing w:after="0" w:line="240" w:lineRule="auto"/>
              <w:jc w:val="right"/>
              <w:rPr>
                <w:rFonts w:eastAsia="Times New Roman" w:cs="Tahoma"/>
                <w:color w:val="000000"/>
                <w:sz w:val="20"/>
                <w:szCs w:val="20"/>
                <w:lang w:eastAsia="es-MX"/>
              </w:rPr>
            </w:pPr>
            <w:r w:rsidRPr="00907B67">
              <w:rPr>
                <w:rFonts w:eastAsia="Times New Roman" w:cs="Tahoma"/>
                <w:color w:val="000000"/>
                <w:sz w:val="20"/>
                <w:szCs w:val="20"/>
                <w:lang w:eastAsia="es-MX"/>
              </w:rPr>
              <w:t>18530838.00</w:t>
            </w:r>
          </w:p>
        </w:tc>
        <w:tc>
          <w:tcPr>
            <w:tcW w:w="1156" w:type="dxa"/>
            <w:shd w:val="clear" w:color="auto" w:fill="FFFFFF"/>
            <w:hideMark/>
          </w:tcPr>
          <w:p w:rsidR="00907B67" w:rsidRPr="00907B67" w:rsidRDefault="00907B67">
            <w:pPr>
              <w:spacing w:after="0" w:line="240" w:lineRule="auto"/>
              <w:rPr>
                <w:sz w:val="20"/>
                <w:szCs w:val="20"/>
                <w:lang w:eastAsia="es-MX"/>
              </w:rPr>
            </w:pPr>
          </w:p>
        </w:tc>
      </w:tr>
      <w:tr w:rsidR="00907B67" w:rsidRPr="00907B67" w:rsidTr="00907B67">
        <w:trPr>
          <w:trHeight w:val="210"/>
          <w:jc w:val="center"/>
        </w:trPr>
        <w:tc>
          <w:tcPr>
            <w:tcW w:w="483" w:type="dxa"/>
            <w:shd w:val="clear" w:color="auto" w:fill="FFFFFF"/>
            <w:hideMark/>
          </w:tcPr>
          <w:p w:rsidR="00907B67" w:rsidRPr="00907B67" w:rsidRDefault="00907B67">
            <w:pPr>
              <w:spacing w:after="0" w:line="240" w:lineRule="auto"/>
              <w:rPr>
                <w:rFonts w:eastAsia="Times New Roman" w:cs="Tahoma"/>
                <w:color w:val="000000"/>
                <w:sz w:val="20"/>
                <w:szCs w:val="20"/>
                <w:lang w:eastAsia="es-MX"/>
              </w:rPr>
            </w:pPr>
            <w:r w:rsidRPr="00907B67">
              <w:rPr>
                <w:rFonts w:eastAsia="Times New Roman" w:cs="Tahoma"/>
                <w:color w:val="000000"/>
                <w:sz w:val="20"/>
                <w:szCs w:val="20"/>
                <w:lang w:eastAsia="es-MX"/>
              </w:rPr>
              <w:t>A</w:t>
            </w:r>
          </w:p>
        </w:tc>
        <w:tc>
          <w:tcPr>
            <w:tcW w:w="720" w:type="dxa"/>
            <w:shd w:val="clear" w:color="auto" w:fill="FFFFFF"/>
            <w:hideMark/>
          </w:tcPr>
          <w:p w:rsidR="00907B67" w:rsidRPr="00907B67" w:rsidRDefault="00907B67">
            <w:pPr>
              <w:spacing w:after="0" w:line="240" w:lineRule="auto"/>
              <w:rPr>
                <w:rFonts w:eastAsia="Times New Roman" w:cs="Tahoma"/>
                <w:color w:val="000000"/>
                <w:sz w:val="20"/>
                <w:szCs w:val="20"/>
                <w:lang w:eastAsia="es-MX"/>
              </w:rPr>
            </w:pPr>
            <w:r w:rsidRPr="00907B67">
              <w:rPr>
                <w:rFonts w:eastAsia="Times New Roman" w:cs="Tahoma"/>
                <w:color w:val="000000"/>
                <w:sz w:val="20"/>
                <w:szCs w:val="20"/>
                <w:lang w:eastAsia="es-MX"/>
              </w:rPr>
              <w:t>8120</w:t>
            </w:r>
          </w:p>
        </w:tc>
        <w:tc>
          <w:tcPr>
            <w:tcW w:w="3132" w:type="dxa"/>
            <w:shd w:val="clear" w:color="auto" w:fill="FFFFFF"/>
            <w:hideMark/>
          </w:tcPr>
          <w:p w:rsidR="00907B67" w:rsidRPr="00907B67" w:rsidRDefault="00907B67">
            <w:pPr>
              <w:spacing w:after="0" w:line="240" w:lineRule="auto"/>
              <w:rPr>
                <w:rFonts w:eastAsia="Times New Roman" w:cs="Tahoma"/>
                <w:color w:val="000000"/>
                <w:sz w:val="20"/>
                <w:szCs w:val="20"/>
                <w:lang w:eastAsia="es-MX"/>
              </w:rPr>
            </w:pPr>
            <w:r w:rsidRPr="00907B67">
              <w:rPr>
                <w:rFonts w:eastAsia="Times New Roman" w:cs="Tahoma"/>
                <w:color w:val="000000"/>
                <w:sz w:val="20"/>
                <w:szCs w:val="20"/>
                <w:lang w:eastAsia="es-MX"/>
              </w:rPr>
              <w:t>LEY DE INGRESOS POR EJECUTAR</w:t>
            </w:r>
          </w:p>
        </w:tc>
        <w:tc>
          <w:tcPr>
            <w:tcW w:w="1205" w:type="dxa"/>
            <w:shd w:val="clear" w:color="auto" w:fill="FFFFFF"/>
            <w:hideMark/>
          </w:tcPr>
          <w:p w:rsidR="00907B67" w:rsidRPr="00907B67" w:rsidRDefault="00907B67">
            <w:pPr>
              <w:spacing w:after="0" w:line="240" w:lineRule="auto"/>
              <w:jc w:val="right"/>
              <w:rPr>
                <w:rFonts w:eastAsia="Times New Roman" w:cs="Tahoma"/>
                <w:color w:val="000000"/>
                <w:sz w:val="20"/>
                <w:szCs w:val="20"/>
                <w:lang w:eastAsia="es-MX"/>
              </w:rPr>
            </w:pPr>
            <w:r w:rsidRPr="00907B67">
              <w:rPr>
                <w:rFonts w:eastAsia="Times New Roman" w:cs="Tahoma"/>
                <w:color w:val="000000"/>
                <w:sz w:val="20"/>
                <w:szCs w:val="20"/>
                <w:lang w:eastAsia="es-MX"/>
              </w:rPr>
              <w:t>14615144.03</w:t>
            </w:r>
          </w:p>
        </w:tc>
        <w:tc>
          <w:tcPr>
            <w:tcW w:w="1156" w:type="dxa"/>
            <w:shd w:val="clear" w:color="auto" w:fill="FFFFFF"/>
            <w:hideMark/>
          </w:tcPr>
          <w:p w:rsidR="00907B67" w:rsidRPr="00907B67" w:rsidRDefault="00907B67">
            <w:pPr>
              <w:spacing w:after="0" w:line="240" w:lineRule="auto"/>
              <w:rPr>
                <w:sz w:val="20"/>
                <w:szCs w:val="20"/>
                <w:lang w:eastAsia="es-MX"/>
              </w:rPr>
            </w:pPr>
          </w:p>
        </w:tc>
      </w:tr>
      <w:tr w:rsidR="00907B67" w:rsidRPr="00907B67" w:rsidTr="00907B67">
        <w:trPr>
          <w:trHeight w:val="210"/>
          <w:jc w:val="center"/>
        </w:trPr>
        <w:tc>
          <w:tcPr>
            <w:tcW w:w="483" w:type="dxa"/>
            <w:shd w:val="clear" w:color="auto" w:fill="FFFFFF"/>
            <w:hideMark/>
          </w:tcPr>
          <w:p w:rsidR="00907B67" w:rsidRPr="00907B67" w:rsidRDefault="00907B67">
            <w:pPr>
              <w:spacing w:after="0" w:line="240" w:lineRule="auto"/>
              <w:rPr>
                <w:rFonts w:eastAsia="Times New Roman" w:cs="Tahoma"/>
                <w:color w:val="000000"/>
                <w:sz w:val="20"/>
                <w:szCs w:val="20"/>
                <w:lang w:eastAsia="es-MX"/>
              </w:rPr>
            </w:pPr>
            <w:r w:rsidRPr="00907B67">
              <w:rPr>
                <w:rFonts w:eastAsia="Times New Roman" w:cs="Tahoma"/>
                <w:color w:val="000000"/>
                <w:sz w:val="20"/>
                <w:szCs w:val="20"/>
                <w:lang w:eastAsia="es-MX"/>
              </w:rPr>
              <w:t>A</w:t>
            </w:r>
          </w:p>
        </w:tc>
        <w:tc>
          <w:tcPr>
            <w:tcW w:w="720" w:type="dxa"/>
            <w:shd w:val="clear" w:color="auto" w:fill="FFFFFF"/>
            <w:hideMark/>
          </w:tcPr>
          <w:p w:rsidR="00907B67" w:rsidRPr="00907B67" w:rsidRDefault="00907B67">
            <w:pPr>
              <w:spacing w:after="0" w:line="240" w:lineRule="auto"/>
              <w:rPr>
                <w:rFonts w:eastAsia="Times New Roman" w:cs="Tahoma"/>
                <w:color w:val="000000"/>
                <w:sz w:val="20"/>
                <w:szCs w:val="20"/>
                <w:lang w:eastAsia="es-MX"/>
              </w:rPr>
            </w:pPr>
            <w:r w:rsidRPr="00907B67">
              <w:rPr>
                <w:rFonts w:eastAsia="Times New Roman" w:cs="Tahoma"/>
                <w:color w:val="000000"/>
                <w:sz w:val="20"/>
                <w:szCs w:val="20"/>
                <w:lang w:eastAsia="es-MX"/>
              </w:rPr>
              <w:t>8140</w:t>
            </w:r>
          </w:p>
        </w:tc>
        <w:tc>
          <w:tcPr>
            <w:tcW w:w="3132" w:type="dxa"/>
            <w:shd w:val="clear" w:color="auto" w:fill="FFFFFF"/>
            <w:hideMark/>
          </w:tcPr>
          <w:p w:rsidR="00907B67" w:rsidRPr="00907B67" w:rsidRDefault="00907B67">
            <w:pPr>
              <w:spacing w:after="0" w:line="240" w:lineRule="auto"/>
              <w:rPr>
                <w:rFonts w:eastAsia="Times New Roman" w:cs="Tahoma"/>
                <w:color w:val="000000"/>
                <w:sz w:val="20"/>
                <w:szCs w:val="20"/>
                <w:lang w:eastAsia="es-MX"/>
              </w:rPr>
            </w:pPr>
            <w:r w:rsidRPr="00907B67">
              <w:rPr>
                <w:rFonts w:eastAsia="Times New Roman" w:cs="Tahoma"/>
                <w:color w:val="000000"/>
                <w:sz w:val="20"/>
                <w:szCs w:val="20"/>
                <w:lang w:eastAsia="es-MX"/>
              </w:rPr>
              <w:t>LEY DE INGRESOS DEVENGADA</w:t>
            </w:r>
          </w:p>
        </w:tc>
        <w:tc>
          <w:tcPr>
            <w:tcW w:w="1205" w:type="dxa"/>
            <w:shd w:val="clear" w:color="auto" w:fill="FFFFFF"/>
            <w:hideMark/>
          </w:tcPr>
          <w:p w:rsidR="00907B67" w:rsidRPr="00907B67" w:rsidRDefault="00907B67">
            <w:pPr>
              <w:spacing w:after="0" w:line="240" w:lineRule="auto"/>
              <w:jc w:val="right"/>
              <w:rPr>
                <w:rFonts w:eastAsia="Times New Roman" w:cs="Tahoma"/>
                <w:color w:val="000000"/>
                <w:sz w:val="20"/>
                <w:szCs w:val="20"/>
                <w:lang w:eastAsia="es-MX"/>
              </w:rPr>
            </w:pPr>
            <w:r w:rsidRPr="00907B67">
              <w:rPr>
                <w:rFonts w:eastAsia="Times New Roman" w:cs="Tahoma"/>
                <w:color w:val="000000"/>
                <w:sz w:val="20"/>
                <w:szCs w:val="20"/>
                <w:lang w:eastAsia="es-MX"/>
              </w:rPr>
              <w:t>1716.00</w:t>
            </w:r>
          </w:p>
        </w:tc>
        <w:tc>
          <w:tcPr>
            <w:tcW w:w="1156" w:type="dxa"/>
            <w:shd w:val="clear" w:color="auto" w:fill="FFFFFF"/>
            <w:hideMark/>
          </w:tcPr>
          <w:p w:rsidR="00907B67" w:rsidRPr="00907B67" w:rsidRDefault="00907B67">
            <w:pPr>
              <w:spacing w:after="0" w:line="240" w:lineRule="auto"/>
              <w:rPr>
                <w:sz w:val="20"/>
                <w:szCs w:val="20"/>
                <w:lang w:eastAsia="es-MX"/>
              </w:rPr>
            </w:pPr>
          </w:p>
        </w:tc>
      </w:tr>
      <w:tr w:rsidR="00907B67" w:rsidRPr="00907B67" w:rsidTr="00907B67">
        <w:trPr>
          <w:trHeight w:val="210"/>
          <w:jc w:val="center"/>
        </w:trPr>
        <w:tc>
          <w:tcPr>
            <w:tcW w:w="483" w:type="dxa"/>
            <w:shd w:val="clear" w:color="auto" w:fill="FFFFFF"/>
            <w:hideMark/>
          </w:tcPr>
          <w:p w:rsidR="00907B67" w:rsidRPr="00907B67" w:rsidRDefault="00907B67">
            <w:pPr>
              <w:spacing w:after="0" w:line="240" w:lineRule="auto"/>
              <w:rPr>
                <w:rFonts w:eastAsia="Times New Roman" w:cs="Tahoma"/>
                <w:color w:val="000000"/>
                <w:sz w:val="20"/>
                <w:szCs w:val="20"/>
                <w:lang w:eastAsia="es-MX"/>
              </w:rPr>
            </w:pPr>
            <w:r w:rsidRPr="00907B67">
              <w:rPr>
                <w:rFonts w:eastAsia="Times New Roman" w:cs="Tahoma"/>
                <w:color w:val="000000"/>
                <w:sz w:val="20"/>
                <w:szCs w:val="20"/>
                <w:lang w:eastAsia="es-MX"/>
              </w:rPr>
              <w:t>A</w:t>
            </w:r>
          </w:p>
        </w:tc>
        <w:tc>
          <w:tcPr>
            <w:tcW w:w="720" w:type="dxa"/>
            <w:shd w:val="clear" w:color="auto" w:fill="FFFFFF"/>
            <w:hideMark/>
          </w:tcPr>
          <w:p w:rsidR="00907B67" w:rsidRPr="00907B67" w:rsidRDefault="00907B67">
            <w:pPr>
              <w:spacing w:after="0" w:line="240" w:lineRule="auto"/>
              <w:rPr>
                <w:rFonts w:eastAsia="Times New Roman" w:cs="Tahoma"/>
                <w:color w:val="000000"/>
                <w:sz w:val="20"/>
                <w:szCs w:val="20"/>
                <w:lang w:eastAsia="es-MX"/>
              </w:rPr>
            </w:pPr>
            <w:r w:rsidRPr="00907B67">
              <w:rPr>
                <w:rFonts w:eastAsia="Times New Roman" w:cs="Tahoma"/>
                <w:color w:val="000000"/>
                <w:sz w:val="20"/>
                <w:szCs w:val="20"/>
                <w:lang w:eastAsia="es-MX"/>
              </w:rPr>
              <w:t>8150</w:t>
            </w:r>
          </w:p>
        </w:tc>
        <w:tc>
          <w:tcPr>
            <w:tcW w:w="3132" w:type="dxa"/>
            <w:shd w:val="clear" w:color="auto" w:fill="FFFFFF"/>
            <w:hideMark/>
          </w:tcPr>
          <w:p w:rsidR="00907B67" w:rsidRPr="00907B67" w:rsidRDefault="00907B67">
            <w:pPr>
              <w:spacing w:after="0" w:line="240" w:lineRule="auto"/>
              <w:rPr>
                <w:rFonts w:eastAsia="Times New Roman" w:cs="Tahoma"/>
                <w:color w:val="000000"/>
                <w:sz w:val="20"/>
                <w:szCs w:val="20"/>
                <w:lang w:eastAsia="es-MX"/>
              </w:rPr>
            </w:pPr>
            <w:r w:rsidRPr="00907B67">
              <w:rPr>
                <w:rFonts w:eastAsia="Times New Roman" w:cs="Tahoma"/>
                <w:color w:val="000000"/>
                <w:sz w:val="20"/>
                <w:szCs w:val="20"/>
                <w:lang w:eastAsia="es-MX"/>
              </w:rPr>
              <w:t>LEY DE INGRESOS RECAUDADA</w:t>
            </w:r>
          </w:p>
        </w:tc>
        <w:tc>
          <w:tcPr>
            <w:tcW w:w="1205" w:type="dxa"/>
            <w:shd w:val="clear" w:color="auto" w:fill="FFFFFF"/>
            <w:hideMark/>
          </w:tcPr>
          <w:p w:rsidR="00907B67" w:rsidRPr="00907B67" w:rsidRDefault="00907B67">
            <w:pPr>
              <w:spacing w:after="0" w:line="240" w:lineRule="auto"/>
              <w:jc w:val="right"/>
              <w:rPr>
                <w:rFonts w:eastAsia="Times New Roman" w:cs="Tahoma"/>
                <w:color w:val="000000"/>
                <w:sz w:val="20"/>
                <w:szCs w:val="20"/>
                <w:lang w:eastAsia="es-MX"/>
              </w:rPr>
            </w:pPr>
            <w:r w:rsidRPr="00907B67">
              <w:rPr>
                <w:rFonts w:eastAsia="Times New Roman" w:cs="Tahoma"/>
                <w:color w:val="000000"/>
                <w:sz w:val="20"/>
                <w:szCs w:val="20"/>
                <w:lang w:eastAsia="es-MX"/>
              </w:rPr>
              <w:t>3913977.97</w:t>
            </w:r>
          </w:p>
        </w:tc>
        <w:tc>
          <w:tcPr>
            <w:tcW w:w="1156" w:type="dxa"/>
            <w:shd w:val="clear" w:color="auto" w:fill="FFFFFF"/>
            <w:hideMark/>
          </w:tcPr>
          <w:p w:rsidR="00907B67" w:rsidRPr="00907B67" w:rsidRDefault="00907B67">
            <w:pPr>
              <w:spacing w:after="0" w:line="240" w:lineRule="auto"/>
              <w:rPr>
                <w:sz w:val="20"/>
                <w:szCs w:val="20"/>
                <w:lang w:eastAsia="es-MX"/>
              </w:rPr>
            </w:pPr>
          </w:p>
        </w:tc>
      </w:tr>
      <w:tr w:rsidR="00907B67" w:rsidRPr="00907B67" w:rsidTr="00907B67">
        <w:trPr>
          <w:trHeight w:val="210"/>
          <w:jc w:val="center"/>
        </w:trPr>
        <w:tc>
          <w:tcPr>
            <w:tcW w:w="483" w:type="dxa"/>
            <w:shd w:val="clear" w:color="auto" w:fill="FFFFFF"/>
            <w:hideMark/>
          </w:tcPr>
          <w:p w:rsidR="00907B67" w:rsidRPr="00907B67" w:rsidRDefault="00907B67">
            <w:pPr>
              <w:spacing w:after="0" w:line="240" w:lineRule="auto"/>
              <w:rPr>
                <w:rFonts w:eastAsia="Times New Roman" w:cs="Tahoma"/>
                <w:color w:val="000000"/>
                <w:sz w:val="20"/>
                <w:szCs w:val="20"/>
                <w:lang w:eastAsia="es-MX"/>
              </w:rPr>
            </w:pPr>
            <w:r w:rsidRPr="00907B67">
              <w:rPr>
                <w:rFonts w:eastAsia="Times New Roman" w:cs="Tahoma"/>
                <w:color w:val="000000"/>
                <w:sz w:val="20"/>
                <w:szCs w:val="20"/>
                <w:lang w:eastAsia="es-MX"/>
              </w:rPr>
              <w:t>A</w:t>
            </w:r>
          </w:p>
        </w:tc>
        <w:tc>
          <w:tcPr>
            <w:tcW w:w="720" w:type="dxa"/>
            <w:shd w:val="clear" w:color="auto" w:fill="FFFFFF"/>
            <w:hideMark/>
          </w:tcPr>
          <w:p w:rsidR="00907B67" w:rsidRPr="00907B67" w:rsidRDefault="00907B67">
            <w:pPr>
              <w:spacing w:after="0" w:line="240" w:lineRule="auto"/>
              <w:rPr>
                <w:rFonts w:eastAsia="Times New Roman" w:cs="Tahoma"/>
                <w:color w:val="000000"/>
                <w:sz w:val="20"/>
                <w:szCs w:val="20"/>
                <w:lang w:eastAsia="es-MX"/>
              </w:rPr>
            </w:pPr>
            <w:r w:rsidRPr="00907B67">
              <w:rPr>
                <w:rFonts w:eastAsia="Times New Roman" w:cs="Tahoma"/>
                <w:color w:val="000000"/>
                <w:sz w:val="20"/>
                <w:szCs w:val="20"/>
                <w:lang w:eastAsia="es-MX"/>
              </w:rPr>
              <w:t>8200</w:t>
            </w:r>
          </w:p>
        </w:tc>
        <w:tc>
          <w:tcPr>
            <w:tcW w:w="3132" w:type="dxa"/>
            <w:shd w:val="clear" w:color="auto" w:fill="FFFFFF"/>
            <w:hideMark/>
          </w:tcPr>
          <w:p w:rsidR="00907B67" w:rsidRPr="00907B67" w:rsidRDefault="00907B67">
            <w:pPr>
              <w:spacing w:after="0" w:line="240" w:lineRule="auto"/>
              <w:rPr>
                <w:rFonts w:eastAsia="Times New Roman" w:cs="Tahoma"/>
                <w:color w:val="000000"/>
                <w:sz w:val="20"/>
                <w:szCs w:val="20"/>
                <w:lang w:eastAsia="es-MX"/>
              </w:rPr>
            </w:pPr>
            <w:r w:rsidRPr="00907B67">
              <w:rPr>
                <w:rFonts w:eastAsia="Times New Roman" w:cs="Tahoma"/>
                <w:color w:val="000000"/>
                <w:sz w:val="20"/>
                <w:szCs w:val="20"/>
                <w:lang w:eastAsia="es-MX"/>
              </w:rPr>
              <w:t>PRESUPUESTO DE EGRESOS</w:t>
            </w:r>
          </w:p>
        </w:tc>
        <w:tc>
          <w:tcPr>
            <w:tcW w:w="1205" w:type="dxa"/>
            <w:shd w:val="clear" w:color="auto" w:fill="FFFFFF"/>
            <w:hideMark/>
          </w:tcPr>
          <w:p w:rsidR="00907B67" w:rsidRPr="00907B67" w:rsidRDefault="00907B67">
            <w:pPr>
              <w:spacing w:after="0" w:line="240" w:lineRule="auto"/>
              <w:jc w:val="right"/>
              <w:rPr>
                <w:rFonts w:eastAsia="Times New Roman" w:cs="Tahoma"/>
                <w:color w:val="000000"/>
                <w:sz w:val="20"/>
                <w:szCs w:val="20"/>
                <w:lang w:eastAsia="es-MX"/>
              </w:rPr>
            </w:pPr>
            <w:r w:rsidRPr="00907B67">
              <w:rPr>
                <w:rFonts w:eastAsia="Times New Roman" w:cs="Tahoma"/>
                <w:color w:val="000000"/>
                <w:sz w:val="20"/>
                <w:szCs w:val="20"/>
                <w:lang w:eastAsia="es-MX"/>
              </w:rPr>
              <w:t>0.00</w:t>
            </w:r>
          </w:p>
        </w:tc>
        <w:tc>
          <w:tcPr>
            <w:tcW w:w="1156" w:type="dxa"/>
            <w:shd w:val="clear" w:color="auto" w:fill="FFFFFF"/>
            <w:hideMark/>
          </w:tcPr>
          <w:p w:rsidR="00907B67" w:rsidRPr="00907B67" w:rsidRDefault="00907B67">
            <w:pPr>
              <w:spacing w:after="0" w:line="240" w:lineRule="auto"/>
              <w:rPr>
                <w:sz w:val="20"/>
                <w:szCs w:val="20"/>
                <w:lang w:eastAsia="es-MX"/>
              </w:rPr>
            </w:pPr>
          </w:p>
        </w:tc>
      </w:tr>
      <w:tr w:rsidR="00907B67" w:rsidRPr="00907B67" w:rsidTr="00907B67">
        <w:trPr>
          <w:trHeight w:val="210"/>
          <w:jc w:val="center"/>
        </w:trPr>
        <w:tc>
          <w:tcPr>
            <w:tcW w:w="483" w:type="dxa"/>
            <w:shd w:val="clear" w:color="auto" w:fill="FFFFFF"/>
            <w:hideMark/>
          </w:tcPr>
          <w:p w:rsidR="00907B67" w:rsidRPr="00907B67" w:rsidRDefault="00907B67">
            <w:pPr>
              <w:spacing w:after="0" w:line="240" w:lineRule="auto"/>
              <w:rPr>
                <w:rFonts w:eastAsia="Times New Roman" w:cs="Tahoma"/>
                <w:color w:val="000000"/>
                <w:sz w:val="20"/>
                <w:szCs w:val="20"/>
                <w:lang w:eastAsia="es-MX"/>
              </w:rPr>
            </w:pPr>
            <w:r w:rsidRPr="00907B67">
              <w:rPr>
                <w:rFonts w:eastAsia="Times New Roman" w:cs="Tahoma"/>
                <w:color w:val="000000"/>
                <w:sz w:val="20"/>
                <w:szCs w:val="20"/>
                <w:lang w:eastAsia="es-MX"/>
              </w:rPr>
              <w:t>A</w:t>
            </w:r>
          </w:p>
        </w:tc>
        <w:tc>
          <w:tcPr>
            <w:tcW w:w="720" w:type="dxa"/>
            <w:shd w:val="clear" w:color="auto" w:fill="FFFFFF"/>
            <w:hideMark/>
          </w:tcPr>
          <w:p w:rsidR="00907B67" w:rsidRPr="00907B67" w:rsidRDefault="00907B67">
            <w:pPr>
              <w:spacing w:after="0" w:line="240" w:lineRule="auto"/>
              <w:rPr>
                <w:rFonts w:eastAsia="Times New Roman" w:cs="Tahoma"/>
                <w:color w:val="000000"/>
                <w:sz w:val="20"/>
                <w:szCs w:val="20"/>
                <w:lang w:eastAsia="es-MX"/>
              </w:rPr>
            </w:pPr>
            <w:r w:rsidRPr="00907B67">
              <w:rPr>
                <w:rFonts w:eastAsia="Times New Roman" w:cs="Tahoma"/>
                <w:color w:val="000000"/>
                <w:sz w:val="20"/>
                <w:szCs w:val="20"/>
                <w:lang w:eastAsia="es-MX"/>
              </w:rPr>
              <w:t>8210</w:t>
            </w:r>
          </w:p>
        </w:tc>
        <w:tc>
          <w:tcPr>
            <w:tcW w:w="3132" w:type="dxa"/>
            <w:shd w:val="clear" w:color="auto" w:fill="FFFFFF"/>
            <w:hideMark/>
          </w:tcPr>
          <w:p w:rsidR="00907B67" w:rsidRPr="00907B67" w:rsidRDefault="00907B67">
            <w:pPr>
              <w:spacing w:after="0" w:line="240" w:lineRule="auto"/>
              <w:rPr>
                <w:rFonts w:eastAsia="Times New Roman" w:cs="Tahoma"/>
                <w:color w:val="000000"/>
                <w:sz w:val="20"/>
                <w:szCs w:val="20"/>
                <w:lang w:eastAsia="es-MX"/>
              </w:rPr>
            </w:pPr>
            <w:r w:rsidRPr="00907B67">
              <w:rPr>
                <w:rFonts w:eastAsia="Times New Roman" w:cs="Tahoma"/>
                <w:color w:val="000000"/>
                <w:sz w:val="20"/>
                <w:szCs w:val="20"/>
                <w:lang w:eastAsia="es-MX"/>
              </w:rPr>
              <w:t>PRESUPUESTO DE EGRESOS APROBADO</w:t>
            </w:r>
          </w:p>
        </w:tc>
        <w:tc>
          <w:tcPr>
            <w:tcW w:w="1205" w:type="dxa"/>
            <w:shd w:val="clear" w:color="auto" w:fill="FFFFFF"/>
            <w:hideMark/>
          </w:tcPr>
          <w:p w:rsidR="00907B67" w:rsidRPr="00907B67" w:rsidRDefault="00907B67">
            <w:pPr>
              <w:spacing w:after="0" w:line="240" w:lineRule="auto"/>
              <w:jc w:val="right"/>
              <w:rPr>
                <w:rFonts w:eastAsia="Times New Roman" w:cs="Tahoma"/>
                <w:color w:val="000000"/>
                <w:sz w:val="20"/>
                <w:szCs w:val="20"/>
                <w:lang w:eastAsia="es-MX"/>
              </w:rPr>
            </w:pPr>
            <w:r w:rsidRPr="00907B67">
              <w:rPr>
                <w:rFonts w:eastAsia="Times New Roman" w:cs="Tahoma"/>
                <w:color w:val="000000"/>
                <w:sz w:val="20"/>
                <w:szCs w:val="20"/>
                <w:lang w:eastAsia="es-MX"/>
              </w:rPr>
              <w:t>18530838.00</w:t>
            </w:r>
          </w:p>
        </w:tc>
        <w:tc>
          <w:tcPr>
            <w:tcW w:w="1156" w:type="dxa"/>
            <w:shd w:val="clear" w:color="auto" w:fill="FFFFFF"/>
            <w:hideMark/>
          </w:tcPr>
          <w:p w:rsidR="00907B67" w:rsidRPr="00907B67" w:rsidRDefault="00907B67">
            <w:pPr>
              <w:spacing w:after="0" w:line="240" w:lineRule="auto"/>
              <w:rPr>
                <w:sz w:val="20"/>
                <w:szCs w:val="20"/>
                <w:lang w:eastAsia="es-MX"/>
              </w:rPr>
            </w:pPr>
          </w:p>
        </w:tc>
      </w:tr>
      <w:tr w:rsidR="00907B67" w:rsidRPr="00907B67" w:rsidTr="00907B67">
        <w:trPr>
          <w:trHeight w:val="420"/>
          <w:jc w:val="center"/>
        </w:trPr>
        <w:tc>
          <w:tcPr>
            <w:tcW w:w="483" w:type="dxa"/>
            <w:shd w:val="clear" w:color="auto" w:fill="FFFFFF"/>
            <w:hideMark/>
          </w:tcPr>
          <w:p w:rsidR="00907B67" w:rsidRPr="00907B67" w:rsidRDefault="00907B67">
            <w:pPr>
              <w:spacing w:after="0" w:line="240" w:lineRule="auto"/>
              <w:rPr>
                <w:rFonts w:eastAsia="Times New Roman" w:cs="Tahoma"/>
                <w:color w:val="000000"/>
                <w:sz w:val="20"/>
                <w:szCs w:val="20"/>
                <w:lang w:eastAsia="es-MX"/>
              </w:rPr>
            </w:pPr>
            <w:r w:rsidRPr="00907B67">
              <w:rPr>
                <w:rFonts w:eastAsia="Times New Roman" w:cs="Tahoma"/>
                <w:color w:val="000000"/>
                <w:sz w:val="20"/>
                <w:szCs w:val="20"/>
                <w:lang w:eastAsia="es-MX"/>
              </w:rPr>
              <w:t>D</w:t>
            </w:r>
          </w:p>
        </w:tc>
        <w:tc>
          <w:tcPr>
            <w:tcW w:w="720" w:type="dxa"/>
            <w:shd w:val="clear" w:color="auto" w:fill="FFFFFF"/>
            <w:hideMark/>
          </w:tcPr>
          <w:p w:rsidR="00907B67" w:rsidRPr="00907B67" w:rsidRDefault="00907B67">
            <w:pPr>
              <w:spacing w:after="0" w:line="240" w:lineRule="auto"/>
              <w:rPr>
                <w:rFonts w:eastAsia="Times New Roman" w:cs="Tahoma"/>
                <w:color w:val="000000"/>
                <w:sz w:val="20"/>
                <w:szCs w:val="20"/>
                <w:lang w:eastAsia="es-MX"/>
              </w:rPr>
            </w:pPr>
            <w:r w:rsidRPr="00907B67">
              <w:rPr>
                <w:rFonts w:eastAsia="Times New Roman" w:cs="Tahoma"/>
                <w:color w:val="000000"/>
                <w:sz w:val="20"/>
                <w:szCs w:val="20"/>
                <w:lang w:eastAsia="es-MX"/>
              </w:rPr>
              <w:t>8220</w:t>
            </w:r>
          </w:p>
        </w:tc>
        <w:tc>
          <w:tcPr>
            <w:tcW w:w="3132" w:type="dxa"/>
            <w:shd w:val="clear" w:color="auto" w:fill="FFFFFF"/>
            <w:hideMark/>
          </w:tcPr>
          <w:p w:rsidR="00907B67" w:rsidRPr="00907B67" w:rsidRDefault="00907B67">
            <w:pPr>
              <w:spacing w:after="0" w:line="240" w:lineRule="auto"/>
              <w:rPr>
                <w:rFonts w:eastAsia="Times New Roman" w:cs="Tahoma"/>
                <w:color w:val="000000"/>
                <w:sz w:val="20"/>
                <w:szCs w:val="20"/>
                <w:lang w:eastAsia="es-MX"/>
              </w:rPr>
            </w:pPr>
            <w:r w:rsidRPr="00907B67">
              <w:rPr>
                <w:rFonts w:eastAsia="Times New Roman" w:cs="Tahoma"/>
                <w:color w:val="000000"/>
                <w:sz w:val="20"/>
                <w:szCs w:val="20"/>
                <w:lang w:eastAsia="es-MX"/>
              </w:rPr>
              <w:t>PRESUPUESTO DE EGRESOS POR EJERCER</w:t>
            </w:r>
          </w:p>
        </w:tc>
        <w:tc>
          <w:tcPr>
            <w:tcW w:w="1205" w:type="dxa"/>
            <w:shd w:val="clear" w:color="auto" w:fill="FFFFFF"/>
            <w:hideMark/>
          </w:tcPr>
          <w:p w:rsidR="00907B67" w:rsidRPr="00907B67" w:rsidRDefault="00907B67">
            <w:pPr>
              <w:spacing w:after="0" w:line="240" w:lineRule="auto"/>
              <w:jc w:val="right"/>
              <w:rPr>
                <w:rFonts w:eastAsia="Times New Roman" w:cs="Tahoma"/>
                <w:color w:val="000000"/>
                <w:sz w:val="20"/>
                <w:szCs w:val="20"/>
                <w:lang w:eastAsia="es-MX"/>
              </w:rPr>
            </w:pPr>
            <w:r w:rsidRPr="00907B67">
              <w:rPr>
                <w:rFonts w:eastAsia="Times New Roman" w:cs="Tahoma"/>
                <w:color w:val="000000"/>
                <w:sz w:val="20"/>
                <w:szCs w:val="20"/>
                <w:lang w:eastAsia="es-MX"/>
              </w:rPr>
              <w:t>7761854.12</w:t>
            </w:r>
          </w:p>
        </w:tc>
        <w:tc>
          <w:tcPr>
            <w:tcW w:w="1156" w:type="dxa"/>
            <w:shd w:val="clear" w:color="auto" w:fill="FFFFFF"/>
            <w:hideMark/>
          </w:tcPr>
          <w:p w:rsidR="00907B67" w:rsidRPr="00907B67" w:rsidRDefault="00907B67">
            <w:pPr>
              <w:spacing w:after="0" w:line="240" w:lineRule="auto"/>
              <w:rPr>
                <w:sz w:val="20"/>
                <w:szCs w:val="20"/>
                <w:lang w:eastAsia="es-MX"/>
              </w:rPr>
            </w:pPr>
          </w:p>
        </w:tc>
      </w:tr>
      <w:tr w:rsidR="00907B67" w:rsidRPr="00907B67" w:rsidTr="00907B67">
        <w:trPr>
          <w:trHeight w:val="420"/>
          <w:jc w:val="center"/>
        </w:trPr>
        <w:tc>
          <w:tcPr>
            <w:tcW w:w="483" w:type="dxa"/>
            <w:shd w:val="clear" w:color="auto" w:fill="FFFFFF"/>
            <w:hideMark/>
          </w:tcPr>
          <w:p w:rsidR="00907B67" w:rsidRPr="00907B67" w:rsidRDefault="00907B67">
            <w:pPr>
              <w:spacing w:after="0" w:line="240" w:lineRule="auto"/>
              <w:rPr>
                <w:rFonts w:eastAsia="Times New Roman" w:cs="Tahoma"/>
                <w:color w:val="000000"/>
                <w:sz w:val="20"/>
                <w:szCs w:val="20"/>
                <w:lang w:eastAsia="es-MX"/>
              </w:rPr>
            </w:pPr>
            <w:r w:rsidRPr="00907B67">
              <w:rPr>
                <w:rFonts w:eastAsia="Times New Roman" w:cs="Tahoma"/>
                <w:color w:val="000000"/>
                <w:sz w:val="20"/>
                <w:szCs w:val="20"/>
                <w:lang w:eastAsia="es-MX"/>
              </w:rPr>
              <w:t>A</w:t>
            </w:r>
          </w:p>
        </w:tc>
        <w:tc>
          <w:tcPr>
            <w:tcW w:w="720" w:type="dxa"/>
            <w:shd w:val="clear" w:color="auto" w:fill="FFFFFF"/>
            <w:hideMark/>
          </w:tcPr>
          <w:p w:rsidR="00907B67" w:rsidRPr="00907B67" w:rsidRDefault="00907B67">
            <w:pPr>
              <w:spacing w:after="0" w:line="240" w:lineRule="auto"/>
              <w:rPr>
                <w:rFonts w:eastAsia="Times New Roman" w:cs="Tahoma"/>
                <w:color w:val="000000"/>
                <w:sz w:val="20"/>
                <w:szCs w:val="20"/>
                <w:lang w:eastAsia="es-MX"/>
              </w:rPr>
            </w:pPr>
            <w:r w:rsidRPr="00907B67">
              <w:rPr>
                <w:rFonts w:eastAsia="Times New Roman" w:cs="Tahoma"/>
                <w:color w:val="000000"/>
                <w:sz w:val="20"/>
                <w:szCs w:val="20"/>
                <w:lang w:eastAsia="es-MX"/>
              </w:rPr>
              <w:t>8230</w:t>
            </w:r>
          </w:p>
        </w:tc>
        <w:tc>
          <w:tcPr>
            <w:tcW w:w="3132" w:type="dxa"/>
            <w:shd w:val="clear" w:color="auto" w:fill="FFFFFF"/>
            <w:hideMark/>
          </w:tcPr>
          <w:p w:rsidR="00907B67" w:rsidRPr="00907B67" w:rsidRDefault="00907B67">
            <w:pPr>
              <w:spacing w:after="0" w:line="240" w:lineRule="auto"/>
              <w:rPr>
                <w:rFonts w:eastAsia="Times New Roman" w:cs="Tahoma"/>
                <w:color w:val="000000"/>
                <w:sz w:val="20"/>
                <w:szCs w:val="20"/>
                <w:lang w:eastAsia="es-MX"/>
              </w:rPr>
            </w:pPr>
            <w:r w:rsidRPr="00907B67">
              <w:rPr>
                <w:rFonts w:eastAsia="Times New Roman" w:cs="Tahoma"/>
                <w:color w:val="000000"/>
                <w:sz w:val="20"/>
                <w:szCs w:val="20"/>
                <w:lang w:eastAsia="es-MX"/>
              </w:rPr>
              <w:t>MODIFICACIONES AL PRESUPUESTO DE EGRESOS APROBADO</w:t>
            </w:r>
          </w:p>
        </w:tc>
        <w:tc>
          <w:tcPr>
            <w:tcW w:w="1205" w:type="dxa"/>
            <w:shd w:val="clear" w:color="auto" w:fill="FFFFFF"/>
            <w:hideMark/>
          </w:tcPr>
          <w:p w:rsidR="00907B67" w:rsidRPr="00907B67" w:rsidRDefault="00907B67">
            <w:pPr>
              <w:spacing w:after="0" w:line="240" w:lineRule="auto"/>
              <w:jc w:val="right"/>
              <w:rPr>
                <w:rFonts w:eastAsia="Times New Roman" w:cs="Tahoma"/>
                <w:color w:val="000000"/>
                <w:sz w:val="20"/>
                <w:szCs w:val="20"/>
                <w:lang w:eastAsia="es-MX"/>
              </w:rPr>
            </w:pPr>
            <w:r w:rsidRPr="00907B67">
              <w:rPr>
                <w:rFonts w:eastAsia="Times New Roman" w:cs="Tahoma"/>
                <w:color w:val="000000"/>
                <w:sz w:val="20"/>
                <w:szCs w:val="20"/>
                <w:lang w:eastAsia="es-MX"/>
              </w:rPr>
              <w:t>0.00</w:t>
            </w:r>
          </w:p>
        </w:tc>
        <w:tc>
          <w:tcPr>
            <w:tcW w:w="1156" w:type="dxa"/>
            <w:shd w:val="clear" w:color="auto" w:fill="FFFFFF"/>
            <w:hideMark/>
          </w:tcPr>
          <w:p w:rsidR="00907B67" w:rsidRPr="00907B67" w:rsidRDefault="00907B67">
            <w:pPr>
              <w:spacing w:after="0" w:line="240" w:lineRule="auto"/>
              <w:rPr>
                <w:sz w:val="20"/>
                <w:szCs w:val="20"/>
                <w:lang w:eastAsia="es-MX"/>
              </w:rPr>
            </w:pPr>
          </w:p>
        </w:tc>
      </w:tr>
      <w:tr w:rsidR="00907B67" w:rsidRPr="00907B67" w:rsidTr="00907B67">
        <w:trPr>
          <w:trHeight w:val="210"/>
          <w:jc w:val="center"/>
        </w:trPr>
        <w:tc>
          <w:tcPr>
            <w:tcW w:w="483" w:type="dxa"/>
            <w:shd w:val="clear" w:color="auto" w:fill="FFFFFF"/>
            <w:hideMark/>
          </w:tcPr>
          <w:p w:rsidR="00907B67" w:rsidRPr="00907B67" w:rsidRDefault="00907B67">
            <w:pPr>
              <w:spacing w:after="0" w:line="240" w:lineRule="auto"/>
              <w:rPr>
                <w:rFonts w:eastAsia="Times New Roman" w:cs="Tahoma"/>
                <w:color w:val="000000"/>
                <w:sz w:val="20"/>
                <w:szCs w:val="20"/>
                <w:lang w:eastAsia="es-MX"/>
              </w:rPr>
            </w:pPr>
            <w:r w:rsidRPr="00907B67">
              <w:rPr>
                <w:rFonts w:eastAsia="Times New Roman" w:cs="Tahoma"/>
                <w:color w:val="000000"/>
                <w:sz w:val="20"/>
                <w:szCs w:val="20"/>
                <w:lang w:eastAsia="es-MX"/>
              </w:rPr>
              <w:t> </w:t>
            </w:r>
          </w:p>
        </w:tc>
        <w:tc>
          <w:tcPr>
            <w:tcW w:w="720" w:type="dxa"/>
            <w:shd w:val="clear" w:color="auto" w:fill="FFFFFF"/>
            <w:hideMark/>
          </w:tcPr>
          <w:p w:rsidR="00907B67" w:rsidRPr="00907B67" w:rsidRDefault="00907B67">
            <w:pPr>
              <w:spacing w:after="0" w:line="240" w:lineRule="auto"/>
              <w:rPr>
                <w:rFonts w:eastAsia="Times New Roman" w:cs="Tahoma"/>
                <w:color w:val="000000"/>
                <w:sz w:val="20"/>
                <w:szCs w:val="20"/>
                <w:lang w:eastAsia="es-MX"/>
              </w:rPr>
            </w:pPr>
            <w:r w:rsidRPr="00907B67">
              <w:rPr>
                <w:rFonts w:eastAsia="Times New Roman" w:cs="Tahoma"/>
                <w:color w:val="000000"/>
                <w:sz w:val="20"/>
                <w:szCs w:val="20"/>
                <w:lang w:eastAsia="es-MX"/>
              </w:rPr>
              <w:t> </w:t>
            </w:r>
          </w:p>
        </w:tc>
        <w:tc>
          <w:tcPr>
            <w:tcW w:w="3132" w:type="dxa"/>
            <w:shd w:val="clear" w:color="auto" w:fill="FFFFFF"/>
            <w:hideMark/>
          </w:tcPr>
          <w:p w:rsidR="00907B67" w:rsidRPr="00907B67" w:rsidRDefault="00907B67">
            <w:pPr>
              <w:spacing w:after="0" w:line="240" w:lineRule="auto"/>
              <w:rPr>
                <w:rFonts w:eastAsia="Times New Roman" w:cs="Tahoma"/>
                <w:color w:val="000000"/>
                <w:sz w:val="20"/>
                <w:szCs w:val="20"/>
                <w:lang w:eastAsia="es-MX"/>
              </w:rPr>
            </w:pPr>
            <w:r w:rsidRPr="00907B67">
              <w:rPr>
                <w:rFonts w:eastAsia="Times New Roman" w:cs="Tahoma"/>
                <w:color w:val="000000"/>
                <w:sz w:val="20"/>
                <w:szCs w:val="20"/>
                <w:lang w:eastAsia="es-MX"/>
              </w:rPr>
              <w:t> </w:t>
            </w:r>
          </w:p>
        </w:tc>
        <w:tc>
          <w:tcPr>
            <w:tcW w:w="1205" w:type="dxa"/>
            <w:shd w:val="clear" w:color="auto" w:fill="FFFFFF"/>
            <w:hideMark/>
          </w:tcPr>
          <w:p w:rsidR="00907B67" w:rsidRPr="00907B67" w:rsidRDefault="00907B67">
            <w:pPr>
              <w:spacing w:after="0" w:line="240" w:lineRule="auto"/>
              <w:jc w:val="right"/>
              <w:rPr>
                <w:rFonts w:eastAsia="Times New Roman" w:cs="Tahoma"/>
                <w:color w:val="000000"/>
                <w:sz w:val="20"/>
                <w:szCs w:val="20"/>
                <w:lang w:eastAsia="es-MX"/>
              </w:rPr>
            </w:pPr>
            <w:r w:rsidRPr="00907B67">
              <w:rPr>
                <w:rFonts w:eastAsia="Times New Roman" w:cs="Tahoma"/>
                <w:color w:val="000000"/>
                <w:sz w:val="20"/>
                <w:szCs w:val="20"/>
                <w:lang w:eastAsia="es-MX"/>
              </w:rPr>
              <w:t> </w:t>
            </w:r>
          </w:p>
        </w:tc>
        <w:tc>
          <w:tcPr>
            <w:tcW w:w="1156" w:type="dxa"/>
            <w:shd w:val="clear" w:color="auto" w:fill="FFFFFF"/>
            <w:hideMark/>
          </w:tcPr>
          <w:p w:rsidR="00907B67" w:rsidRPr="00907B67" w:rsidRDefault="00907B67">
            <w:pPr>
              <w:spacing w:after="0" w:line="240" w:lineRule="auto"/>
              <w:rPr>
                <w:sz w:val="20"/>
                <w:szCs w:val="20"/>
                <w:lang w:eastAsia="es-MX"/>
              </w:rPr>
            </w:pPr>
          </w:p>
        </w:tc>
      </w:tr>
      <w:tr w:rsidR="00907B67" w:rsidRPr="00907B67" w:rsidTr="00907B67">
        <w:trPr>
          <w:trHeight w:val="420"/>
          <w:jc w:val="center"/>
        </w:trPr>
        <w:tc>
          <w:tcPr>
            <w:tcW w:w="483" w:type="dxa"/>
            <w:shd w:val="clear" w:color="auto" w:fill="FFFFFF"/>
            <w:hideMark/>
          </w:tcPr>
          <w:p w:rsidR="00907B67" w:rsidRPr="00907B67" w:rsidRDefault="00907B67">
            <w:pPr>
              <w:spacing w:after="0" w:line="240" w:lineRule="auto"/>
              <w:rPr>
                <w:rFonts w:eastAsia="Times New Roman" w:cs="Tahoma"/>
                <w:color w:val="000000"/>
                <w:sz w:val="20"/>
                <w:szCs w:val="20"/>
                <w:lang w:eastAsia="es-MX"/>
              </w:rPr>
            </w:pPr>
            <w:r w:rsidRPr="00907B67">
              <w:rPr>
                <w:rFonts w:eastAsia="Times New Roman" w:cs="Tahoma"/>
                <w:color w:val="000000"/>
                <w:sz w:val="20"/>
                <w:szCs w:val="20"/>
                <w:lang w:eastAsia="es-MX"/>
              </w:rPr>
              <w:t>D</w:t>
            </w:r>
          </w:p>
        </w:tc>
        <w:tc>
          <w:tcPr>
            <w:tcW w:w="720" w:type="dxa"/>
            <w:shd w:val="clear" w:color="auto" w:fill="FFFFFF"/>
            <w:hideMark/>
          </w:tcPr>
          <w:p w:rsidR="00907B67" w:rsidRPr="00907B67" w:rsidRDefault="00907B67">
            <w:pPr>
              <w:spacing w:after="0" w:line="240" w:lineRule="auto"/>
              <w:rPr>
                <w:rFonts w:eastAsia="Times New Roman" w:cs="Tahoma"/>
                <w:color w:val="000000"/>
                <w:sz w:val="20"/>
                <w:szCs w:val="20"/>
                <w:lang w:eastAsia="es-MX"/>
              </w:rPr>
            </w:pPr>
            <w:r w:rsidRPr="00907B67">
              <w:rPr>
                <w:rFonts w:eastAsia="Times New Roman" w:cs="Tahoma"/>
                <w:color w:val="000000"/>
                <w:sz w:val="20"/>
                <w:szCs w:val="20"/>
                <w:lang w:eastAsia="es-MX"/>
              </w:rPr>
              <w:t>8240</w:t>
            </w:r>
          </w:p>
        </w:tc>
        <w:tc>
          <w:tcPr>
            <w:tcW w:w="3132" w:type="dxa"/>
            <w:shd w:val="clear" w:color="auto" w:fill="FFFFFF"/>
            <w:hideMark/>
          </w:tcPr>
          <w:p w:rsidR="00907B67" w:rsidRPr="00907B67" w:rsidRDefault="00907B67">
            <w:pPr>
              <w:spacing w:after="0" w:line="240" w:lineRule="auto"/>
              <w:rPr>
                <w:rFonts w:eastAsia="Times New Roman" w:cs="Tahoma"/>
                <w:color w:val="000000"/>
                <w:sz w:val="20"/>
                <w:szCs w:val="20"/>
                <w:lang w:eastAsia="es-MX"/>
              </w:rPr>
            </w:pPr>
            <w:r w:rsidRPr="00907B67">
              <w:rPr>
                <w:rFonts w:eastAsia="Times New Roman" w:cs="Tahoma"/>
                <w:color w:val="000000"/>
                <w:sz w:val="20"/>
                <w:szCs w:val="20"/>
                <w:lang w:eastAsia="es-MX"/>
              </w:rPr>
              <w:t>PRESUPUESTO DE EGRESOS COMPROMETIDO</w:t>
            </w:r>
          </w:p>
        </w:tc>
        <w:tc>
          <w:tcPr>
            <w:tcW w:w="1205" w:type="dxa"/>
            <w:shd w:val="clear" w:color="auto" w:fill="FFFFFF"/>
            <w:hideMark/>
          </w:tcPr>
          <w:p w:rsidR="00907B67" w:rsidRPr="00907B67" w:rsidRDefault="00907B67">
            <w:pPr>
              <w:spacing w:after="0" w:line="240" w:lineRule="auto"/>
              <w:jc w:val="right"/>
              <w:rPr>
                <w:rFonts w:eastAsia="Times New Roman" w:cs="Tahoma"/>
                <w:color w:val="000000"/>
                <w:sz w:val="20"/>
                <w:szCs w:val="20"/>
                <w:lang w:eastAsia="es-MX"/>
              </w:rPr>
            </w:pPr>
            <w:r w:rsidRPr="00907B67">
              <w:rPr>
                <w:rFonts w:eastAsia="Times New Roman" w:cs="Tahoma"/>
                <w:color w:val="000000"/>
                <w:sz w:val="20"/>
                <w:szCs w:val="20"/>
                <w:lang w:eastAsia="es-MX"/>
              </w:rPr>
              <w:t>7626154.47</w:t>
            </w:r>
          </w:p>
        </w:tc>
        <w:tc>
          <w:tcPr>
            <w:tcW w:w="1156" w:type="dxa"/>
            <w:shd w:val="clear" w:color="auto" w:fill="FFFFFF"/>
            <w:hideMark/>
          </w:tcPr>
          <w:p w:rsidR="00907B67" w:rsidRPr="00907B67" w:rsidRDefault="00907B67">
            <w:pPr>
              <w:spacing w:after="0" w:line="240" w:lineRule="auto"/>
              <w:rPr>
                <w:sz w:val="20"/>
                <w:szCs w:val="20"/>
                <w:lang w:eastAsia="es-MX"/>
              </w:rPr>
            </w:pPr>
          </w:p>
        </w:tc>
      </w:tr>
      <w:tr w:rsidR="00907B67" w:rsidRPr="00907B67" w:rsidTr="00907B67">
        <w:trPr>
          <w:trHeight w:val="210"/>
          <w:jc w:val="center"/>
        </w:trPr>
        <w:tc>
          <w:tcPr>
            <w:tcW w:w="483" w:type="dxa"/>
            <w:shd w:val="clear" w:color="auto" w:fill="FFFFFF"/>
            <w:hideMark/>
          </w:tcPr>
          <w:p w:rsidR="00907B67" w:rsidRPr="00907B67" w:rsidRDefault="00907B67">
            <w:pPr>
              <w:spacing w:after="0" w:line="240" w:lineRule="auto"/>
              <w:rPr>
                <w:rFonts w:eastAsia="Times New Roman" w:cs="Tahoma"/>
                <w:color w:val="000000"/>
                <w:sz w:val="20"/>
                <w:szCs w:val="20"/>
                <w:lang w:eastAsia="es-MX"/>
              </w:rPr>
            </w:pPr>
            <w:r w:rsidRPr="00907B67">
              <w:rPr>
                <w:rFonts w:eastAsia="Times New Roman" w:cs="Tahoma"/>
                <w:color w:val="000000"/>
                <w:sz w:val="20"/>
                <w:szCs w:val="20"/>
                <w:lang w:eastAsia="es-MX"/>
              </w:rPr>
              <w:t>D</w:t>
            </w:r>
          </w:p>
        </w:tc>
        <w:tc>
          <w:tcPr>
            <w:tcW w:w="720" w:type="dxa"/>
            <w:shd w:val="clear" w:color="auto" w:fill="FFFFFF"/>
            <w:hideMark/>
          </w:tcPr>
          <w:p w:rsidR="00907B67" w:rsidRPr="00907B67" w:rsidRDefault="00907B67">
            <w:pPr>
              <w:spacing w:after="0" w:line="240" w:lineRule="auto"/>
              <w:rPr>
                <w:rFonts w:eastAsia="Times New Roman" w:cs="Tahoma"/>
                <w:color w:val="000000"/>
                <w:sz w:val="20"/>
                <w:szCs w:val="20"/>
                <w:lang w:eastAsia="es-MX"/>
              </w:rPr>
            </w:pPr>
            <w:r w:rsidRPr="00907B67">
              <w:rPr>
                <w:rFonts w:eastAsia="Times New Roman" w:cs="Tahoma"/>
                <w:color w:val="000000"/>
                <w:sz w:val="20"/>
                <w:szCs w:val="20"/>
                <w:lang w:eastAsia="es-MX"/>
              </w:rPr>
              <w:t>8250</w:t>
            </w:r>
          </w:p>
        </w:tc>
        <w:tc>
          <w:tcPr>
            <w:tcW w:w="3132" w:type="dxa"/>
            <w:shd w:val="clear" w:color="auto" w:fill="FFFFFF"/>
            <w:hideMark/>
          </w:tcPr>
          <w:p w:rsidR="00907B67" w:rsidRPr="00907B67" w:rsidRDefault="00907B67">
            <w:pPr>
              <w:spacing w:after="0" w:line="240" w:lineRule="auto"/>
              <w:rPr>
                <w:rFonts w:eastAsia="Times New Roman" w:cs="Tahoma"/>
                <w:color w:val="000000"/>
                <w:sz w:val="20"/>
                <w:szCs w:val="20"/>
                <w:lang w:eastAsia="es-MX"/>
              </w:rPr>
            </w:pPr>
            <w:r w:rsidRPr="00907B67">
              <w:rPr>
                <w:rFonts w:eastAsia="Times New Roman" w:cs="Tahoma"/>
                <w:color w:val="000000"/>
                <w:sz w:val="20"/>
                <w:szCs w:val="20"/>
                <w:lang w:eastAsia="es-MX"/>
              </w:rPr>
              <w:t>PRESUPUESTO DE EGRESOS DEVENGADO</w:t>
            </w:r>
          </w:p>
        </w:tc>
        <w:tc>
          <w:tcPr>
            <w:tcW w:w="1205" w:type="dxa"/>
            <w:shd w:val="clear" w:color="auto" w:fill="FFFFFF"/>
            <w:hideMark/>
          </w:tcPr>
          <w:p w:rsidR="00907B67" w:rsidRPr="00907B67" w:rsidRDefault="00907B67">
            <w:pPr>
              <w:spacing w:after="0" w:line="240" w:lineRule="auto"/>
              <w:jc w:val="right"/>
              <w:rPr>
                <w:rFonts w:eastAsia="Times New Roman" w:cs="Tahoma"/>
                <w:color w:val="000000"/>
                <w:sz w:val="20"/>
                <w:szCs w:val="20"/>
                <w:lang w:eastAsia="es-MX"/>
              </w:rPr>
            </w:pPr>
            <w:r w:rsidRPr="00907B67">
              <w:rPr>
                <w:rFonts w:eastAsia="Times New Roman" w:cs="Tahoma"/>
                <w:color w:val="000000"/>
                <w:sz w:val="20"/>
                <w:szCs w:val="20"/>
                <w:lang w:eastAsia="es-MX"/>
              </w:rPr>
              <w:t>0.00</w:t>
            </w:r>
          </w:p>
        </w:tc>
        <w:tc>
          <w:tcPr>
            <w:tcW w:w="1156" w:type="dxa"/>
            <w:shd w:val="clear" w:color="auto" w:fill="FFFFFF"/>
            <w:hideMark/>
          </w:tcPr>
          <w:p w:rsidR="00907B67" w:rsidRPr="00907B67" w:rsidRDefault="00907B67">
            <w:pPr>
              <w:spacing w:after="0" w:line="240" w:lineRule="auto"/>
              <w:rPr>
                <w:sz w:val="20"/>
                <w:szCs w:val="20"/>
                <w:lang w:eastAsia="es-MX"/>
              </w:rPr>
            </w:pPr>
          </w:p>
        </w:tc>
      </w:tr>
      <w:tr w:rsidR="00907B67" w:rsidRPr="00907B67" w:rsidTr="00907B67">
        <w:trPr>
          <w:trHeight w:val="210"/>
          <w:jc w:val="center"/>
        </w:trPr>
        <w:tc>
          <w:tcPr>
            <w:tcW w:w="483" w:type="dxa"/>
            <w:shd w:val="clear" w:color="auto" w:fill="FFFFFF"/>
            <w:hideMark/>
          </w:tcPr>
          <w:p w:rsidR="00907B67" w:rsidRPr="00907B67" w:rsidRDefault="00907B67">
            <w:pPr>
              <w:spacing w:after="0" w:line="240" w:lineRule="auto"/>
              <w:rPr>
                <w:rFonts w:eastAsia="Times New Roman" w:cs="Tahoma"/>
                <w:color w:val="000000"/>
                <w:sz w:val="20"/>
                <w:szCs w:val="20"/>
                <w:lang w:eastAsia="es-MX"/>
              </w:rPr>
            </w:pPr>
            <w:r w:rsidRPr="00907B67">
              <w:rPr>
                <w:rFonts w:eastAsia="Times New Roman" w:cs="Tahoma"/>
                <w:color w:val="000000"/>
                <w:sz w:val="20"/>
                <w:szCs w:val="20"/>
                <w:lang w:eastAsia="es-MX"/>
              </w:rPr>
              <w:t>D</w:t>
            </w:r>
          </w:p>
        </w:tc>
        <w:tc>
          <w:tcPr>
            <w:tcW w:w="720" w:type="dxa"/>
            <w:shd w:val="clear" w:color="auto" w:fill="FFFFFF"/>
            <w:hideMark/>
          </w:tcPr>
          <w:p w:rsidR="00907B67" w:rsidRPr="00907B67" w:rsidRDefault="00907B67">
            <w:pPr>
              <w:spacing w:after="0" w:line="240" w:lineRule="auto"/>
              <w:rPr>
                <w:rFonts w:eastAsia="Times New Roman" w:cs="Tahoma"/>
                <w:color w:val="000000"/>
                <w:sz w:val="20"/>
                <w:szCs w:val="20"/>
                <w:lang w:eastAsia="es-MX"/>
              </w:rPr>
            </w:pPr>
            <w:r w:rsidRPr="00907B67">
              <w:rPr>
                <w:rFonts w:eastAsia="Times New Roman" w:cs="Tahoma"/>
                <w:color w:val="000000"/>
                <w:sz w:val="20"/>
                <w:szCs w:val="20"/>
                <w:lang w:eastAsia="es-MX"/>
              </w:rPr>
              <w:t>8260</w:t>
            </w:r>
          </w:p>
        </w:tc>
        <w:tc>
          <w:tcPr>
            <w:tcW w:w="3132" w:type="dxa"/>
            <w:shd w:val="clear" w:color="auto" w:fill="FFFFFF"/>
            <w:hideMark/>
          </w:tcPr>
          <w:p w:rsidR="00907B67" w:rsidRPr="00907B67" w:rsidRDefault="00907B67">
            <w:pPr>
              <w:spacing w:after="0" w:line="240" w:lineRule="auto"/>
              <w:rPr>
                <w:rFonts w:eastAsia="Times New Roman" w:cs="Tahoma"/>
                <w:color w:val="000000"/>
                <w:sz w:val="20"/>
                <w:szCs w:val="20"/>
                <w:lang w:eastAsia="es-MX"/>
              </w:rPr>
            </w:pPr>
            <w:r w:rsidRPr="00907B67">
              <w:rPr>
                <w:rFonts w:eastAsia="Times New Roman" w:cs="Tahoma"/>
                <w:color w:val="000000"/>
                <w:sz w:val="20"/>
                <w:szCs w:val="20"/>
                <w:lang w:eastAsia="es-MX"/>
              </w:rPr>
              <w:t>PRESUPUESTO DE EGRESOS EJERCIDO</w:t>
            </w:r>
          </w:p>
        </w:tc>
        <w:tc>
          <w:tcPr>
            <w:tcW w:w="1205" w:type="dxa"/>
            <w:shd w:val="clear" w:color="auto" w:fill="FFFFFF"/>
            <w:hideMark/>
          </w:tcPr>
          <w:p w:rsidR="00907B67" w:rsidRPr="00907B67" w:rsidRDefault="00907B67">
            <w:pPr>
              <w:spacing w:after="0" w:line="240" w:lineRule="auto"/>
              <w:jc w:val="right"/>
              <w:rPr>
                <w:rFonts w:eastAsia="Times New Roman" w:cs="Tahoma"/>
                <w:color w:val="000000"/>
                <w:sz w:val="20"/>
                <w:szCs w:val="20"/>
                <w:lang w:eastAsia="es-MX"/>
              </w:rPr>
            </w:pPr>
            <w:r w:rsidRPr="00907B67">
              <w:rPr>
                <w:rFonts w:eastAsia="Times New Roman" w:cs="Tahoma"/>
                <w:color w:val="000000"/>
                <w:sz w:val="20"/>
                <w:szCs w:val="20"/>
                <w:lang w:eastAsia="es-MX"/>
              </w:rPr>
              <w:t>0.00</w:t>
            </w:r>
          </w:p>
        </w:tc>
        <w:tc>
          <w:tcPr>
            <w:tcW w:w="1156" w:type="dxa"/>
            <w:shd w:val="clear" w:color="auto" w:fill="FFFFFF"/>
            <w:hideMark/>
          </w:tcPr>
          <w:p w:rsidR="00907B67" w:rsidRPr="00907B67" w:rsidRDefault="00907B67">
            <w:pPr>
              <w:spacing w:after="0" w:line="240" w:lineRule="auto"/>
              <w:rPr>
                <w:sz w:val="20"/>
                <w:szCs w:val="20"/>
                <w:lang w:eastAsia="es-MX"/>
              </w:rPr>
            </w:pPr>
          </w:p>
        </w:tc>
      </w:tr>
      <w:tr w:rsidR="00907B67" w:rsidRPr="00907B67" w:rsidTr="00907B67">
        <w:trPr>
          <w:trHeight w:val="210"/>
          <w:jc w:val="center"/>
        </w:trPr>
        <w:tc>
          <w:tcPr>
            <w:tcW w:w="483" w:type="dxa"/>
            <w:shd w:val="clear" w:color="auto" w:fill="FFFFFF"/>
            <w:hideMark/>
          </w:tcPr>
          <w:p w:rsidR="00907B67" w:rsidRPr="00907B67" w:rsidRDefault="00907B67">
            <w:pPr>
              <w:spacing w:after="0" w:line="240" w:lineRule="auto"/>
              <w:rPr>
                <w:rFonts w:eastAsia="Times New Roman" w:cs="Tahoma"/>
                <w:color w:val="000000"/>
                <w:sz w:val="20"/>
                <w:szCs w:val="20"/>
                <w:lang w:eastAsia="es-MX"/>
              </w:rPr>
            </w:pPr>
            <w:r w:rsidRPr="00907B67">
              <w:rPr>
                <w:rFonts w:eastAsia="Times New Roman" w:cs="Tahoma"/>
                <w:color w:val="000000"/>
                <w:sz w:val="20"/>
                <w:szCs w:val="20"/>
                <w:lang w:eastAsia="es-MX"/>
              </w:rPr>
              <w:t>D</w:t>
            </w:r>
          </w:p>
        </w:tc>
        <w:tc>
          <w:tcPr>
            <w:tcW w:w="720" w:type="dxa"/>
            <w:shd w:val="clear" w:color="auto" w:fill="FFFFFF"/>
            <w:hideMark/>
          </w:tcPr>
          <w:p w:rsidR="00907B67" w:rsidRPr="00907B67" w:rsidRDefault="00907B67">
            <w:pPr>
              <w:spacing w:after="0" w:line="240" w:lineRule="auto"/>
              <w:rPr>
                <w:rFonts w:eastAsia="Times New Roman" w:cs="Tahoma"/>
                <w:color w:val="000000"/>
                <w:sz w:val="20"/>
                <w:szCs w:val="20"/>
                <w:lang w:eastAsia="es-MX"/>
              </w:rPr>
            </w:pPr>
            <w:r w:rsidRPr="00907B67">
              <w:rPr>
                <w:rFonts w:eastAsia="Times New Roman" w:cs="Tahoma"/>
                <w:color w:val="000000"/>
                <w:sz w:val="20"/>
                <w:szCs w:val="20"/>
                <w:lang w:eastAsia="es-MX"/>
              </w:rPr>
              <w:t>8270</w:t>
            </w:r>
          </w:p>
        </w:tc>
        <w:tc>
          <w:tcPr>
            <w:tcW w:w="3132" w:type="dxa"/>
            <w:shd w:val="clear" w:color="auto" w:fill="FFFFFF"/>
            <w:hideMark/>
          </w:tcPr>
          <w:p w:rsidR="00907B67" w:rsidRPr="00907B67" w:rsidRDefault="00907B67">
            <w:pPr>
              <w:spacing w:after="0" w:line="240" w:lineRule="auto"/>
              <w:rPr>
                <w:rFonts w:eastAsia="Times New Roman" w:cs="Tahoma"/>
                <w:color w:val="000000"/>
                <w:sz w:val="20"/>
                <w:szCs w:val="20"/>
                <w:lang w:eastAsia="es-MX"/>
              </w:rPr>
            </w:pPr>
            <w:r w:rsidRPr="00907B67">
              <w:rPr>
                <w:rFonts w:eastAsia="Times New Roman" w:cs="Tahoma"/>
                <w:color w:val="000000"/>
                <w:sz w:val="20"/>
                <w:szCs w:val="20"/>
                <w:lang w:eastAsia="es-MX"/>
              </w:rPr>
              <w:t>PRESUPUESTO DE EGRESOS PAGADO</w:t>
            </w:r>
          </w:p>
        </w:tc>
        <w:tc>
          <w:tcPr>
            <w:tcW w:w="1205" w:type="dxa"/>
            <w:shd w:val="clear" w:color="auto" w:fill="FFFFFF"/>
            <w:hideMark/>
          </w:tcPr>
          <w:p w:rsidR="00907B67" w:rsidRPr="00907B67" w:rsidRDefault="00907B67">
            <w:pPr>
              <w:spacing w:after="0" w:line="240" w:lineRule="auto"/>
              <w:jc w:val="right"/>
              <w:rPr>
                <w:rFonts w:eastAsia="Times New Roman" w:cs="Tahoma"/>
                <w:color w:val="000000"/>
                <w:sz w:val="20"/>
                <w:szCs w:val="20"/>
                <w:lang w:eastAsia="es-MX"/>
              </w:rPr>
            </w:pPr>
            <w:r w:rsidRPr="00907B67">
              <w:rPr>
                <w:rFonts w:eastAsia="Times New Roman" w:cs="Tahoma"/>
                <w:color w:val="000000"/>
                <w:sz w:val="20"/>
                <w:szCs w:val="20"/>
                <w:lang w:eastAsia="es-MX"/>
              </w:rPr>
              <w:t>3142829.41</w:t>
            </w:r>
          </w:p>
        </w:tc>
        <w:tc>
          <w:tcPr>
            <w:tcW w:w="1156" w:type="dxa"/>
            <w:shd w:val="clear" w:color="auto" w:fill="FFFFFF"/>
            <w:hideMark/>
          </w:tcPr>
          <w:p w:rsidR="00907B67" w:rsidRPr="00907B67" w:rsidRDefault="00907B67">
            <w:pPr>
              <w:spacing w:after="0" w:line="240" w:lineRule="auto"/>
              <w:rPr>
                <w:sz w:val="20"/>
                <w:szCs w:val="20"/>
                <w:lang w:eastAsia="es-MX"/>
              </w:rPr>
            </w:pPr>
          </w:p>
        </w:tc>
      </w:tr>
    </w:tbl>
    <w:p w:rsidR="00594617" w:rsidRPr="00E21637" w:rsidRDefault="00594617" w:rsidP="006F3019">
      <w:pPr>
        <w:spacing w:line="240" w:lineRule="auto"/>
        <w:rPr>
          <w:rFonts w:cs="Arial"/>
          <w:b/>
          <w:sz w:val="20"/>
          <w:szCs w:val="20"/>
        </w:rPr>
      </w:pPr>
    </w:p>
    <w:p w:rsidR="00E21637" w:rsidRPr="00E21637" w:rsidRDefault="00E21637" w:rsidP="00C82600">
      <w:pPr>
        <w:spacing w:line="240" w:lineRule="auto"/>
        <w:jc w:val="both"/>
        <w:rPr>
          <w:rFonts w:cs="Arial"/>
          <w:sz w:val="20"/>
          <w:szCs w:val="20"/>
        </w:rPr>
      </w:pPr>
    </w:p>
    <w:p w:rsidR="002C58EF" w:rsidRPr="00E21637" w:rsidRDefault="00280AE9" w:rsidP="006F3019">
      <w:pPr>
        <w:spacing w:line="240" w:lineRule="auto"/>
        <w:rPr>
          <w:rFonts w:cs="Arial"/>
          <w:sz w:val="20"/>
          <w:szCs w:val="20"/>
        </w:rPr>
      </w:pPr>
      <w:r w:rsidRPr="00E21637">
        <w:rPr>
          <w:rFonts w:cs="Arial"/>
          <w:sz w:val="20"/>
          <w:szCs w:val="20"/>
        </w:rPr>
        <w:t>Bajo protesta de decir</w:t>
      </w:r>
      <w:r w:rsidR="002C58EF" w:rsidRPr="00E21637">
        <w:rPr>
          <w:rFonts w:cs="Arial"/>
          <w:sz w:val="20"/>
          <w:szCs w:val="20"/>
        </w:rPr>
        <w:t xml:space="preserve"> verdad declaramos que</w:t>
      </w:r>
      <w:r w:rsidR="00E21637">
        <w:rPr>
          <w:rFonts w:cs="Arial"/>
          <w:sz w:val="20"/>
          <w:szCs w:val="20"/>
        </w:rPr>
        <w:t xml:space="preserve"> los Estados Financieros y sus N</w:t>
      </w:r>
      <w:r w:rsidR="002C58EF" w:rsidRPr="00E21637">
        <w:rPr>
          <w:rFonts w:cs="Arial"/>
          <w:sz w:val="20"/>
          <w:szCs w:val="20"/>
        </w:rPr>
        <w:t>otas son razonablemente correctos y responsabilidad del emisor.</w:t>
      </w:r>
    </w:p>
    <w:sectPr w:rsidR="002C58EF" w:rsidRPr="00E21637" w:rsidSect="009A29F6">
      <w:pgSz w:w="15840" w:h="12240" w:orient="landscape"/>
      <w:pgMar w:top="2835"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2"/>
  </w:compat>
  <w:rsids>
    <w:rsidRoot w:val="009F0748"/>
    <w:rsid w:val="000773CA"/>
    <w:rsid w:val="00157AC7"/>
    <w:rsid w:val="001D20BD"/>
    <w:rsid w:val="00280AE9"/>
    <w:rsid w:val="0028283E"/>
    <w:rsid w:val="002C58EF"/>
    <w:rsid w:val="003129FF"/>
    <w:rsid w:val="003843EA"/>
    <w:rsid w:val="003939AE"/>
    <w:rsid w:val="00394ECC"/>
    <w:rsid w:val="003E2DC9"/>
    <w:rsid w:val="003E5BEC"/>
    <w:rsid w:val="005620D4"/>
    <w:rsid w:val="00594617"/>
    <w:rsid w:val="00626DFB"/>
    <w:rsid w:val="0067300E"/>
    <w:rsid w:val="006F0BF0"/>
    <w:rsid w:val="006F3019"/>
    <w:rsid w:val="00787236"/>
    <w:rsid w:val="00832104"/>
    <w:rsid w:val="00907B67"/>
    <w:rsid w:val="00915AD7"/>
    <w:rsid w:val="00994E4E"/>
    <w:rsid w:val="00997709"/>
    <w:rsid w:val="009A29F6"/>
    <w:rsid w:val="009F0748"/>
    <w:rsid w:val="00B356F2"/>
    <w:rsid w:val="00B56042"/>
    <w:rsid w:val="00BF6CAF"/>
    <w:rsid w:val="00C07B90"/>
    <w:rsid w:val="00C82600"/>
    <w:rsid w:val="00CC7969"/>
    <w:rsid w:val="00D83798"/>
    <w:rsid w:val="00E21637"/>
    <w:rsid w:val="00FA05F0"/>
    <w:rsid w:val="00FD6C37"/>
    <w:rsid w:val="00FF390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C37"/>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rsid w:val="00FF3901"/>
    <w:pPr>
      <w:spacing w:after="0" w:line="240" w:lineRule="auto"/>
    </w:pPr>
    <w:rPr>
      <w:rFonts w:ascii="Times New Roman" w:eastAsia="Times New Roman" w:hAnsi="Times New Roman" w:cs="Times New Roman"/>
      <w:sz w:val="20"/>
      <w:szCs w:val="20"/>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E216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216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rsid w:val="00FF3901"/>
    <w:pPr>
      <w:spacing w:after="0" w:line="240" w:lineRule="auto"/>
    </w:pPr>
    <w:rPr>
      <w:rFonts w:ascii="Times New Roman" w:eastAsia="Times New Roman" w:hAnsi="Times New Roman" w:cs="Times New Roman"/>
      <w:sz w:val="20"/>
      <w:szCs w:val="20"/>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682709">
      <w:bodyDiv w:val="1"/>
      <w:marLeft w:val="0"/>
      <w:marRight w:val="0"/>
      <w:marTop w:val="0"/>
      <w:marBottom w:val="0"/>
      <w:divBdr>
        <w:top w:val="none" w:sz="0" w:space="0" w:color="auto"/>
        <w:left w:val="none" w:sz="0" w:space="0" w:color="auto"/>
        <w:bottom w:val="none" w:sz="0" w:space="0" w:color="auto"/>
        <w:right w:val="none" w:sz="0" w:space="0" w:color="auto"/>
      </w:divBdr>
    </w:div>
    <w:div w:id="108588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15</Pages>
  <Words>4314</Words>
  <Characters>23730</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27989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A. Hernandez Cruz</dc:creator>
  <cp:lastModifiedBy>Sharon Y. Lara Medrano</cp:lastModifiedBy>
  <cp:revision>11</cp:revision>
  <cp:lastPrinted>2015-12-03T22:33:00Z</cp:lastPrinted>
  <dcterms:created xsi:type="dcterms:W3CDTF">2016-03-27T20:35:00Z</dcterms:created>
  <dcterms:modified xsi:type="dcterms:W3CDTF">2018-05-03T20:32:00Z</dcterms:modified>
</cp:coreProperties>
</file>