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C0" w:rsidRDefault="006D33C0"/>
    <w:tbl>
      <w:tblPr>
        <w:tblpPr w:leftFromText="141" w:rightFromText="141" w:vertAnchor="page" w:horzAnchor="margin" w:tblpY="1966"/>
        <w:tblW w:w="4668" w:type="pct"/>
        <w:tblCellMar>
          <w:left w:w="70" w:type="dxa"/>
          <w:right w:w="70" w:type="dxa"/>
        </w:tblCellMar>
        <w:tblLook w:val="04A0" w:firstRow="1" w:lastRow="0" w:firstColumn="1" w:lastColumn="0" w:noHBand="0" w:noVBand="1"/>
      </w:tblPr>
      <w:tblGrid>
        <w:gridCol w:w="684"/>
        <w:gridCol w:w="3173"/>
        <w:gridCol w:w="687"/>
        <w:gridCol w:w="618"/>
        <w:gridCol w:w="451"/>
        <w:gridCol w:w="234"/>
        <w:gridCol w:w="216"/>
        <w:gridCol w:w="234"/>
        <w:gridCol w:w="82"/>
        <w:gridCol w:w="318"/>
        <w:gridCol w:w="47"/>
        <w:gridCol w:w="254"/>
        <w:gridCol w:w="63"/>
        <w:gridCol w:w="242"/>
        <w:gridCol w:w="76"/>
        <w:gridCol w:w="163"/>
        <w:gridCol w:w="66"/>
        <w:gridCol w:w="73"/>
        <w:gridCol w:w="81"/>
        <w:gridCol w:w="224"/>
        <w:gridCol w:w="9"/>
        <w:gridCol w:w="1906"/>
        <w:gridCol w:w="1310"/>
        <w:gridCol w:w="406"/>
        <w:gridCol w:w="455"/>
        <w:gridCol w:w="146"/>
        <w:gridCol w:w="146"/>
        <w:gridCol w:w="146"/>
        <w:gridCol w:w="146"/>
        <w:gridCol w:w="146"/>
      </w:tblGrid>
      <w:tr w:rsidR="00C62E23" w:rsidRPr="00C62E23" w:rsidTr="006D33C0">
        <w:trPr>
          <w:trHeight w:val="293"/>
        </w:trPr>
        <w:tc>
          <w:tcPr>
            <w:tcW w:w="5000" w:type="pct"/>
            <w:gridSpan w:val="30"/>
            <w:tcBorders>
              <w:top w:val="nil"/>
              <w:left w:val="nil"/>
              <w:bottom w:val="nil"/>
              <w:right w:val="nil"/>
            </w:tcBorders>
            <w:shd w:val="clear" w:color="auto" w:fill="auto"/>
            <w:noWrap/>
            <w:vAlign w:val="bottom"/>
            <w:hideMark/>
          </w:tcPr>
          <w:p w:rsidR="006D33C0" w:rsidRDefault="006D33C0" w:rsidP="006D33C0">
            <w:pPr>
              <w:spacing w:after="0" w:line="240" w:lineRule="auto"/>
              <w:jc w:val="center"/>
              <w:rPr>
                <w:rFonts w:ascii="Calibri" w:eastAsia="Times New Roman" w:hAnsi="Calibri" w:cs="Arial"/>
                <w:b/>
                <w:bCs/>
                <w:sz w:val="20"/>
                <w:szCs w:val="20"/>
                <w:lang w:eastAsia="es-MX"/>
              </w:rPr>
            </w:pPr>
          </w:p>
          <w:p w:rsidR="006D33C0" w:rsidRDefault="006D33C0" w:rsidP="006D33C0">
            <w:pPr>
              <w:spacing w:after="0" w:line="240" w:lineRule="auto"/>
              <w:jc w:val="center"/>
              <w:rPr>
                <w:rFonts w:ascii="Calibri" w:eastAsia="Times New Roman" w:hAnsi="Calibri" w:cs="Arial"/>
                <w:b/>
                <w:bCs/>
                <w:sz w:val="20"/>
                <w:szCs w:val="20"/>
                <w:lang w:eastAsia="es-MX"/>
              </w:rPr>
            </w:pPr>
          </w:p>
          <w:p w:rsidR="00C62E23" w:rsidRPr="00C62E23" w:rsidRDefault="00C62E23"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Cuenta Pública 2017</w:t>
            </w:r>
          </w:p>
        </w:tc>
      </w:tr>
      <w:tr w:rsidR="00C62E23" w:rsidRPr="00C62E23" w:rsidTr="006D33C0">
        <w:trPr>
          <w:trHeight w:val="293"/>
        </w:trPr>
        <w:tc>
          <w:tcPr>
            <w:tcW w:w="5000" w:type="pct"/>
            <w:gridSpan w:val="30"/>
            <w:tcBorders>
              <w:top w:val="nil"/>
              <w:left w:val="nil"/>
              <w:bottom w:val="nil"/>
              <w:right w:val="nil"/>
            </w:tcBorders>
            <w:shd w:val="clear" w:color="auto" w:fill="auto"/>
            <w:noWrap/>
            <w:vAlign w:val="bottom"/>
            <w:hideMark/>
          </w:tcPr>
          <w:p w:rsidR="00C62E23" w:rsidRPr="00C62E23" w:rsidRDefault="00C62E23"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xml:space="preserve">Notas a los Estados Financieros  </w:t>
            </w:r>
          </w:p>
        </w:tc>
      </w:tr>
      <w:tr w:rsidR="00C62E23" w:rsidRPr="00C62E23" w:rsidTr="006D33C0">
        <w:trPr>
          <w:trHeight w:val="293"/>
        </w:trPr>
        <w:tc>
          <w:tcPr>
            <w:tcW w:w="5000" w:type="pct"/>
            <w:gridSpan w:val="30"/>
            <w:tcBorders>
              <w:top w:val="nil"/>
              <w:left w:val="nil"/>
              <w:bottom w:val="nil"/>
              <w:right w:val="nil"/>
            </w:tcBorders>
            <w:shd w:val="clear" w:color="auto" w:fill="auto"/>
            <w:noWrap/>
            <w:vAlign w:val="bottom"/>
            <w:hideMark/>
          </w:tcPr>
          <w:p w:rsidR="00C62E23" w:rsidRDefault="00775754" w:rsidP="006D33C0">
            <w:pPr>
              <w:spacing w:after="0" w:line="240" w:lineRule="auto"/>
              <w:jc w:val="center"/>
              <w:rPr>
                <w:rFonts w:ascii="Calibri" w:eastAsia="Times New Roman" w:hAnsi="Calibri" w:cs="Arial"/>
                <w:b/>
                <w:bCs/>
                <w:sz w:val="20"/>
                <w:szCs w:val="20"/>
                <w:lang w:eastAsia="es-MX"/>
              </w:rPr>
            </w:pPr>
            <w:r>
              <w:rPr>
                <w:rFonts w:ascii="Calibri" w:eastAsia="Times New Roman" w:hAnsi="Calibri" w:cs="Arial"/>
                <w:b/>
                <w:bCs/>
                <w:sz w:val="20"/>
                <w:szCs w:val="20"/>
                <w:lang w:eastAsia="es-MX"/>
              </w:rPr>
              <w:t>Al 31</w:t>
            </w:r>
            <w:r w:rsidR="00A970ED">
              <w:rPr>
                <w:rFonts w:ascii="Calibri" w:eastAsia="Times New Roman" w:hAnsi="Calibri" w:cs="Arial"/>
                <w:b/>
                <w:bCs/>
                <w:sz w:val="20"/>
                <w:szCs w:val="20"/>
                <w:lang w:eastAsia="es-MX"/>
              </w:rPr>
              <w:t xml:space="preserve"> de </w:t>
            </w:r>
            <w:r>
              <w:rPr>
                <w:rFonts w:ascii="Calibri" w:eastAsia="Times New Roman" w:hAnsi="Calibri" w:cs="Arial"/>
                <w:b/>
                <w:bCs/>
                <w:sz w:val="20"/>
                <w:szCs w:val="20"/>
                <w:lang w:eastAsia="es-MX"/>
              </w:rPr>
              <w:t>Marzo</w:t>
            </w:r>
            <w:r w:rsidR="00A970ED">
              <w:rPr>
                <w:rFonts w:ascii="Calibri" w:eastAsia="Times New Roman" w:hAnsi="Calibri" w:cs="Arial"/>
                <w:b/>
                <w:bCs/>
                <w:sz w:val="20"/>
                <w:szCs w:val="20"/>
                <w:lang w:eastAsia="es-MX"/>
              </w:rPr>
              <w:t xml:space="preserve"> </w:t>
            </w:r>
            <w:r w:rsidR="00C62E23" w:rsidRPr="00C62E23">
              <w:rPr>
                <w:rFonts w:ascii="Calibri" w:eastAsia="Times New Roman" w:hAnsi="Calibri" w:cs="Arial"/>
                <w:b/>
                <w:bCs/>
                <w:sz w:val="20"/>
                <w:szCs w:val="20"/>
                <w:lang w:eastAsia="es-MX"/>
              </w:rPr>
              <w:t>de 2017</w:t>
            </w:r>
          </w:p>
          <w:p w:rsidR="006D33C0" w:rsidRPr="00C62E23" w:rsidRDefault="006D33C0" w:rsidP="006D33C0">
            <w:pPr>
              <w:spacing w:after="0" w:line="240" w:lineRule="auto"/>
              <w:jc w:val="center"/>
              <w:rPr>
                <w:rFonts w:ascii="Calibri" w:eastAsia="Times New Roman" w:hAnsi="Calibri" w:cs="Arial"/>
                <w:b/>
                <w:bCs/>
                <w:sz w:val="20"/>
                <w:szCs w:val="20"/>
                <w:lang w:eastAsia="es-MX"/>
              </w:rPr>
            </w:pPr>
            <w:r>
              <w:rPr>
                <w:rFonts w:ascii="Calibri" w:eastAsia="Times New Roman" w:hAnsi="Calibri" w:cs="Arial"/>
                <w:b/>
                <w:bCs/>
                <w:sz w:val="20"/>
                <w:szCs w:val="20"/>
                <w:lang w:eastAsia="es-MX"/>
              </w:rPr>
              <w:t>(Pesos)</w:t>
            </w:r>
          </w:p>
        </w:tc>
      </w:tr>
      <w:tr w:rsidR="006D33C0" w:rsidRPr="00C62E23" w:rsidTr="006D33C0">
        <w:trPr>
          <w:gridAfter w:val="13"/>
          <w:wAfter w:w="2017" w:type="pct"/>
          <w:trHeight w:val="293"/>
        </w:trPr>
        <w:tc>
          <w:tcPr>
            <w:tcW w:w="1508" w:type="pct"/>
            <w:gridSpan w:val="2"/>
            <w:tcBorders>
              <w:top w:val="nil"/>
              <w:left w:val="nil"/>
              <w:bottom w:val="nil"/>
              <w:right w:val="nil"/>
            </w:tcBorders>
            <w:shd w:val="clear" w:color="auto" w:fill="auto"/>
            <w:noWrap/>
            <w:vAlign w:val="bottom"/>
            <w:hideMark/>
          </w:tcPr>
          <w:p w:rsidR="006D33C0" w:rsidRPr="00815DD2" w:rsidRDefault="006D33C0" w:rsidP="006D33C0">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NOTAS DE DESGLOSE</w:t>
            </w:r>
          </w:p>
        </w:tc>
        <w:tc>
          <w:tcPr>
            <w:tcW w:w="511"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77"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77"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5"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5"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19"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0"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0" w:type="pct"/>
            <w:gridSpan w:val="3"/>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r>
      <w:tr w:rsidR="006D33C0" w:rsidRPr="00C62E23" w:rsidTr="006D33C0">
        <w:trPr>
          <w:gridAfter w:val="10"/>
          <w:wAfter w:w="1869" w:type="pct"/>
          <w:trHeight w:val="293"/>
        </w:trPr>
        <w:tc>
          <w:tcPr>
            <w:tcW w:w="268" w:type="pct"/>
            <w:tcBorders>
              <w:top w:val="nil"/>
              <w:left w:val="nil"/>
              <w:bottom w:val="nil"/>
              <w:right w:val="nil"/>
            </w:tcBorders>
            <w:shd w:val="clear" w:color="auto" w:fill="auto"/>
            <w:noWrap/>
            <w:vAlign w:val="bottom"/>
            <w:hideMark/>
          </w:tcPr>
          <w:p w:rsidR="006D33C0" w:rsidRPr="00815DD2" w:rsidRDefault="006D33C0" w:rsidP="006D33C0">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A)</w:t>
            </w:r>
          </w:p>
        </w:tc>
        <w:tc>
          <w:tcPr>
            <w:tcW w:w="1509" w:type="pct"/>
            <w:gridSpan w:val="2"/>
            <w:tcBorders>
              <w:top w:val="nil"/>
              <w:left w:val="nil"/>
              <w:bottom w:val="nil"/>
              <w:right w:val="nil"/>
            </w:tcBorders>
            <w:shd w:val="clear" w:color="auto" w:fill="auto"/>
            <w:noWrap/>
            <w:vAlign w:val="bottom"/>
            <w:hideMark/>
          </w:tcPr>
          <w:p w:rsidR="006D33C0" w:rsidRPr="00815DD2" w:rsidRDefault="006D33C0" w:rsidP="006D33C0">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Notas al Estado de Situación Financiera</w:t>
            </w:r>
          </w:p>
        </w:tc>
        <w:tc>
          <w:tcPr>
            <w:tcW w:w="511" w:type="pct"/>
            <w:gridSpan w:val="3"/>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77"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77" w:type="pct"/>
            <w:gridSpan w:val="3"/>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5"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5"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19" w:type="pct"/>
            <w:gridSpan w:val="3"/>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120"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r>
      <w:tr w:rsidR="006D33C0" w:rsidRPr="00C62E23" w:rsidTr="006D33C0">
        <w:trPr>
          <w:trHeight w:val="293"/>
        </w:trPr>
        <w:tc>
          <w:tcPr>
            <w:tcW w:w="3135" w:type="pct"/>
            <w:gridSpan w:val="21"/>
            <w:tcBorders>
              <w:top w:val="nil"/>
              <w:left w:val="nil"/>
              <w:bottom w:val="nil"/>
              <w:right w:val="nil"/>
            </w:tcBorders>
            <w:shd w:val="clear" w:color="auto" w:fill="auto"/>
            <w:noWrap/>
            <w:vAlign w:val="bottom"/>
            <w:hideMark/>
          </w:tcPr>
          <w:p w:rsidR="006D33C0" w:rsidRPr="00815DD2" w:rsidRDefault="006D33C0" w:rsidP="006D33C0">
            <w:pPr>
              <w:spacing w:after="0" w:line="240" w:lineRule="auto"/>
              <w:rPr>
                <w:rFonts w:ascii="Calibri" w:eastAsia="Times New Roman" w:hAnsi="Calibri" w:cs="Arial"/>
                <w:b/>
                <w:bCs/>
                <w:lang w:eastAsia="es-MX"/>
              </w:rPr>
            </w:pPr>
          </w:p>
          <w:p w:rsidR="006D33C0" w:rsidRDefault="006D33C0" w:rsidP="006D33C0">
            <w:pPr>
              <w:spacing w:after="0" w:line="240" w:lineRule="auto"/>
              <w:rPr>
                <w:rFonts w:ascii="Calibri" w:eastAsia="Times New Roman" w:hAnsi="Calibri" w:cs="Arial"/>
                <w:b/>
                <w:bCs/>
                <w:lang w:eastAsia="es-MX"/>
              </w:rPr>
            </w:pPr>
            <w:r w:rsidRPr="00815DD2">
              <w:rPr>
                <w:rFonts w:ascii="Calibri" w:eastAsia="Times New Roman" w:hAnsi="Calibri" w:cs="Arial"/>
                <w:b/>
                <w:bCs/>
                <w:lang w:eastAsia="es-MX"/>
              </w:rPr>
              <w:t>Nota 1A-1</w:t>
            </w:r>
          </w:p>
          <w:p w:rsidR="006D33C0" w:rsidRDefault="006D33C0" w:rsidP="006D33C0">
            <w:pPr>
              <w:spacing w:after="0" w:line="240" w:lineRule="auto"/>
              <w:rPr>
                <w:rFonts w:ascii="Calibri" w:eastAsia="Times New Roman" w:hAnsi="Calibri" w:cs="Arial"/>
                <w:b/>
                <w:bCs/>
                <w:lang w:eastAsia="es-MX"/>
              </w:rPr>
            </w:pPr>
          </w:p>
          <w:p w:rsidR="006D33C0" w:rsidRDefault="006D33C0" w:rsidP="006D33C0">
            <w:pPr>
              <w:spacing w:after="0" w:line="240" w:lineRule="auto"/>
              <w:rPr>
                <w:rFonts w:ascii="Calibri" w:eastAsia="Times New Roman" w:hAnsi="Calibri" w:cs="Arial"/>
                <w:b/>
                <w:bCs/>
                <w:lang w:eastAsia="es-MX"/>
              </w:rPr>
            </w:pPr>
          </w:p>
          <w:p w:rsidR="006D33C0" w:rsidRDefault="006D33C0" w:rsidP="006D33C0">
            <w:pPr>
              <w:spacing w:after="0" w:line="240" w:lineRule="auto"/>
              <w:rPr>
                <w:rFonts w:ascii="Calibri" w:eastAsia="Times New Roman" w:hAnsi="Calibri" w:cs="Arial"/>
                <w:b/>
                <w:bCs/>
                <w:lang w:eastAsia="es-MX"/>
              </w:rPr>
            </w:pPr>
          </w:p>
          <w:p w:rsidR="006D33C0" w:rsidRPr="00815DD2" w:rsidRDefault="006D33C0" w:rsidP="006D33C0">
            <w:pPr>
              <w:spacing w:after="0" w:line="240" w:lineRule="auto"/>
              <w:rPr>
                <w:rFonts w:ascii="Calibri" w:eastAsia="Times New Roman" w:hAnsi="Calibri" w:cs="Arial"/>
                <w:b/>
                <w:bCs/>
                <w:lang w:eastAsia="es-MX"/>
              </w:rPr>
            </w:pPr>
          </w:p>
        </w:tc>
        <w:tc>
          <w:tcPr>
            <w:tcW w:w="745"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512"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159"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17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p>
        </w:tc>
      </w:tr>
      <w:tr w:rsidR="006D33C0" w:rsidRPr="00C62E23" w:rsidTr="006D33C0">
        <w:trPr>
          <w:trHeight w:val="140"/>
        </w:trPr>
        <w:tc>
          <w:tcPr>
            <w:tcW w:w="2956" w:type="pct"/>
            <w:gridSpan w:val="16"/>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87" w:type="pct"/>
            <w:gridSpan w:val="3"/>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p>
        </w:tc>
        <w:tc>
          <w:tcPr>
            <w:tcW w:w="91"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745"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12"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159"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17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r>
      <w:tr w:rsidR="006D33C0" w:rsidRPr="00C62E23" w:rsidTr="006D33C0">
        <w:trPr>
          <w:trHeight w:val="238"/>
        </w:trPr>
        <w:tc>
          <w:tcPr>
            <w:tcW w:w="2956" w:type="pct"/>
            <w:gridSpan w:val="16"/>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Activo</w:t>
            </w:r>
          </w:p>
        </w:tc>
        <w:tc>
          <w:tcPr>
            <w:tcW w:w="87" w:type="pct"/>
            <w:gridSpan w:val="3"/>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91" w:type="pct"/>
            <w:gridSpan w:val="2"/>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745"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12"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159"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17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r>
      <w:tr w:rsidR="006D33C0" w:rsidRPr="00C62E23" w:rsidTr="006D33C0">
        <w:trPr>
          <w:trHeight w:val="238"/>
        </w:trPr>
        <w:tc>
          <w:tcPr>
            <w:tcW w:w="3135" w:type="pct"/>
            <w:gridSpan w:val="21"/>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Efectivo y Equivalentes</w:t>
            </w:r>
          </w:p>
        </w:tc>
        <w:tc>
          <w:tcPr>
            <w:tcW w:w="745"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12"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159"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17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r>
      <w:tr w:rsidR="006D33C0" w:rsidRPr="00C62E23" w:rsidTr="006D33C0">
        <w:trPr>
          <w:trHeight w:val="238"/>
        </w:trPr>
        <w:tc>
          <w:tcPr>
            <w:tcW w:w="4550" w:type="pct"/>
            <w:gridSpan w:val="24"/>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r w:rsidRPr="00C62E23">
              <w:rPr>
                <w:rFonts w:ascii="Calibri" w:eastAsia="Times New Roman" w:hAnsi="Calibri" w:cs="Arial"/>
                <w:sz w:val="20"/>
                <w:szCs w:val="20"/>
                <w:lang w:eastAsia="es-MX"/>
              </w:rPr>
              <w:t>El rubro Efectivo y Equivalentes está integrado por las siguientes cuentas y subcuentas:</w:t>
            </w:r>
          </w:p>
        </w:tc>
        <w:tc>
          <w:tcPr>
            <w:tcW w:w="17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r>
      <w:tr w:rsidR="006D33C0" w:rsidRPr="00C62E23" w:rsidTr="006D33C0">
        <w:trPr>
          <w:trHeight w:val="238"/>
        </w:trPr>
        <w:tc>
          <w:tcPr>
            <w:tcW w:w="3135" w:type="pct"/>
            <w:gridSpan w:val="21"/>
            <w:tcBorders>
              <w:top w:val="single" w:sz="4" w:space="0" w:color="auto"/>
              <w:left w:val="single" w:sz="4" w:space="0" w:color="auto"/>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Nota 1A-1</w:t>
            </w:r>
          </w:p>
        </w:tc>
        <w:tc>
          <w:tcPr>
            <w:tcW w:w="745" w:type="pct"/>
            <w:tcBorders>
              <w:top w:val="single" w:sz="4" w:space="0" w:color="auto"/>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512" w:type="pct"/>
            <w:tcBorders>
              <w:top w:val="single" w:sz="4" w:space="0" w:color="auto"/>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159" w:type="pct"/>
            <w:tcBorders>
              <w:top w:val="single" w:sz="4" w:space="0" w:color="auto"/>
              <w:left w:val="nil"/>
              <w:bottom w:val="nil"/>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178" w:type="pct"/>
            <w:tcBorders>
              <w:top w:val="single" w:sz="4" w:space="0" w:color="auto"/>
              <w:left w:val="nil"/>
              <w:bottom w:val="nil"/>
              <w:right w:val="single" w:sz="4" w:space="0" w:color="auto"/>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r>
      <w:tr w:rsidR="006D33C0" w:rsidRPr="00C62E23" w:rsidTr="006D33C0">
        <w:trPr>
          <w:trHeight w:val="238"/>
        </w:trPr>
        <w:tc>
          <w:tcPr>
            <w:tcW w:w="3135" w:type="pct"/>
            <w:gridSpan w:val="21"/>
            <w:tcBorders>
              <w:top w:val="nil"/>
              <w:left w:val="single" w:sz="4" w:space="0" w:color="auto"/>
              <w:bottom w:val="single" w:sz="4" w:space="0" w:color="auto"/>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Efectivo y Equivalentes</w:t>
            </w:r>
          </w:p>
        </w:tc>
        <w:tc>
          <w:tcPr>
            <w:tcW w:w="745" w:type="pct"/>
            <w:tcBorders>
              <w:top w:val="nil"/>
              <w:left w:val="nil"/>
              <w:bottom w:val="single" w:sz="4" w:space="0" w:color="auto"/>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512" w:type="pct"/>
            <w:tcBorders>
              <w:top w:val="nil"/>
              <w:left w:val="nil"/>
              <w:bottom w:val="single" w:sz="4" w:space="0" w:color="auto"/>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159" w:type="pct"/>
            <w:tcBorders>
              <w:top w:val="nil"/>
              <w:left w:val="nil"/>
              <w:bottom w:val="single" w:sz="4" w:space="0" w:color="auto"/>
              <w:right w:val="nil"/>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178" w:type="pct"/>
            <w:tcBorders>
              <w:top w:val="nil"/>
              <w:left w:val="nil"/>
              <w:bottom w:val="single" w:sz="4" w:space="0" w:color="auto"/>
              <w:right w:val="single" w:sz="4" w:space="0" w:color="auto"/>
            </w:tcBorders>
            <w:shd w:val="clear" w:color="auto" w:fill="auto"/>
            <w:noWrap/>
            <w:vAlign w:val="bottom"/>
            <w:hideMark/>
          </w:tcPr>
          <w:p w:rsidR="006D33C0" w:rsidRPr="00C62E23" w:rsidRDefault="006D33C0" w:rsidP="006D33C0">
            <w:pPr>
              <w:spacing w:after="0" w:line="240" w:lineRule="auto"/>
              <w:jc w:val="center"/>
              <w:rPr>
                <w:rFonts w:ascii="Calibri" w:eastAsia="Times New Roman" w:hAnsi="Calibri" w:cs="Arial"/>
                <w:b/>
                <w:bCs/>
                <w:sz w:val="20"/>
                <w:szCs w:val="20"/>
                <w:lang w:eastAsia="es-MX"/>
              </w:rPr>
            </w:pPr>
            <w:r w:rsidRPr="00C62E23">
              <w:rPr>
                <w:rFonts w:ascii="Calibri" w:eastAsia="Times New Roman" w:hAnsi="Calibri" w:cs="Arial"/>
                <w:b/>
                <w:bCs/>
                <w:sz w:val="20"/>
                <w:szCs w:val="20"/>
                <w:lang w:eastAsia="es-MX"/>
              </w:rPr>
              <w:t> </w:t>
            </w: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4"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c>
          <w:tcPr>
            <w:tcW w:w="58" w:type="pct"/>
            <w:tcBorders>
              <w:top w:val="nil"/>
              <w:left w:val="nil"/>
              <w:bottom w:val="nil"/>
              <w:right w:val="nil"/>
            </w:tcBorders>
            <w:shd w:val="clear" w:color="auto" w:fill="auto"/>
            <w:noWrap/>
            <w:vAlign w:val="bottom"/>
            <w:hideMark/>
          </w:tcPr>
          <w:p w:rsidR="006D33C0" w:rsidRPr="00C62E23" w:rsidRDefault="006D33C0" w:rsidP="006D33C0">
            <w:pPr>
              <w:spacing w:after="0" w:line="240" w:lineRule="auto"/>
              <w:rPr>
                <w:rFonts w:ascii="Calibri" w:eastAsia="Times New Roman" w:hAnsi="Calibri" w:cs="Arial"/>
                <w:sz w:val="20"/>
                <w:szCs w:val="20"/>
                <w:lang w:eastAsia="es-MX"/>
              </w:rPr>
            </w:pPr>
          </w:p>
        </w:tc>
      </w:tr>
    </w:tbl>
    <w:tbl>
      <w:tblPr>
        <w:tblpPr w:leftFromText="141" w:rightFromText="141" w:vertAnchor="text" w:tblpY="-7252"/>
        <w:tblOverlap w:val="never"/>
        <w:tblW w:w="5000" w:type="pct"/>
        <w:tblCellSpacing w:w="0" w:type="dxa"/>
        <w:tblCellMar>
          <w:left w:w="0" w:type="dxa"/>
          <w:right w:w="0" w:type="dxa"/>
        </w:tblCellMar>
        <w:tblLook w:val="04A0" w:firstRow="1" w:lastRow="0" w:firstColumn="1" w:lastColumn="0" w:noHBand="0" w:noVBand="1"/>
      </w:tblPr>
      <w:tblGrid>
        <w:gridCol w:w="13572"/>
      </w:tblGrid>
      <w:tr w:rsidR="00C62E23" w:rsidRPr="00C62E23" w:rsidTr="00C62E23">
        <w:trPr>
          <w:trHeight w:val="315"/>
          <w:tblCellSpacing w:w="0" w:type="dxa"/>
        </w:trPr>
        <w:tc>
          <w:tcPr>
            <w:tcW w:w="5000" w:type="pct"/>
            <w:tcBorders>
              <w:top w:val="nil"/>
              <w:left w:val="nil"/>
              <w:bottom w:val="nil"/>
              <w:right w:val="nil"/>
            </w:tcBorders>
            <w:shd w:val="clear" w:color="auto" w:fill="auto"/>
            <w:noWrap/>
            <w:vAlign w:val="bottom"/>
            <w:hideMark/>
          </w:tcPr>
          <w:p w:rsidR="00C62E23" w:rsidRPr="00C62E23" w:rsidRDefault="00C62E23" w:rsidP="00C62E23">
            <w:pPr>
              <w:spacing w:after="0" w:line="240" w:lineRule="auto"/>
              <w:jc w:val="center"/>
              <w:rPr>
                <w:rFonts w:ascii="Calibri" w:eastAsia="Times New Roman" w:hAnsi="Calibri" w:cs="Arial"/>
                <w:b/>
                <w:bCs/>
                <w:sz w:val="20"/>
                <w:szCs w:val="20"/>
                <w:lang w:eastAsia="es-MX"/>
              </w:rPr>
            </w:pPr>
          </w:p>
        </w:tc>
      </w:tr>
    </w:tbl>
    <w:tbl>
      <w:tblPr>
        <w:tblW w:w="6988" w:type="dxa"/>
        <w:tblInd w:w="70" w:type="dxa"/>
        <w:tblCellMar>
          <w:left w:w="70" w:type="dxa"/>
          <w:right w:w="70" w:type="dxa"/>
        </w:tblCellMar>
        <w:tblLook w:val="04A0" w:firstRow="1" w:lastRow="0" w:firstColumn="1" w:lastColumn="0" w:noHBand="0" w:noVBand="1"/>
      </w:tblPr>
      <w:tblGrid>
        <w:gridCol w:w="934"/>
        <w:gridCol w:w="934"/>
        <w:gridCol w:w="934"/>
        <w:gridCol w:w="934"/>
        <w:gridCol w:w="1536"/>
        <w:gridCol w:w="1716"/>
      </w:tblGrid>
      <w:tr w:rsidR="00775754" w:rsidRPr="00775754" w:rsidTr="00775754">
        <w:trPr>
          <w:trHeight w:val="300"/>
        </w:trPr>
        <w:tc>
          <w:tcPr>
            <w:tcW w:w="3736"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lang w:eastAsia="es-MX"/>
              </w:rPr>
            </w:pPr>
            <w:r w:rsidRPr="00775754">
              <w:rPr>
                <w:rFonts w:ascii="Calibri" w:eastAsia="Times New Roman" w:hAnsi="Calibri" w:cs="Arial"/>
                <w:b/>
                <w:bCs/>
                <w:lang w:eastAsia="es-MX"/>
              </w:rPr>
              <w:t xml:space="preserve">Efectivo y  Equivalentes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jc w:val="right"/>
              <w:rPr>
                <w:rFonts w:ascii="Calibri" w:eastAsia="Times New Roman" w:hAnsi="Calibri" w:cs="Arial"/>
                <w:b/>
                <w:bCs/>
                <w:lang w:eastAsia="es-MX"/>
              </w:rPr>
            </w:pPr>
            <w:r w:rsidRPr="00775754">
              <w:rPr>
                <w:rFonts w:ascii="Calibri" w:eastAsia="Times New Roman" w:hAnsi="Calibri" w:cs="Arial"/>
                <w:b/>
                <w:bCs/>
                <w:lang w:eastAsia="es-MX"/>
              </w:rPr>
              <w:t xml:space="preserve">          </w:t>
            </w:r>
            <w:r>
              <w:rPr>
                <w:rFonts w:ascii="Calibri" w:eastAsia="Times New Roman" w:hAnsi="Calibri" w:cs="Arial"/>
                <w:b/>
                <w:bCs/>
                <w:lang w:eastAsia="es-MX"/>
              </w:rPr>
              <w:t xml:space="preserve">         </w:t>
            </w:r>
            <w:r w:rsidRPr="00775754">
              <w:rPr>
                <w:rFonts w:ascii="Calibri" w:eastAsia="Times New Roman" w:hAnsi="Calibri" w:cs="Arial"/>
                <w:b/>
                <w:bCs/>
                <w:lang w:eastAsia="es-MX"/>
              </w:rPr>
              <w:t xml:space="preserve">6,727,641.05 </w:t>
            </w:r>
          </w:p>
        </w:tc>
      </w:tr>
      <w:tr w:rsidR="00775754" w:rsidRPr="00775754" w:rsidTr="00775754">
        <w:trPr>
          <w:trHeight w:val="300"/>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868" w:type="dxa"/>
            <w:gridSpan w:val="2"/>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 xml:space="preserve">Efectivo </w:t>
            </w: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 xml:space="preserve">                10,000.00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4338"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Fondo Fijo Rec. Mat. Human y </w:t>
            </w:r>
            <w:proofErr w:type="spellStart"/>
            <w:r w:rsidRPr="00775754">
              <w:rPr>
                <w:rFonts w:ascii="Calibri" w:eastAsia="Times New Roman" w:hAnsi="Calibri" w:cs="Arial"/>
                <w:sz w:val="20"/>
                <w:szCs w:val="20"/>
                <w:lang w:eastAsia="es-MX"/>
              </w:rPr>
              <w:t>Asp</w:t>
            </w:r>
            <w:proofErr w:type="spellEnd"/>
            <w:r w:rsidRPr="00775754">
              <w:rPr>
                <w:rFonts w:ascii="Calibri" w:eastAsia="Times New Roman" w:hAnsi="Calibri" w:cs="Arial"/>
                <w:sz w:val="20"/>
                <w:szCs w:val="20"/>
                <w:lang w:eastAsia="es-MX"/>
              </w:rPr>
              <w:t xml:space="preserve"> </w:t>
            </w:r>
            <w:proofErr w:type="spellStart"/>
            <w:r w:rsidRPr="00775754">
              <w:rPr>
                <w:rFonts w:ascii="Calibri" w:eastAsia="Times New Roman" w:hAnsi="Calibri" w:cs="Arial"/>
                <w:sz w:val="20"/>
                <w:szCs w:val="20"/>
                <w:lang w:eastAsia="es-MX"/>
              </w:rPr>
              <w:t>Jur</w:t>
            </w:r>
            <w:proofErr w:type="spellEnd"/>
            <w:r w:rsidRPr="00775754">
              <w:rPr>
                <w:rFonts w:ascii="Calibri" w:eastAsia="Times New Roman" w:hAnsi="Calibri" w:cs="Arial"/>
                <w:sz w:val="20"/>
                <w:szCs w:val="20"/>
                <w:lang w:eastAsia="es-MX"/>
              </w:rPr>
              <w:t xml:space="preserve"> </w:t>
            </w: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5,000.00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Fondo Fijo Contabilidad</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5,000.00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Fondo </w:t>
            </w:r>
            <w:proofErr w:type="spellStart"/>
            <w:r w:rsidRPr="00775754">
              <w:rPr>
                <w:rFonts w:ascii="Calibri" w:eastAsia="Times New Roman" w:hAnsi="Calibri" w:cs="Arial"/>
                <w:sz w:val="20"/>
                <w:szCs w:val="20"/>
                <w:lang w:eastAsia="es-MX"/>
              </w:rPr>
              <w:t>Revolvente</w:t>
            </w:r>
            <w:proofErr w:type="spellEnd"/>
            <w:r w:rsidRPr="00775754">
              <w:rPr>
                <w:rFonts w:ascii="Calibri" w:eastAsia="Times New Roman" w:hAnsi="Calibri" w:cs="Arial"/>
                <w:sz w:val="20"/>
                <w:szCs w:val="20"/>
                <w:lang w:eastAsia="es-MX"/>
              </w:rPr>
              <w:t xml:space="preserve"> para cambios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   </w:t>
            </w:r>
          </w:p>
        </w:tc>
      </w:tr>
      <w:tr w:rsidR="00775754" w:rsidRPr="00775754" w:rsidTr="00775754">
        <w:trPr>
          <w:trHeight w:val="300"/>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Bancos/</w:t>
            </w:r>
            <w:proofErr w:type="spellStart"/>
            <w:r w:rsidRPr="00775754">
              <w:rPr>
                <w:rFonts w:ascii="Calibri" w:eastAsia="Times New Roman" w:hAnsi="Calibri" w:cs="Arial"/>
                <w:sz w:val="20"/>
                <w:szCs w:val="20"/>
                <w:u w:val="single"/>
                <w:lang w:eastAsia="es-MX"/>
              </w:rPr>
              <w:t>Tesoreria</w:t>
            </w:r>
            <w:proofErr w:type="spellEnd"/>
            <w:r w:rsidRPr="00775754">
              <w:rPr>
                <w:rFonts w:ascii="Calibri" w:eastAsia="Times New Roman" w:hAnsi="Calibri" w:cs="Arial"/>
                <w:sz w:val="20"/>
                <w:szCs w:val="20"/>
                <w:u w:val="single"/>
                <w:lang w:eastAsia="es-MX"/>
              </w:rPr>
              <w:t xml:space="preserve">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 xml:space="preserve">           6,717,641.05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868" w:type="dxa"/>
            <w:gridSpan w:val="2"/>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Banamex</w:t>
            </w: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           6,716,326.82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6997541</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27,737.84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BMX Integral 7515255613</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1,120,719.07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7007294</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1,048,113.41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7007367</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2,566,940.31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7007375</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1,509,241.07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70102576762</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17,361.56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7946223</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426,213.56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proofErr w:type="spellStart"/>
            <w:r w:rsidRPr="00775754">
              <w:rPr>
                <w:rFonts w:ascii="Calibri" w:eastAsia="Times New Roman" w:hAnsi="Calibri" w:cs="Arial"/>
                <w:b/>
                <w:bCs/>
                <w:sz w:val="20"/>
                <w:szCs w:val="20"/>
                <w:lang w:eastAsia="es-MX"/>
              </w:rPr>
              <w:t>Scotiabank</w:t>
            </w:r>
            <w:proofErr w:type="spellEnd"/>
            <w:r w:rsidRPr="00775754">
              <w:rPr>
                <w:rFonts w:ascii="Calibri" w:eastAsia="Times New Roman" w:hAnsi="Calibri" w:cs="Arial"/>
                <w:b/>
                <w:bCs/>
                <w:sz w:val="20"/>
                <w:szCs w:val="20"/>
                <w:lang w:eastAsia="es-MX"/>
              </w:rPr>
              <w:t xml:space="preserve"> Inverlat S.A.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                   1,314.23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roofErr w:type="spellStart"/>
            <w:r w:rsidRPr="00775754">
              <w:rPr>
                <w:rFonts w:ascii="Calibri" w:eastAsia="Times New Roman" w:hAnsi="Calibri" w:cs="Arial"/>
                <w:sz w:val="20"/>
                <w:szCs w:val="20"/>
                <w:lang w:eastAsia="es-MX"/>
              </w:rPr>
              <w:t>Scotiabank</w:t>
            </w:r>
            <w:proofErr w:type="spellEnd"/>
            <w:r w:rsidRPr="00775754">
              <w:rPr>
                <w:rFonts w:ascii="Calibri" w:eastAsia="Times New Roman" w:hAnsi="Calibri" w:cs="Arial"/>
                <w:sz w:val="20"/>
                <w:szCs w:val="20"/>
                <w:lang w:eastAsia="es-MX"/>
              </w:rPr>
              <w:t xml:space="preserve"> Cta. 17008015902</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1,314.23 </w:t>
            </w:r>
          </w:p>
        </w:tc>
      </w:tr>
    </w:tbl>
    <w:p w:rsidR="00775754" w:rsidRDefault="00775754" w:rsidP="00C62E23">
      <w:pPr>
        <w:jc w:val="both"/>
        <w:rPr>
          <w:sz w:val="20"/>
          <w:szCs w:val="20"/>
        </w:rPr>
      </w:pPr>
    </w:p>
    <w:tbl>
      <w:tblPr>
        <w:tblW w:w="17565" w:type="dxa"/>
        <w:tblInd w:w="70" w:type="dxa"/>
        <w:tblCellMar>
          <w:left w:w="70" w:type="dxa"/>
          <w:right w:w="70" w:type="dxa"/>
        </w:tblCellMar>
        <w:tblLook w:val="04A0" w:firstRow="1" w:lastRow="0" w:firstColumn="1" w:lastColumn="0" w:noHBand="0" w:noVBand="1"/>
      </w:tblPr>
      <w:tblGrid>
        <w:gridCol w:w="146"/>
        <w:gridCol w:w="1527"/>
        <w:gridCol w:w="1524"/>
        <w:gridCol w:w="1524"/>
        <w:gridCol w:w="146"/>
        <w:gridCol w:w="12260"/>
        <w:gridCol w:w="146"/>
        <w:gridCol w:w="146"/>
        <w:gridCol w:w="146"/>
      </w:tblGrid>
      <w:tr w:rsidR="00775754" w:rsidRPr="00775754" w:rsidTr="00775754">
        <w:trPr>
          <w:trHeight w:val="255"/>
        </w:trPr>
        <w:tc>
          <w:tcPr>
            <w:tcW w:w="17565" w:type="dxa"/>
            <w:gridSpan w:val="9"/>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El saldo de Efectivo y Equivalentes reflejado en el estado de situación financiera, no incluye el recurso del proyecto </w:t>
            </w:r>
            <w:proofErr w:type="spellStart"/>
            <w:r w:rsidRPr="00775754">
              <w:rPr>
                <w:rFonts w:ascii="Calibri" w:eastAsia="Times New Roman" w:hAnsi="Calibri" w:cs="Arial"/>
                <w:sz w:val="20"/>
                <w:szCs w:val="20"/>
                <w:lang w:eastAsia="es-MX"/>
              </w:rPr>
              <w:t>Kelloggs</w:t>
            </w:r>
            <w:proofErr w:type="spellEnd"/>
            <w:r w:rsidRPr="00775754">
              <w:rPr>
                <w:rFonts w:ascii="Calibri" w:eastAsia="Times New Roman" w:hAnsi="Calibri" w:cs="Arial"/>
                <w:sz w:val="20"/>
                <w:szCs w:val="20"/>
                <w:lang w:eastAsia="es-MX"/>
              </w:rPr>
              <w:t xml:space="preserve"> (BMX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7946223)</w:t>
            </w:r>
          </w:p>
        </w:tc>
      </w:tr>
      <w:tr w:rsidR="00775754" w:rsidRPr="00775754" w:rsidTr="00775754">
        <w:trPr>
          <w:trHeight w:val="255"/>
        </w:trPr>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27"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2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2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2260"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r w:rsidR="00775754" w:rsidRPr="00775754" w:rsidTr="00775754">
        <w:trPr>
          <w:trHeight w:val="255"/>
        </w:trPr>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4575"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Bancos/Tesorería </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2260" w:type="dxa"/>
            <w:tcBorders>
              <w:top w:val="nil"/>
              <w:left w:val="nil"/>
              <w:bottom w:val="nil"/>
              <w:right w:val="nil"/>
            </w:tcBorders>
            <w:shd w:val="clear" w:color="auto" w:fill="auto"/>
            <w:noWrap/>
            <w:vAlign w:val="bottom"/>
            <w:hideMark/>
          </w:tcPr>
          <w:p w:rsidR="00775754" w:rsidRPr="00775754" w:rsidRDefault="00775754" w:rsidP="00B97946">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w:t>
            </w:r>
            <w:r w:rsidR="00B97946">
              <w:rPr>
                <w:rFonts w:ascii="Calibri" w:eastAsia="Times New Roman" w:hAnsi="Calibri" w:cs="Arial"/>
                <w:sz w:val="20"/>
                <w:szCs w:val="20"/>
                <w:lang w:eastAsia="es-MX"/>
              </w:rPr>
              <w:t>6,717,641.05</w:t>
            </w:r>
            <w:r w:rsidRPr="00775754">
              <w:rPr>
                <w:rFonts w:ascii="Calibri" w:eastAsia="Times New Roman" w:hAnsi="Calibri" w:cs="Arial"/>
                <w:sz w:val="20"/>
                <w:szCs w:val="20"/>
                <w:lang w:eastAsia="es-MX"/>
              </w:rPr>
              <w:t xml:space="preserve"> </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r w:rsidR="00775754" w:rsidRPr="00775754" w:rsidTr="00775754">
        <w:trPr>
          <w:trHeight w:val="300"/>
        </w:trPr>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4575"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BMX </w:t>
            </w:r>
            <w:proofErr w:type="spellStart"/>
            <w:r w:rsidRPr="00775754">
              <w:rPr>
                <w:rFonts w:ascii="Calibri" w:eastAsia="Times New Roman" w:hAnsi="Calibri" w:cs="Arial"/>
                <w:sz w:val="20"/>
                <w:szCs w:val="20"/>
                <w:lang w:eastAsia="es-MX"/>
              </w:rPr>
              <w:t>cta</w:t>
            </w:r>
            <w:proofErr w:type="spellEnd"/>
            <w:r w:rsidRPr="00775754">
              <w:rPr>
                <w:rFonts w:ascii="Calibri" w:eastAsia="Times New Roman" w:hAnsi="Calibri" w:cs="Arial"/>
                <w:sz w:val="20"/>
                <w:szCs w:val="20"/>
                <w:lang w:eastAsia="es-MX"/>
              </w:rPr>
              <w:t xml:space="preserve"> 7946223 (Proyecto </w:t>
            </w:r>
            <w:proofErr w:type="spellStart"/>
            <w:r w:rsidRPr="00775754">
              <w:rPr>
                <w:rFonts w:ascii="Calibri" w:eastAsia="Times New Roman" w:hAnsi="Calibri" w:cs="Arial"/>
                <w:sz w:val="20"/>
                <w:szCs w:val="20"/>
                <w:lang w:eastAsia="es-MX"/>
              </w:rPr>
              <w:t>Kellogs</w:t>
            </w:r>
            <w:proofErr w:type="spellEnd"/>
            <w:r w:rsidRPr="00775754">
              <w:rPr>
                <w:rFonts w:ascii="Calibri" w:eastAsia="Times New Roman" w:hAnsi="Calibri" w:cs="Arial"/>
                <w:sz w:val="20"/>
                <w:szCs w:val="20"/>
                <w:lang w:eastAsia="es-MX"/>
              </w:rPr>
              <w:t>)</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2260" w:type="dxa"/>
            <w:tcBorders>
              <w:top w:val="nil"/>
              <w:left w:val="nil"/>
              <w:bottom w:val="nil"/>
              <w:right w:val="nil"/>
            </w:tcBorders>
            <w:shd w:val="clear" w:color="auto" w:fill="auto"/>
            <w:noWrap/>
            <w:vAlign w:val="bottom"/>
            <w:hideMark/>
          </w:tcPr>
          <w:p w:rsidR="00775754" w:rsidRPr="00775754" w:rsidRDefault="00775754" w:rsidP="00B97946">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 xml:space="preserve">              426,</w:t>
            </w:r>
            <w:r w:rsidR="00B97946">
              <w:rPr>
                <w:rFonts w:ascii="Calibri" w:eastAsia="Times New Roman" w:hAnsi="Calibri" w:cs="Arial"/>
                <w:sz w:val="20"/>
                <w:szCs w:val="20"/>
                <w:u w:val="single"/>
                <w:lang w:eastAsia="es-MX"/>
              </w:rPr>
              <w:t>213.56</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r w:rsidR="00775754" w:rsidRPr="00775754" w:rsidTr="00775754">
        <w:trPr>
          <w:trHeight w:val="255"/>
        </w:trPr>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4721"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Total Bancos/ Tesorería en estado de situación financiera </w:t>
            </w:r>
          </w:p>
        </w:tc>
        <w:tc>
          <w:tcPr>
            <w:tcW w:w="12260" w:type="dxa"/>
            <w:tcBorders>
              <w:top w:val="nil"/>
              <w:left w:val="nil"/>
              <w:bottom w:val="nil"/>
              <w:right w:val="nil"/>
            </w:tcBorders>
            <w:shd w:val="clear" w:color="auto" w:fill="auto"/>
            <w:noWrap/>
            <w:vAlign w:val="bottom"/>
            <w:hideMark/>
          </w:tcPr>
          <w:p w:rsidR="00775754" w:rsidRPr="00775754" w:rsidRDefault="00B97946" w:rsidP="00775754">
            <w:pPr>
              <w:spacing w:after="0" w:line="240" w:lineRule="auto"/>
              <w:rPr>
                <w:rFonts w:ascii="Calibri" w:eastAsia="Times New Roman" w:hAnsi="Calibri" w:cs="Arial"/>
                <w:sz w:val="20"/>
                <w:szCs w:val="20"/>
                <w:lang w:eastAsia="es-MX"/>
              </w:rPr>
            </w:pPr>
            <w:r>
              <w:rPr>
                <w:rFonts w:ascii="Calibri" w:eastAsia="Times New Roman" w:hAnsi="Calibri" w:cs="Arial"/>
                <w:sz w:val="20"/>
                <w:szCs w:val="20"/>
                <w:lang w:eastAsia="es-MX"/>
              </w:rPr>
              <w:t xml:space="preserve">          6,291,427.49</w:t>
            </w:r>
            <w:r w:rsidR="00775754" w:rsidRPr="00775754">
              <w:rPr>
                <w:rFonts w:ascii="Calibri" w:eastAsia="Times New Roman" w:hAnsi="Calibri" w:cs="Arial"/>
                <w:sz w:val="20"/>
                <w:szCs w:val="20"/>
                <w:lang w:eastAsia="es-MX"/>
              </w:rPr>
              <w:t xml:space="preserve"> </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r w:rsidR="00775754" w:rsidRPr="00775754" w:rsidTr="00775754">
        <w:trPr>
          <w:trHeight w:val="300"/>
        </w:trPr>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3051" w:type="dxa"/>
            <w:gridSpan w:val="2"/>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Efectivo </w:t>
            </w:r>
          </w:p>
        </w:tc>
        <w:tc>
          <w:tcPr>
            <w:tcW w:w="152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2260"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 xml:space="preserve">                10,000.00 </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r w:rsidR="00775754" w:rsidRPr="00775754" w:rsidTr="00775754">
        <w:trPr>
          <w:trHeight w:val="255"/>
        </w:trPr>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4575"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Total Efectivo y Equivalentes</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2260" w:type="dxa"/>
            <w:tcBorders>
              <w:top w:val="nil"/>
              <w:left w:val="nil"/>
              <w:bottom w:val="nil"/>
              <w:right w:val="nil"/>
            </w:tcBorders>
            <w:shd w:val="clear" w:color="auto" w:fill="auto"/>
            <w:noWrap/>
            <w:vAlign w:val="bottom"/>
            <w:hideMark/>
          </w:tcPr>
          <w:p w:rsidR="00775754" w:rsidRPr="00775754" w:rsidRDefault="00775754" w:rsidP="00B97946">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           6,</w:t>
            </w:r>
            <w:r w:rsidR="00B97946">
              <w:rPr>
                <w:rFonts w:ascii="Calibri" w:eastAsia="Times New Roman" w:hAnsi="Calibri" w:cs="Arial"/>
                <w:b/>
                <w:bCs/>
                <w:sz w:val="20"/>
                <w:szCs w:val="20"/>
                <w:lang w:eastAsia="es-MX"/>
              </w:rPr>
              <w:t>301,427.49</w:t>
            </w:r>
            <w:r w:rsidRPr="00775754">
              <w:rPr>
                <w:rFonts w:ascii="Calibri" w:eastAsia="Times New Roman" w:hAnsi="Calibri" w:cs="Arial"/>
                <w:b/>
                <w:bCs/>
                <w:sz w:val="20"/>
                <w:szCs w:val="20"/>
                <w:lang w:eastAsia="es-MX"/>
              </w:rPr>
              <w:t xml:space="preserve"> </w:t>
            </w: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r>
    </w:tbl>
    <w:p w:rsidR="00775754" w:rsidRDefault="00775754" w:rsidP="00C62E23">
      <w:pPr>
        <w:jc w:val="both"/>
        <w:rPr>
          <w:sz w:val="20"/>
          <w:szCs w:val="20"/>
        </w:rPr>
      </w:pPr>
    </w:p>
    <w:p w:rsidR="00A970ED" w:rsidRPr="00704211" w:rsidRDefault="00A970ED" w:rsidP="00C62E23">
      <w:pPr>
        <w:jc w:val="both"/>
        <w:rPr>
          <w:sz w:val="20"/>
          <w:szCs w:val="20"/>
        </w:rPr>
      </w:pPr>
      <w:r w:rsidRPr="00A970ED">
        <w:rPr>
          <w:sz w:val="20"/>
          <w:szCs w:val="20"/>
        </w:rPr>
        <w:t xml:space="preserve">El saldo en Bancos/Tesorería de las cuentas 6997541 y 7515255613 corresponden a cuentas de inversión con el mismo banco. El saldo de la cuenta 7946223 corresponde al remanente del proyecto de fundación </w:t>
      </w:r>
      <w:proofErr w:type="spellStart"/>
      <w:r w:rsidRPr="00A970ED">
        <w:rPr>
          <w:sz w:val="20"/>
          <w:szCs w:val="20"/>
        </w:rPr>
        <w:t>Kelloggs</w:t>
      </w:r>
      <w:proofErr w:type="spellEnd"/>
      <w:r w:rsidRPr="00A970ED">
        <w:rPr>
          <w:sz w:val="20"/>
          <w:szCs w:val="20"/>
        </w:rPr>
        <w:t xml:space="preserve">, sujeto a reglas de operación particulares. El saldo de la cuenta 70102576762, corresponde al Proyecto de Apoyo a la Incorporación de los Nuevos Profesores de Tiempo Completo, nivel doctorado, autorizado según oficio DSA/103.5/15/10449 de la Secretaría de Educación Superior/ Dirección General de Educación Superior Universitaria. El saldo de la cuenta </w:t>
      </w:r>
      <w:proofErr w:type="spellStart"/>
      <w:r w:rsidRPr="00A970ED">
        <w:rPr>
          <w:sz w:val="20"/>
          <w:szCs w:val="20"/>
        </w:rPr>
        <w:t>Scotiabank</w:t>
      </w:r>
      <w:proofErr w:type="spellEnd"/>
      <w:r w:rsidRPr="00A970ED">
        <w:rPr>
          <w:sz w:val="20"/>
          <w:szCs w:val="20"/>
        </w:rPr>
        <w:t xml:space="preserve"> Cta. 17008015902 corresponde al proyecto de Apoyo a la Incorporación de los Nuevos Profesores de Tiempo Completo, nivel maestría, autorizado según </w:t>
      </w:r>
      <w:r w:rsidRPr="00704211">
        <w:rPr>
          <w:sz w:val="20"/>
          <w:szCs w:val="20"/>
        </w:rPr>
        <w:t>oficio DSA/ 103.5/15/7924 de la Secretaría de Educación Superior/ Dirección General de Educación Superior Universitaria.</w:t>
      </w:r>
    </w:p>
    <w:tbl>
      <w:tblPr>
        <w:tblW w:w="9736" w:type="dxa"/>
        <w:tblInd w:w="70" w:type="dxa"/>
        <w:tblCellMar>
          <w:left w:w="70" w:type="dxa"/>
          <w:right w:w="70" w:type="dxa"/>
        </w:tblCellMar>
        <w:tblLook w:val="04A0" w:firstRow="1" w:lastRow="0" w:firstColumn="1" w:lastColumn="0" w:noHBand="0" w:noVBand="1"/>
      </w:tblPr>
      <w:tblGrid>
        <w:gridCol w:w="3856"/>
        <w:gridCol w:w="2360"/>
        <w:gridCol w:w="1700"/>
        <w:gridCol w:w="1820"/>
      </w:tblGrid>
      <w:tr w:rsidR="009440CC" w:rsidRPr="00815DD2" w:rsidTr="00A970ED">
        <w:trPr>
          <w:trHeight w:val="300"/>
        </w:trPr>
        <w:tc>
          <w:tcPr>
            <w:tcW w:w="3856" w:type="dxa"/>
            <w:tcBorders>
              <w:top w:val="nil"/>
              <w:left w:val="nil"/>
              <w:bottom w:val="nil"/>
              <w:right w:val="nil"/>
            </w:tcBorders>
            <w:shd w:val="clear" w:color="auto" w:fill="auto"/>
            <w:vAlign w:val="bottom"/>
            <w:hideMark/>
          </w:tcPr>
          <w:p w:rsidR="009440CC"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 1A-2</w:t>
            </w:r>
          </w:p>
          <w:p w:rsidR="00EF743A" w:rsidRDefault="00EF743A" w:rsidP="009440CC">
            <w:pPr>
              <w:spacing w:after="0" w:line="240" w:lineRule="auto"/>
              <w:rPr>
                <w:rFonts w:ascii="Calibri" w:eastAsia="Times New Roman" w:hAnsi="Calibri" w:cs="Arial"/>
                <w:b/>
                <w:bCs/>
                <w:sz w:val="20"/>
                <w:szCs w:val="20"/>
                <w:lang w:eastAsia="es-MX"/>
              </w:rPr>
            </w:pPr>
          </w:p>
          <w:p w:rsidR="00EF743A" w:rsidRPr="00815DD2" w:rsidRDefault="00EF743A" w:rsidP="009440CC">
            <w:pPr>
              <w:spacing w:after="0" w:line="240" w:lineRule="auto"/>
              <w:rPr>
                <w:rFonts w:ascii="Calibri" w:eastAsia="Times New Roman" w:hAnsi="Calibri" w:cs="Arial"/>
                <w:b/>
                <w:bCs/>
                <w:sz w:val="20"/>
                <w:szCs w:val="20"/>
                <w:lang w:eastAsia="es-MX"/>
              </w:rPr>
            </w:pPr>
          </w:p>
        </w:tc>
        <w:tc>
          <w:tcPr>
            <w:tcW w:w="2360" w:type="dxa"/>
            <w:tcBorders>
              <w:top w:val="nil"/>
              <w:left w:val="nil"/>
              <w:bottom w:val="nil"/>
              <w:right w:val="nil"/>
            </w:tcBorders>
            <w:shd w:val="clear" w:color="auto" w:fill="auto"/>
            <w:hideMark/>
          </w:tcPr>
          <w:p w:rsidR="009440CC" w:rsidRPr="00815DD2" w:rsidRDefault="009440CC" w:rsidP="009440CC">
            <w:pPr>
              <w:spacing w:after="0" w:line="240" w:lineRule="auto"/>
              <w:rPr>
                <w:rFonts w:ascii="Calibri" w:eastAsia="Times New Roman" w:hAnsi="Calibri" w:cs="Arial"/>
                <w:sz w:val="20"/>
                <w:szCs w:val="20"/>
                <w:lang w:eastAsia="es-MX"/>
              </w:rPr>
            </w:pPr>
          </w:p>
        </w:tc>
        <w:tc>
          <w:tcPr>
            <w:tcW w:w="1700" w:type="dxa"/>
            <w:tcBorders>
              <w:top w:val="nil"/>
              <w:left w:val="nil"/>
              <w:bottom w:val="nil"/>
              <w:right w:val="nil"/>
            </w:tcBorders>
            <w:shd w:val="clear" w:color="auto" w:fill="auto"/>
            <w:hideMark/>
          </w:tcPr>
          <w:p w:rsidR="009440CC" w:rsidRPr="00815DD2" w:rsidRDefault="009440CC" w:rsidP="009440CC">
            <w:pPr>
              <w:spacing w:after="0" w:line="240" w:lineRule="auto"/>
              <w:rPr>
                <w:rFonts w:ascii="Calibri" w:eastAsia="Times New Roman" w:hAnsi="Calibri" w:cs="Arial"/>
                <w:sz w:val="20"/>
                <w:szCs w:val="20"/>
                <w:lang w:eastAsia="es-MX"/>
              </w:rPr>
            </w:pPr>
          </w:p>
        </w:tc>
        <w:tc>
          <w:tcPr>
            <w:tcW w:w="1820" w:type="dxa"/>
            <w:tcBorders>
              <w:top w:val="nil"/>
              <w:left w:val="nil"/>
              <w:bottom w:val="nil"/>
              <w:right w:val="nil"/>
            </w:tcBorders>
            <w:shd w:val="clear" w:color="auto" w:fill="auto"/>
            <w:hideMark/>
          </w:tcPr>
          <w:p w:rsidR="009440CC" w:rsidRPr="00815DD2" w:rsidRDefault="009440CC" w:rsidP="009440CC">
            <w:pPr>
              <w:spacing w:after="0" w:line="240" w:lineRule="auto"/>
              <w:rPr>
                <w:rFonts w:ascii="Calibri" w:eastAsia="Times New Roman" w:hAnsi="Calibri" w:cs="Arial"/>
                <w:sz w:val="20"/>
                <w:szCs w:val="20"/>
                <w:lang w:eastAsia="es-MX"/>
              </w:rPr>
            </w:pPr>
          </w:p>
        </w:tc>
      </w:tr>
      <w:tr w:rsidR="009440CC" w:rsidRPr="00815DD2" w:rsidTr="00A970ED">
        <w:trPr>
          <w:trHeight w:val="300"/>
        </w:trPr>
        <w:tc>
          <w:tcPr>
            <w:tcW w:w="7916" w:type="dxa"/>
            <w:gridSpan w:val="3"/>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 xml:space="preserve">Derechos a Recibir Efectivo y Equivalentes y Bienes y Servicios a Recibir  </w:t>
            </w:r>
          </w:p>
        </w:tc>
        <w:tc>
          <w:tcPr>
            <w:tcW w:w="1820" w:type="dxa"/>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sz w:val="20"/>
                <w:szCs w:val="20"/>
                <w:lang w:eastAsia="es-MX"/>
              </w:rPr>
            </w:pPr>
          </w:p>
        </w:tc>
      </w:tr>
      <w:tr w:rsidR="009440CC" w:rsidRPr="00704211" w:rsidTr="00A970ED">
        <w:trPr>
          <w:trHeight w:val="300"/>
        </w:trPr>
        <w:tc>
          <w:tcPr>
            <w:tcW w:w="3856" w:type="dxa"/>
            <w:tcBorders>
              <w:top w:val="single" w:sz="4" w:space="0" w:color="auto"/>
              <w:left w:val="single" w:sz="4" w:space="0" w:color="auto"/>
              <w:bottom w:val="single" w:sz="4" w:space="0" w:color="auto"/>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xml:space="preserve">Derechos a Recibir Efectivo o Equivalentes </w:t>
            </w:r>
          </w:p>
        </w:tc>
        <w:tc>
          <w:tcPr>
            <w:tcW w:w="2360" w:type="dxa"/>
            <w:tcBorders>
              <w:top w:val="single" w:sz="4" w:space="0" w:color="auto"/>
              <w:left w:val="nil"/>
              <w:bottom w:val="single" w:sz="4" w:space="0" w:color="auto"/>
              <w:right w:val="nil"/>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w:t>
            </w:r>
          </w:p>
        </w:tc>
        <w:tc>
          <w:tcPr>
            <w:tcW w:w="1700" w:type="dxa"/>
            <w:tcBorders>
              <w:top w:val="single" w:sz="4" w:space="0" w:color="auto"/>
              <w:left w:val="nil"/>
              <w:bottom w:val="single" w:sz="4" w:space="0" w:color="auto"/>
              <w:right w:val="nil"/>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 </w:t>
            </w:r>
          </w:p>
        </w:tc>
      </w:tr>
    </w:tbl>
    <w:p w:rsidR="00A970ED" w:rsidRDefault="00A970ED" w:rsidP="00F42DFD">
      <w:pPr>
        <w:spacing w:after="0"/>
        <w:jc w:val="both"/>
        <w:rPr>
          <w:sz w:val="20"/>
          <w:szCs w:val="20"/>
        </w:rPr>
      </w:pPr>
    </w:p>
    <w:tbl>
      <w:tblPr>
        <w:tblW w:w="6988" w:type="dxa"/>
        <w:tblInd w:w="70" w:type="dxa"/>
        <w:tblCellMar>
          <w:left w:w="70" w:type="dxa"/>
          <w:right w:w="70" w:type="dxa"/>
        </w:tblCellMar>
        <w:tblLook w:val="04A0" w:firstRow="1" w:lastRow="0" w:firstColumn="1" w:lastColumn="0" w:noHBand="0" w:noVBand="1"/>
      </w:tblPr>
      <w:tblGrid>
        <w:gridCol w:w="934"/>
        <w:gridCol w:w="934"/>
        <w:gridCol w:w="934"/>
        <w:gridCol w:w="934"/>
        <w:gridCol w:w="1536"/>
        <w:gridCol w:w="1716"/>
      </w:tblGrid>
      <w:tr w:rsidR="00775754" w:rsidRPr="00775754" w:rsidTr="00775754">
        <w:trPr>
          <w:trHeight w:val="255"/>
        </w:trPr>
        <w:tc>
          <w:tcPr>
            <w:tcW w:w="3736"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Derechos a Recibir Efectivo o Equivalentes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                43,740.65 </w:t>
            </w:r>
          </w:p>
        </w:tc>
      </w:tr>
      <w:tr w:rsidR="00775754" w:rsidRPr="00775754" w:rsidTr="00775754">
        <w:trPr>
          <w:trHeight w:val="255"/>
        </w:trPr>
        <w:tc>
          <w:tcPr>
            <w:tcW w:w="3736"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 xml:space="preserve">Cuentas x Cobrar a </w:t>
            </w:r>
            <w:proofErr w:type="spellStart"/>
            <w:r w:rsidRPr="00775754">
              <w:rPr>
                <w:rFonts w:ascii="Calibri" w:eastAsia="Times New Roman" w:hAnsi="Calibri" w:cs="Arial"/>
                <w:sz w:val="20"/>
                <w:szCs w:val="20"/>
                <w:u w:val="single"/>
                <w:lang w:eastAsia="es-MX"/>
              </w:rPr>
              <w:t>Cto</w:t>
            </w:r>
            <w:proofErr w:type="spellEnd"/>
            <w:r w:rsidRPr="00775754">
              <w:rPr>
                <w:rFonts w:ascii="Calibri" w:eastAsia="Times New Roman" w:hAnsi="Calibri" w:cs="Arial"/>
                <w:sz w:val="20"/>
                <w:szCs w:val="20"/>
                <w:u w:val="single"/>
                <w:lang w:eastAsia="es-MX"/>
              </w:rPr>
              <w:t xml:space="preserve"> Plazo</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868" w:type="dxa"/>
            <w:gridSpan w:val="2"/>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Alumnos ITSSY </w:t>
            </w: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   </w:t>
            </w:r>
          </w:p>
        </w:tc>
      </w:tr>
      <w:tr w:rsidR="00775754" w:rsidRPr="00775754" w:rsidTr="00775754">
        <w:trPr>
          <w:trHeight w:val="255"/>
        </w:trPr>
        <w:tc>
          <w:tcPr>
            <w:tcW w:w="3736"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Deudores Diversos x Cobrar a C.P.</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single" w:sz="4" w:space="0" w:color="auto"/>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41,557.46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Gastos por Comprobar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                41,500.00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roofErr w:type="spellStart"/>
            <w:r w:rsidRPr="00775754">
              <w:rPr>
                <w:rFonts w:ascii="Calibri" w:eastAsia="Times New Roman" w:hAnsi="Calibri" w:cs="Arial"/>
                <w:sz w:val="20"/>
                <w:szCs w:val="20"/>
                <w:lang w:eastAsia="es-MX"/>
              </w:rPr>
              <w:t>Renan</w:t>
            </w:r>
            <w:proofErr w:type="spellEnd"/>
            <w:r w:rsidRPr="00775754">
              <w:rPr>
                <w:rFonts w:ascii="Calibri" w:eastAsia="Times New Roman" w:hAnsi="Calibri" w:cs="Arial"/>
                <w:sz w:val="20"/>
                <w:szCs w:val="20"/>
                <w:lang w:eastAsia="es-MX"/>
              </w:rPr>
              <w:t xml:space="preserve"> Peraza Avila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10,300.00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Jesus Fernandez Espinosa</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700.00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roofErr w:type="spellStart"/>
            <w:r w:rsidRPr="00775754">
              <w:rPr>
                <w:rFonts w:ascii="Calibri" w:eastAsia="Times New Roman" w:hAnsi="Calibri" w:cs="Arial"/>
                <w:sz w:val="20"/>
                <w:szCs w:val="20"/>
                <w:lang w:eastAsia="es-MX"/>
              </w:rPr>
              <w:t>Jose</w:t>
            </w:r>
            <w:proofErr w:type="spellEnd"/>
            <w:r w:rsidRPr="00775754">
              <w:rPr>
                <w:rFonts w:ascii="Calibri" w:eastAsia="Times New Roman" w:hAnsi="Calibri" w:cs="Arial"/>
                <w:sz w:val="20"/>
                <w:szCs w:val="20"/>
                <w:lang w:eastAsia="es-MX"/>
              </w:rPr>
              <w:t xml:space="preserve"> </w:t>
            </w:r>
            <w:proofErr w:type="spellStart"/>
            <w:r w:rsidRPr="00775754">
              <w:rPr>
                <w:rFonts w:ascii="Calibri" w:eastAsia="Times New Roman" w:hAnsi="Calibri" w:cs="Arial"/>
                <w:sz w:val="20"/>
                <w:szCs w:val="20"/>
                <w:lang w:eastAsia="es-MX"/>
              </w:rPr>
              <w:t>Zacarias</w:t>
            </w:r>
            <w:proofErr w:type="spellEnd"/>
            <w:r w:rsidRPr="00775754">
              <w:rPr>
                <w:rFonts w:ascii="Calibri" w:eastAsia="Times New Roman" w:hAnsi="Calibri" w:cs="Arial"/>
                <w:sz w:val="20"/>
                <w:szCs w:val="20"/>
                <w:lang w:eastAsia="es-MX"/>
              </w:rPr>
              <w:t xml:space="preserve"> Ayora Galera</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26,000.00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Cristina Cartas </w:t>
            </w:r>
            <w:proofErr w:type="spellStart"/>
            <w:r w:rsidRPr="00775754">
              <w:rPr>
                <w:rFonts w:ascii="Calibri" w:eastAsia="Times New Roman" w:hAnsi="Calibri" w:cs="Arial"/>
                <w:sz w:val="20"/>
                <w:szCs w:val="20"/>
                <w:lang w:eastAsia="es-MX"/>
              </w:rPr>
              <w:t>Roman</w:t>
            </w:r>
            <w:proofErr w:type="spellEnd"/>
            <w:r w:rsidRPr="00775754">
              <w:rPr>
                <w:rFonts w:ascii="Calibri" w:eastAsia="Times New Roman" w:hAnsi="Calibri" w:cs="Arial"/>
                <w:sz w:val="20"/>
                <w:szCs w:val="20"/>
                <w:lang w:eastAsia="es-MX"/>
              </w:rPr>
              <w:t xml:space="preserve">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2,000.00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Pedro Ortiz Parra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2,000.00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Mariano Rodolfo </w:t>
            </w:r>
            <w:proofErr w:type="spellStart"/>
            <w:r w:rsidRPr="00775754">
              <w:rPr>
                <w:rFonts w:ascii="Calibri" w:eastAsia="Times New Roman" w:hAnsi="Calibri" w:cs="Arial"/>
                <w:sz w:val="20"/>
                <w:szCs w:val="20"/>
                <w:lang w:eastAsia="es-MX"/>
              </w:rPr>
              <w:t>Cauich</w:t>
            </w:r>
            <w:proofErr w:type="spellEnd"/>
            <w:r w:rsidRPr="00775754">
              <w:rPr>
                <w:rFonts w:ascii="Calibri" w:eastAsia="Times New Roman" w:hAnsi="Calibri" w:cs="Arial"/>
                <w:sz w:val="20"/>
                <w:szCs w:val="20"/>
                <w:lang w:eastAsia="es-MX"/>
              </w:rPr>
              <w:t xml:space="preserve"> Canul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500.00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Deudores Diversos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lang w:eastAsia="es-MX"/>
              </w:rPr>
            </w:pPr>
            <w:r w:rsidRPr="00775754">
              <w:rPr>
                <w:rFonts w:ascii="Calibri" w:eastAsia="Times New Roman" w:hAnsi="Calibri" w:cs="Arial"/>
                <w:b/>
                <w:bCs/>
                <w:sz w:val="20"/>
                <w:szCs w:val="20"/>
                <w:lang w:eastAsia="es-MX"/>
              </w:rPr>
              <w:t xml:space="preserve">                        57.46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516C7" w:rsidP="00775754">
            <w:pPr>
              <w:spacing w:after="0" w:line="240" w:lineRule="auto"/>
              <w:rPr>
                <w:rFonts w:ascii="Calibri" w:eastAsia="Times New Roman" w:hAnsi="Calibri" w:cs="Arial"/>
                <w:sz w:val="20"/>
                <w:szCs w:val="20"/>
                <w:lang w:eastAsia="es-MX"/>
              </w:rPr>
            </w:pPr>
            <w:proofErr w:type="spellStart"/>
            <w:r>
              <w:rPr>
                <w:rFonts w:ascii="Calibri" w:eastAsia="Times New Roman" w:hAnsi="Calibri" w:cs="Arial"/>
                <w:sz w:val="20"/>
                <w:szCs w:val="20"/>
                <w:lang w:eastAsia="es-MX"/>
              </w:rPr>
              <w:t>Renan</w:t>
            </w:r>
            <w:proofErr w:type="spellEnd"/>
            <w:r>
              <w:rPr>
                <w:rFonts w:ascii="Calibri" w:eastAsia="Times New Roman" w:hAnsi="Calibri" w:cs="Arial"/>
                <w:sz w:val="20"/>
                <w:szCs w:val="20"/>
                <w:lang w:eastAsia="es-MX"/>
              </w:rPr>
              <w:t xml:space="preserve"> Peraza Ávila </w:t>
            </w:r>
            <w:r w:rsidR="00775754" w:rsidRPr="00775754">
              <w:rPr>
                <w:rFonts w:ascii="Calibri" w:eastAsia="Times New Roman" w:hAnsi="Calibri" w:cs="Arial"/>
                <w:sz w:val="20"/>
                <w:szCs w:val="20"/>
                <w:lang w:eastAsia="es-MX"/>
              </w:rPr>
              <w:t xml:space="preserve"> </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57.46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   </w:t>
            </w:r>
          </w:p>
        </w:tc>
      </w:tr>
      <w:tr w:rsidR="00775754" w:rsidRPr="00775754" w:rsidTr="00775754">
        <w:trPr>
          <w:trHeight w:val="300"/>
        </w:trPr>
        <w:tc>
          <w:tcPr>
            <w:tcW w:w="3736" w:type="dxa"/>
            <w:gridSpan w:val="4"/>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u w:val="single"/>
                <w:lang w:eastAsia="es-MX"/>
              </w:rPr>
            </w:pPr>
            <w:r w:rsidRPr="00775754">
              <w:rPr>
                <w:rFonts w:ascii="Calibri" w:eastAsia="Times New Roman" w:hAnsi="Calibri" w:cs="Arial"/>
                <w:sz w:val="20"/>
                <w:szCs w:val="20"/>
                <w:u w:val="single"/>
                <w:lang w:eastAsia="es-MX"/>
              </w:rPr>
              <w:t>Otros Derechos a recibir efectivo</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b/>
                <w:bCs/>
                <w:sz w:val="20"/>
                <w:szCs w:val="20"/>
                <w:u w:val="single"/>
                <w:lang w:eastAsia="es-MX"/>
              </w:rPr>
            </w:pPr>
            <w:r w:rsidRPr="00775754">
              <w:rPr>
                <w:rFonts w:ascii="Calibri" w:eastAsia="Times New Roman" w:hAnsi="Calibri" w:cs="Arial"/>
                <w:b/>
                <w:bCs/>
                <w:sz w:val="20"/>
                <w:szCs w:val="20"/>
                <w:u w:val="single"/>
                <w:lang w:eastAsia="es-MX"/>
              </w:rPr>
              <w:t xml:space="preserve">                   2,183.19 </w:t>
            </w:r>
          </w:p>
        </w:tc>
      </w:tr>
      <w:tr w:rsidR="00775754" w:rsidRPr="00775754" w:rsidTr="00775754">
        <w:trPr>
          <w:trHeight w:val="255"/>
        </w:trPr>
        <w:tc>
          <w:tcPr>
            <w:tcW w:w="934"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2802" w:type="dxa"/>
            <w:gridSpan w:val="3"/>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Subsidio al empleo pagado</w:t>
            </w:r>
          </w:p>
        </w:tc>
        <w:tc>
          <w:tcPr>
            <w:tcW w:w="153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75754" w:rsidRPr="00775754" w:rsidRDefault="00775754" w:rsidP="00775754">
            <w:pPr>
              <w:spacing w:after="0" w:line="240" w:lineRule="auto"/>
              <w:rPr>
                <w:rFonts w:ascii="Calibri" w:eastAsia="Times New Roman" w:hAnsi="Calibri" w:cs="Arial"/>
                <w:sz w:val="20"/>
                <w:szCs w:val="20"/>
                <w:lang w:eastAsia="es-MX"/>
              </w:rPr>
            </w:pPr>
            <w:r w:rsidRPr="00775754">
              <w:rPr>
                <w:rFonts w:ascii="Calibri" w:eastAsia="Times New Roman" w:hAnsi="Calibri" w:cs="Arial"/>
                <w:sz w:val="20"/>
                <w:szCs w:val="20"/>
                <w:lang w:eastAsia="es-MX"/>
              </w:rPr>
              <w:t xml:space="preserve">                   2,183.19 </w:t>
            </w:r>
          </w:p>
        </w:tc>
      </w:tr>
    </w:tbl>
    <w:p w:rsidR="00A970ED" w:rsidRDefault="00A970ED" w:rsidP="00F42DFD">
      <w:pPr>
        <w:spacing w:after="0"/>
        <w:jc w:val="both"/>
        <w:rPr>
          <w:sz w:val="20"/>
          <w:szCs w:val="20"/>
        </w:rPr>
      </w:pPr>
    </w:p>
    <w:p w:rsidR="009440CC" w:rsidRDefault="009440CC" w:rsidP="00F42DFD">
      <w:pPr>
        <w:spacing w:after="0"/>
        <w:jc w:val="both"/>
        <w:rPr>
          <w:sz w:val="20"/>
          <w:szCs w:val="20"/>
        </w:rPr>
      </w:pPr>
      <w:r w:rsidRPr="009440CC">
        <w:rPr>
          <w:sz w:val="20"/>
          <w:szCs w:val="20"/>
        </w:rPr>
        <w:t>Las Cuentas que conforman el rubro "Derechos a recibir efectivo o equivalente" corresponden al ejercicio actual y anterior.</w:t>
      </w:r>
    </w:p>
    <w:p w:rsidR="00EF743A" w:rsidRDefault="00EF743A" w:rsidP="00F42DFD">
      <w:pPr>
        <w:spacing w:after="0"/>
        <w:jc w:val="both"/>
        <w:rPr>
          <w:sz w:val="20"/>
          <w:szCs w:val="20"/>
        </w:rPr>
      </w:pPr>
    </w:p>
    <w:p w:rsidR="00EF743A" w:rsidRDefault="00EF743A" w:rsidP="00F42DFD">
      <w:pPr>
        <w:spacing w:after="0"/>
        <w:jc w:val="both"/>
        <w:rPr>
          <w:sz w:val="20"/>
          <w:szCs w:val="20"/>
        </w:rPr>
      </w:pPr>
    </w:p>
    <w:p w:rsidR="006D33C0" w:rsidRDefault="006D33C0" w:rsidP="00F42DFD">
      <w:pPr>
        <w:spacing w:after="0"/>
        <w:jc w:val="both"/>
        <w:rPr>
          <w:sz w:val="20"/>
          <w:szCs w:val="20"/>
        </w:rPr>
      </w:pPr>
    </w:p>
    <w:p w:rsidR="006D33C0" w:rsidRDefault="006D33C0" w:rsidP="00F42DFD">
      <w:pPr>
        <w:spacing w:after="0"/>
        <w:jc w:val="both"/>
        <w:rPr>
          <w:sz w:val="20"/>
          <w:szCs w:val="20"/>
        </w:rPr>
      </w:pPr>
    </w:p>
    <w:p w:rsidR="00EF743A" w:rsidRDefault="00EF743A" w:rsidP="00F42DFD">
      <w:pPr>
        <w:spacing w:after="0"/>
        <w:jc w:val="both"/>
        <w:rPr>
          <w:sz w:val="20"/>
          <w:szCs w:val="20"/>
        </w:rPr>
      </w:pPr>
    </w:p>
    <w:p w:rsidR="00EF743A" w:rsidRDefault="00EF743A" w:rsidP="00F42DFD">
      <w:pPr>
        <w:spacing w:after="0"/>
        <w:jc w:val="both"/>
        <w:rPr>
          <w:sz w:val="20"/>
          <w:szCs w:val="20"/>
        </w:rPr>
      </w:pPr>
    </w:p>
    <w:p w:rsidR="00A970ED" w:rsidRDefault="00A970ED" w:rsidP="00F42DFD">
      <w:pPr>
        <w:spacing w:after="0"/>
        <w:jc w:val="both"/>
        <w:rPr>
          <w:sz w:val="20"/>
          <w:szCs w:val="20"/>
        </w:rPr>
      </w:pPr>
    </w:p>
    <w:tbl>
      <w:tblPr>
        <w:tblW w:w="12293" w:type="dxa"/>
        <w:tblInd w:w="65" w:type="dxa"/>
        <w:tblCellMar>
          <w:left w:w="70" w:type="dxa"/>
          <w:right w:w="70" w:type="dxa"/>
        </w:tblCellMar>
        <w:tblLook w:val="04A0" w:firstRow="1" w:lastRow="0" w:firstColumn="1" w:lastColumn="0" w:noHBand="0" w:noVBand="1"/>
      </w:tblPr>
      <w:tblGrid>
        <w:gridCol w:w="235"/>
        <w:gridCol w:w="235"/>
        <w:gridCol w:w="437"/>
        <w:gridCol w:w="1650"/>
        <w:gridCol w:w="2024"/>
        <w:gridCol w:w="1520"/>
        <w:gridCol w:w="108"/>
        <w:gridCol w:w="1876"/>
        <w:gridCol w:w="572"/>
        <w:gridCol w:w="1828"/>
        <w:gridCol w:w="1808"/>
      </w:tblGrid>
      <w:tr w:rsidR="009440CC" w:rsidRPr="009440CC" w:rsidTr="009440CC">
        <w:trPr>
          <w:trHeight w:val="255"/>
        </w:trPr>
        <w:tc>
          <w:tcPr>
            <w:tcW w:w="4581" w:type="dxa"/>
            <w:gridSpan w:val="5"/>
            <w:tcBorders>
              <w:top w:val="single" w:sz="4" w:space="0" w:color="auto"/>
              <w:left w:val="single" w:sz="4" w:space="0" w:color="auto"/>
              <w:bottom w:val="single" w:sz="4" w:space="0" w:color="auto"/>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lastRenderedPageBreak/>
              <w:t xml:space="preserve">Derechos a Recibir bienes o Servicios </w:t>
            </w:r>
          </w:p>
        </w:tc>
        <w:tc>
          <w:tcPr>
            <w:tcW w:w="1520" w:type="dxa"/>
            <w:tcBorders>
              <w:top w:val="single" w:sz="4" w:space="0" w:color="auto"/>
              <w:left w:val="nil"/>
              <w:bottom w:val="single" w:sz="4" w:space="0" w:color="auto"/>
              <w:right w:val="nil"/>
            </w:tcBorders>
            <w:shd w:val="clear" w:color="auto" w:fill="auto"/>
            <w:noWrap/>
            <w:vAlign w:val="bottom"/>
            <w:hideMark/>
          </w:tcPr>
          <w:p w:rsidR="009440CC" w:rsidRPr="009440CC" w:rsidRDefault="009440CC" w:rsidP="00F42DFD">
            <w:pPr>
              <w:spacing w:after="0" w:line="240" w:lineRule="auto"/>
              <w:jc w:val="center"/>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 </w:t>
            </w:r>
          </w:p>
        </w:tc>
        <w:tc>
          <w:tcPr>
            <w:tcW w:w="2556" w:type="dxa"/>
            <w:gridSpan w:val="3"/>
            <w:tcBorders>
              <w:top w:val="single" w:sz="4" w:space="0" w:color="auto"/>
              <w:left w:val="nil"/>
              <w:bottom w:val="single" w:sz="4" w:space="0" w:color="auto"/>
              <w:right w:val="nil"/>
            </w:tcBorders>
            <w:shd w:val="clear" w:color="auto" w:fill="auto"/>
            <w:noWrap/>
            <w:vAlign w:val="bottom"/>
            <w:hideMark/>
          </w:tcPr>
          <w:p w:rsidR="009440CC" w:rsidRPr="009440CC" w:rsidRDefault="009440CC" w:rsidP="00F42DFD">
            <w:pPr>
              <w:spacing w:after="0" w:line="240" w:lineRule="auto"/>
              <w:jc w:val="center"/>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 </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rsidR="009440CC" w:rsidRPr="009440CC" w:rsidRDefault="009440CC" w:rsidP="00F42DFD">
            <w:pPr>
              <w:spacing w:after="0" w:line="240" w:lineRule="auto"/>
              <w:jc w:val="center"/>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 </w:t>
            </w: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b/>
                <w:bCs/>
                <w:sz w:val="20"/>
                <w:szCs w:val="20"/>
                <w:lang w:eastAsia="es-MX"/>
              </w:rPr>
            </w:pPr>
          </w:p>
        </w:tc>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437"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3674" w:type="dxa"/>
            <w:gridSpan w:val="2"/>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520"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2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A970ED">
        <w:trPr>
          <w:trHeight w:val="650"/>
        </w:trPr>
        <w:tc>
          <w:tcPr>
            <w:tcW w:w="4581" w:type="dxa"/>
            <w:gridSpan w:val="5"/>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 xml:space="preserve">Derechos a Recibir bienes o Servicios </w:t>
            </w:r>
          </w:p>
        </w:tc>
        <w:tc>
          <w:tcPr>
            <w:tcW w:w="1520"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A970ED" w:rsidRDefault="00A970ED" w:rsidP="00A970ED">
            <w:pPr>
              <w:spacing w:after="0" w:line="240" w:lineRule="auto"/>
              <w:rPr>
                <w:rFonts w:ascii="Calibri" w:eastAsia="Times New Roman" w:hAnsi="Calibri" w:cs="Arial"/>
                <w:b/>
                <w:bCs/>
                <w:sz w:val="20"/>
                <w:szCs w:val="20"/>
                <w:lang w:eastAsia="es-MX"/>
              </w:rPr>
            </w:pPr>
            <w:r>
              <w:rPr>
                <w:rFonts w:ascii="Calibri" w:eastAsia="Times New Roman" w:hAnsi="Calibri" w:cs="Arial"/>
                <w:b/>
                <w:bCs/>
                <w:sz w:val="20"/>
                <w:szCs w:val="20"/>
                <w:lang w:eastAsia="es-MX"/>
              </w:rPr>
              <w:t xml:space="preserve">               </w:t>
            </w:r>
            <w:r w:rsidR="007516C7" w:rsidRPr="007516C7">
              <w:rPr>
                <w:rFonts w:ascii="Calibri" w:hAnsi="Calibri" w:cs="Arial"/>
                <w:b/>
                <w:bCs/>
                <w:sz w:val="20"/>
                <w:szCs w:val="20"/>
              </w:rPr>
              <w:t>99</w:t>
            </w:r>
            <w:r w:rsidR="0074280B">
              <w:rPr>
                <w:rFonts w:ascii="Calibri" w:hAnsi="Calibri" w:cs="Arial"/>
                <w:b/>
                <w:bCs/>
                <w:sz w:val="20"/>
                <w:szCs w:val="20"/>
              </w:rPr>
              <w:t>,</w:t>
            </w:r>
            <w:r w:rsidR="007516C7" w:rsidRPr="007516C7">
              <w:rPr>
                <w:rFonts w:ascii="Calibri" w:hAnsi="Calibri" w:cs="Arial"/>
                <w:b/>
                <w:bCs/>
                <w:sz w:val="20"/>
                <w:szCs w:val="20"/>
              </w:rPr>
              <w:t>441.13</w:t>
            </w:r>
          </w:p>
        </w:tc>
        <w:tc>
          <w:tcPr>
            <w:tcW w:w="182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b/>
                <w:bCs/>
                <w:sz w:val="20"/>
                <w:szCs w:val="20"/>
                <w:lang w:eastAsia="es-MX"/>
              </w:rPr>
            </w:pPr>
          </w:p>
        </w:tc>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437"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3674" w:type="dxa"/>
            <w:gridSpan w:val="2"/>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520"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2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9440CC">
        <w:trPr>
          <w:trHeight w:val="300"/>
        </w:trPr>
        <w:tc>
          <w:tcPr>
            <w:tcW w:w="4581" w:type="dxa"/>
            <w:gridSpan w:val="5"/>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u w:val="single"/>
                <w:lang w:eastAsia="es-MX"/>
              </w:rPr>
            </w:pPr>
            <w:r w:rsidRPr="009440CC">
              <w:rPr>
                <w:rFonts w:ascii="Calibri" w:eastAsia="Times New Roman" w:hAnsi="Calibri" w:cs="Arial"/>
                <w:sz w:val="20"/>
                <w:szCs w:val="20"/>
                <w:u w:val="single"/>
                <w:lang w:eastAsia="es-MX"/>
              </w:rPr>
              <w:t xml:space="preserve">Otros Derechos a recibir bienes o Servicios </w:t>
            </w:r>
          </w:p>
        </w:tc>
        <w:tc>
          <w:tcPr>
            <w:tcW w:w="1520"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A970ED">
            <w:pPr>
              <w:spacing w:after="0" w:line="240" w:lineRule="auto"/>
              <w:rPr>
                <w:rFonts w:ascii="Calibri" w:eastAsia="Times New Roman" w:hAnsi="Calibri" w:cs="Arial"/>
                <w:sz w:val="20"/>
                <w:szCs w:val="20"/>
                <w:u w:val="single"/>
                <w:lang w:eastAsia="es-MX"/>
              </w:rPr>
            </w:pPr>
            <w:r w:rsidRPr="009440CC">
              <w:rPr>
                <w:rFonts w:ascii="Calibri" w:eastAsia="Times New Roman" w:hAnsi="Calibri" w:cs="Arial"/>
                <w:sz w:val="20"/>
                <w:szCs w:val="20"/>
                <w:u w:val="single"/>
                <w:lang w:eastAsia="es-MX"/>
              </w:rPr>
              <w:t xml:space="preserve">      </w:t>
            </w:r>
            <w:r w:rsidR="00A970ED">
              <w:rPr>
                <w:rFonts w:ascii="Calibri" w:eastAsia="Times New Roman" w:hAnsi="Calibri" w:cs="Arial"/>
                <w:sz w:val="20"/>
                <w:szCs w:val="20"/>
                <w:u w:val="single"/>
                <w:lang w:eastAsia="es-MX"/>
              </w:rPr>
              <w:t xml:space="preserve"> </w:t>
            </w:r>
            <w:r w:rsidRPr="009440CC">
              <w:rPr>
                <w:rFonts w:ascii="Calibri" w:eastAsia="Times New Roman" w:hAnsi="Calibri" w:cs="Arial"/>
                <w:sz w:val="20"/>
                <w:szCs w:val="20"/>
                <w:u w:val="single"/>
                <w:lang w:eastAsia="es-MX"/>
              </w:rPr>
              <w:t xml:space="preserve">      </w:t>
            </w:r>
            <w:r w:rsidR="00A970ED">
              <w:rPr>
                <w:rFonts w:ascii="Calibri" w:eastAsia="Times New Roman" w:hAnsi="Calibri" w:cs="Arial"/>
                <w:sz w:val="20"/>
                <w:szCs w:val="20"/>
                <w:u w:val="single"/>
                <w:lang w:eastAsia="es-MX"/>
              </w:rPr>
              <w:t xml:space="preserve"> </w:t>
            </w:r>
            <w:r w:rsidRPr="009440CC">
              <w:rPr>
                <w:rFonts w:ascii="Calibri" w:eastAsia="Times New Roman" w:hAnsi="Calibri" w:cs="Arial"/>
                <w:sz w:val="20"/>
                <w:szCs w:val="20"/>
                <w:u w:val="single"/>
                <w:lang w:eastAsia="es-MX"/>
              </w:rPr>
              <w:t xml:space="preserve">  </w:t>
            </w:r>
            <w:r w:rsidR="007516C7" w:rsidRPr="007516C7">
              <w:rPr>
                <w:rFonts w:ascii="Calibri" w:eastAsia="Times New Roman" w:hAnsi="Calibri" w:cs="Arial"/>
                <w:sz w:val="20"/>
                <w:szCs w:val="20"/>
                <w:u w:val="single"/>
                <w:lang w:eastAsia="es-MX"/>
              </w:rPr>
              <w:t>99</w:t>
            </w:r>
            <w:r w:rsidR="0074280B">
              <w:rPr>
                <w:rFonts w:ascii="Calibri" w:eastAsia="Times New Roman" w:hAnsi="Calibri" w:cs="Arial"/>
                <w:sz w:val="20"/>
                <w:szCs w:val="20"/>
                <w:u w:val="single"/>
                <w:lang w:eastAsia="es-MX"/>
              </w:rPr>
              <w:t>,</w:t>
            </w:r>
            <w:r w:rsidR="007516C7" w:rsidRPr="007516C7">
              <w:rPr>
                <w:rFonts w:ascii="Calibri" w:eastAsia="Times New Roman" w:hAnsi="Calibri" w:cs="Arial"/>
                <w:sz w:val="20"/>
                <w:szCs w:val="20"/>
                <w:u w:val="single"/>
                <w:lang w:eastAsia="es-MX"/>
              </w:rPr>
              <w:t>441.13</w:t>
            </w:r>
          </w:p>
        </w:tc>
        <w:tc>
          <w:tcPr>
            <w:tcW w:w="182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5866" w:type="dxa"/>
            <w:gridSpan w:val="5"/>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r w:rsidRPr="009440CC">
              <w:rPr>
                <w:rFonts w:ascii="Calibri" w:eastAsia="Times New Roman" w:hAnsi="Calibri" w:cs="Arial"/>
                <w:sz w:val="20"/>
                <w:szCs w:val="20"/>
                <w:lang w:eastAsia="es-MX"/>
              </w:rPr>
              <w:t xml:space="preserve">Otros Derechos a recibir bienes o servicios a Corto Plazo </w:t>
            </w: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A970ED">
            <w:pPr>
              <w:spacing w:after="0" w:line="240" w:lineRule="auto"/>
              <w:rPr>
                <w:rFonts w:ascii="Calibri" w:eastAsia="Times New Roman" w:hAnsi="Calibri" w:cs="Arial"/>
                <w:sz w:val="20"/>
                <w:szCs w:val="20"/>
                <w:lang w:eastAsia="es-MX"/>
              </w:rPr>
            </w:pPr>
            <w:r w:rsidRPr="009440CC">
              <w:rPr>
                <w:rFonts w:ascii="Calibri" w:eastAsia="Times New Roman" w:hAnsi="Calibri" w:cs="Arial"/>
                <w:sz w:val="20"/>
                <w:szCs w:val="20"/>
                <w:lang w:eastAsia="es-MX"/>
              </w:rPr>
              <w:t xml:space="preserve">          </w:t>
            </w:r>
            <w:r w:rsidR="00A970ED">
              <w:rPr>
                <w:rFonts w:ascii="Calibri" w:eastAsia="Times New Roman" w:hAnsi="Calibri" w:cs="Arial"/>
                <w:sz w:val="20"/>
                <w:szCs w:val="20"/>
                <w:lang w:eastAsia="es-MX"/>
              </w:rPr>
              <w:t xml:space="preserve"> </w:t>
            </w:r>
            <w:r w:rsidRPr="009440CC">
              <w:rPr>
                <w:rFonts w:ascii="Calibri" w:eastAsia="Times New Roman" w:hAnsi="Calibri" w:cs="Arial"/>
                <w:sz w:val="20"/>
                <w:szCs w:val="20"/>
                <w:lang w:eastAsia="es-MX"/>
              </w:rPr>
              <w:t xml:space="preserve">  </w:t>
            </w:r>
            <w:r w:rsidR="00A970ED">
              <w:rPr>
                <w:rFonts w:ascii="Calibri" w:eastAsia="Times New Roman" w:hAnsi="Calibri" w:cs="Arial"/>
                <w:sz w:val="20"/>
                <w:szCs w:val="20"/>
                <w:lang w:eastAsia="es-MX"/>
              </w:rPr>
              <w:t xml:space="preserve"> </w:t>
            </w:r>
            <w:r w:rsidRPr="009440CC">
              <w:rPr>
                <w:rFonts w:ascii="Calibri" w:eastAsia="Times New Roman" w:hAnsi="Calibri" w:cs="Arial"/>
                <w:sz w:val="20"/>
                <w:szCs w:val="20"/>
                <w:lang w:eastAsia="es-MX"/>
              </w:rPr>
              <w:t xml:space="preserve">  </w:t>
            </w:r>
            <w:r w:rsidR="007516C7" w:rsidRPr="007516C7">
              <w:rPr>
                <w:rFonts w:ascii="Calibri" w:eastAsia="Times New Roman" w:hAnsi="Calibri" w:cs="Arial"/>
                <w:sz w:val="20"/>
                <w:szCs w:val="20"/>
                <w:lang w:eastAsia="es-MX"/>
              </w:rPr>
              <w:t>99</w:t>
            </w:r>
            <w:r w:rsidR="0074280B">
              <w:rPr>
                <w:rFonts w:ascii="Calibri" w:eastAsia="Times New Roman" w:hAnsi="Calibri" w:cs="Arial"/>
                <w:sz w:val="20"/>
                <w:szCs w:val="20"/>
                <w:lang w:eastAsia="es-MX"/>
              </w:rPr>
              <w:t>,</w:t>
            </w:r>
            <w:r w:rsidR="007516C7" w:rsidRPr="007516C7">
              <w:rPr>
                <w:rFonts w:ascii="Calibri" w:eastAsia="Times New Roman" w:hAnsi="Calibri" w:cs="Arial"/>
                <w:sz w:val="20"/>
                <w:szCs w:val="20"/>
                <w:lang w:eastAsia="es-MX"/>
              </w:rPr>
              <w:t>441.13</w:t>
            </w:r>
          </w:p>
        </w:tc>
        <w:tc>
          <w:tcPr>
            <w:tcW w:w="182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087" w:type="dxa"/>
            <w:gridSpan w:val="2"/>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024"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520"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2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F42DFD">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35"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087" w:type="dxa"/>
            <w:gridSpan w:val="2"/>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0CC" w:rsidRPr="009440CC" w:rsidRDefault="009440CC" w:rsidP="00F42DFD">
            <w:pPr>
              <w:spacing w:after="0" w:line="240" w:lineRule="auto"/>
              <w:jc w:val="center"/>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Año 2016</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440CC" w:rsidRPr="009440CC" w:rsidRDefault="009440CC" w:rsidP="00F42DFD">
            <w:pPr>
              <w:spacing w:after="0" w:line="240" w:lineRule="auto"/>
              <w:jc w:val="center"/>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Año 2017</w:t>
            </w:r>
          </w:p>
        </w:tc>
        <w:tc>
          <w:tcPr>
            <w:tcW w:w="1984" w:type="dxa"/>
            <w:gridSpan w:val="2"/>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2400" w:type="dxa"/>
            <w:gridSpan w:val="2"/>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F42DFD">
            <w:pPr>
              <w:spacing w:after="0" w:line="240" w:lineRule="auto"/>
              <w:rPr>
                <w:rFonts w:ascii="Calibri" w:eastAsia="Times New Roman" w:hAnsi="Calibri" w:cs="Arial"/>
                <w:sz w:val="20"/>
                <w:szCs w:val="20"/>
                <w:lang w:eastAsia="es-MX"/>
              </w:rPr>
            </w:pPr>
          </w:p>
        </w:tc>
      </w:tr>
      <w:tr w:rsidR="009440CC" w:rsidRPr="009440CC" w:rsidTr="00F42DFD">
        <w:trPr>
          <w:trHeight w:val="255"/>
        </w:trPr>
        <w:tc>
          <w:tcPr>
            <w:tcW w:w="255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440CC" w:rsidRPr="009440CC" w:rsidRDefault="009440CC" w:rsidP="009440CC">
            <w:pPr>
              <w:spacing w:after="0" w:line="240" w:lineRule="auto"/>
              <w:jc w:val="center"/>
              <w:rPr>
                <w:rFonts w:ascii="Calibri" w:eastAsia="Times New Roman" w:hAnsi="Calibri" w:cs="Arial"/>
                <w:sz w:val="20"/>
                <w:szCs w:val="20"/>
                <w:lang w:eastAsia="es-MX"/>
              </w:rPr>
            </w:pPr>
            <w:r w:rsidRPr="009440CC">
              <w:rPr>
                <w:rFonts w:ascii="Calibri" w:eastAsia="Times New Roman" w:hAnsi="Calibri" w:cs="Arial"/>
                <w:sz w:val="20"/>
                <w:szCs w:val="20"/>
                <w:lang w:eastAsia="es-MX"/>
              </w:rPr>
              <w:t>Otros Derechos a recibir bienes o servicios a CP</w:t>
            </w:r>
          </w:p>
        </w:tc>
        <w:tc>
          <w:tcPr>
            <w:tcW w:w="2024" w:type="dxa"/>
            <w:tcBorders>
              <w:top w:val="nil"/>
              <w:left w:val="nil"/>
              <w:bottom w:val="single" w:sz="4" w:space="0" w:color="auto"/>
              <w:right w:val="single" w:sz="4" w:space="0" w:color="auto"/>
            </w:tcBorders>
            <w:shd w:val="clear" w:color="auto" w:fill="auto"/>
            <w:noWrap/>
            <w:vAlign w:val="bottom"/>
            <w:hideMark/>
          </w:tcPr>
          <w:p w:rsidR="009440CC" w:rsidRPr="009440CC" w:rsidRDefault="007516C7" w:rsidP="00A970ED">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99</w:t>
            </w:r>
            <w:r w:rsidR="0074280B">
              <w:rPr>
                <w:rFonts w:ascii="Calibri" w:eastAsia="Times New Roman" w:hAnsi="Calibri" w:cs="Arial"/>
                <w:sz w:val="20"/>
                <w:szCs w:val="20"/>
                <w:lang w:eastAsia="es-MX"/>
              </w:rPr>
              <w:t>,</w:t>
            </w:r>
            <w:r w:rsidRPr="007516C7">
              <w:rPr>
                <w:rFonts w:ascii="Calibri" w:eastAsia="Times New Roman" w:hAnsi="Calibri" w:cs="Arial"/>
                <w:sz w:val="20"/>
                <w:szCs w:val="20"/>
                <w:lang w:eastAsia="es-MX"/>
              </w:rPr>
              <w:t>441.13</w:t>
            </w:r>
          </w:p>
        </w:tc>
        <w:tc>
          <w:tcPr>
            <w:tcW w:w="1520" w:type="dxa"/>
            <w:tcBorders>
              <w:top w:val="nil"/>
              <w:left w:val="nil"/>
              <w:bottom w:val="single" w:sz="4" w:space="0" w:color="auto"/>
              <w:right w:val="single" w:sz="4" w:space="0" w:color="auto"/>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r w:rsidRPr="009440CC">
              <w:rPr>
                <w:rFonts w:ascii="Calibri" w:eastAsia="Times New Roman" w:hAnsi="Calibri" w:cs="Arial"/>
                <w:sz w:val="20"/>
                <w:szCs w:val="20"/>
                <w:lang w:eastAsia="es-MX"/>
              </w:rPr>
              <w:t xml:space="preserve">                                              -   </w:t>
            </w:r>
          </w:p>
        </w:tc>
        <w:tc>
          <w:tcPr>
            <w:tcW w:w="1984" w:type="dxa"/>
            <w:gridSpan w:val="2"/>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400" w:type="dxa"/>
            <w:gridSpan w:val="2"/>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r>
      <w:tr w:rsidR="009440CC" w:rsidRPr="009440CC" w:rsidTr="00F42DFD">
        <w:trPr>
          <w:trHeight w:val="255"/>
        </w:trPr>
        <w:tc>
          <w:tcPr>
            <w:tcW w:w="2557" w:type="dxa"/>
            <w:gridSpan w:val="4"/>
            <w:tcBorders>
              <w:top w:val="nil"/>
              <w:left w:val="nil"/>
              <w:bottom w:val="nil"/>
              <w:right w:val="nil"/>
            </w:tcBorders>
            <w:shd w:val="clear" w:color="auto" w:fill="auto"/>
            <w:noWrap/>
            <w:vAlign w:val="bottom"/>
            <w:hideMark/>
          </w:tcPr>
          <w:p w:rsidR="009440CC" w:rsidRPr="009440CC" w:rsidRDefault="009440CC" w:rsidP="009440CC">
            <w:pPr>
              <w:spacing w:after="0" w:line="240" w:lineRule="auto"/>
              <w:jc w:val="center"/>
              <w:rPr>
                <w:rFonts w:ascii="Calibri" w:eastAsia="Times New Roman" w:hAnsi="Calibri" w:cs="Arial"/>
                <w:sz w:val="20"/>
                <w:szCs w:val="20"/>
                <w:lang w:eastAsia="es-MX"/>
              </w:rPr>
            </w:pPr>
          </w:p>
        </w:tc>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9440CC" w:rsidRPr="009440CC" w:rsidRDefault="007516C7" w:rsidP="00A970ED">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99</w:t>
            </w:r>
            <w:r w:rsidR="0074280B">
              <w:rPr>
                <w:rFonts w:ascii="Calibri" w:eastAsia="Times New Roman" w:hAnsi="Calibri" w:cs="Arial"/>
                <w:b/>
                <w:bCs/>
                <w:sz w:val="20"/>
                <w:szCs w:val="20"/>
                <w:lang w:eastAsia="es-MX"/>
              </w:rPr>
              <w:t>,</w:t>
            </w:r>
            <w:r w:rsidRPr="007516C7">
              <w:rPr>
                <w:rFonts w:ascii="Calibri" w:eastAsia="Times New Roman" w:hAnsi="Calibri" w:cs="Arial"/>
                <w:b/>
                <w:bCs/>
                <w:sz w:val="20"/>
                <w:szCs w:val="20"/>
                <w:lang w:eastAsia="es-MX"/>
              </w:rPr>
              <w:t>441.13</w:t>
            </w:r>
          </w:p>
        </w:tc>
        <w:tc>
          <w:tcPr>
            <w:tcW w:w="1520" w:type="dxa"/>
            <w:tcBorders>
              <w:top w:val="nil"/>
              <w:left w:val="nil"/>
              <w:bottom w:val="single" w:sz="4" w:space="0" w:color="auto"/>
              <w:right w:val="single" w:sz="4" w:space="0" w:color="auto"/>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b/>
                <w:bCs/>
                <w:sz w:val="20"/>
                <w:szCs w:val="20"/>
                <w:lang w:eastAsia="es-MX"/>
              </w:rPr>
            </w:pPr>
            <w:r w:rsidRPr="009440CC">
              <w:rPr>
                <w:rFonts w:ascii="Calibri" w:eastAsia="Times New Roman" w:hAnsi="Calibri" w:cs="Arial"/>
                <w:b/>
                <w:bCs/>
                <w:sz w:val="20"/>
                <w:szCs w:val="20"/>
                <w:lang w:eastAsia="es-MX"/>
              </w:rPr>
              <w:t xml:space="preserve">                                              -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9440CC" w:rsidRPr="009440CC" w:rsidRDefault="007516C7" w:rsidP="009440CC">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99</w:t>
            </w:r>
            <w:r w:rsidR="0074280B">
              <w:rPr>
                <w:rFonts w:ascii="Calibri" w:eastAsia="Times New Roman" w:hAnsi="Calibri" w:cs="Arial"/>
                <w:b/>
                <w:bCs/>
                <w:sz w:val="20"/>
                <w:szCs w:val="20"/>
                <w:lang w:eastAsia="es-MX"/>
              </w:rPr>
              <w:t>,</w:t>
            </w:r>
            <w:r w:rsidRPr="007516C7">
              <w:rPr>
                <w:rFonts w:ascii="Calibri" w:eastAsia="Times New Roman" w:hAnsi="Calibri" w:cs="Arial"/>
                <w:b/>
                <w:bCs/>
                <w:sz w:val="20"/>
                <w:szCs w:val="20"/>
                <w:lang w:eastAsia="es-MX"/>
              </w:rPr>
              <w:t>441.13</w:t>
            </w:r>
          </w:p>
        </w:tc>
        <w:tc>
          <w:tcPr>
            <w:tcW w:w="2400" w:type="dxa"/>
            <w:gridSpan w:val="2"/>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35"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087" w:type="dxa"/>
            <w:gridSpan w:val="2"/>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024"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520"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828"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235"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35"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087" w:type="dxa"/>
            <w:gridSpan w:val="2"/>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024"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520"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2556" w:type="dxa"/>
            <w:gridSpan w:val="3"/>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828"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c>
          <w:tcPr>
            <w:tcW w:w="1808" w:type="dxa"/>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p>
        </w:tc>
      </w:tr>
      <w:tr w:rsidR="009440CC" w:rsidRPr="009440CC" w:rsidTr="009440CC">
        <w:trPr>
          <w:trHeight w:val="255"/>
        </w:trPr>
        <w:tc>
          <w:tcPr>
            <w:tcW w:w="12293" w:type="dxa"/>
            <w:gridSpan w:val="11"/>
            <w:tcBorders>
              <w:top w:val="nil"/>
              <w:left w:val="nil"/>
              <w:bottom w:val="nil"/>
              <w:right w:val="nil"/>
            </w:tcBorders>
            <w:shd w:val="clear" w:color="auto" w:fill="auto"/>
            <w:noWrap/>
            <w:vAlign w:val="bottom"/>
            <w:hideMark/>
          </w:tcPr>
          <w:p w:rsidR="009440CC" w:rsidRPr="009440CC" w:rsidRDefault="009440CC" w:rsidP="009440CC">
            <w:pPr>
              <w:spacing w:after="0" w:line="240" w:lineRule="auto"/>
              <w:rPr>
                <w:rFonts w:ascii="Calibri" w:eastAsia="Times New Roman" w:hAnsi="Calibri" w:cs="Arial"/>
                <w:sz w:val="20"/>
                <w:szCs w:val="20"/>
                <w:lang w:eastAsia="es-MX"/>
              </w:rPr>
            </w:pPr>
            <w:r w:rsidRPr="009440CC">
              <w:rPr>
                <w:rFonts w:ascii="Calibri" w:eastAsia="Times New Roman" w:hAnsi="Calibri" w:cs="Arial"/>
                <w:sz w:val="20"/>
                <w:szCs w:val="20"/>
                <w:lang w:eastAsia="es-MX"/>
              </w:rPr>
              <w:t xml:space="preserve">Las Cuentas que conforman el rubro  "Derechos a Recibir Bienes o Servicios" corresponden a saldos del ejercicio anterior y actual. </w:t>
            </w:r>
          </w:p>
        </w:tc>
      </w:tr>
      <w:tr w:rsidR="009440CC" w:rsidRPr="00815DD2" w:rsidTr="009440CC">
        <w:trPr>
          <w:gridAfter w:val="4"/>
          <w:wAfter w:w="6084" w:type="dxa"/>
          <w:trHeight w:val="300"/>
        </w:trPr>
        <w:tc>
          <w:tcPr>
            <w:tcW w:w="6209" w:type="dxa"/>
            <w:gridSpan w:val="7"/>
            <w:tcBorders>
              <w:top w:val="nil"/>
              <w:left w:val="nil"/>
              <w:bottom w:val="nil"/>
              <w:right w:val="nil"/>
            </w:tcBorders>
            <w:shd w:val="clear" w:color="auto" w:fill="auto"/>
            <w:noWrap/>
            <w:vAlign w:val="bottom"/>
            <w:hideMark/>
          </w:tcPr>
          <w:p w:rsidR="009440CC" w:rsidRPr="00815DD2" w:rsidRDefault="009440CC" w:rsidP="00F42DFD">
            <w:pPr>
              <w:spacing w:after="0" w:line="240" w:lineRule="auto"/>
              <w:rPr>
                <w:rFonts w:ascii="Calibri" w:eastAsia="Times New Roman" w:hAnsi="Calibri" w:cs="Arial"/>
                <w:b/>
                <w:bCs/>
                <w:sz w:val="20"/>
                <w:szCs w:val="20"/>
                <w:lang w:eastAsia="es-MX"/>
              </w:rPr>
            </w:pPr>
          </w:p>
          <w:p w:rsidR="009440CC" w:rsidRPr="00815DD2" w:rsidRDefault="009440CC" w:rsidP="00F42DFD">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 1A-3</w:t>
            </w:r>
          </w:p>
        </w:tc>
      </w:tr>
      <w:tr w:rsidR="009440CC" w:rsidRPr="00815DD2" w:rsidTr="00F42DFD">
        <w:trPr>
          <w:gridAfter w:val="2"/>
          <w:wAfter w:w="3636" w:type="dxa"/>
          <w:trHeight w:val="300"/>
        </w:trPr>
        <w:tc>
          <w:tcPr>
            <w:tcW w:w="8657" w:type="dxa"/>
            <w:gridSpan w:val="9"/>
            <w:tcBorders>
              <w:top w:val="nil"/>
              <w:left w:val="nil"/>
              <w:bottom w:val="nil"/>
              <w:right w:val="nil"/>
            </w:tcBorders>
            <w:shd w:val="clear" w:color="auto" w:fill="auto"/>
            <w:noWrap/>
            <w:vAlign w:val="bottom"/>
            <w:hideMark/>
          </w:tcPr>
          <w:p w:rsidR="009440CC" w:rsidRPr="00815DD2" w:rsidRDefault="009440CC" w:rsidP="00F42DFD">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Bienes Disponibles para su Transformación o Consumo (inventarios)</w:t>
            </w:r>
          </w:p>
        </w:tc>
      </w:tr>
      <w:tr w:rsidR="009440CC" w:rsidRPr="00815DD2" w:rsidTr="009440CC">
        <w:trPr>
          <w:gridAfter w:val="4"/>
          <w:wAfter w:w="6084" w:type="dxa"/>
          <w:trHeight w:val="255"/>
        </w:trPr>
        <w:tc>
          <w:tcPr>
            <w:tcW w:w="6209" w:type="dxa"/>
            <w:gridSpan w:val="7"/>
            <w:tcBorders>
              <w:top w:val="nil"/>
              <w:left w:val="nil"/>
              <w:bottom w:val="nil"/>
              <w:right w:val="nil"/>
            </w:tcBorders>
            <w:shd w:val="clear" w:color="auto" w:fill="auto"/>
            <w:noWrap/>
            <w:vAlign w:val="bottom"/>
            <w:hideMark/>
          </w:tcPr>
          <w:p w:rsidR="009440CC" w:rsidRPr="00815DD2" w:rsidRDefault="009440CC" w:rsidP="00F42DFD">
            <w:pPr>
              <w:spacing w:after="0" w:line="240" w:lineRule="auto"/>
              <w:rPr>
                <w:rFonts w:ascii="Calibri" w:eastAsia="Times New Roman" w:hAnsi="Calibri" w:cs="Arial"/>
                <w:sz w:val="20"/>
                <w:szCs w:val="20"/>
                <w:lang w:eastAsia="es-MX"/>
              </w:rPr>
            </w:pPr>
            <w:r w:rsidRPr="00815DD2">
              <w:rPr>
                <w:rFonts w:ascii="Calibri" w:eastAsia="Times New Roman" w:hAnsi="Calibri" w:cs="Arial"/>
                <w:sz w:val="20"/>
                <w:szCs w:val="20"/>
                <w:lang w:eastAsia="es-MX"/>
              </w:rPr>
              <w:t>"Esta nota no le aplica al ente público"</w:t>
            </w:r>
          </w:p>
        </w:tc>
      </w:tr>
      <w:tr w:rsidR="009440CC" w:rsidRPr="00815DD2" w:rsidTr="009440CC">
        <w:trPr>
          <w:gridAfter w:val="4"/>
          <w:wAfter w:w="6084" w:type="dxa"/>
          <w:trHeight w:val="255"/>
        </w:trPr>
        <w:tc>
          <w:tcPr>
            <w:tcW w:w="6209" w:type="dxa"/>
            <w:gridSpan w:val="7"/>
            <w:tcBorders>
              <w:top w:val="nil"/>
              <w:left w:val="nil"/>
              <w:bottom w:val="nil"/>
              <w:right w:val="nil"/>
            </w:tcBorders>
            <w:shd w:val="clear" w:color="auto" w:fill="auto"/>
            <w:noWrap/>
            <w:vAlign w:val="bottom"/>
            <w:hideMark/>
          </w:tcPr>
          <w:p w:rsidR="009440CC" w:rsidRPr="00815DD2" w:rsidRDefault="009440CC" w:rsidP="00F42DFD">
            <w:pPr>
              <w:spacing w:after="0" w:line="240" w:lineRule="auto"/>
              <w:rPr>
                <w:rFonts w:ascii="Calibri" w:eastAsia="Times New Roman" w:hAnsi="Calibri" w:cs="Arial"/>
                <w:sz w:val="20"/>
                <w:szCs w:val="20"/>
                <w:lang w:eastAsia="es-MX"/>
              </w:rPr>
            </w:pPr>
          </w:p>
        </w:tc>
      </w:tr>
      <w:tr w:rsidR="009440CC" w:rsidRPr="00815DD2" w:rsidTr="009440CC">
        <w:trPr>
          <w:gridAfter w:val="4"/>
          <w:wAfter w:w="6084" w:type="dxa"/>
          <w:trHeight w:val="300"/>
        </w:trPr>
        <w:tc>
          <w:tcPr>
            <w:tcW w:w="6209" w:type="dxa"/>
            <w:gridSpan w:val="7"/>
            <w:tcBorders>
              <w:top w:val="nil"/>
              <w:left w:val="nil"/>
              <w:bottom w:val="nil"/>
              <w:right w:val="nil"/>
            </w:tcBorders>
            <w:shd w:val="clear" w:color="auto" w:fill="auto"/>
            <w:noWrap/>
            <w:vAlign w:val="bottom"/>
            <w:hideMark/>
          </w:tcPr>
          <w:p w:rsidR="009440CC" w:rsidRPr="00815DD2" w:rsidRDefault="009440CC" w:rsidP="00F42DFD">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 1A-4</w:t>
            </w:r>
          </w:p>
        </w:tc>
      </w:tr>
      <w:tr w:rsidR="009440CC" w:rsidRPr="00815DD2" w:rsidTr="009440CC">
        <w:trPr>
          <w:gridAfter w:val="4"/>
          <w:wAfter w:w="6084" w:type="dxa"/>
          <w:trHeight w:val="300"/>
        </w:trPr>
        <w:tc>
          <w:tcPr>
            <w:tcW w:w="6209" w:type="dxa"/>
            <w:gridSpan w:val="7"/>
            <w:tcBorders>
              <w:top w:val="nil"/>
              <w:left w:val="nil"/>
              <w:bottom w:val="nil"/>
              <w:right w:val="nil"/>
            </w:tcBorders>
            <w:shd w:val="clear" w:color="auto" w:fill="auto"/>
            <w:noWrap/>
            <w:vAlign w:val="bottom"/>
            <w:hideMark/>
          </w:tcPr>
          <w:p w:rsidR="009440CC" w:rsidRPr="00815DD2" w:rsidRDefault="009440CC" w:rsidP="00F42DFD">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Inversiones Financieras</w:t>
            </w:r>
          </w:p>
        </w:tc>
      </w:tr>
      <w:tr w:rsidR="009440CC" w:rsidRPr="00704211" w:rsidTr="009440CC">
        <w:trPr>
          <w:gridAfter w:val="4"/>
          <w:wAfter w:w="6084" w:type="dxa"/>
          <w:trHeight w:val="255"/>
        </w:trPr>
        <w:tc>
          <w:tcPr>
            <w:tcW w:w="6209" w:type="dxa"/>
            <w:gridSpan w:val="7"/>
            <w:tcBorders>
              <w:top w:val="nil"/>
              <w:left w:val="nil"/>
              <w:bottom w:val="nil"/>
              <w:right w:val="nil"/>
            </w:tcBorders>
            <w:shd w:val="clear" w:color="auto" w:fill="auto"/>
            <w:noWrap/>
            <w:vAlign w:val="bottom"/>
            <w:hideMark/>
          </w:tcPr>
          <w:p w:rsidR="009440CC" w:rsidRPr="00704211" w:rsidRDefault="009440CC" w:rsidP="00F42DFD">
            <w:pPr>
              <w:spacing w:after="0" w:line="240" w:lineRule="auto"/>
              <w:rPr>
                <w:rFonts w:ascii="Calibri" w:eastAsia="Times New Roman" w:hAnsi="Calibri" w:cs="Arial"/>
                <w:sz w:val="20"/>
                <w:szCs w:val="20"/>
                <w:lang w:eastAsia="es-MX"/>
              </w:rPr>
            </w:pPr>
            <w:r w:rsidRPr="00704211">
              <w:rPr>
                <w:rFonts w:ascii="Calibri" w:eastAsia="Times New Roman" w:hAnsi="Calibri" w:cs="Arial"/>
                <w:sz w:val="20"/>
                <w:szCs w:val="20"/>
                <w:lang w:eastAsia="es-MX"/>
              </w:rPr>
              <w:t>"Esta nota no le aplica al ente público"</w:t>
            </w:r>
          </w:p>
        </w:tc>
      </w:tr>
      <w:tr w:rsidR="009440CC" w:rsidRPr="00704211" w:rsidTr="009440CC">
        <w:trPr>
          <w:gridAfter w:val="4"/>
          <w:wAfter w:w="6084" w:type="dxa"/>
          <w:trHeight w:val="255"/>
        </w:trPr>
        <w:tc>
          <w:tcPr>
            <w:tcW w:w="6209" w:type="dxa"/>
            <w:gridSpan w:val="7"/>
            <w:tcBorders>
              <w:top w:val="nil"/>
              <w:left w:val="nil"/>
              <w:bottom w:val="nil"/>
              <w:right w:val="nil"/>
            </w:tcBorders>
            <w:shd w:val="clear" w:color="auto" w:fill="auto"/>
            <w:noWrap/>
            <w:vAlign w:val="bottom"/>
            <w:hideMark/>
          </w:tcPr>
          <w:p w:rsidR="009440CC" w:rsidRPr="00704211" w:rsidRDefault="009440CC" w:rsidP="00F42DFD">
            <w:pPr>
              <w:spacing w:after="0" w:line="240" w:lineRule="auto"/>
              <w:rPr>
                <w:rFonts w:ascii="Calibri" w:eastAsia="Times New Roman" w:hAnsi="Calibri" w:cs="Arial"/>
                <w:sz w:val="20"/>
                <w:szCs w:val="20"/>
                <w:lang w:eastAsia="es-MX"/>
              </w:rPr>
            </w:pPr>
          </w:p>
        </w:tc>
      </w:tr>
    </w:tbl>
    <w:p w:rsidR="009440CC" w:rsidRPr="00815DD2" w:rsidRDefault="009440CC" w:rsidP="00C62E23">
      <w:pPr>
        <w:jc w:val="both"/>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 1A-5</w:t>
      </w:r>
    </w:p>
    <w:p w:rsidR="009440CC" w:rsidRPr="00815DD2" w:rsidRDefault="009440CC" w:rsidP="00C62E23">
      <w:pPr>
        <w:jc w:val="both"/>
        <w:rPr>
          <w:sz w:val="20"/>
          <w:szCs w:val="20"/>
        </w:rPr>
      </w:pPr>
      <w:r w:rsidRPr="00815DD2">
        <w:rPr>
          <w:rFonts w:ascii="Calibri" w:eastAsia="Times New Roman" w:hAnsi="Calibri" w:cs="Arial"/>
          <w:b/>
          <w:bCs/>
          <w:sz w:val="20"/>
          <w:szCs w:val="20"/>
          <w:lang w:eastAsia="es-MX"/>
        </w:rPr>
        <w:t>Bienes Muebles, Inmuebles e Intangibles</w:t>
      </w:r>
    </w:p>
    <w:p w:rsidR="009440CC" w:rsidRDefault="009440CC" w:rsidP="00C62E23">
      <w:pPr>
        <w:jc w:val="both"/>
        <w:rPr>
          <w:sz w:val="20"/>
          <w:szCs w:val="20"/>
        </w:rPr>
      </w:pPr>
      <w:r w:rsidRPr="009440CC">
        <w:rPr>
          <w:sz w:val="20"/>
          <w:szCs w:val="20"/>
        </w:rPr>
        <w:lastRenderedPageBreak/>
        <w:t>Los Bienes Muebles, Inmuebles e Intangibles adquiridos durante el periodo se reflejan en cuentas de balance, se registran a sus costo de adquisición y de acuerdo a las reglas de valoración del patrimonio vigentes, agrupadas conforme al Clasificador por Objeto del Gasto del Manual de Contabilidad del ITSSY.</w:t>
      </w:r>
    </w:p>
    <w:tbl>
      <w:tblPr>
        <w:tblW w:w="13540" w:type="dxa"/>
        <w:tblInd w:w="70" w:type="dxa"/>
        <w:tblCellMar>
          <w:left w:w="70" w:type="dxa"/>
          <w:right w:w="70" w:type="dxa"/>
        </w:tblCellMar>
        <w:tblLook w:val="04A0" w:firstRow="1" w:lastRow="0" w:firstColumn="1" w:lastColumn="0" w:noHBand="0" w:noVBand="1"/>
      </w:tblPr>
      <w:tblGrid>
        <w:gridCol w:w="4088"/>
        <w:gridCol w:w="1428"/>
        <w:gridCol w:w="1208"/>
        <w:gridCol w:w="1568"/>
        <w:gridCol w:w="1226"/>
        <w:gridCol w:w="1672"/>
        <w:gridCol w:w="1191"/>
        <w:gridCol w:w="1207"/>
      </w:tblGrid>
      <w:tr w:rsidR="007516C7" w:rsidRPr="007516C7" w:rsidTr="007516C7">
        <w:trPr>
          <w:trHeight w:val="112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c>
          <w:tcPr>
            <w:tcW w:w="1193" w:type="dxa"/>
            <w:tcBorders>
              <w:top w:val="nil"/>
              <w:left w:val="nil"/>
              <w:bottom w:val="nil"/>
              <w:right w:val="nil"/>
            </w:tcBorders>
            <w:shd w:val="clear" w:color="auto" w:fill="auto"/>
            <w:vAlign w:val="center"/>
            <w:hideMark/>
          </w:tcPr>
          <w:p w:rsidR="007516C7" w:rsidRPr="007516C7" w:rsidRDefault="007516C7" w:rsidP="007516C7">
            <w:pPr>
              <w:spacing w:after="0" w:line="240" w:lineRule="auto"/>
              <w:jc w:val="center"/>
              <w:rPr>
                <w:rFonts w:ascii="Calibri" w:eastAsia="Times New Roman" w:hAnsi="Calibri" w:cs="Arial"/>
                <w:b/>
                <w:bCs/>
                <w:sz w:val="16"/>
                <w:szCs w:val="16"/>
                <w:lang w:eastAsia="es-MX"/>
              </w:rPr>
            </w:pPr>
            <w:proofErr w:type="spellStart"/>
            <w:r w:rsidRPr="007516C7">
              <w:rPr>
                <w:rFonts w:ascii="Calibri" w:eastAsia="Times New Roman" w:hAnsi="Calibri" w:cs="Arial"/>
                <w:b/>
                <w:bCs/>
                <w:sz w:val="16"/>
                <w:szCs w:val="16"/>
                <w:lang w:eastAsia="es-MX"/>
              </w:rPr>
              <w:t>Metodo</w:t>
            </w:r>
            <w:proofErr w:type="spellEnd"/>
            <w:r w:rsidRPr="007516C7">
              <w:rPr>
                <w:rFonts w:ascii="Calibri" w:eastAsia="Times New Roman" w:hAnsi="Calibri" w:cs="Arial"/>
                <w:b/>
                <w:bCs/>
                <w:sz w:val="16"/>
                <w:szCs w:val="16"/>
                <w:lang w:eastAsia="es-MX"/>
              </w:rPr>
              <w:t xml:space="preserve"> de Depreciación: </w:t>
            </w:r>
            <w:proofErr w:type="spellStart"/>
            <w:r w:rsidRPr="007516C7">
              <w:rPr>
                <w:rFonts w:ascii="Calibri" w:eastAsia="Times New Roman" w:hAnsi="Calibri" w:cs="Arial"/>
                <w:b/>
                <w:bCs/>
                <w:sz w:val="16"/>
                <w:szCs w:val="16"/>
                <w:lang w:eastAsia="es-MX"/>
              </w:rPr>
              <w:t>Linea</w:t>
            </w:r>
            <w:proofErr w:type="spellEnd"/>
            <w:r w:rsidRPr="007516C7">
              <w:rPr>
                <w:rFonts w:ascii="Calibri" w:eastAsia="Times New Roman" w:hAnsi="Calibri" w:cs="Arial"/>
                <w:b/>
                <w:bCs/>
                <w:sz w:val="16"/>
                <w:szCs w:val="16"/>
                <w:lang w:eastAsia="es-MX"/>
              </w:rPr>
              <w:t xml:space="preserve"> Recta </w:t>
            </w:r>
          </w:p>
        </w:tc>
        <w:tc>
          <w:tcPr>
            <w:tcW w:w="1672" w:type="dxa"/>
            <w:tcBorders>
              <w:top w:val="nil"/>
              <w:left w:val="nil"/>
              <w:bottom w:val="nil"/>
              <w:right w:val="nil"/>
            </w:tcBorders>
            <w:shd w:val="clear" w:color="auto" w:fill="auto"/>
            <w:vAlign w:val="center"/>
            <w:hideMark/>
          </w:tcPr>
          <w:p w:rsidR="007516C7" w:rsidRPr="007516C7" w:rsidRDefault="007516C7" w:rsidP="007516C7">
            <w:pPr>
              <w:spacing w:after="0" w:line="240" w:lineRule="auto"/>
              <w:jc w:val="center"/>
              <w:rPr>
                <w:rFonts w:ascii="Calibri" w:eastAsia="Times New Roman" w:hAnsi="Calibri" w:cs="Arial"/>
                <w:b/>
                <w:bCs/>
                <w:sz w:val="16"/>
                <w:szCs w:val="16"/>
                <w:lang w:eastAsia="es-MX"/>
              </w:rPr>
            </w:pPr>
          </w:p>
        </w:tc>
        <w:tc>
          <w:tcPr>
            <w:tcW w:w="1191" w:type="dxa"/>
            <w:tcBorders>
              <w:top w:val="nil"/>
              <w:left w:val="nil"/>
              <w:bottom w:val="nil"/>
              <w:right w:val="nil"/>
            </w:tcBorders>
            <w:shd w:val="clear" w:color="auto" w:fill="auto"/>
            <w:vAlign w:val="bottom"/>
            <w:hideMark/>
          </w:tcPr>
          <w:p w:rsidR="007516C7" w:rsidRPr="007516C7" w:rsidRDefault="007516C7" w:rsidP="007516C7">
            <w:pPr>
              <w:spacing w:after="0" w:line="240" w:lineRule="auto"/>
              <w:jc w:val="center"/>
              <w:rPr>
                <w:rFonts w:ascii="Calibri" w:eastAsia="Times New Roman" w:hAnsi="Calibri" w:cs="Arial"/>
                <w:b/>
                <w:bCs/>
                <w:sz w:val="16"/>
                <w:szCs w:val="16"/>
                <w:lang w:eastAsia="es-MX"/>
              </w:rPr>
            </w:pPr>
            <w:r w:rsidRPr="007516C7">
              <w:rPr>
                <w:rFonts w:ascii="Calibri" w:eastAsia="Times New Roman" w:hAnsi="Calibri" w:cs="Arial"/>
                <w:b/>
                <w:bCs/>
                <w:sz w:val="16"/>
                <w:szCs w:val="16"/>
                <w:lang w:eastAsia="es-MX"/>
              </w:rPr>
              <w:t xml:space="preserve">Guía de Vida </w:t>
            </w:r>
            <w:proofErr w:type="spellStart"/>
            <w:r w:rsidRPr="007516C7">
              <w:rPr>
                <w:rFonts w:ascii="Calibri" w:eastAsia="Times New Roman" w:hAnsi="Calibri" w:cs="Arial"/>
                <w:b/>
                <w:bCs/>
                <w:sz w:val="16"/>
                <w:szCs w:val="16"/>
                <w:lang w:eastAsia="es-MX"/>
              </w:rPr>
              <w:t>Util</w:t>
            </w:r>
            <w:proofErr w:type="spellEnd"/>
            <w:r w:rsidRPr="007516C7">
              <w:rPr>
                <w:rFonts w:ascii="Calibri" w:eastAsia="Times New Roman" w:hAnsi="Calibri" w:cs="Arial"/>
                <w:b/>
                <w:bCs/>
                <w:sz w:val="16"/>
                <w:szCs w:val="16"/>
                <w:lang w:eastAsia="es-MX"/>
              </w:rPr>
              <w:t xml:space="preserve"> Estimada y Porcentajes de Depreciación (CONAC)</w:t>
            </w:r>
          </w:p>
        </w:tc>
        <w:tc>
          <w:tcPr>
            <w:tcW w:w="1192" w:type="dxa"/>
            <w:tcBorders>
              <w:top w:val="nil"/>
              <w:left w:val="nil"/>
              <w:bottom w:val="nil"/>
              <w:right w:val="nil"/>
            </w:tcBorders>
            <w:shd w:val="clear" w:color="auto" w:fill="auto"/>
            <w:vAlign w:val="bottom"/>
            <w:hideMark/>
          </w:tcPr>
          <w:p w:rsidR="007516C7" w:rsidRPr="007516C7" w:rsidRDefault="007516C7" w:rsidP="007516C7">
            <w:pPr>
              <w:spacing w:after="0" w:line="240" w:lineRule="auto"/>
              <w:jc w:val="center"/>
              <w:rPr>
                <w:rFonts w:ascii="Calibri" w:eastAsia="Times New Roman" w:hAnsi="Calibri" w:cs="Arial"/>
                <w:b/>
                <w:bCs/>
                <w:sz w:val="16"/>
                <w:szCs w:val="16"/>
                <w:lang w:eastAsia="es-MX"/>
              </w:rPr>
            </w:pPr>
          </w:p>
        </w:tc>
      </w:tr>
      <w:tr w:rsidR="007516C7" w:rsidRPr="007516C7" w:rsidTr="007516C7">
        <w:trPr>
          <w:trHeight w:val="76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p>
        </w:tc>
        <w:tc>
          <w:tcPr>
            <w:tcW w:w="1428" w:type="dxa"/>
            <w:tcBorders>
              <w:top w:val="nil"/>
              <w:left w:val="nil"/>
              <w:bottom w:val="nil"/>
              <w:right w:val="nil"/>
            </w:tcBorders>
            <w:shd w:val="clear" w:color="auto" w:fill="auto"/>
            <w:noWrap/>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Saldo Inicial </w:t>
            </w:r>
          </w:p>
        </w:tc>
        <w:tc>
          <w:tcPr>
            <w:tcW w:w="1208" w:type="dxa"/>
            <w:tcBorders>
              <w:top w:val="nil"/>
              <w:left w:val="nil"/>
              <w:bottom w:val="nil"/>
              <w:right w:val="nil"/>
            </w:tcBorders>
            <w:shd w:val="clear" w:color="auto" w:fill="auto"/>
            <w:noWrap/>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Altas</w:t>
            </w:r>
          </w:p>
        </w:tc>
        <w:tc>
          <w:tcPr>
            <w:tcW w:w="1568" w:type="dxa"/>
            <w:tcBorders>
              <w:top w:val="nil"/>
              <w:left w:val="nil"/>
              <w:bottom w:val="nil"/>
              <w:right w:val="nil"/>
            </w:tcBorders>
            <w:shd w:val="clear" w:color="auto" w:fill="auto"/>
            <w:noWrap/>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Saldo Final </w:t>
            </w:r>
          </w:p>
        </w:tc>
        <w:tc>
          <w:tcPr>
            <w:tcW w:w="1193" w:type="dxa"/>
            <w:tcBorders>
              <w:top w:val="nil"/>
              <w:left w:val="nil"/>
              <w:bottom w:val="nil"/>
              <w:right w:val="nil"/>
            </w:tcBorders>
            <w:shd w:val="clear" w:color="auto" w:fill="auto"/>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Depreciación del Ejercicio 2016</w:t>
            </w:r>
          </w:p>
        </w:tc>
        <w:tc>
          <w:tcPr>
            <w:tcW w:w="1672" w:type="dxa"/>
            <w:tcBorders>
              <w:top w:val="nil"/>
              <w:left w:val="nil"/>
              <w:bottom w:val="nil"/>
              <w:right w:val="nil"/>
            </w:tcBorders>
            <w:shd w:val="clear" w:color="auto" w:fill="auto"/>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Depreciación Acumulada </w:t>
            </w:r>
          </w:p>
        </w:tc>
        <w:tc>
          <w:tcPr>
            <w:tcW w:w="1191" w:type="dxa"/>
            <w:tcBorders>
              <w:top w:val="nil"/>
              <w:left w:val="nil"/>
              <w:bottom w:val="nil"/>
              <w:right w:val="nil"/>
            </w:tcBorders>
            <w:shd w:val="clear" w:color="auto" w:fill="auto"/>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Años de Vida </w:t>
            </w:r>
            <w:proofErr w:type="spellStart"/>
            <w:r w:rsidRPr="007516C7">
              <w:rPr>
                <w:rFonts w:ascii="Calibri" w:eastAsia="Times New Roman" w:hAnsi="Calibri" w:cs="Arial"/>
                <w:b/>
                <w:bCs/>
                <w:sz w:val="20"/>
                <w:szCs w:val="20"/>
                <w:lang w:eastAsia="es-MX"/>
              </w:rPr>
              <w:t>Util</w:t>
            </w:r>
            <w:proofErr w:type="spellEnd"/>
            <w:r w:rsidRPr="007516C7">
              <w:rPr>
                <w:rFonts w:ascii="Calibri" w:eastAsia="Times New Roman" w:hAnsi="Calibri" w:cs="Arial"/>
                <w:b/>
                <w:bCs/>
                <w:sz w:val="20"/>
                <w:szCs w:val="20"/>
                <w:lang w:eastAsia="es-MX"/>
              </w:rPr>
              <w:t xml:space="preserve"> </w:t>
            </w:r>
          </w:p>
        </w:tc>
        <w:tc>
          <w:tcPr>
            <w:tcW w:w="1192" w:type="dxa"/>
            <w:tcBorders>
              <w:top w:val="nil"/>
              <w:left w:val="nil"/>
              <w:bottom w:val="nil"/>
              <w:right w:val="nil"/>
            </w:tcBorders>
            <w:shd w:val="clear" w:color="auto" w:fill="auto"/>
            <w:vAlign w:val="center"/>
            <w:hideMark/>
          </w:tcPr>
          <w:p w:rsidR="007516C7" w:rsidRPr="007516C7" w:rsidRDefault="007516C7" w:rsidP="007516C7">
            <w:pPr>
              <w:spacing w:after="0" w:line="240" w:lineRule="auto"/>
              <w:jc w:val="center"/>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de depreciación </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64,207,067.06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508,208.30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64,715,275.36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890,162.87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36,593,612.00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u w:val="single"/>
                <w:lang w:eastAsia="es-MX"/>
              </w:rPr>
            </w:pPr>
            <w:r w:rsidRPr="007516C7">
              <w:rPr>
                <w:rFonts w:ascii="Calibri" w:eastAsia="Times New Roman" w:hAnsi="Calibri" w:cs="Arial"/>
                <w:b/>
                <w:bCs/>
                <w:sz w:val="20"/>
                <w:szCs w:val="20"/>
                <w:u w:val="single"/>
                <w:lang w:eastAsia="es-MX"/>
              </w:rPr>
              <w:t>Bienes Inmuebles</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36,994,195.67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36,994,195.67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402,366.45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13,427,780.32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Terrenos</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Edificios No Habitacionales </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36,994,195.67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36,994,195.67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402,366.45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13,427,780.32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Constr. En Proceso en Bienes Propios </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Edificación No Habitacional </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u w:val="single"/>
                <w:lang w:eastAsia="es-MX"/>
              </w:rPr>
            </w:pPr>
            <w:r w:rsidRPr="007516C7">
              <w:rPr>
                <w:rFonts w:ascii="Calibri" w:eastAsia="Times New Roman" w:hAnsi="Calibri" w:cs="Arial"/>
                <w:b/>
                <w:bCs/>
                <w:sz w:val="20"/>
                <w:szCs w:val="20"/>
                <w:u w:val="single"/>
                <w:lang w:eastAsia="es-MX"/>
              </w:rPr>
              <w:t xml:space="preserve">Bienes Muebles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26,251,178.19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508,208.30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26,759,386.49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451,976.45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22,287,718.91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u w:val="single"/>
                <w:lang w:eastAsia="es-MX"/>
              </w:rPr>
            </w:pPr>
            <w:r w:rsidRPr="007516C7">
              <w:rPr>
                <w:rFonts w:ascii="Calibri" w:eastAsia="Times New Roman" w:hAnsi="Calibri" w:cs="Arial"/>
                <w:i/>
                <w:iCs/>
                <w:sz w:val="20"/>
                <w:szCs w:val="20"/>
                <w:u w:val="single"/>
                <w:lang w:eastAsia="es-MX"/>
              </w:rPr>
              <w:t>Mobiliario y Equipo de Administración</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11,549,587.97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18,684.00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11,568,271.97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232,405.66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10,197,367.52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Muebles de Oficina y </w:t>
            </w:r>
            <w:r w:rsidR="00EF743A" w:rsidRPr="007516C7">
              <w:rPr>
                <w:rFonts w:ascii="Calibri" w:eastAsia="Times New Roman" w:hAnsi="Calibri" w:cs="Arial"/>
                <w:i/>
                <w:iCs/>
                <w:sz w:val="20"/>
                <w:szCs w:val="20"/>
                <w:lang w:eastAsia="es-MX"/>
              </w:rPr>
              <w:t>Estantería</w:t>
            </w:r>
            <w:r w:rsidRPr="007516C7">
              <w:rPr>
                <w:rFonts w:ascii="Calibri" w:eastAsia="Times New Roman" w:hAnsi="Calibri" w:cs="Arial"/>
                <w:i/>
                <w:iCs/>
                <w:sz w:val="20"/>
                <w:szCs w:val="20"/>
                <w:lang w:eastAsia="es-MX"/>
              </w:rPr>
              <w:t xml:space="preserve">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3,522,169.04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3,522,169.04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52,426.29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2,805,252.17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Muebles Excepto de Oficina y </w:t>
            </w:r>
            <w:r w:rsidR="00EF743A" w:rsidRPr="007516C7">
              <w:rPr>
                <w:rFonts w:ascii="Calibri" w:eastAsia="Times New Roman" w:hAnsi="Calibri" w:cs="Arial"/>
                <w:i/>
                <w:iCs/>
                <w:sz w:val="20"/>
                <w:szCs w:val="20"/>
                <w:lang w:eastAsia="es-MX"/>
              </w:rPr>
              <w:t>Estantería</w:t>
            </w:r>
            <w:r w:rsidRPr="007516C7">
              <w:rPr>
                <w:rFonts w:ascii="Calibri" w:eastAsia="Times New Roman" w:hAnsi="Calibri" w:cs="Arial"/>
                <w:i/>
                <w:iCs/>
                <w:sz w:val="20"/>
                <w:szCs w:val="20"/>
                <w:lang w:eastAsia="es-MX"/>
              </w:rPr>
              <w:t xml:space="preserve">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Equipo de </w:t>
            </w:r>
            <w:r w:rsidR="00EF743A" w:rsidRPr="007516C7">
              <w:rPr>
                <w:rFonts w:ascii="Calibri" w:eastAsia="Times New Roman" w:hAnsi="Calibri" w:cs="Arial"/>
                <w:i/>
                <w:iCs/>
                <w:sz w:val="20"/>
                <w:szCs w:val="20"/>
                <w:lang w:eastAsia="es-MX"/>
              </w:rPr>
              <w:t>Cómputo</w:t>
            </w:r>
            <w:r w:rsidRPr="007516C7">
              <w:rPr>
                <w:rFonts w:ascii="Calibri" w:eastAsia="Times New Roman" w:hAnsi="Calibri" w:cs="Arial"/>
                <w:i/>
                <w:iCs/>
                <w:sz w:val="20"/>
                <w:szCs w:val="20"/>
                <w:lang w:eastAsia="es-MX"/>
              </w:rPr>
              <w:t xml:space="preserve"> y </w:t>
            </w:r>
            <w:proofErr w:type="spellStart"/>
            <w:r w:rsidRPr="007516C7">
              <w:rPr>
                <w:rFonts w:ascii="Calibri" w:eastAsia="Times New Roman" w:hAnsi="Calibri" w:cs="Arial"/>
                <w:i/>
                <w:iCs/>
                <w:sz w:val="20"/>
                <w:szCs w:val="20"/>
                <w:lang w:eastAsia="es-MX"/>
              </w:rPr>
              <w:t>Tec</w:t>
            </w:r>
            <w:proofErr w:type="spellEnd"/>
            <w:r w:rsidRPr="007516C7">
              <w:rPr>
                <w:rFonts w:ascii="Calibri" w:eastAsia="Times New Roman" w:hAnsi="Calibri" w:cs="Arial"/>
                <w:i/>
                <w:iCs/>
                <w:sz w:val="20"/>
                <w:szCs w:val="20"/>
                <w:lang w:eastAsia="es-MX"/>
              </w:rPr>
              <w:t xml:space="preserve">. De </w:t>
            </w:r>
            <w:proofErr w:type="spellStart"/>
            <w:r w:rsidRPr="007516C7">
              <w:rPr>
                <w:rFonts w:ascii="Calibri" w:eastAsia="Times New Roman" w:hAnsi="Calibri" w:cs="Arial"/>
                <w:i/>
                <w:iCs/>
                <w:sz w:val="20"/>
                <w:szCs w:val="20"/>
                <w:lang w:eastAsia="es-MX"/>
              </w:rPr>
              <w:t>Infor</w:t>
            </w:r>
            <w:proofErr w:type="spellEnd"/>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7,917,101.07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18,684.00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7,935,785.07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177,221.41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7,352,431.19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33.3</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Otros Mobiliarios y Equipos de </w:t>
            </w:r>
            <w:r w:rsidR="00EF743A" w:rsidRPr="007516C7">
              <w:rPr>
                <w:rFonts w:ascii="Calibri" w:eastAsia="Times New Roman" w:hAnsi="Calibri" w:cs="Arial"/>
                <w:i/>
                <w:iCs/>
                <w:sz w:val="20"/>
                <w:szCs w:val="20"/>
                <w:lang w:eastAsia="es-MX"/>
              </w:rPr>
              <w:t>Admón.</w:t>
            </w:r>
            <w:r w:rsidRPr="007516C7">
              <w:rPr>
                <w:rFonts w:ascii="Calibri" w:eastAsia="Times New Roman" w:hAnsi="Calibri" w:cs="Arial"/>
                <w:i/>
                <w:iCs/>
                <w:sz w:val="20"/>
                <w:szCs w:val="20"/>
                <w:lang w:eastAsia="es-MX"/>
              </w:rPr>
              <w:t xml:space="preserve">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110,317.86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110,317.86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2,757.96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w:t>
            </w:r>
            <w:r>
              <w:rPr>
                <w:rFonts w:ascii="Calibri" w:eastAsia="Times New Roman" w:hAnsi="Calibri" w:cs="Arial"/>
                <w:sz w:val="20"/>
                <w:szCs w:val="20"/>
                <w:lang w:eastAsia="es-MX"/>
              </w:rPr>
              <w:t xml:space="preserve"> </w:t>
            </w:r>
            <w:r w:rsidRPr="007516C7">
              <w:rPr>
                <w:rFonts w:ascii="Calibri" w:eastAsia="Times New Roman" w:hAnsi="Calibri" w:cs="Arial"/>
                <w:sz w:val="20"/>
                <w:szCs w:val="20"/>
                <w:lang w:eastAsia="es-MX"/>
              </w:rPr>
              <w:t xml:space="preserve">39,684.16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u w:val="single"/>
                <w:lang w:eastAsia="es-MX"/>
              </w:rPr>
            </w:pPr>
            <w:r w:rsidRPr="007516C7">
              <w:rPr>
                <w:rFonts w:ascii="Calibri" w:eastAsia="Times New Roman" w:hAnsi="Calibri" w:cs="Arial"/>
                <w:i/>
                <w:iCs/>
                <w:sz w:val="20"/>
                <w:szCs w:val="20"/>
                <w:u w:val="single"/>
                <w:lang w:eastAsia="es-MX"/>
              </w:rPr>
              <w:t>Mobiliario y Equipo Educacional y Recreativo</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3,010,273.69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45,945.02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3,056,218.71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72,050.75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1,532,797.50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Equipos y Aparatos Audiovisuales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452,138.03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33,229.70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485,367.73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31,692.78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340,026.35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33.3</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Aparatos Deportivos </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5</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20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6D33C0"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lastRenderedPageBreak/>
              <w:t>Cámaras</w:t>
            </w:r>
            <w:r w:rsidR="007516C7" w:rsidRPr="007516C7">
              <w:rPr>
                <w:rFonts w:ascii="Calibri" w:eastAsia="Times New Roman" w:hAnsi="Calibri" w:cs="Arial"/>
                <w:i/>
                <w:iCs/>
                <w:sz w:val="20"/>
                <w:szCs w:val="20"/>
                <w:lang w:eastAsia="es-MX"/>
              </w:rPr>
              <w:t xml:space="preserve"> </w:t>
            </w:r>
            <w:r w:rsidRPr="007516C7">
              <w:rPr>
                <w:rFonts w:ascii="Calibri" w:eastAsia="Times New Roman" w:hAnsi="Calibri" w:cs="Arial"/>
                <w:i/>
                <w:iCs/>
                <w:sz w:val="20"/>
                <w:szCs w:val="20"/>
                <w:lang w:eastAsia="es-MX"/>
              </w:rPr>
              <w:t>Fotográficas</w:t>
            </w:r>
            <w:r w:rsidR="007516C7" w:rsidRPr="007516C7">
              <w:rPr>
                <w:rFonts w:ascii="Calibri" w:eastAsia="Times New Roman" w:hAnsi="Calibri" w:cs="Arial"/>
                <w:i/>
                <w:iCs/>
                <w:sz w:val="20"/>
                <w:szCs w:val="20"/>
                <w:lang w:eastAsia="es-MX"/>
              </w:rPr>
              <w:t xml:space="preserve"> y de Video</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18,100.00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12,715.32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30,815.32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1,506.83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1,506.83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33.3</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Otro </w:t>
            </w:r>
            <w:proofErr w:type="spellStart"/>
            <w:r w:rsidRPr="007516C7">
              <w:rPr>
                <w:rFonts w:ascii="Calibri" w:eastAsia="Times New Roman" w:hAnsi="Calibri" w:cs="Arial"/>
                <w:i/>
                <w:iCs/>
                <w:sz w:val="20"/>
                <w:szCs w:val="20"/>
                <w:lang w:eastAsia="es-MX"/>
              </w:rPr>
              <w:t>Mob.y</w:t>
            </w:r>
            <w:proofErr w:type="spellEnd"/>
            <w:r w:rsidRPr="007516C7">
              <w:rPr>
                <w:rFonts w:ascii="Calibri" w:eastAsia="Times New Roman" w:hAnsi="Calibri" w:cs="Arial"/>
                <w:i/>
                <w:iCs/>
                <w:sz w:val="20"/>
                <w:szCs w:val="20"/>
                <w:lang w:eastAsia="es-MX"/>
              </w:rPr>
              <w:t xml:space="preserve"> Equipo </w:t>
            </w:r>
            <w:r w:rsidR="006D33C0" w:rsidRPr="007516C7">
              <w:rPr>
                <w:rFonts w:ascii="Calibri" w:eastAsia="Times New Roman" w:hAnsi="Calibri" w:cs="Arial"/>
                <w:i/>
                <w:iCs/>
                <w:sz w:val="20"/>
                <w:szCs w:val="20"/>
                <w:lang w:eastAsia="es-MX"/>
              </w:rPr>
              <w:t>Educacional</w:t>
            </w:r>
            <w:r w:rsidRPr="007516C7">
              <w:rPr>
                <w:rFonts w:ascii="Calibri" w:eastAsia="Times New Roman" w:hAnsi="Calibri" w:cs="Arial"/>
                <w:i/>
                <w:iCs/>
                <w:sz w:val="20"/>
                <w:szCs w:val="20"/>
                <w:lang w:eastAsia="es-MX"/>
              </w:rPr>
              <w:t xml:space="preserve"> y Recreativo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2,540,035.66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2,540,035.66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38,851.14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1,191,264.32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u w:val="single"/>
                <w:lang w:eastAsia="es-MX"/>
              </w:rPr>
            </w:pPr>
            <w:r w:rsidRPr="007516C7">
              <w:rPr>
                <w:rFonts w:ascii="Calibri" w:eastAsia="Times New Roman" w:hAnsi="Calibri" w:cs="Arial"/>
                <w:i/>
                <w:iCs/>
                <w:sz w:val="20"/>
                <w:szCs w:val="20"/>
                <w:u w:val="single"/>
                <w:lang w:eastAsia="es-MX"/>
              </w:rPr>
              <w:t xml:space="preserve">Equipo e Instrumental </w:t>
            </w:r>
            <w:r w:rsidR="00EF743A" w:rsidRPr="007516C7">
              <w:rPr>
                <w:rFonts w:ascii="Calibri" w:eastAsia="Times New Roman" w:hAnsi="Calibri" w:cs="Arial"/>
                <w:i/>
                <w:iCs/>
                <w:sz w:val="20"/>
                <w:szCs w:val="20"/>
                <w:u w:val="single"/>
                <w:lang w:eastAsia="es-MX"/>
              </w:rPr>
              <w:t>Médico</w:t>
            </w:r>
            <w:r w:rsidRPr="007516C7">
              <w:rPr>
                <w:rFonts w:ascii="Calibri" w:eastAsia="Times New Roman" w:hAnsi="Calibri" w:cs="Arial"/>
                <w:i/>
                <w:iCs/>
                <w:sz w:val="20"/>
                <w:szCs w:val="20"/>
                <w:u w:val="single"/>
                <w:lang w:eastAsia="es-MX"/>
              </w:rPr>
              <w:t xml:space="preserve"> y de Laboratorio</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9,370,531.21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440,215.28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9,810,746.49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126,638.78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8,544,041.73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5</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20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Equipo </w:t>
            </w:r>
            <w:r w:rsidR="00EF743A" w:rsidRPr="007516C7">
              <w:rPr>
                <w:rFonts w:ascii="Calibri" w:eastAsia="Times New Roman" w:hAnsi="Calibri" w:cs="Arial"/>
                <w:i/>
                <w:iCs/>
                <w:sz w:val="20"/>
                <w:szCs w:val="20"/>
                <w:lang w:eastAsia="es-MX"/>
              </w:rPr>
              <w:t>Médico</w:t>
            </w:r>
            <w:r w:rsidRPr="007516C7">
              <w:rPr>
                <w:rFonts w:ascii="Calibri" w:eastAsia="Times New Roman" w:hAnsi="Calibri" w:cs="Arial"/>
                <w:i/>
                <w:iCs/>
                <w:sz w:val="20"/>
                <w:szCs w:val="20"/>
                <w:lang w:eastAsia="es-MX"/>
              </w:rPr>
              <w:t xml:space="preserve"> y de Laboratorio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8,574,577.87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440,215.28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9,014,793.15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119,949.71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7,796,163.74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5</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20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Instrumental </w:t>
            </w:r>
            <w:r w:rsidR="00EF743A" w:rsidRPr="007516C7">
              <w:rPr>
                <w:rFonts w:ascii="Calibri" w:eastAsia="Times New Roman" w:hAnsi="Calibri" w:cs="Arial"/>
                <w:i/>
                <w:iCs/>
                <w:sz w:val="20"/>
                <w:szCs w:val="20"/>
                <w:lang w:eastAsia="es-MX"/>
              </w:rPr>
              <w:t>Médico</w:t>
            </w:r>
            <w:r w:rsidRPr="007516C7">
              <w:rPr>
                <w:rFonts w:ascii="Calibri" w:eastAsia="Times New Roman" w:hAnsi="Calibri" w:cs="Arial"/>
                <w:i/>
                <w:iCs/>
                <w:sz w:val="20"/>
                <w:szCs w:val="20"/>
                <w:lang w:eastAsia="es-MX"/>
              </w:rPr>
              <w:t xml:space="preserve"> y de Laboratorio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795,953.34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795,953.34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6,689.07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747,877.99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5</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20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u w:val="single"/>
                <w:lang w:eastAsia="es-MX"/>
              </w:rPr>
            </w:pPr>
            <w:r w:rsidRPr="007516C7">
              <w:rPr>
                <w:rFonts w:ascii="Calibri" w:eastAsia="Times New Roman" w:hAnsi="Calibri" w:cs="Arial"/>
                <w:i/>
                <w:iCs/>
                <w:sz w:val="20"/>
                <w:szCs w:val="20"/>
                <w:u w:val="single"/>
                <w:lang w:eastAsia="es-MX"/>
              </w:rPr>
              <w:t xml:space="preserve">Equipo de Transporte </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1,248,395.46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1,248,395.46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1,231,595.47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EF743A"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Automóviles</w:t>
            </w:r>
            <w:r w:rsidR="007516C7" w:rsidRPr="007516C7">
              <w:rPr>
                <w:rFonts w:ascii="Calibri" w:eastAsia="Times New Roman" w:hAnsi="Calibri" w:cs="Arial"/>
                <w:i/>
                <w:iCs/>
                <w:sz w:val="20"/>
                <w:szCs w:val="20"/>
                <w:lang w:eastAsia="es-MX"/>
              </w:rPr>
              <w:t xml:space="preserve"> y Equipos Terrestre</w:t>
            </w:r>
          </w:p>
        </w:tc>
        <w:tc>
          <w:tcPr>
            <w:tcW w:w="1428" w:type="dxa"/>
            <w:tcBorders>
              <w:top w:val="nil"/>
              <w:left w:val="nil"/>
              <w:bottom w:val="nil"/>
              <w:right w:val="nil"/>
            </w:tcBorders>
            <w:shd w:val="clear" w:color="auto" w:fill="auto"/>
            <w:noWrap/>
            <w:vAlign w:val="bottom"/>
            <w:hideMark/>
          </w:tcPr>
          <w:p w:rsidR="007516C7" w:rsidRPr="007516C7" w:rsidRDefault="007516C7" w:rsidP="0074280B">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1,248,395.46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1,248,395.46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1,231,595.47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5</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20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u w:val="single"/>
                <w:lang w:eastAsia="es-MX"/>
              </w:rPr>
            </w:pPr>
            <w:r w:rsidRPr="007516C7">
              <w:rPr>
                <w:rFonts w:ascii="Calibri" w:eastAsia="Times New Roman" w:hAnsi="Calibri" w:cs="Arial"/>
                <w:i/>
                <w:iCs/>
                <w:sz w:val="20"/>
                <w:szCs w:val="20"/>
                <w:u w:val="single"/>
                <w:lang w:eastAsia="es-MX"/>
              </w:rPr>
              <w:t>Maquinaria, Otros Equipos y Herramientas</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1,072,389.86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3,364.00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1,075,753.86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20,881.26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781,916.69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proofErr w:type="spellStart"/>
            <w:r w:rsidRPr="007516C7">
              <w:rPr>
                <w:rFonts w:ascii="Calibri" w:eastAsia="Times New Roman" w:hAnsi="Calibri" w:cs="Arial"/>
                <w:i/>
                <w:iCs/>
                <w:sz w:val="20"/>
                <w:szCs w:val="20"/>
                <w:lang w:eastAsia="es-MX"/>
              </w:rPr>
              <w:t>Sist</w:t>
            </w:r>
            <w:proofErr w:type="spellEnd"/>
            <w:r w:rsidRPr="007516C7">
              <w:rPr>
                <w:rFonts w:ascii="Calibri" w:eastAsia="Times New Roman" w:hAnsi="Calibri" w:cs="Arial"/>
                <w:i/>
                <w:iCs/>
                <w:sz w:val="20"/>
                <w:szCs w:val="20"/>
                <w:lang w:eastAsia="es-MX"/>
              </w:rPr>
              <w:t xml:space="preserve">. De Aire Acondicionado, </w:t>
            </w:r>
            <w:r w:rsidR="00EF743A" w:rsidRPr="007516C7">
              <w:rPr>
                <w:rFonts w:ascii="Calibri" w:eastAsia="Times New Roman" w:hAnsi="Calibri" w:cs="Arial"/>
                <w:i/>
                <w:iCs/>
                <w:sz w:val="20"/>
                <w:szCs w:val="20"/>
                <w:lang w:eastAsia="es-MX"/>
              </w:rPr>
              <w:t>Calefacción</w:t>
            </w:r>
            <w:r w:rsidRPr="007516C7">
              <w:rPr>
                <w:rFonts w:ascii="Calibri" w:eastAsia="Times New Roman" w:hAnsi="Calibri" w:cs="Arial"/>
                <w:i/>
                <w:iCs/>
                <w:sz w:val="20"/>
                <w:szCs w:val="20"/>
                <w:lang w:eastAsia="es-MX"/>
              </w:rPr>
              <w:t xml:space="preserve"> y </w:t>
            </w:r>
            <w:proofErr w:type="spellStart"/>
            <w:r w:rsidRPr="007516C7">
              <w:rPr>
                <w:rFonts w:ascii="Calibri" w:eastAsia="Times New Roman" w:hAnsi="Calibri" w:cs="Arial"/>
                <w:i/>
                <w:iCs/>
                <w:sz w:val="20"/>
                <w:szCs w:val="20"/>
                <w:lang w:eastAsia="es-MX"/>
              </w:rPr>
              <w:t>Refrige</w:t>
            </w:r>
            <w:proofErr w:type="spellEnd"/>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4,060.00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4,060.00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101.49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1,014.90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proofErr w:type="spellStart"/>
            <w:r w:rsidRPr="007516C7">
              <w:rPr>
                <w:rFonts w:ascii="Calibri" w:eastAsia="Times New Roman" w:hAnsi="Calibri" w:cs="Arial"/>
                <w:i/>
                <w:iCs/>
                <w:sz w:val="20"/>
                <w:szCs w:val="20"/>
                <w:lang w:eastAsia="es-MX"/>
              </w:rPr>
              <w:t>Maq</w:t>
            </w:r>
            <w:proofErr w:type="spellEnd"/>
            <w:r w:rsidRPr="007516C7">
              <w:rPr>
                <w:rFonts w:ascii="Calibri" w:eastAsia="Times New Roman" w:hAnsi="Calibri" w:cs="Arial"/>
                <w:i/>
                <w:iCs/>
                <w:sz w:val="20"/>
                <w:szCs w:val="20"/>
                <w:lang w:eastAsia="es-MX"/>
              </w:rPr>
              <w:t xml:space="preserve">. Y Equipo </w:t>
            </w:r>
            <w:r w:rsidR="00EF743A" w:rsidRPr="007516C7">
              <w:rPr>
                <w:rFonts w:ascii="Calibri" w:eastAsia="Times New Roman" w:hAnsi="Calibri" w:cs="Arial"/>
                <w:i/>
                <w:iCs/>
                <w:sz w:val="20"/>
                <w:szCs w:val="20"/>
                <w:lang w:eastAsia="es-MX"/>
              </w:rPr>
              <w:t>Eléctrico</w:t>
            </w:r>
            <w:r w:rsidRPr="007516C7">
              <w:rPr>
                <w:rFonts w:ascii="Calibri" w:eastAsia="Times New Roman" w:hAnsi="Calibri" w:cs="Arial"/>
                <w:i/>
                <w:iCs/>
                <w:sz w:val="20"/>
                <w:szCs w:val="20"/>
                <w:lang w:eastAsia="es-MX"/>
              </w:rPr>
              <w:t xml:space="preserve"> y </w:t>
            </w:r>
            <w:r w:rsidR="00EF743A" w:rsidRPr="007516C7">
              <w:rPr>
                <w:rFonts w:ascii="Calibri" w:eastAsia="Times New Roman" w:hAnsi="Calibri" w:cs="Arial"/>
                <w:i/>
                <w:iCs/>
                <w:sz w:val="20"/>
                <w:szCs w:val="20"/>
                <w:lang w:eastAsia="es-MX"/>
              </w:rPr>
              <w:t>Electrónico</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87,112.15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87,112.15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2,177.79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28,025.21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Herramientas y Maquinas-Herramientas</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981,217.71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3,364.00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984,581.71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18,601.98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752,876.58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u w:val="single"/>
                <w:lang w:eastAsia="es-MX"/>
              </w:rPr>
            </w:pPr>
            <w:r w:rsidRPr="007516C7">
              <w:rPr>
                <w:rFonts w:ascii="Calibri" w:eastAsia="Times New Roman" w:hAnsi="Calibri" w:cs="Arial"/>
                <w:b/>
                <w:bCs/>
                <w:sz w:val="20"/>
                <w:szCs w:val="20"/>
                <w:u w:val="single"/>
                <w:lang w:eastAsia="es-MX"/>
              </w:rPr>
              <w:t>Activos Intangibles</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961,693.20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961,693.20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35,819.97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b/>
                <w:bCs/>
                <w:sz w:val="20"/>
                <w:szCs w:val="20"/>
                <w:lang w:eastAsia="es-MX"/>
              </w:rPr>
            </w:pPr>
            <w:r w:rsidRPr="007516C7">
              <w:rPr>
                <w:rFonts w:ascii="Calibri" w:eastAsia="Times New Roman" w:hAnsi="Calibri" w:cs="Arial"/>
                <w:b/>
                <w:bCs/>
                <w:sz w:val="20"/>
                <w:szCs w:val="20"/>
                <w:lang w:eastAsia="es-MX"/>
              </w:rPr>
              <w:t xml:space="preserve">              878,112.77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r w:rsidRPr="007516C7">
              <w:rPr>
                <w:rFonts w:ascii="Calibri" w:eastAsia="Times New Roman" w:hAnsi="Calibri" w:cs="Arial"/>
                <w:sz w:val="20"/>
                <w:szCs w:val="20"/>
                <w:lang w:eastAsia="es-MX"/>
              </w:rPr>
              <w:t>10</w:t>
            </w: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Software</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120,438.69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120,438.69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5,274.96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108,130.48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Licencias</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841,254.51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841,254.51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30,545.01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769,982.29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center"/>
              <w:rPr>
                <w:rFonts w:ascii="Calibri" w:eastAsia="Times New Roman" w:hAnsi="Calibri" w:cs="Arial"/>
                <w:sz w:val="20"/>
                <w:szCs w:val="20"/>
                <w:lang w:eastAsia="es-MX"/>
              </w:rPr>
            </w:pPr>
          </w:p>
        </w:tc>
      </w:tr>
      <w:tr w:rsidR="007516C7" w:rsidRPr="007516C7" w:rsidTr="007516C7">
        <w:trPr>
          <w:trHeight w:val="255"/>
        </w:trPr>
        <w:tc>
          <w:tcPr>
            <w:tcW w:w="408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i/>
                <w:iCs/>
                <w:sz w:val="20"/>
                <w:szCs w:val="20"/>
                <w:lang w:eastAsia="es-MX"/>
              </w:rPr>
            </w:pPr>
            <w:r w:rsidRPr="007516C7">
              <w:rPr>
                <w:rFonts w:ascii="Calibri" w:eastAsia="Times New Roman" w:hAnsi="Calibri" w:cs="Arial"/>
                <w:i/>
                <w:iCs/>
                <w:sz w:val="20"/>
                <w:szCs w:val="20"/>
                <w:lang w:eastAsia="es-MX"/>
              </w:rPr>
              <w:t xml:space="preserve">Licencias </w:t>
            </w:r>
            <w:r w:rsidR="00EF743A" w:rsidRPr="007516C7">
              <w:rPr>
                <w:rFonts w:ascii="Calibri" w:eastAsia="Times New Roman" w:hAnsi="Calibri" w:cs="Arial"/>
                <w:i/>
                <w:iCs/>
                <w:sz w:val="20"/>
                <w:szCs w:val="20"/>
                <w:lang w:eastAsia="es-MX"/>
              </w:rPr>
              <w:t>Informáticas</w:t>
            </w:r>
            <w:r w:rsidRPr="007516C7">
              <w:rPr>
                <w:rFonts w:ascii="Calibri" w:eastAsia="Times New Roman" w:hAnsi="Calibri" w:cs="Arial"/>
                <w:i/>
                <w:iCs/>
                <w:sz w:val="20"/>
                <w:szCs w:val="20"/>
                <w:lang w:eastAsia="es-MX"/>
              </w:rPr>
              <w:t xml:space="preserve"> e Intelectuales </w:t>
            </w:r>
          </w:p>
        </w:tc>
        <w:tc>
          <w:tcPr>
            <w:tcW w:w="142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841,254.51 </w:t>
            </w:r>
          </w:p>
        </w:tc>
        <w:tc>
          <w:tcPr>
            <w:tcW w:w="120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   </w:t>
            </w:r>
          </w:p>
        </w:tc>
        <w:tc>
          <w:tcPr>
            <w:tcW w:w="1568"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841,254.51 </w:t>
            </w:r>
          </w:p>
        </w:tc>
        <w:tc>
          <w:tcPr>
            <w:tcW w:w="1193"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101,817.23 </w:t>
            </w:r>
          </w:p>
        </w:tc>
        <w:tc>
          <w:tcPr>
            <w:tcW w:w="167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jc w:val="right"/>
              <w:rPr>
                <w:rFonts w:ascii="Calibri" w:eastAsia="Times New Roman" w:hAnsi="Calibri" w:cs="Arial"/>
                <w:sz w:val="20"/>
                <w:szCs w:val="20"/>
                <w:lang w:eastAsia="es-MX"/>
              </w:rPr>
            </w:pPr>
            <w:r w:rsidRPr="007516C7">
              <w:rPr>
                <w:rFonts w:ascii="Calibri" w:eastAsia="Times New Roman" w:hAnsi="Calibri" w:cs="Arial"/>
                <w:sz w:val="20"/>
                <w:szCs w:val="20"/>
                <w:lang w:eastAsia="es-MX"/>
              </w:rPr>
              <w:t xml:space="preserve">              841,254.51 </w:t>
            </w:r>
          </w:p>
        </w:tc>
        <w:tc>
          <w:tcPr>
            <w:tcW w:w="1191"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c>
          <w:tcPr>
            <w:tcW w:w="1192" w:type="dxa"/>
            <w:tcBorders>
              <w:top w:val="nil"/>
              <w:left w:val="nil"/>
              <w:bottom w:val="nil"/>
              <w:right w:val="nil"/>
            </w:tcBorders>
            <w:shd w:val="clear" w:color="auto" w:fill="auto"/>
            <w:noWrap/>
            <w:vAlign w:val="bottom"/>
            <w:hideMark/>
          </w:tcPr>
          <w:p w:rsidR="007516C7" w:rsidRPr="007516C7" w:rsidRDefault="007516C7" w:rsidP="007516C7">
            <w:pPr>
              <w:spacing w:after="0" w:line="240" w:lineRule="auto"/>
              <w:rPr>
                <w:rFonts w:ascii="Calibri" w:eastAsia="Times New Roman" w:hAnsi="Calibri" w:cs="Arial"/>
                <w:sz w:val="20"/>
                <w:szCs w:val="20"/>
                <w:lang w:eastAsia="es-MX"/>
              </w:rPr>
            </w:pPr>
          </w:p>
        </w:tc>
      </w:tr>
    </w:tbl>
    <w:p w:rsidR="00A970ED" w:rsidRDefault="00A970ED" w:rsidP="00C62E23">
      <w:pPr>
        <w:jc w:val="both"/>
        <w:rPr>
          <w:sz w:val="20"/>
          <w:szCs w:val="20"/>
        </w:rPr>
      </w:pPr>
    </w:p>
    <w:tbl>
      <w:tblPr>
        <w:tblW w:w="4678" w:type="dxa"/>
        <w:tblInd w:w="70" w:type="dxa"/>
        <w:tblCellMar>
          <w:left w:w="70" w:type="dxa"/>
          <w:right w:w="70" w:type="dxa"/>
        </w:tblCellMar>
        <w:tblLook w:val="04A0" w:firstRow="1" w:lastRow="0" w:firstColumn="1" w:lastColumn="0" w:noHBand="0" w:noVBand="1"/>
      </w:tblPr>
      <w:tblGrid>
        <w:gridCol w:w="836"/>
        <w:gridCol w:w="1216"/>
        <w:gridCol w:w="1716"/>
        <w:gridCol w:w="910"/>
      </w:tblGrid>
      <w:tr w:rsidR="009440CC" w:rsidRPr="00815DD2" w:rsidTr="00FC5ECC">
        <w:trPr>
          <w:trHeight w:val="300"/>
        </w:trPr>
        <w:tc>
          <w:tcPr>
            <w:tcW w:w="4678" w:type="dxa"/>
            <w:gridSpan w:val="4"/>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lastRenderedPageBreak/>
              <w:t>Nota 1A-6</w:t>
            </w:r>
          </w:p>
        </w:tc>
      </w:tr>
      <w:tr w:rsidR="009440CC" w:rsidRPr="00815DD2" w:rsidTr="00FC5ECC">
        <w:trPr>
          <w:trHeight w:val="300"/>
        </w:trPr>
        <w:tc>
          <w:tcPr>
            <w:tcW w:w="4678" w:type="dxa"/>
            <w:gridSpan w:val="4"/>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Estimaciones, Deterioros y Otros Activos</w:t>
            </w:r>
          </w:p>
        </w:tc>
      </w:tr>
      <w:tr w:rsidR="009440CC" w:rsidRPr="00815DD2" w:rsidTr="00FC5ECC">
        <w:trPr>
          <w:trHeight w:val="255"/>
        </w:trPr>
        <w:tc>
          <w:tcPr>
            <w:tcW w:w="4678" w:type="dxa"/>
            <w:gridSpan w:val="4"/>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sz w:val="20"/>
                <w:szCs w:val="20"/>
                <w:lang w:eastAsia="es-MX"/>
              </w:rPr>
            </w:pPr>
            <w:r w:rsidRPr="00815DD2">
              <w:rPr>
                <w:rFonts w:ascii="Calibri" w:eastAsia="Times New Roman" w:hAnsi="Calibri" w:cs="Arial"/>
                <w:sz w:val="20"/>
                <w:szCs w:val="20"/>
                <w:lang w:eastAsia="es-MX"/>
              </w:rPr>
              <w:t>"Esta nota no le aplica al ente público"</w:t>
            </w:r>
          </w:p>
        </w:tc>
      </w:tr>
      <w:tr w:rsidR="009440CC" w:rsidRPr="00815DD2" w:rsidTr="00FC5ECC">
        <w:trPr>
          <w:trHeight w:val="255"/>
        </w:trPr>
        <w:tc>
          <w:tcPr>
            <w:tcW w:w="4678" w:type="dxa"/>
            <w:gridSpan w:val="4"/>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b/>
                <w:bCs/>
                <w:color w:val="D9D9D9"/>
                <w:sz w:val="20"/>
                <w:szCs w:val="20"/>
                <w:lang w:eastAsia="es-MX"/>
              </w:rPr>
            </w:pPr>
          </w:p>
        </w:tc>
      </w:tr>
      <w:tr w:rsidR="009440CC" w:rsidRPr="00815DD2" w:rsidTr="00FC5ECC">
        <w:trPr>
          <w:trHeight w:val="300"/>
        </w:trPr>
        <w:tc>
          <w:tcPr>
            <w:tcW w:w="4678" w:type="dxa"/>
            <w:gridSpan w:val="4"/>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 1A-7</w:t>
            </w:r>
          </w:p>
        </w:tc>
      </w:tr>
      <w:tr w:rsidR="009440CC" w:rsidRPr="00815DD2" w:rsidTr="00FC5ECC">
        <w:trPr>
          <w:trHeight w:val="300"/>
        </w:trPr>
        <w:tc>
          <w:tcPr>
            <w:tcW w:w="4678" w:type="dxa"/>
            <w:gridSpan w:val="4"/>
            <w:tcBorders>
              <w:top w:val="nil"/>
              <w:left w:val="nil"/>
              <w:bottom w:val="nil"/>
              <w:right w:val="nil"/>
            </w:tcBorders>
            <w:shd w:val="clear" w:color="auto" w:fill="auto"/>
            <w:noWrap/>
            <w:vAlign w:val="bottom"/>
            <w:hideMark/>
          </w:tcPr>
          <w:p w:rsidR="009440CC" w:rsidRPr="00815DD2" w:rsidRDefault="009440CC" w:rsidP="009440CC">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 xml:space="preserve">Otros Activos </w:t>
            </w:r>
          </w:p>
        </w:tc>
      </w:tr>
      <w:tr w:rsidR="009440CC" w:rsidRPr="00704211" w:rsidTr="00FC5ECC">
        <w:trPr>
          <w:trHeight w:val="255"/>
        </w:trPr>
        <w:tc>
          <w:tcPr>
            <w:tcW w:w="4678" w:type="dxa"/>
            <w:gridSpan w:val="4"/>
            <w:tcBorders>
              <w:top w:val="nil"/>
              <w:left w:val="nil"/>
              <w:bottom w:val="nil"/>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sz w:val="20"/>
                <w:szCs w:val="20"/>
                <w:lang w:eastAsia="es-MX"/>
              </w:rPr>
            </w:pPr>
            <w:r w:rsidRPr="00704211">
              <w:rPr>
                <w:rFonts w:ascii="Calibri" w:eastAsia="Times New Roman" w:hAnsi="Calibri" w:cs="Arial"/>
                <w:sz w:val="20"/>
                <w:szCs w:val="20"/>
                <w:lang w:eastAsia="es-MX"/>
              </w:rPr>
              <w:t>"Esta nota no le aplica al ente público"</w:t>
            </w:r>
          </w:p>
        </w:tc>
      </w:tr>
      <w:tr w:rsidR="009440CC" w:rsidRPr="00704211" w:rsidTr="00FC5ECC">
        <w:trPr>
          <w:gridAfter w:val="1"/>
          <w:wAfter w:w="910" w:type="dxa"/>
          <w:trHeight w:val="315"/>
        </w:trPr>
        <w:tc>
          <w:tcPr>
            <w:tcW w:w="836" w:type="dxa"/>
            <w:tcBorders>
              <w:top w:val="nil"/>
              <w:left w:val="nil"/>
              <w:bottom w:val="nil"/>
              <w:right w:val="nil"/>
            </w:tcBorders>
            <w:shd w:val="clear" w:color="auto" w:fill="auto"/>
            <w:noWrap/>
            <w:vAlign w:val="bottom"/>
            <w:hideMark/>
          </w:tcPr>
          <w:p w:rsidR="00E73FCC" w:rsidRDefault="00E73FCC" w:rsidP="009440CC">
            <w:pPr>
              <w:spacing w:after="0" w:line="240" w:lineRule="auto"/>
              <w:rPr>
                <w:rFonts w:ascii="Calibri" w:eastAsia="Times New Roman" w:hAnsi="Calibri" w:cs="Arial"/>
                <w:b/>
                <w:bCs/>
                <w:lang w:eastAsia="es-MX"/>
              </w:rPr>
            </w:pPr>
          </w:p>
          <w:p w:rsidR="009440CC" w:rsidRPr="00704211" w:rsidRDefault="009440CC" w:rsidP="009440CC">
            <w:pPr>
              <w:spacing w:after="0" w:line="240" w:lineRule="auto"/>
              <w:rPr>
                <w:rFonts w:ascii="Calibri" w:eastAsia="Times New Roman" w:hAnsi="Calibri" w:cs="Arial"/>
                <w:b/>
                <w:bCs/>
                <w:lang w:eastAsia="es-MX"/>
              </w:rPr>
            </w:pPr>
            <w:r w:rsidRPr="00704211">
              <w:rPr>
                <w:rFonts w:ascii="Calibri" w:eastAsia="Times New Roman" w:hAnsi="Calibri" w:cs="Arial"/>
                <w:b/>
                <w:bCs/>
                <w:lang w:eastAsia="es-MX"/>
              </w:rPr>
              <w:t>Pasivo</w:t>
            </w:r>
          </w:p>
        </w:tc>
        <w:tc>
          <w:tcPr>
            <w:tcW w:w="1216" w:type="dxa"/>
            <w:tcBorders>
              <w:top w:val="nil"/>
              <w:left w:val="nil"/>
              <w:bottom w:val="nil"/>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lang w:eastAsia="es-MX"/>
              </w:rPr>
            </w:pPr>
          </w:p>
        </w:tc>
        <w:tc>
          <w:tcPr>
            <w:tcW w:w="1716" w:type="dxa"/>
            <w:tcBorders>
              <w:top w:val="nil"/>
              <w:left w:val="nil"/>
              <w:bottom w:val="nil"/>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lang w:eastAsia="es-MX"/>
              </w:rPr>
            </w:pPr>
          </w:p>
        </w:tc>
      </w:tr>
      <w:tr w:rsidR="009440CC" w:rsidRPr="00704211" w:rsidTr="00FC5ECC">
        <w:trPr>
          <w:gridAfter w:val="1"/>
          <w:wAfter w:w="910" w:type="dxa"/>
          <w:trHeight w:val="300"/>
        </w:trPr>
        <w:tc>
          <w:tcPr>
            <w:tcW w:w="2052" w:type="dxa"/>
            <w:gridSpan w:val="2"/>
            <w:tcBorders>
              <w:top w:val="nil"/>
              <w:left w:val="nil"/>
              <w:bottom w:val="nil"/>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Nota 1A-8</w:t>
            </w:r>
          </w:p>
        </w:tc>
        <w:tc>
          <w:tcPr>
            <w:tcW w:w="1716" w:type="dxa"/>
            <w:tcBorders>
              <w:top w:val="nil"/>
              <w:left w:val="nil"/>
              <w:bottom w:val="nil"/>
              <w:right w:val="nil"/>
            </w:tcBorders>
            <w:shd w:val="clear" w:color="auto" w:fill="auto"/>
            <w:noWrap/>
            <w:vAlign w:val="bottom"/>
            <w:hideMark/>
          </w:tcPr>
          <w:p w:rsidR="009440CC" w:rsidRPr="00704211" w:rsidRDefault="009440CC" w:rsidP="009440CC">
            <w:pPr>
              <w:spacing w:after="0" w:line="240" w:lineRule="auto"/>
              <w:jc w:val="center"/>
              <w:rPr>
                <w:rFonts w:ascii="Calibri" w:eastAsia="Times New Roman" w:hAnsi="Calibri" w:cs="Arial"/>
                <w:b/>
                <w:bCs/>
                <w:sz w:val="20"/>
                <w:szCs w:val="20"/>
                <w:lang w:eastAsia="es-MX"/>
              </w:rPr>
            </w:pPr>
          </w:p>
        </w:tc>
      </w:tr>
      <w:tr w:rsidR="009440CC" w:rsidRPr="00704211" w:rsidTr="00FC5ECC">
        <w:trPr>
          <w:gridAfter w:val="1"/>
          <w:wAfter w:w="910" w:type="dxa"/>
          <w:trHeight w:val="300"/>
        </w:trPr>
        <w:tc>
          <w:tcPr>
            <w:tcW w:w="3768" w:type="dxa"/>
            <w:gridSpan w:val="3"/>
            <w:tcBorders>
              <w:top w:val="nil"/>
              <w:left w:val="nil"/>
              <w:bottom w:val="nil"/>
              <w:right w:val="nil"/>
            </w:tcBorders>
            <w:shd w:val="clear" w:color="auto" w:fill="auto"/>
            <w:noWrap/>
            <w:vAlign w:val="bottom"/>
            <w:hideMark/>
          </w:tcPr>
          <w:p w:rsidR="009440CC" w:rsidRPr="00704211" w:rsidRDefault="009440CC" w:rsidP="009440CC">
            <w:pPr>
              <w:spacing w:after="0" w:line="240" w:lineRule="auto"/>
              <w:rPr>
                <w:rFonts w:ascii="Calibri" w:eastAsia="Times New Roman" w:hAnsi="Calibri" w:cs="Arial"/>
                <w:b/>
                <w:bCs/>
                <w:sz w:val="20"/>
                <w:szCs w:val="20"/>
                <w:lang w:eastAsia="es-MX"/>
              </w:rPr>
            </w:pPr>
            <w:r w:rsidRPr="00704211">
              <w:rPr>
                <w:rFonts w:ascii="Calibri" w:eastAsia="Times New Roman" w:hAnsi="Calibri" w:cs="Arial"/>
                <w:b/>
                <w:bCs/>
                <w:sz w:val="20"/>
                <w:szCs w:val="20"/>
                <w:lang w:eastAsia="es-MX"/>
              </w:rPr>
              <w:t>Cuentas por Pagar a Corto Plazo</w:t>
            </w:r>
          </w:p>
          <w:p w:rsidR="006E18BB" w:rsidRPr="00704211" w:rsidRDefault="006E18BB" w:rsidP="009440CC">
            <w:pPr>
              <w:spacing w:after="0" w:line="240" w:lineRule="auto"/>
              <w:rPr>
                <w:rFonts w:ascii="Calibri" w:eastAsia="Times New Roman" w:hAnsi="Calibri" w:cs="Arial"/>
                <w:b/>
                <w:bCs/>
                <w:sz w:val="20"/>
                <w:szCs w:val="20"/>
                <w:lang w:eastAsia="es-MX"/>
              </w:rPr>
            </w:pPr>
          </w:p>
        </w:tc>
      </w:tr>
    </w:tbl>
    <w:p w:rsidR="009440CC" w:rsidRDefault="009440CC" w:rsidP="00C62E23">
      <w:pPr>
        <w:jc w:val="both"/>
        <w:rPr>
          <w:sz w:val="20"/>
          <w:szCs w:val="20"/>
        </w:rPr>
      </w:pPr>
      <w:r w:rsidRPr="009440CC">
        <w:rPr>
          <w:sz w:val="20"/>
          <w:szCs w:val="20"/>
        </w:rPr>
        <w:t>Todas las cuentas por pagar a corto plazo tienen un vencimiento menor</w:t>
      </w:r>
      <w:r w:rsidR="006E18BB">
        <w:rPr>
          <w:sz w:val="20"/>
          <w:szCs w:val="20"/>
        </w:rPr>
        <w:t xml:space="preserve"> a</w:t>
      </w:r>
      <w:r w:rsidRPr="009440CC">
        <w:rPr>
          <w:sz w:val="20"/>
          <w:szCs w:val="20"/>
        </w:rPr>
        <w:t xml:space="preserve"> 90 días y se cuenta con los recursos necesarios para solventar el pago.</w:t>
      </w:r>
    </w:p>
    <w:tbl>
      <w:tblPr>
        <w:tblW w:w="6096" w:type="dxa"/>
        <w:tblInd w:w="70" w:type="dxa"/>
        <w:tblCellMar>
          <w:left w:w="70" w:type="dxa"/>
          <w:right w:w="70" w:type="dxa"/>
        </w:tblCellMar>
        <w:tblLook w:val="04A0" w:firstRow="1" w:lastRow="0" w:firstColumn="1" w:lastColumn="0" w:noHBand="0" w:noVBand="1"/>
      </w:tblPr>
      <w:tblGrid>
        <w:gridCol w:w="829"/>
        <w:gridCol w:w="829"/>
        <w:gridCol w:w="828"/>
        <w:gridCol w:w="828"/>
        <w:gridCol w:w="780"/>
        <w:gridCol w:w="2002"/>
      </w:tblGrid>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b/>
                <w:bCs/>
                <w:sz w:val="20"/>
                <w:szCs w:val="20"/>
                <w:lang w:eastAsia="es-MX"/>
              </w:rPr>
            </w:pPr>
            <w:r w:rsidRPr="00B80505">
              <w:rPr>
                <w:rFonts w:ascii="Calibri" w:eastAsia="Times New Roman" w:hAnsi="Calibri" w:cs="Arial"/>
                <w:b/>
                <w:bCs/>
                <w:sz w:val="20"/>
                <w:szCs w:val="20"/>
                <w:lang w:eastAsia="es-MX"/>
              </w:rPr>
              <w:t xml:space="preserve">Cuentas por pagar a </w:t>
            </w:r>
            <w:proofErr w:type="spellStart"/>
            <w:r w:rsidRPr="00B80505">
              <w:rPr>
                <w:rFonts w:ascii="Calibri" w:eastAsia="Times New Roman" w:hAnsi="Calibri" w:cs="Arial"/>
                <w:b/>
                <w:bCs/>
                <w:sz w:val="20"/>
                <w:szCs w:val="20"/>
                <w:lang w:eastAsia="es-MX"/>
              </w:rPr>
              <w:t>cto</w:t>
            </w:r>
            <w:proofErr w:type="spellEnd"/>
            <w:r w:rsidRPr="00B80505">
              <w:rPr>
                <w:rFonts w:ascii="Calibri" w:eastAsia="Times New Roman" w:hAnsi="Calibri" w:cs="Arial"/>
                <w:b/>
                <w:bCs/>
                <w:sz w:val="20"/>
                <w:szCs w:val="20"/>
                <w:lang w:eastAsia="es-MX"/>
              </w:rPr>
              <w:t xml:space="preserve"> plazo</w:t>
            </w:r>
          </w:p>
        </w:tc>
        <w:tc>
          <w:tcPr>
            <w:tcW w:w="780" w:type="dxa"/>
            <w:tcBorders>
              <w:top w:val="nil"/>
              <w:left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b/>
                <w:bCs/>
                <w:sz w:val="20"/>
                <w:szCs w:val="20"/>
                <w:lang w:eastAsia="es-MX"/>
              </w:rPr>
            </w:pPr>
            <w:r w:rsidRPr="00B80505">
              <w:rPr>
                <w:rFonts w:ascii="Calibri" w:eastAsia="Times New Roman" w:hAnsi="Calibri" w:cs="Arial"/>
                <w:b/>
                <w:bCs/>
                <w:sz w:val="20"/>
                <w:szCs w:val="20"/>
                <w:lang w:eastAsia="es-MX"/>
              </w:rPr>
              <w:t xml:space="preserve">           1,403,723.98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Servicios personales x pagar a </w:t>
            </w:r>
            <w:proofErr w:type="spellStart"/>
            <w:r w:rsidRPr="00B80505">
              <w:rPr>
                <w:rFonts w:ascii="Calibri" w:eastAsia="Times New Roman" w:hAnsi="Calibri" w:cs="Arial"/>
                <w:sz w:val="20"/>
                <w:szCs w:val="20"/>
                <w:u w:val="single"/>
                <w:lang w:eastAsia="es-MX"/>
              </w:rPr>
              <w:t>cp</w:t>
            </w:r>
            <w:proofErr w:type="spellEnd"/>
          </w:p>
        </w:tc>
        <w:tc>
          <w:tcPr>
            <w:tcW w:w="780" w:type="dxa"/>
            <w:tcBorders>
              <w:top w:val="nil"/>
              <w:left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              618,287.61 </w:t>
            </w:r>
          </w:p>
        </w:tc>
      </w:tr>
      <w:tr w:rsidR="00B80505" w:rsidRPr="00B80505" w:rsidTr="00B80505">
        <w:trPr>
          <w:trHeight w:val="300"/>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Proveedores x pagar a </w:t>
            </w:r>
            <w:proofErr w:type="spellStart"/>
            <w:r w:rsidRPr="00B80505">
              <w:rPr>
                <w:rFonts w:ascii="Calibri" w:eastAsia="Times New Roman" w:hAnsi="Calibri" w:cs="Arial"/>
                <w:sz w:val="20"/>
                <w:szCs w:val="20"/>
                <w:u w:val="single"/>
                <w:lang w:eastAsia="es-MX"/>
              </w:rPr>
              <w:t>cp</w:t>
            </w:r>
            <w:proofErr w:type="spellEnd"/>
          </w:p>
        </w:tc>
        <w:tc>
          <w:tcPr>
            <w:tcW w:w="780" w:type="dxa"/>
            <w:tcBorders>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                95,497.00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roofErr w:type="spellStart"/>
            <w:r w:rsidRPr="00B80505">
              <w:rPr>
                <w:rFonts w:ascii="Calibri" w:eastAsia="Times New Roman" w:hAnsi="Calibri" w:cs="Arial"/>
                <w:sz w:val="20"/>
                <w:szCs w:val="20"/>
                <w:lang w:eastAsia="es-MX"/>
              </w:rPr>
              <w:t>Operbes</w:t>
            </w:r>
            <w:proofErr w:type="spellEnd"/>
            <w:r w:rsidRPr="00B80505">
              <w:rPr>
                <w:rFonts w:ascii="Calibri" w:eastAsia="Times New Roman" w:hAnsi="Calibri" w:cs="Arial"/>
                <w:sz w:val="20"/>
                <w:szCs w:val="20"/>
                <w:lang w:eastAsia="es-MX"/>
              </w:rPr>
              <w:t xml:space="preserve"> s.a. de </w:t>
            </w:r>
            <w:proofErr w:type="spellStart"/>
            <w:r w:rsidRPr="00B80505">
              <w:rPr>
                <w:rFonts w:ascii="Calibri" w:eastAsia="Times New Roman" w:hAnsi="Calibri" w:cs="Arial"/>
                <w:sz w:val="20"/>
                <w:szCs w:val="20"/>
                <w:lang w:eastAsia="es-MX"/>
              </w:rPr>
              <w:t>c.v.</w:t>
            </w:r>
            <w:proofErr w:type="spellEnd"/>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31,030.00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Comercializadora cato s.a. de </w:t>
            </w:r>
            <w:proofErr w:type="spellStart"/>
            <w:r w:rsidRPr="00B80505">
              <w:rPr>
                <w:rFonts w:ascii="Calibri" w:eastAsia="Times New Roman" w:hAnsi="Calibri" w:cs="Arial"/>
                <w:sz w:val="20"/>
                <w:szCs w:val="20"/>
                <w:lang w:eastAsia="es-MX"/>
              </w:rPr>
              <w:t>c.v.</w:t>
            </w:r>
            <w:proofErr w:type="spellEnd"/>
            <w:r w:rsidRPr="00B80505">
              <w:rPr>
                <w:rFonts w:ascii="Calibri" w:eastAsia="Times New Roman" w:hAnsi="Calibri" w:cs="Arial"/>
                <w:sz w:val="20"/>
                <w:szCs w:val="20"/>
                <w:lang w:eastAsia="es-MX"/>
              </w:rPr>
              <w:t xml:space="preserve"> </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64,467.00 </w:t>
            </w:r>
          </w:p>
        </w:tc>
      </w:tr>
      <w:tr w:rsidR="00B80505" w:rsidRPr="00B80505" w:rsidTr="00B80505">
        <w:trPr>
          <w:trHeight w:val="300"/>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Retenciones y contribuciones x pagar a </w:t>
            </w:r>
            <w:proofErr w:type="spellStart"/>
            <w:r w:rsidRPr="00B80505">
              <w:rPr>
                <w:rFonts w:ascii="Calibri" w:eastAsia="Times New Roman" w:hAnsi="Calibri" w:cs="Arial"/>
                <w:sz w:val="20"/>
                <w:szCs w:val="20"/>
                <w:u w:val="single"/>
                <w:lang w:eastAsia="es-MX"/>
              </w:rPr>
              <w:t>cp</w:t>
            </w:r>
            <w:proofErr w:type="spellEnd"/>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              689,893.81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roofErr w:type="spellStart"/>
            <w:r w:rsidRPr="00B80505">
              <w:rPr>
                <w:rFonts w:ascii="Calibri" w:eastAsia="Times New Roman" w:hAnsi="Calibri" w:cs="Arial"/>
                <w:sz w:val="20"/>
                <w:szCs w:val="20"/>
                <w:lang w:eastAsia="es-MX"/>
              </w:rPr>
              <w:t>Isr</w:t>
            </w:r>
            <w:proofErr w:type="spellEnd"/>
            <w:r w:rsidRPr="00B80505">
              <w:rPr>
                <w:rFonts w:ascii="Calibri" w:eastAsia="Times New Roman" w:hAnsi="Calibri" w:cs="Arial"/>
                <w:sz w:val="20"/>
                <w:szCs w:val="20"/>
                <w:lang w:eastAsia="es-MX"/>
              </w:rPr>
              <w:t xml:space="preserve"> retenido a personal permanente</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216,166.44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roofErr w:type="spellStart"/>
            <w:r w:rsidRPr="00B80505">
              <w:rPr>
                <w:rFonts w:ascii="Calibri" w:eastAsia="Times New Roman" w:hAnsi="Calibri" w:cs="Arial"/>
                <w:sz w:val="20"/>
                <w:szCs w:val="20"/>
                <w:lang w:eastAsia="es-MX"/>
              </w:rPr>
              <w:t>Isr</w:t>
            </w:r>
            <w:proofErr w:type="spellEnd"/>
            <w:r w:rsidRPr="00B80505">
              <w:rPr>
                <w:rFonts w:ascii="Calibri" w:eastAsia="Times New Roman" w:hAnsi="Calibri" w:cs="Arial"/>
                <w:sz w:val="20"/>
                <w:szCs w:val="20"/>
                <w:lang w:eastAsia="es-MX"/>
              </w:rPr>
              <w:t xml:space="preserve"> retenido a personal transitorio</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5,885.03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'10%isr retenido por honorarios</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Cuota </w:t>
            </w:r>
            <w:proofErr w:type="spellStart"/>
            <w:r w:rsidRPr="00B80505">
              <w:rPr>
                <w:rFonts w:ascii="Calibri" w:eastAsia="Times New Roman" w:hAnsi="Calibri" w:cs="Arial"/>
                <w:sz w:val="20"/>
                <w:szCs w:val="20"/>
                <w:lang w:eastAsia="es-MX"/>
              </w:rPr>
              <w:t>isstey</w:t>
            </w:r>
            <w:proofErr w:type="spellEnd"/>
            <w:r w:rsidRPr="00B80505">
              <w:rPr>
                <w:rFonts w:ascii="Calibri" w:eastAsia="Times New Roman" w:hAnsi="Calibri" w:cs="Arial"/>
                <w:sz w:val="20"/>
                <w:szCs w:val="20"/>
                <w:lang w:eastAsia="es-MX"/>
              </w:rPr>
              <w:t xml:space="preserve"> 8%</w:t>
            </w: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103,430.77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Cuotas </w:t>
            </w:r>
            <w:proofErr w:type="spellStart"/>
            <w:r w:rsidRPr="00B80505">
              <w:rPr>
                <w:rFonts w:ascii="Calibri" w:eastAsia="Times New Roman" w:hAnsi="Calibri" w:cs="Arial"/>
                <w:sz w:val="20"/>
                <w:szCs w:val="20"/>
                <w:lang w:eastAsia="es-MX"/>
              </w:rPr>
              <w:t>isstey</w:t>
            </w:r>
            <w:proofErr w:type="spellEnd"/>
            <w:r w:rsidRPr="00B80505">
              <w:rPr>
                <w:rFonts w:ascii="Calibri" w:eastAsia="Times New Roman" w:hAnsi="Calibri" w:cs="Arial"/>
                <w:sz w:val="20"/>
                <w:szCs w:val="20"/>
                <w:lang w:eastAsia="es-MX"/>
              </w:rPr>
              <w:t xml:space="preserve"> 12.75%</w:t>
            </w: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177,771.81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Prestamos </w:t>
            </w:r>
            <w:proofErr w:type="spellStart"/>
            <w:r w:rsidRPr="00B80505">
              <w:rPr>
                <w:rFonts w:ascii="Calibri" w:eastAsia="Times New Roman" w:hAnsi="Calibri" w:cs="Arial"/>
                <w:sz w:val="20"/>
                <w:szCs w:val="20"/>
                <w:lang w:eastAsia="es-MX"/>
              </w:rPr>
              <w:t>isstey</w:t>
            </w:r>
            <w:proofErr w:type="spellEnd"/>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115,902.76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Impuesto sobre nómina </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70,737.00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Otras cuentas x pagar a </w:t>
            </w:r>
            <w:proofErr w:type="spellStart"/>
            <w:r w:rsidRPr="00B80505">
              <w:rPr>
                <w:rFonts w:ascii="Calibri" w:eastAsia="Times New Roman" w:hAnsi="Calibri" w:cs="Arial"/>
                <w:sz w:val="20"/>
                <w:szCs w:val="20"/>
                <w:u w:val="single"/>
                <w:lang w:eastAsia="es-MX"/>
              </w:rPr>
              <w:t>cp</w:t>
            </w:r>
            <w:proofErr w:type="spellEnd"/>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                        45.56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roofErr w:type="spellStart"/>
            <w:r w:rsidRPr="00B80505">
              <w:rPr>
                <w:rFonts w:ascii="Calibri" w:eastAsia="Times New Roman" w:hAnsi="Calibri" w:cs="Arial"/>
                <w:sz w:val="20"/>
                <w:szCs w:val="20"/>
                <w:lang w:eastAsia="es-MX"/>
              </w:rPr>
              <w:lastRenderedPageBreak/>
              <w:t>Angel</w:t>
            </w:r>
            <w:proofErr w:type="spellEnd"/>
            <w:r w:rsidRPr="00B80505">
              <w:rPr>
                <w:rFonts w:ascii="Calibri" w:eastAsia="Times New Roman" w:hAnsi="Calibri" w:cs="Arial"/>
                <w:sz w:val="20"/>
                <w:szCs w:val="20"/>
                <w:lang w:eastAsia="es-MX"/>
              </w:rPr>
              <w:t xml:space="preserve"> Virgilio </w:t>
            </w:r>
            <w:proofErr w:type="spellStart"/>
            <w:r w:rsidRPr="00B80505">
              <w:rPr>
                <w:rFonts w:ascii="Calibri" w:eastAsia="Times New Roman" w:hAnsi="Calibri" w:cs="Arial"/>
                <w:sz w:val="20"/>
                <w:szCs w:val="20"/>
                <w:lang w:eastAsia="es-MX"/>
              </w:rPr>
              <w:t>Dominguez</w:t>
            </w:r>
            <w:proofErr w:type="spellEnd"/>
            <w:r w:rsidRPr="00B80505">
              <w:rPr>
                <w:rFonts w:ascii="Calibri" w:eastAsia="Times New Roman" w:hAnsi="Calibri" w:cs="Arial"/>
                <w:sz w:val="20"/>
                <w:szCs w:val="20"/>
                <w:lang w:eastAsia="es-MX"/>
              </w:rPr>
              <w:t xml:space="preserve"> </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45.56 </w:t>
            </w:r>
          </w:p>
        </w:tc>
      </w:tr>
      <w:tr w:rsidR="00B80505" w:rsidRPr="00B80505" w:rsidTr="00B80505">
        <w:trPr>
          <w:trHeight w:val="255"/>
        </w:trPr>
        <w:tc>
          <w:tcPr>
            <w:tcW w:w="829"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829"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Otros pasivos a </w:t>
            </w:r>
            <w:proofErr w:type="spellStart"/>
            <w:r w:rsidRPr="00B80505">
              <w:rPr>
                <w:rFonts w:ascii="Calibri" w:eastAsia="Times New Roman" w:hAnsi="Calibri" w:cs="Arial"/>
                <w:sz w:val="20"/>
                <w:szCs w:val="20"/>
                <w:u w:val="single"/>
                <w:lang w:eastAsia="es-MX"/>
              </w:rPr>
              <w:t>cto</w:t>
            </w:r>
            <w:proofErr w:type="spellEnd"/>
            <w:r w:rsidRPr="00B80505">
              <w:rPr>
                <w:rFonts w:ascii="Calibri" w:eastAsia="Times New Roman" w:hAnsi="Calibri" w:cs="Arial"/>
                <w:sz w:val="20"/>
                <w:szCs w:val="20"/>
                <w:u w:val="single"/>
                <w:lang w:eastAsia="es-MX"/>
              </w:rPr>
              <w:t xml:space="preserve"> </w:t>
            </w:r>
            <w:proofErr w:type="spellStart"/>
            <w:r w:rsidRPr="00B80505">
              <w:rPr>
                <w:rFonts w:ascii="Calibri" w:eastAsia="Times New Roman" w:hAnsi="Calibri" w:cs="Arial"/>
                <w:sz w:val="20"/>
                <w:szCs w:val="20"/>
                <w:u w:val="single"/>
                <w:lang w:eastAsia="es-MX"/>
              </w:rPr>
              <w:t>pzo</w:t>
            </w:r>
            <w:proofErr w:type="spellEnd"/>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b/>
                <w:bCs/>
                <w:sz w:val="20"/>
                <w:szCs w:val="20"/>
                <w:lang w:eastAsia="es-MX"/>
              </w:rPr>
            </w:pPr>
            <w:r w:rsidRPr="00B80505">
              <w:rPr>
                <w:rFonts w:ascii="Calibri" w:eastAsia="Times New Roman" w:hAnsi="Calibri" w:cs="Arial"/>
                <w:b/>
                <w:bCs/>
                <w:sz w:val="20"/>
                <w:szCs w:val="20"/>
                <w:lang w:eastAsia="es-MX"/>
              </w:rPr>
              <w:t xml:space="preserve">                14,195.52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Ingresos por clasificar</w:t>
            </w: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Otros pasivos circulantes</w:t>
            </w: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14,195.52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roofErr w:type="spellStart"/>
            <w:r w:rsidRPr="00B80505">
              <w:rPr>
                <w:rFonts w:ascii="Calibri" w:eastAsia="Times New Roman" w:hAnsi="Calibri" w:cs="Arial"/>
                <w:sz w:val="20"/>
                <w:szCs w:val="20"/>
                <w:lang w:eastAsia="es-MX"/>
              </w:rPr>
              <w:t>Metlife</w:t>
            </w:r>
            <w:proofErr w:type="spellEnd"/>
            <w:r w:rsidRPr="00B80505">
              <w:rPr>
                <w:rFonts w:ascii="Calibri" w:eastAsia="Times New Roman" w:hAnsi="Calibri" w:cs="Arial"/>
                <w:sz w:val="20"/>
                <w:szCs w:val="20"/>
                <w:lang w:eastAsia="es-MX"/>
              </w:rPr>
              <w:t xml:space="preserve"> </w:t>
            </w:r>
            <w:proofErr w:type="spellStart"/>
            <w:r w:rsidRPr="00B80505">
              <w:rPr>
                <w:rFonts w:ascii="Calibri" w:eastAsia="Times New Roman" w:hAnsi="Calibri" w:cs="Arial"/>
                <w:sz w:val="20"/>
                <w:szCs w:val="20"/>
                <w:lang w:eastAsia="es-MX"/>
              </w:rPr>
              <w:t>mexico</w:t>
            </w:r>
            <w:proofErr w:type="spellEnd"/>
            <w:r w:rsidRPr="00B80505">
              <w:rPr>
                <w:rFonts w:ascii="Calibri" w:eastAsia="Times New Roman" w:hAnsi="Calibri" w:cs="Arial"/>
                <w:sz w:val="20"/>
                <w:szCs w:val="20"/>
                <w:lang w:eastAsia="es-MX"/>
              </w:rPr>
              <w:t xml:space="preserve"> s.a. de </w:t>
            </w:r>
            <w:proofErr w:type="spellStart"/>
            <w:r w:rsidRPr="00B80505">
              <w:rPr>
                <w:rFonts w:ascii="Calibri" w:eastAsia="Times New Roman" w:hAnsi="Calibri" w:cs="Arial"/>
                <w:sz w:val="20"/>
                <w:szCs w:val="20"/>
                <w:lang w:eastAsia="es-MX"/>
              </w:rPr>
              <w:t>c.v.</w:t>
            </w:r>
            <w:proofErr w:type="spellEnd"/>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14,195.52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Pasivo no circulante</w:t>
            </w: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Cuentas x pagar a </w:t>
            </w:r>
            <w:proofErr w:type="spellStart"/>
            <w:r w:rsidRPr="00B80505">
              <w:rPr>
                <w:rFonts w:ascii="Calibri" w:eastAsia="Times New Roman" w:hAnsi="Calibri" w:cs="Arial"/>
                <w:sz w:val="20"/>
                <w:szCs w:val="20"/>
                <w:lang w:eastAsia="es-MX"/>
              </w:rPr>
              <w:t>lp</w:t>
            </w:r>
            <w:proofErr w:type="spellEnd"/>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Proveedores x pagar a </w:t>
            </w:r>
            <w:proofErr w:type="spellStart"/>
            <w:r w:rsidRPr="00B80505">
              <w:rPr>
                <w:rFonts w:ascii="Calibri" w:eastAsia="Times New Roman" w:hAnsi="Calibri" w:cs="Arial"/>
                <w:sz w:val="20"/>
                <w:szCs w:val="20"/>
                <w:lang w:eastAsia="es-MX"/>
              </w:rPr>
              <w:t>lp</w:t>
            </w:r>
            <w:proofErr w:type="spellEnd"/>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2486" w:type="dxa"/>
            <w:gridSpan w:val="3"/>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Doctos x pagar a </w:t>
            </w:r>
            <w:proofErr w:type="spellStart"/>
            <w:r w:rsidRPr="00B80505">
              <w:rPr>
                <w:rFonts w:ascii="Calibri" w:eastAsia="Times New Roman" w:hAnsi="Calibri" w:cs="Arial"/>
                <w:sz w:val="20"/>
                <w:szCs w:val="20"/>
                <w:lang w:eastAsia="es-MX"/>
              </w:rPr>
              <w:t>lp</w:t>
            </w:r>
            <w:proofErr w:type="spellEnd"/>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Doctos comerciales x pagar a </w:t>
            </w:r>
            <w:proofErr w:type="spellStart"/>
            <w:r w:rsidRPr="00B80505">
              <w:rPr>
                <w:rFonts w:ascii="Calibri" w:eastAsia="Times New Roman" w:hAnsi="Calibri" w:cs="Arial"/>
                <w:sz w:val="20"/>
                <w:szCs w:val="20"/>
                <w:lang w:eastAsia="es-MX"/>
              </w:rPr>
              <w:t>lp</w:t>
            </w:r>
            <w:proofErr w:type="spellEnd"/>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3314" w:type="dxa"/>
            <w:gridSpan w:val="4"/>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r w:rsidRPr="00B80505">
              <w:rPr>
                <w:rFonts w:ascii="Calibri" w:eastAsia="Times New Roman" w:hAnsi="Calibri" w:cs="Arial"/>
                <w:sz w:val="20"/>
                <w:szCs w:val="20"/>
                <w:u w:val="single"/>
                <w:lang w:eastAsia="es-MX"/>
              </w:rPr>
              <w:t xml:space="preserve">Otros doctos x pagar a </w:t>
            </w:r>
            <w:proofErr w:type="spellStart"/>
            <w:r w:rsidRPr="00B80505">
              <w:rPr>
                <w:rFonts w:ascii="Calibri" w:eastAsia="Times New Roman" w:hAnsi="Calibri" w:cs="Arial"/>
                <w:sz w:val="20"/>
                <w:szCs w:val="20"/>
                <w:u w:val="single"/>
                <w:lang w:eastAsia="es-MX"/>
              </w:rPr>
              <w:t>lp</w:t>
            </w:r>
            <w:proofErr w:type="spellEnd"/>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r w:rsidRPr="00B80505">
              <w:rPr>
                <w:rFonts w:ascii="Calibri" w:eastAsia="Times New Roman" w:hAnsi="Calibri" w:cs="Arial"/>
                <w:sz w:val="20"/>
                <w:szCs w:val="20"/>
                <w:lang w:eastAsia="es-MX"/>
              </w:rPr>
              <w:t xml:space="preserve">                               -   </w:t>
            </w:r>
          </w:p>
        </w:tc>
      </w:tr>
      <w:tr w:rsidR="00B80505" w:rsidRPr="00B80505" w:rsidTr="00B80505">
        <w:trPr>
          <w:trHeight w:val="255"/>
        </w:trPr>
        <w:tc>
          <w:tcPr>
            <w:tcW w:w="829"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u w:val="single"/>
                <w:lang w:eastAsia="es-MX"/>
              </w:rPr>
            </w:pPr>
          </w:p>
        </w:tc>
        <w:tc>
          <w:tcPr>
            <w:tcW w:w="829"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828"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780"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c>
          <w:tcPr>
            <w:tcW w:w="2002" w:type="dxa"/>
            <w:tcBorders>
              <w:top w:val="nil"/>
              <w:left w:val="nil"/>
              <w:bottom w:val="nil"/>
              <w:right w:val="nil"/>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sz w:val="20"/>
                <w:szCs w:val="20"/>
                <w:lang w:eastAsia="es-MX"/>
              </w:rPr>
            </w:pPr>
          </w:p>
        </w:tc>
      </w:tr>
      <w:tr w:rsidR="00B80505" w:rsidRPr="00B80505" w:rsidTr="00B80505">
        <w:trPr>
          <w:trHeight w:val="255"/>
        </w:trPr>
        <w:tc>
          <w:tcPr>
            <w:tcW w:w="4094" w:type="dxa"/>
            <w:gridSpan w:val="5"/>
            <w:tcBorders>
              <w:top w:val="nil"/>
              <w:left w:val="nil"/>
              <w:bottom w:val="nil"/>
              <w:right w:val="nil"/>
            </w:tcBorders>
            <w:shd w:val="clear" w:color="auto" w:fill="auto"/>
            <w:noWrap/>
            <w:vAlign w:val="bottom"/>
            <w:hideMark/>
          </w:tcPr>
          <w:p w:rsidR="00B80505" w:rsidRPr="00B80505" w:rsidRDefault="00B80505" w:rsidP="00B80505">
            <w:pPr>
              <w:spacing w:after="0" w:line="240" w:lineRule="auto"/>
              <w:jc w:val="right"/>
              <w:rPr>
                <w:rFonts w:ascii="Calibri" w:eastAsia="Times New Roman" w:hAnsi="Calibri" w:cs="Arial"/>
                <w:b/>
                <w:bCs/>
                <w:sz w:val="20"/>
                <w:szCs w:val="20"/>
                <w:lang w:eastAsia="es-MX"/>
              </w:rPr>
            </w:pPr>
            <w:r w:rsidRPr="00B80505">
              <w:rPr>
                <w:rFonts w:ascii="Calibri" w:eastAsia="Times New Roman" w:hAnsi="Calibri" w:cs="Arial"/>
                <w:b/>
                <w:bCs/>
                <w:sz w:val="20"/>
                <w:szCs w:val="20"/>
                <w:lang w:eastAsia="es-MX"/>
              </w:rPr>
              <w:t>TOTAL PASIVO A CORTO PLAZO AL 31 DE MARZO 2017</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505" w:rsidRPr="00B80505" w:rsidRDefault="00B80505" w:rsidP="00B80505">
            <w:pPr>
              <w:spacing w:after="0" w:line="240" w:lineRule="auto"/>
              <w:rPr>
                <w:rFonts w:ascii="Calibri" w:eastAsia="Times New Roman" w:hAnsi="Calibri" w:cs="Arial"/>
                <w:b/>
                <w:bCs/>
                <w:sz w:val="20"/>
                <w:szCs w:val="20"/>
                <w:lang w:eastAsia="es-MX"/>
              </w:rPr>
            </w:pPr>
            <w:r w:rsidRPr="00B80505">
              <w:rPr>
                <w:rFonts w:ascii="Calibri" w:eastAsia="Times New Roman" w:hAnsi="Calibri" w:cs="Arial"/>
                <w:b/>
                <w:bCs/>
                <w:sz w:val="20"/>
                <w:szCs w:val="20"/>
                <w:lang w:eastAsia="es-MX"/>
              </w:rPr>
              <w:t xml:space="preserve">           1,417,919.50 </w:t>
            </w:r>
          </w:p>
        </w:tc>
      </w:tr>
    </w:tbl>
    <w:p w:rsidR="00FC5ECC" w:rsidRPr="0071754C" w:rsidRDefault="00704211" w:rsidP="00C62E23">
      <w:pPr>
        <w:jc w:val="both"/>
        <w:rPr>
          <w:b/>
        </w:rPr>
      </w:pPr>
      <w:r w:rsidRPr="0071754C">
        <w:rPr>
          <w:b/>
        </w:rPr>
        <w:t>B) NOTAS AL ESTADO DE ACTIVIDADES</w:t>
      </w:r>
    </w:p>
    <w:p w:rsidR="00704211" w:rsidRPr="0071754C" w:rsidRDefault="00704211" w:rsidP="00C62E23">
      <w:pPr>
        <w:jc w:val="both"/>
        <w:rPr>
          <w:b/>
          <w:sz w:val="20"/>
          <w:szCs w:val="20"/>
        </w:rPr>
      </w:pPr>
      <w:r w:rsidRPr="0071754C">
        <w:rPr>
          <w:b/>
          <w:sz w:val="20"/>
          <w:szCs w:val="20"/>
        </w:rPr>
        <w:t>Nota 1B-1</w:t>
      </w:r>
    </w:p>
    <w:p w:rsidR="0071754C" w:rsidRPr="0071754C" w:rsidRDefault="0071754C" w:rsidP="00C62E23">
      <w:pPr>
        <w:jc w:val="both"/>
        <w:rPr>
          <w:b/>
          <w:sz w:val="20"/>
          <w:szCs w:val="20"/>
        </w:rPr>
      </w:pPr>
      <w:r w:rsidRPr="0071754C">
        <w:rPr>
          <w:b/>
          <w:sz w:val="20"/>
          <w:szCs w:val="20"/>
        </w:rPr>
        <w:t>Ingresos de Gestión</w:t>
      </w:r>
    </w:p>
    <w:p w:rsidR="00704211" w:rsidRDefault="0071754C" w:rsidP="00C62E23">
      <w:pPr>
        <w:jc w:val="both"/>
        <w:rPr>
          <w:sz w:val="20"/>
          <w:szCs w:val="20"/>
        </w:rPr>
      </w:pPr>
      <w:r w:rsidRPr="0071754C">
        <w:rPr>
          <w:sz w:val="20"/>
          <w:szCs w:val="20"/>
        </w:rPr>
        <w:t xml:space="preserve">Los ingresos de </w:t>
      </w:r>
      <w:r w:rsidR="000A7254" w:rsidRPr="0071754C">
        <w:rPr>
          <w:sz w:val="20"/>
          <w:szCs w:val="20"/>
        </w:rPr>
        <w:t>gestión</w:t>
      </w:r>
      <w:r w:rsidRPr="0071754C">
        <w:rPr>
          <w:sz w:val="20"/>
          <w:szCs w:val="20"/>
        </w:rPr>
        <w:t xml:space="preserve"> de la institución se integran con los conceptos siguientes:</w:t>
      </w:r>
    </w:p>
    <w:tbl>
      <w:tblPr>
        <w:tblW w:w="6353" w:type="dxa"/>
        <w:tblInd w:w="70" w:type="dxa"/>
        <w:tblCellMar>
          <w:left w:w="70" w:type="dxa"/>
          <w:right w:w="70" w:type="dxa"/>
        </w:tblCellMar>
        <w:tblLook w:val="04A0" w:firstRow="1" w:lastRow="0" w:firstColumn="1" w:lastColumn="0" w:noHBand="0" w:noVBand="1"/>
      </w:tblPr>
      <w:tblGrid>
        <w:gridCol w:w="4497"/>
        <w:gridCol w:w="1856"/>
      </w:tblGrid>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Ingresos y otros beneficios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              2,606,031.96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u w:val="single"/>
                <w:lang w:eastAsia="es-MX"/>
              </w:rPr>
            </w:pPr>
            <w:r w:rsidRPr="000A7254">
              <w:rPr>
                <w:rFonts w:ascii="Calibri" w:eastAsia="Times New Roman" w:hAnsi="Calibri" w:cs="Arial"/>
                <w:sz w:val="20"/>
                <w:szCs w:val="20"/>
                <w:u w:val="single"/>
                <w:lang w:eastAsia="es-MX"/>
              </w:rPr>
              <w:t xml:space="preserve">Ingresos de </w:t>
            </w:r>
            <w:r w:rsidR="006D33C0" w:rsidRPr="000A7254">
              <w:rPr>
                <w:rFonts w:ascii="Calibri" w:eastAsia="Times New Roman" w:hAnsi="Calibri" w:cs="Arial"/>
                <w:sz w:val="20"/>
                <w:szCs w:val="20"/>
                <w:u w:val="single"/>
                <w:lang w:eastAsia="es-MX"/>
              </w:rPr>
              <w:t>gestión</w:t>
            </w:r>
          </w:p>
        </w:tc>
        <w:tc>
          <w:tcPr>
            <w:tcW w:w="1856" w:type="dxa"/>
            <w:tcBorders>
              <w:top w:val="nil"/>
              <w:left w:val="nil"/>
              <w:bottom w:val="single" w:sz="4" w:space="0" w:color="auto"/>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187,246.06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Ingresos x venta de b y servicios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187,246.06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roofErr w:type="spellStart"/>
            <w:r w:rsidRPr="000A7254">
              <w:rPr>
                <w:rFonts w:ascii="Calibri" w:eastAsia="Times New Roman" w:hAnsi="Calibri" w:cs="Arial"/>
                <w:sz w:val="20"/>
                <w:szCs w:val="20"/>
                <w:lang w:eastAsia="es-MX"/>
              </w:rPr>
              <w:t>Ing</w:t>
            </w:r>
            <w:proofErr w:type="spellEnd"/>
            <w:r w:rsidRPr="000A7254">
              <w:rPr>
                <w:rFonts w:ascii="Calibri" w:eastAsia="Times New Roman" w:hAnsi="Calibri" w:cs="Arial"/>
                <w:sz w:val="20"/>
                <w:szCs w:val="20"/>
                <w:lang w:eastAsia="es-MX"/>
              </w:rPr>
              <w:t xml:space="preserve"> x venta de b y servicios organismos </w:t>
            </w:r>
            <w:proofErr w:type="spellStart"/>
            <w:r w:rsidRPr="000A7254">
              <w:rPr>
                <w:rFonts w:ascii="Calibri" w:eastAsia="Times New Roman" w:hAnsi="Calibri" w:cs="Arial"/>
                <w:sz w:val="20"/>
                <w:szCs w:val="20"/>
                <w:lang w:eastAsia="es-MX"/>
              </w:rPr>
              <w:t>descentral</w:t>
            </w:r>
            <w:proofErr w:type="spellEnd"/>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187,246.06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Inscripciones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1,300.00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Reinscripciones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46,150.00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Fichas examen </w:t>
            </w:r>
            <w:r w:rsidR="00EF743A" w:rsidRPr="000A7254">
              <w:rPr>
                <w:rFonts w:ascii="Calibri" w:eastAsia="Times New Roman" w:hAnsi="Calibri" w:cs="Arial"/>
                <w:sz w:val="20"/>
                <w:szCs w:val="20"/>
                <w:lang w:eastAsia="es-MX"/>
              </w:rPr>
              <w:t>admisión</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22,750.00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lastRenderedPageBreak/>
              <w:t xml:space="preserve">Servicio de </w:t>
            </w:r>
            <w:r w:rsidR="00EF743A" w:rsidRPr="000A7254">
              <w:rPr>
                <w:rFonts w:ascii="Calibri" w:eastAsia="Times New Roman" w:hAnsi="Calibri" w:cs="Arial"/>
                <w:sz w:val="20"/>
                <w:szCs w:val="20"/>
                <w:lang w:eastAsia="es-MX"/>
              </w:rPr>
              <w:t>impresión</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1,620.00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Examen </w:t>
            </w:r>
            <w:proofErr w:type="spellStart"/>
            <w:r w:rsidRPr="000A7254">
              <w:rPr>
                <w:rFonts w:ascii="Calibri" w:eastAsia="Times New Roman" w:hAnsi="Calibri" w:cs="Arial"/>
                <w:sz w:val="20"/>
                <w:szCs w:val="20"/>
                <w:lang w:eastAsia="es-MX"/>
              </w:rPr>
              <w:t>egel</w:t>
            </w:r>
            <w:proofErr w:type="spellEnd"/>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10,674.50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Constancias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1,020.00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Certificado parcial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Curso de </w:t>
            </w:r>
            <w:r w:rsidR="00EF743A" w:rsidRPr="000A7254">
              <w:rPr>
                <w:rFonts w:ascii="Calibri" w:eastAsia="Times New Roman" w:hAnsi="Calibri" w:cs="Arial"/>
                <w:sz w:val="20"/>
                <w:szCs w:val="20"/>
                <w:lang w:eastAsia="es-MX"/>
              </w:rPr>
              <w:t>titulación</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Examen global de ingles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Recargos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35.00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Paquete de </w:t>
            </w:r>
            <w:r w:rsidR="00EF743A" w:rsidRPr="000A7254">
              <w:rPr>
                <w:rFonts w:ascii="Calibri" w:eastAsia="Times New Roman" w:hAnsi="Calibri" w:cs="Arial"/>
                <w:sz w:val="20"/>
                <w:szCs w:val="20"/>
                <w:lang w:eastAsia="es-MX"/>
              </w:rPr>
              <w:t>titulación</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20,000.00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Curso de ingles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69,400.00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Curso de verano</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1,760.00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Servicio de fotocopiado</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1,356.00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Otros cursos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EF743A"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Exámenes</w:t>
            </w:r>
            <w:r w:rsidR="000A7254" w:rsidRPr="000A7254">
              <w:rPr>
                <w:rFonts w:ascii="Calibri" w:eastAsia="Times New Roman" w:hAnsi="Calibri" w:cs="Arial"/>
                <w:sz w:val="20"/>
                <w:szCs w:val="20"/>
                <w:lang w:eastAsia="es-MX"/>
              </w:rPr>
              <w:t xml:space="preserve"> extraordinarios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EF743A"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Exámenes</w:t>
            </w:r>
            <w:r w:rsidR="000A7254" w:rsidRPr="000A7254">
              <w:rPr>
                <w:rFonts w:ascii="Calibri" w:eastAsia="Times New Roman" w:hAnsi="Calibri" w:cs="Arial"/>
                <w:sz w:val="20"/>
                <w:szCs w:val="20"/>
                <w:lang w:eastAsia="es-MX"/>
              </w:rPr>
              <w:t xml:space="preserve"> especiales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EF743A"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Exámenes</w:t>
            </w:r>
            <w:r w:rsidR="000A7254" w:rsidRPr="000A7254">
              <w:rPr>
                <w:rFonts w:ascii="Calibri" w:eastAsia="Times New Roman" w:hAnsi="Calibri" w:cs="Arial"/>
                <w:sz w:val="20"/>
                <w:szCs w:val="20"/>
                <w:lang w:eastAsia="es-MX"/>
              </w:rPr>
              <w:t xml:space="preserve"> globales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Residencia profesional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120.00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EF743A"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Reposición</w:t>
            </w:r>
            <w:r w:rsidR="000A7254" w:rsidRPr="000A7254">
              <w:rPr>
                <w:rFonts w:ascii="Calibri" w:eastAsia="Times New Roman" w:hAnsi="Calibri" w:cs="Arial"/>
                <w:sz w:val="20"/>
                <w:szCs w:val="20"/>
                <w:lang w:eastAsia="es-MX"/>
              </w:rPr>
              <w:t xml:space="preserve"> de credencial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Renta de </w:t>
            </w:r>
            <w:r w:rsidR="00EF743A" w:rsidRPr="000A7254">
              <w:rPr>
                <w:rFonts w:ascii="Calibri" w:eastAsia="Times New Roman" w:hAnsi="Calibri" w:cs="Arial"/>
                <w:sz w:val="20"/>
                <w:szCs w:val="20"/>
                <w:lang w:eastAsia="es-MX"/>
              </w:rPr>
              <w:t>cafetería</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1,410.56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roofErr w:type="spellStart"/>
            <w:r w:rsidRPr="000A7254">
              <w:rPr>
                <w:rFonts w:ascii="Calibri" w:eastAsia="Times New Roman" w:hAnsi="Calibri" w:cs="Arial"/>
                <w:sz w:val="20"/>
                <w:szCs w:val="20"/>
                <w:lang w:eastAsia="es-MX"/>
              </w:rPr>
              <w:t>Preexamen</w:t>
            </w:r>
            <w:proofErr w:type="spellEnd"/>
            <w:r w:rsidRPr="000A7254">
              <w:rPr>
                <w:rFonts w:ascii="Calibri" w:eastAsia="Times New Roman" w:hAnsi="Calibri" w:cs="Arial"/>
                <w:sz w:val="20"/>
                <w:szCs w:val="20"/>
                <w:lang w:eastAsia="es-MX"/>
              </w:rPr>
              <w:t xml:space="preserve"> requisito ingles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Examen </w:t>
            </w:r>
            <w:r w:rsidR="00EF743A" w:rsidRPr="000A7254">
              <w:rPr>
                <w:rFonts w:ascii="Calibri" w:eastAsia="Times New Roman" w:hAnsi="Calibri" w:cs="Arial"/>
                <w:sz w:val="20"/>
                <w:szCs w:val="20"/>
                <w:lang w:eastAsia="es-MX"/>
              </w:rPr>
              <w:t>acreditación</w:t>
            </w:r>
            <w:r w:rsidRPr="000A7254">
              <w:rPr>
                <w:rFonts w:ascii="Calibri" w:eastAsia="Times New Roman" w:hAnsi="Calibri" w:cs="Arial"/>
                <w:sz w:val="20"/>
                <w:szCs w:val="20"/>
                <w:lang w:eastAsia="es-MX"/>
              </w:rPr>
              <w:t xml:space="preserve"> ingles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Paquete de egreso</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5,600.00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Acto </w:t>
            </w:r>
            <w:r w:rsidR="00EF743A" w:rsidRPr="000A7254">
              <w:rPr>
                <w:rFonts w:ascii="Calibri" w:eastAsia="Times New Roman" w:hAnsi="Calibri" w:cs="Arial"/>
                <w:sz w:val="20"/>
                <w:szCs w:val="20"/>
                <w:lang w:eastAsia="es-MX"/>
              </w:rPr>
              <w:t>recepción</w:t>
            </w:r>
            <w:r w:rsidRPr="000A7254">
              <w:rPr>
                <w:rFonts w:ascii="Calibri" w:eastAsia="Times New Roman" w:hAnsi="Calibri" w:cs="Arial"/>
                <w:sz w:val="20"/>
                <w:szCs w:val="20"/>
                <w:lang w:eastAsia="es-MX"/>
              </w:rPr>
              <w:t xml:space="preserve"> profesional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2,000.00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Otros ingresos por servicios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2,000.00 </w:t>
            </w:r>
          </w:p>
        </w:tc>
      </w:tr>
      <w:tr w:rsidR="000A7254" w:rsidRPr="000A7254" w:rsidTr="000A7254">
        <w:trPr>
          <w:trHeight w:val="300"/>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u w:val="single"/>
                <w:lang w:eastAsia="es-MX"/>
              </w:rPr>
            </w:pPr>
            <w:proofErr w:type="spellStart"/>
            <w:r w:rsidRPr="000A7254">
              <w:rPr>
                <w:rFonts w:ascii="Calibri" w:eastAsia="Times New Roman" w:hAnsi="Calibri" w:cs="Arial"/>
                <w:sz w:val="20"/>
                <w:szCs w:val="20"/>
                <w:u w:val="single"/>
                <w:lang w:eastAsia="es-MX"/>
              </w:rPr>
              <w:t>Part,aport,trns,asig,subsidios</w:t>
            </w:r>
            <w:proofErr w:type="spellEnd"/>
            <w:r w:rsidRPr="000A7254">
              <w:rPr>
                <w:rFonts w:ascii="Calibri" w:eastAsia="Times New Roman" w:hAnsi="Calibri" w:cs="Arial"/>
                <w:sz w:val="20"/>
                <w:szCs w:val="20"/>
                <w:u w:val="single"/>
                <w:lang w:eastAsia="es-MX"/>
              </w:rPr>
              <w:t xml:space="preserve"> y otras ayudas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u w:val="single"/>
                <w:lang w:eastAsia="es-MX"/>
              </w:rPr>
            </w:pPr>
            <w:r w:rsidRPr="000A7254">
              <w:rPr>
                <w:rFonts w:ascii="Calibri" w:eastAsia="Times New Roman" w:hAnsi="Calibri" w:cs="Arial"/>
                <w:sz w:val="20"/>
                <w:szCs w:val="20"/>
                <w:u w:val="single"/>
                <w:lang w:eastAsia="es-MX"/>
              </w:rPr>
              <w:t xml:space="preserve">              2,413,245.00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roofErr w:type="spellStart"/>
            <w:r w:rsidRPr="000A7254">
              <w:rPr>
                <w:rFonts w:ascii="Calibri" w:eastAsia="Times New Roman" w:hAnsi="Calibri" w:cs="Arial"/>
                <w:sz w:val="20"/>
                <w:szCs w:val="20"/>
                <w:lang w:eastAsia="es-MX"/>
              </w:rPr>
              <w:t>Trasnf</w:t>
            </w:r>
            <w:proofErr w:type="spellEnd"/>
            <w:r w:rsidRPr="000A7254">
              <w:rPr>
                <w:rFonts w:ascii="Calibri" w:eastAsia="Times New Roman" w:hAnsi="Calibri" w:cs="Arial"/>
                <w:sz w:val="20"/>
                <w:szCs w:val="20"/>
                <w:lang w:eastAsia="es-MX"/>
              </w:rPr>
              <w:t xml:space="preserve">, </w:t>
            </w:r>
            <w:proofErr w:type="spellStart"/>
            <w:r w:rsidRPr="000A7254">
              <w:rPr>
                <w:rFonts w:ascii="Calibri" w:eastAsia="Times New Roman" w:hAnsi="Calibri" w:cs="Arial"/>
                <w:sz w:val="20"/>
                <w:szCs w:val="20"/>
                <w:lang w:eastAsia="es-MX"/>
              </w:rPr>
              <w:t>asig,subsidios</w:t>
            </w:r>
            <w:proofErr w:type="spellEnd"/>
            <w:r w:rsidRPr="000A7254">
              <w:rPr>
                <w:rFonts w:ascii="Calibri" w:eastAsia="Times New Roman" w:hAnsi="Calibri" w:cs="Arial"/>
                <w:sz w:val="20"/>
                <w:szCs w:val="20"/>
                <w:lang w:eastAsia="es-MX"/>
              </w:rPr>
              <w:t xml:space="preserve"> y otras ayudas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2,413,245.00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Subsidios y subvenciones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2,413,245.00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Subsidio federal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1,930,011.00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Subsidio estatal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483,234.00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u w:val="single"/>
                <w:lang w:eastAsia="es-MX"/>
              </w:rPr>
            </w:pPr>
            <w:r w:rsidRPr="000A7254">
              <w:rPr>
                <w:rFonts w:ascii="Calibri" w:eastAsia="Times New Roman" w:hAnsi="Calibri" w:cs="Arial"/>
                <w:sz w:val="20"/>
                <w:szCs w:val="20"/>
                <w:u w:val="single"/>
                <w:lang w:eastAsia="es-MX"/>
              </w:rPr>
              <w:t>Otros ingresos y beneficios</w:t>
            </w:r>
          </w:p>
        </w:tc>
        <w:tc>
          <w:tcPr>
            <w:tcW w:w="1856" w:type="dxa"/>
            <w:tcBorders>
              <w:top w:val="nil"/>
              <w:left w:val="nil"/>
              <w:bottom w:val="single" w:sz="4" w:space="0" w:color="auto"/>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5,540.90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lastRenderedPageBreak/>
              <w:t>Ingresos financieros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5,540.90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Otros ingresos financieros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5,540.90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Intereses </w:t>
            </w:r>
            <w:proofErr w:type="spellStart"/>
            <w:r w:rsidRPr="000A7254">
              <w:rPr>
                <w:rFonts w:ascii="Calibri" w:eastAsia="Times New Roman" w:hAnsi="Calibri" w:cs="Arial"/>
                <w:sz w:val="20"/>
                <w:szCs w:val="20"/>
                <w:lang w:eastAsia="es-MX"/>
              </w:rPr>
              <w:t>bmx</w:t>
            </w:r>
            <w:proofErr w:type="spellEnd"/>
            <w:r w:rsidRPr="000A7254">
              <w:rPr>
                <w:rFonts w:ascii="Calibri" w:eastAsia="Times New Roman" w:hAnsi="Calibri" w:cs="Arial"/>
                <w:sz w:val="20"/>
                <w:szCs w:val="20"/>
                <w:lang w:eastAsia="es-MX"/>
              </w:rPr>
              <w:t xml:space="preserve"> 6997541</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12.03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Intereses bmxintegral7515255613</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2,000.50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Intereses bmx7007294</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532.63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Intereses bmx7007367</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1,962.59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Intereses bmx7007375</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1,033.15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EF743A"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Interés</w:t>
            </w:r>
            <w:r w:rsidR="000A7254" w:rsidRPr="000A7254">
              <w:rPr>
                <w:rFonts w:ascii="Calibri" w:eastAsia="Times New Roman" w:hAnsi="Calibri" w:cs="Arial"/>
                <w:sz w:val="20"/>
                <w:szCs w:val="20"/>
                <w:lang w:eastAsia="es-MX"/>
              </w:rPr>
              <w:t xml:space="preserve"> </w:t>
            </w:r>
            <w:proofErr w:type="spellStart"/>
            <w:r w:rsidR="000A7254" w:rsidRPr="000A7254">
              <w:rPr>
                <w:rFonts w:ascii="Calibri" w:eastAsia="Times New Roman" w:hAnsi="Calibri" w:cs="Arial"/>
                <w:sz w:val="20"/>
                <w:szCs w:val="20"/>
                <w:lang w:eastAsia="es-MX"/>
              </w:rPr>
              <w:t>bmx</w:t>
            </w:r>
            <w:proofErr w:type="spellEnd"/>
            <w:r w:rsidR="000A7254" w:rsidRPr="000A7254">
              <w:rPr>
                <w:rFonts w:ascii="Calibri" w:eastAsia="Times New Roman" w:hAnsi="Calibri" w:cs="Arial"/>
                <w:sz w:val="20"/>
                <w:szCs w:val="20"/>
                <w:lang w:eastAsia="es-MX"/>
              </w:rPr>
              <w:t xml:space="preserve"> 7946223</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Otros ingresos y beneficios varios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Bonificaciones y descuentos obtenidos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Otros ingresos y beneficios varios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Programa incubadora de negocios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Programa institucional fortalecimiento </w:t>
            </w:r>
            <w:proofErr w:type="spellStart"/>
            <w:r w:rsidRPr="000A7254">
              <w:rPr>
                <w:rFonts w:ascii="Calibri" w:eastAsia="Times New Roman" w:hAnsi="Calibri" w:cs="Arial"/>
                <w:sz w:val="20"/>
                <w:szCs w:val="20"/>
                <w:lang w:eastAsia="es-MX"/>
              </w:rPr>
              <w:t>it</w:t>
            </w:r>
            <w:proofErr w:type="spellEnd"/>
            <w:r w:rsidRPr="000A7254">
              <w:rPr>
                <w:rFonts w:ascii="Calibri" w:eastAsia="Times New Roman" w:hAnsi="Calibri" w:cs="Arial"/>
                <w:sz w:val="20"/>
                <w:szCs w:val="20"/>
                <w:lang w:eastAsia="es-MX"/>
              </w:rPr>
              <w:t>(</w:t>
            </w:r>
            <w:proofErr w:type="spellStart"/>
            <w:r w:rsidRPr="000A7254">
              <w:rPr>
                <w:rFonts w:ascii="Calibri" w:eastAsia="Times New Roman" w:hAnsi="Calibri" w:cs="Arial"/>
                <w:sz w:val="20"/>
                <w:szCs w:val="20"/>
                <w:lang w:eastAsia="es-MX"/>
              </w:rPr>
              <w:t>pifit</w:t>
            </w:r>
            <w:proofErr w:type="spellEnd"/>
            <w:r w:rsidRPr="000A7254">
              <w:rPr>
                <w:rFonts w:ascii="Calibri" w:eastAsia="Times New Roman" w:hAnsi="Calibri" w:cs="Arial"/>
                <w:sz w:val="20"/>
                <w:szCs w:val="20"/>
                <w:lang w:eastAsia="es-MX"/>
              </w:rPr>
              <w:t>)</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Otros ingresos por </w:t>
            </w:r>
            <w:r w:rsidR="006D33C0" w:rsidRPr="000A7254">
              <w:rPr>
                <w:rFonts w:ascii="Calibri" w:eastAsia="Times New Roman" w:hAnsi="Calibri" w:cs="Arial"/>
                <w:sz w:val="20"/>
                <w:szCs w:val="20"/>
                <w:lang w:eastAsia="es-MX"/>
              </w:rPr>
              <w:t>estímulo</w:t>
            </w:r>
            <w:r w:rsidRPr="000A7254">
              <w:rPr>
                <w:rFonts w:ascii="Calibri" w:eastAsia="Times New Roman" w:hAnsi="Calibri" w:cs="Arial"/>
                <w:sz w:val="20"/>
                <w:szCs w:val="20"/>
                <w:lang w:eastAsia="es-MX"/>
              </w:rPr>
              <w:t xml:space="preserve"> fiscal*</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Diferencias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Apoyo extraordinario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Programa de apoyo a la calidad</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449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Aplicación de exámenes diagnósticos a emprendedores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bl>
    <w:p w:rsidR="0071754C" w:rsidRDefault="0071754C" w:rsidP="00C62E23">
      <w:pPr>
        <w:jc w:val="both"/>
        <w:rPr>
          <w:sz w:val="20"/>
          <w:szCs w:val="20"/>
        </w:rPr>
      </w:pPr>
    </w:p>
    <w:p w:rsidR="00E73FCC" w:rsidRDefault="00E73FCC" w:rsidP="00C62E23">
      <w:pPr>
        <w:jc w:val="both"/>
        <w:rPr>
          <w:sz w:val="20"/>
          <w:szCs w:val="20"/>
        </w:rPr>
      </w:pPr>
    </w:p>
    <w:p w:rsidR="00E73FCC" w:rsidRDefault="00E73FCC" w:rsidP="00C62E23">
      <w:pPr>
        <w:jc w:val="both"/>
        <w:rPr>
          <w:sz w:val="20"/>
          <w:szCs w:val="20"/>
        </w:rPr>
      </w:pPr>
    </w:p>
    <w:p w:rsidR="00E73FCC" w:rsidRDefault="00E73FCC" w:rsidP="00C62E23">
      <w:pPr>
        <w:jc w:val="both"/>
        <w:rPr>
          <w:sz w:val="20"/>
          <w:szCs w:val="20"/>
        </w:rPr>
      </w:pPr>
    </w:p>
    <w:p w:rsidR="00E73FCC" w:rsidRDefault="00E73FCC" w:rsidP="00C62E23">
      <w:pPr>
        <w:jc w:val="both"/>
        <w:rPr>
          <w:sz w:val="20"/>
          <w:szCs w:val="20"/>
        </w:rPr>
      </w:pPr>
    </w:p>
    <w:p w:rsidR="00E73FCC" w:rsidRDefault="00E73FCC" w:rsidP="00C62E23">
      <w:pPr>
        <w:jc w:val="both"/>
        <w:rPr>
          <w:sz w:val="20"/>
          <w:szCs w:val="20"/>
        </w:rPr>
      </w:pPr>
    </w:p>
    <w:p w:rsidR="00704211" w:rsidRPr="00815DD2" w:rsidRDefault="0071754C" w:rsidP="00C62E23">
      <w:pPr>
        <w:jc w:val="both"/>
        <w:rPr>
          <w:b/>
          <w:sz w:val="20"/>
          <w:szCs w:val="20"/>
        </w:rPr>
      </w:pPr>
      <w:r w:rsidRPr="00815DD2">
        <w:rPr>
          <w:b/>
          <w:sz w:val="20"/>
          <w:szCs w:val="20"/>
        </w:rPr>
        <w:lastRenderedPageBreak/>
        <w:t>Nota 1B-2</w:t>
      </w:r>
    </w:p>
    <w:p w:rsidR="0071754C" w:rsidRPr="00815DD2" w:rsidRDefault="0071754C" w:rsidP="00C62E23">
      <w:pPr>
        <w:jc w:val="both"/>
        <w:rPr>
          <w:b/>
          <w:sz w:val="20"/>
          <w:szCs w:val="20"/>
        </w:rPr>
      </w:pPr>
      <w:r w:rsidRPr="00815DD2">
        <w:rPr>
          <w:b/>
          <w:sz w:val="20"/>
          <w:szCs w:val="20"/>
        </w:rPr>
        <w:t>Gastos y Otras Pérdidas</w:t>
      </w:r>
    </w:p>
    <w:p w:rsidR="0071754C" w:rsidRDefault="0071754C" w:rsidP="00C62E23">
      <w:pPr>
        <w:jc w:val="both"/>
        <w:rPr>
          <w:sz w:val="20"/>
          <w:szCs w:val="20"/>
        </w:rPr>
      </w:pPr>
      <w:r w:rsidRPr="0071754C">
        <w:rPr>
          <w:sz w:val="20"/>
          <w:szCs w:val="20"/>
        </w:rPr>
        <w:t>Los Gastos de Funcionamiento se Integran con los siguientes rubros y cuentas:</w:t>
      </w:r>
    </w:p>
    <w:tbl>
      <w:tblPr>
        <w:tblW w:w="7943" w:type="dxa"/>
        <w:tblInd w:w="70" w:type="dxa"/>
        <w:tblCellMar>
          <w:left w:w="70" w:type="dxa"/>
          <w:right w:w="70" w:type="dxa"/>
        </w:tblCellMar>
        <w:tblLook w:val="04A0" w:firstRow="1" w:lastRow="0" w:firstColumn="1" w:lastColumn="0" w:noHBand="0" w:noVBand="1"/>
      </w:tblPr>
      <w:tblGrid>
        <w:gridCol w:w="6087"/>
        <w:gridCol w:w="1856"/>
      </w:tblGrid>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GASTOS DE FUNCIONAMIENTO </w:t>
            </w:r>
          </w:p>
        </w:tc>
        <w:tc>
          <w:tcPr>
            <w:tcW w:w="1856" w:type="dxa"/>
            <w:tcBorders>
              <w:top w:val="nil"/>
              <w:left w:val="nil"/>
              <w:bottom w:val="single" w:sz="4" w:space="0" w:color="auto"/>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              2,665,015.36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Servicios Personales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              1,890,575.94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EF743A"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Remuneraciones</w:t>
            </w:r>
            <w:r w:rsidR="000A7254" w:rsidRPr="000A7254">
              <w:rPr>
                <w:rFonts w:ascii="Calibri" w:eastAsia="Times New Roman" w:hAnsi="Calibri" w:cs="Arial"/>
                <w:sz w:val="20"/>
                <w:szCs w:val="20"/>
                <w:lang w:eastAsia="es-MX"/>
              </w:rPr>
              <w:t xml:space="preserve"> al Personal de Carácter Permanente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1,443,351.06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Remuneraciones al Personal de Carácter Transitorio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Remuneraciones Adicionales y Especiales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32,424.68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Seguridad Social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177,771.82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Otras Prestaciones Sociales y Económicas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214,000.00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Pago de </w:t>
            </w:r>
            <w:r w:rsidR="00EF743A" w:rsidRPr="000A7254">
              <w:rPr>
                <w:rFonts w:ascii="Calibri" w:eastAsia="Times New Roman" w:hAnsi="Calibri" w:cs="Arial"/>
                <w:sz w:val="20"/>
                <w:szCs w:val="20"/>
                <w:lang w:eastAsia="es-MX"/>
              </w:rPr>
              <w:t>Estímulos</w:t>
            </w:r>
            <w:r w:rsidRPr="000A7254">
              <w:rPr>
                <w:rFonts w:ascii="Calibri" w:eastAsia="Times New Roman" w:hAnsi="Calibri" w:cs="Arial"/>
                <w:sz w:val="20"/>
                <w:szCs w:val="20"/>
                <w:lang w:eastAsia="es-MX"/>
              </w:rPr>
              <w:t xml:space="preserve"> a Servidores Públicos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23,028.38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Materiales y Suministros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                 207,284.74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Materiales de </w:t>
            </w:r>
            <w:r w:rsidR="00EF743A" w:rsidRPr="000A7254">
              <w:rPr>
                <w:rFonts w:ascii="Calibri" w:eastAsia="Times New Roman" w:hAnsi="Calibri" w:cs="Arial"/>
                <w:sz w:val="20"/>
                <w:szCs w:val="20"/>
                <w:lang w:eastAsia="es-MX"/>
              </w:rPr>
              <w:t>Administración</w:t>
            </w:r>
            <w:r w:rsidRPr="000A7254">
              <w:rPr>
                <w:rFonts w:ascii="Calibri" w:eastAsia="Times New Roman" w:hAnsi="Calibri" w:cs="Arial"/>
                <w:sz w:val="20"/>
                <w:szCs w:val="20"/>
                <w:lang w:eastAsia="es-MX"/>
              </w:rPr>
              <w:t xml:space="preserve">, </w:t>
            </w:r>
            <w:r w:rsidR="00EF743A" w:rsidRPr="000A7254">
              <w:rPr>
                <w:rFonts w:ascii="Calibri" w:eastAsia="Times New Roman" w:hAnsi="Calibri" w:cs="Arial"/>
                <w:sz w:val="20"/>
                <w:szCs w:val="20"/>
                <w:lang w:eastAsia="es-MX"/>
              </w:rPr>
              <w:t>Emisión</w:t>
            </w:r>
            <w:r w:rsidRPr="000A7254">
              <w:rPr>
                <w:rFonts w:ascii="Calibri" w:eastAsia="Times New Roman" w:hAnsi="Calibri" w:cs="Arial"/>
                <w:sz w:val="20"/>
                <w:szCs w:val="20"/>
                <w:lang w:eastAsia="es-MX"/>
              </w:rPr>
              <w:t xml:space="preserve"> de Documentos y </w:t>
            </w:r>
            <w:r w:rsidR="00EF743A" w:rsidRPr="000A7254">
              <w:rPr>
                <w:rFonts w:ascii="Calibri" w:eastAsia="Times New Roman" w:hAnsi="Calibri" w:cs="Arial"/>
                <w:sz w:val="20"/>
                <w:szCs w:val="20"/>
                <w:lang w:eastAsia="es-MX"/>
              </w:rPr>
              <w:t>Artículos</w:t>
            </w:r>
            <w:r w:rsidRPr="000A7254">
              <w:rPr>
                <w:rFonts w:ascii="Calibri" w:eastAsia="Times New Roman" w:hAnsi="Calibri" w:cs="Arial"/>
                <w:sz w:val="20"/>
                <w:szCs w:val="20"/>
                <w:lang w:eastAsia="es-MX"/>
              </w:rPr>
              <w:t xml:space="preserve"> Oficiales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45,116.86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Alimentos y Utensilios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24,620.20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Materiales y </w:t>
            </w:r>
            <w:r w:rsidR="00EF743A" w:rsidRPr="000A7254">
              <w:rPr>
                <w:rFonts w:ascii="Calibri" w:eastAsia="Times New Roman" w:hAnsi="Calibri" w:cs="Arial"/>
                <w:sz w:val="20"/>
                <w:szCs w:val="20"/>
                <w:lang w:eastAsia="es-MX"/>
              </w:rPr>
              <w:t>Artículos</w:t>
            </w:r>
            <w:r w:rsidRPr="000A7254">
              <w:rPr>
                <w:rFonts w:ascii="Calibri" w:eastAsia="Times New Roman" w:hAnsi="Calibri" w:cs="Arial"/>
                <w:sz w:val="20"/>
                <w:szCs w:val="20"/>
                <w:lang w:eastAsia="es-MX"/>
              </w:rPr>
              <w:t xml:space="preserve"> de Construcción y de Reparación</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4,438.53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Productos Químicos, </w:t>
            </w:r>
            <w:r w:rsidR="00EF743A" w:rsidRPr="000A7254">
              <w:rPr>
                <w:rFonts w:ascii="Calibri" w:eastAsia="Times New Roman" w:hAnsi="Calibri" w:cs="Arial"/>
                <w:sz w:val="20"/>
                <w:szCs w:val="20"/>
                <w:lang w:eastAsia="es-MX"/>
              </w:rPr>
              <w:t>Farmacéuticos</w:t>
            </w:r>
            <w:r w:rsidRPr="000A7254">
              <w:rPr>
                <w:rFonts w:ascii="Calibri" w:eastAsia="Times New Roman" w:hAnsi="Calibri" w:cs="Arial"/>
                <w:sz w:val="20"/>
                <w:szCs w:val="20"/>
                <w:lang w:eastAsia="es-MX"/>
              </w:rPr>
              <w:t xml:space="preserve"> y de Laboratorio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100,621.88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Combustibles, Lubricantes y Aditivos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25,462.52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Vestuario, Blancos, Prendas de </w:t>
            </w:r>
            <w:r w:rsidR="00EF743A" w:rsidRPr="000A7254">
              <w:rPr>
                <w:rFonts w:ascii="Calibri" w:eastAsia="Times New Roman" w:hAnsi="Calibri" w:cs="Arial"/>
                <w:sz w:val="20"/>
                <w:szCs w:val="20"/>
                <w:lang w:eastAsia="es-MX"/>
              </w:rPr>
              <w:t>Protección</w:t>
            </w:r>
            <w:r w:rsidRPr="000A7254">
              <w:rPr>
                <w:rFonts w:ascii="Calibri" w:eastAsia="Times New Roman" w:hAnsi="Calibri" w:cs="Arial"/>
                <w:sz w:val="20"/>
                <w:szCs w:val="20"/>
                <w:lang w:eastAsia="es-MX"/>
              </w:rPr>
              <w:t xml:space="preserve"> y </w:t>
            </w:r>
            <w:r w:rsidR="00EF743A" w:rsidRPr="000A7254">
              <w:rPr>
                <w:rFonts w:ascii="Calibri" w:eastAsia="Times New Roman" w:hAnsi="Calibri" w:cs="Arial"/>
                <w:sz w:val="20"/>
                <w:szCs w:val="20"/>
                <w:lang w:eastAsia="es-MX"/>
              </w:rPr>
              <w:t>Artículos</w:t>
            </w:r>
            <w:r w:rsidRPr="000A7254">
              <w:rPr>
                <w:rFonts w:ascii="Calibri" w:eastAsia="Times New Roman" w:hAnsi="Calibri" w:cs="Arial"/>
                <w:sz w:val="20"/>
                <w:szCs w:val="20"/>
                <w:lang w:eastAsia="es-MX"/>
              </w:rPr>
              <w:t xml:space="preserve"> Deportivos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Herramientas, Refacciones y Accesorios Menores</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7,024.75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Servicios Generales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                 567,154.68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Servicios </w:t>
            </w:r>
            <w:r w:rsidR="00EF743A" w:rsidRPr="000A7254">
              <w:rPr>
                <w:rFonts w:ascii="Calibri" w:eastAsia="Times New Roman" w:hAnsi="Calibri" w:cs="Arial"/>
                <w:sz w:val="20"/>
                <w:szCs w:val="20"/>
                <w:lang w:eastAsia="es-MX"/>
              </w:rPr>
              <w:t>Básicos</w:t>
            </w:r>
            <w:r w:rsidRPr="000A7254">
              <w:rPr>
                <w:rFonts w:ascii="Calibri" w:eastAsia="Times New Roman" w:hAnsi="Calibri" w:cs="Arial"/>
                <w:sz w:val="20"/>
                <w:szCs w:val="20"/>
                <w:lang w:eastAsia="es-MX"/>
              </w:rPr>
              <w:t xml:space="preserve">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130,437.38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Servicios de Arrendamiento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51,042.36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Servicios Profesionales, </w:t>
            </w:r>
            <w:r w:rsidR="00EF743A" w:rsidRPr="000A7254">
              <w:rPr>
                <w:rFonts w:ascii="Calibri" w:eastAsia="Times New Roman" w:hAnsi="Calibri" w:cs="Arial"/>
                <w:sz w:val="20"/>
                <w:szCs w:val="20"/>
                <w:lang w:eastAsia="es-MX"/>
              </w:rPr>
              <w:t>Científicos</w:t>
            </w:r>
            <w:r w:rsidRPr="000A7254">
              <w:rPr>
                <w:rFonts w:ascii="Calibri" w:eastAsia="Times New Roman" w:hAnsi="Calibri" w:cs="Arial"/>
                <w:sz w:val="20"/>
                <w:szCs w:val="20"/>
                <w:lang w:eastAsia="es-MX"/>
              </w:rPr>
              <w:t xml:space="preserve"> y Técnicos y Otros Servicios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83,867.45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lastRenderedPageBreak/>
              <w:t xml:space="preserve">Servicios Financieros, Bancarios y Comerciales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67,453.51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Servicios de Instalaciones, Reparación, Mantenimiento y Conservación</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21,489.00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Servicios de Comunicación Social y Publicidad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57,846.88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Servicio de Traslado y Viáticos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61,683.10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Servicios Oficiales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16,210.00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Otros Servicios Generales </w:t>
            </w: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 xml:space="preserve">                   77,125.00 </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c>
          <w:tcPr>
            <w:tcW w:w="1856"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b/>
                <w:bCs/>
                <w:sz w:val="20"/>
                <w:szCs w:val="20"/>
                <w:lang w:eastAsia="es-MX"/>
              </w:rPr>
            </w:pPr>
            <w:r w:rsidRPr="000A7254">
              <w:rPr>
                <w:rFonts w:ascii="Calibri" w:eastAsia="Times New Roman" w:hAnsi="Calibri" w:cs="Arial"/>
                <w:b/>
                <w:bCs/>
                <w:sz w:val="20"/>
                <w:szCs w:val="20"/>
                <w:lang w:eastAsia="es-MX"/>
              </w:rPr>
              <w:t xml:space="preserve">TRANSFERENCIAS, ASIGNACIONES, SUBSIDIOS Y OTRAS AYUDAS </w:t>
            </w:r>
          </w:p>
        </w:tc>
        <w:tc>
          <w:tcPr>
            <w:tcW w:w="1856" w:type="dxa"/>
            <w:tcBorders>
              <w:top w:val="nil"/>
              <w:left w:val="nil"/>
              <w:bottom w:val="nil"/>
              <w:right w:val="nil"/>
            </w:tcBorders>
            <w:shd w:val="clear" w:color="auto" w:fill="auto"/>
            <w:noWrap/>
            <w:hideMark/>
          </w:tcPr>
          <w:p w:rsidR="000A7254" w:rsidRPr="000A7254" w:rsidRDefault="000A7254" w:rsidP="000A7254">
            <w:pPr>
              <w:spacing w:after="0" w:line="240" w:lineRule="auto"/>
              <w:jc w:val="right"/>
              <w:rPr>
                <w:rFonts w:ascii="Calibri" w:eastAsia="Times New Roman" w:hAnsi="Calibri" w:cs="Arial"/>
                <w:b/>
                <w:bCs/>
                <w:sz w:val="20"/>
                <w:szCs w:val="20"/>
                <w:u w:val="single"/>
                <w:lang w:eastAsia="es-MX"/>
              </w:rPr>
            </w:pPr>
            <w:r w:rsidRPr="000A7254">
              <w:rPr>
                <w:rFonts w:ascii="Calibri" w:eastAsia="Times New Roman" w:hAnsi="Calibri" w:cs="Arial"/>
                <w:b/>
                <w:bCs/>
                <w:sz w:val="20"/>
                <w:szCs w:val="20"/>
                <w:u w:val="single"/>
                <w:lang w:eastAsia="es-MX"/>
              </w:rPr>
              <w:t>4,264.00</w:t>
            </w:r>
          </w:p>
        </w:tc>
      </w:tr>
      <w:tr w:rsidR="000A7254" w:rsidRPr="000A7254" w:rsidTr="000A7254">
        <w:trPr>
          <w:trHeight w:val="255"/>
        </w:trPr>
        <w:tc>
          <w:tcPr>
            <w:tcW w:w="6087" w:type="dxa"/>
            <w:tcBorders>
              <w:top w:val="nil"/>
              <w:left w:val="nil"/>
              <w:bottom w:val="nil"/>
              <w:right w:val="nil"/>
            </w:tcBorders>
            <w:shd w:val="clear" w:color="auto" w:fill="auto"/>
            <w:hideMark/>
          </w:tcPr>
          <w:p w:rsidR="000A7254" w:rsidRPr="000A7254" w:rsidRDefault="000A7254" w:rsidP="000A7254">
            <w:pPr>
              <w:spacing w:after="0" w:line="240" w:lineRule="auto"/>
              <w:rPr>
                <w:rFonts w:ascii="Calibri" w:eastAsia="Times New Roman" w:hAnsi="Calibri" w:cs="Arial"/>
                <w:b/>
                <w:bCs/>
                <w:sz w:val="20"/>
                <w:szCs w:val="20"/>
                <w:lang w:eastAsia="es-MX"/>
              </w:rPr>
            </w:pPr>
          </w:p>
        </w:tc>
        <w:tc>
          <w:tcPr>
            <w:tcW w:w="1856" w:type="dxa"/>
            <w:tcBorders>
              <w:top w:val="nil"/>
              <w:left w:val="nil"/>
              <w:bottom w:val="nil"/>
              <w:right w:val="nil"/>
            </w:tcBorders>
            <w:shd w:val="clear" w:color="auto" w:fill="auto"/>
            <w:noWrap/>
            <w:hideMark/>
          </w:tcPr>
          <w:p w:rsidR="000A7254" w:rsidRPr="000A7254" w:rsidRDefault="000A7254" w:rsidP="000A7254">
            <w:pPr>
              <w:spacing w:after="0" w:line="240" w:lineRule="auto"/>
              <w:rPr>
                <w:rFonts w:ascii="Arial" w:eastAsia="Times New Roman" w:hAnsi="Arial" w:cs="Arial"/>
                <w:b/>
                <w:bCs/>
                <w:sz w:val="20"/>
                <w:szCs w:val="20"/>
                <w:lang w:eastAsia="es-MX"/>
              </w:rPr>
            </w:pP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Transferencias Internas y Asignaciones al Sector Público</w:t>
            </w:r>
          </w:p>
        </w:tc>
        <w:tc>
          <w:tcPr>
            <w:tcW w:w="1856" w:type="dxa"/>
            <w:tcBorders>
              <w:top w:val="nil"/>
              <w:left w:val="nil"/>
              <w:bottom w:val="nil"/>
              <w:right w:val="nil"/>
            </w:tcBorders>
            <w:shd w:val="clear" w:color="auto" w:fill="auto"/>
            <w:noWrap/>
            <w:hideMark/>
          </w:tcPr>
          <w:p w:rsidR="000A7254" w:rsidRPr="000A7254" w:rsidRDefault="000A7254" w:rsidP="000A7254">
            <w:pPr>
              <w:spacing w:after="0" w:line="240" w:lineRule="auto"/>
              <w:jc w:val="right"/>
              <w:rPr>
                <w:rFonts w:ascii="Calibri" w:eastAsia="Times New Roman" w:hAnsi="Calibri" w:cs="Arial"/>
                <w:sz w:val="20"/>
                <w:szCs w:val="20"/>
                <w:lang w:eastAsia="es-MX"/>
              </w:rPr>
            </w:pPr>
            <w:r w:rsidRPr="000A7254">
              <w:rPr>
                <w:rFonts w:ascii="Calibri" w:eastAsia="Times New Roman" w:hAnsi="Calibri" w:cs="Arial"/>
                <w:sz w:val="20"/>
                <w:szCs w:val="20"/>
                <w:lang w:eastAsia="es-MX"/>
              </w:rPr>
              <w:t>0.00</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Transferencias al Resto del Sector Público</w:t>
            </w:r>
          </w:p>
        </w:tc>
        <w:tc>
          <w:tcPr>
            <w:tcW w:w="1856" w:type="dxa"/>
            <w:tcBorders>
              <w:top w:val="nil"/>
              <w:left w:val="nil"/>
              <w:bottom w:val="nil"/>
              <w:right w:val="nil"/>
            </w:tcBorders>
            <w:shd w:val="clear" w:color="auto" w:fill="auto"/>
            <w:noWrap/>
            <w:hideMark/>
          </w:tcPr>
          <w:p w:rsidR="000A7254" w:rsidRPr="000A7254" w:rsidRDefault="000A7254" w:rsidP="000A7254">
            <w:pPr>
              <w:spacing w:after="0" w:line="240" w:lineRule="auto"/>
              <w:jc w:val="right"/>
              <w:rPr>
                <w:rFonts w:ascii="Calibri" w:eastAsia="Times New Roman" w:hAnsi="Calibri" w:cs="Arial"/>
                <w:sz w:val="20"/>
                <w:szCs w:val="20"/>
                <w:lang w:eastAsia="es-MX"/>
              </w:rPr>
            </w:pPr>
            <w:r w:rsidRPr="000A7254">
              <w:rPr>
                <w:rFonts w:ascii="Calibri" w:eastAsia="Times New Roman" w:hAnsi="Calibri" w:cs="Arial"/>
                <w:sz w:val="20"/>
                <w:szCs w:val="20"/>
                <w:lang w:eastAsia="es-MX"/>
              </w:rPr>
              <w:t>0.00</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Subsidios y Subvenciones</w:t>
            </w:r>
          </w:p>
        </w:tc>
        <w:tc>
          <w:tcPr>
            <w:tcW w:w="1856" w:type="dxa"/>
            <w:tcBorders>
              <w:top w:val="nil"/>
              <w:left w:val="nil"/>
              <w:bottom w:val="nil"/>
              <w:right w:val="nil"/>
            </w:tcBorders>
            <w:shd w:val="clear" w:color="auto" w:fill="auto"/>
            <w:noWrap/>
            <w:hideMark/>
          </w:tcPr>
          <w:p w:rsidR="000A7254" w:rsidRPr="000A7254" w:rsidRDefault="000A7254" w:rsidP="000A7254">
            <w:pPr>
              <w:spacing w:after="0" w:line="240" w:lineRule="auto"/>
              <w:jc w:val="right"/>
              <w:rPr>
                <w:rFonts w:ascii="Calibri" w:eastAsia="Times New Roman" w:hAnsi="Calibri" w:cs="Arial"/>
                <w:sz w:val="20"/>
                <w:szCs w:val="20"/>
                <w:lang w:eastAsia="es-MX"/>
              </w:rPr>
            </w:pPr>
            <w:r w:rsidRPr="000A7254">
              <w:rPr>
                <w:rFonts w:ascii="Calibri" w:eastAsia="Times New Roman" w:hAnsi="Calibri" w:cs="Arial"/>
                <w:sz w:val="20"/>
                <w:szCs w:val="20"/>
                <w:lang w:eastAsia="es-MX"/>
              </w:rPr>
              <w:t>0.00</w:t>
            </w:r>
          </w:p>
        </w:tc>
      </w:tr>
      <w:tr w:rsidR="000A7254" w:rsidRPr="000A7254" w:rsidTr="000A7254">
        <w:trPr>
          <w:trHeight w:val="255"/>
        </w:trPr>
        <w:tc>
          <w:tcPr>
            <w:tcW w:w="6087" w:type="dxa"/>
            <w:tcBorders>
              <w:top w:val="nil"/>
              <w:left w:val="nil"/>
              <w:bottom w:val="nil"/>
              <w:right w:val="nil"/>
            </w:tcBorders>
            <w:shd w:val="clear" w:color="auto" w:fill="auto"/>
            <w:noWrap/>
            <w:vAlign w:val="bottom"/>
            <w:hideMark/>
          </w:tcPr>
          <w:p w:rsidR="000A7254" w:rsidRPr="000A7254" w:rsidRDefault="000A7254" w:rsidP="000A7254">
            <w:pPr>
              <w:spacing w:after="0" w:line="240" w:lineRule="auto"/>
              <w:rPr>
                <w:rFonts w:ascii="Calibri" w:eastAsia="Times New Roman" w:hAnsi="Calibri" w:cs="Arial"/>
                <w:sz w:val="20"/>
                <w:szCs w:val="20"/>
                <w:lang w:eastAsia="es-MX"/>
              </w:rPr>
            </w:pPr>
            <w:r w:rsidRPr="000A7254">
              <w:rPr>
                <w:rFonts w:ascii="Calibri" w:eastAsia="Times New Roman" w:hAnsi="Calibri" w:cs="Arial"/>
                <w:sz w:val="20"/>
                <w:szCs w:val="20"/>
                <w:lang w:eastAsia="es-MX"/>
              </w:rPr>
              <w:t>Ayudas Sociales</w:t>
            </w:r>
          </w:p>
        </w:tc>
        <w:tc>
          <w:tcPr>
            <w:tcW w:w="1856" w:type="dxa"/>
            <w:tcBorders>
              <w:top w:val="nil"/>
              <w:left w:val="nil"/>
              <w:bottom w:val="nil"/>
              <w:right w:val="nil"/>
            </w:tcBorders>
            <w:shd w:val="clear" w:color="auto" w:fill="auto"/>
            <w:noWrap/>
            <w:hideMark/>
          </w:tcPr>
          <w:p w:rsidR="000A7254" w:rsidRPr="000A7254" w:rsidRDefault="000A7254" w:rsidP="000A7254">
            <w:pPr>
              <w:spacing w:after="0" w:line="240" w:lineRule="auto"/>
              <w:jc w:val="right"/>
              <w:rPr>
                <w:rFonts w:ascii="Calibri" w:eastAsia="Times New Roman" w:hAnsi="Calibri" w:cs="Arial"/>
                <w:sz w:val="20"/>
                <w:szCs w:val="20"/>
                <w:lang w:eastAsia="es-MX"/>
              </w:rPr>
            </w:pPr>
            <w:r w:rsidRPr="000A7254">
              <w:rPr>
                <w:rFonts w:ascii="Calibri" w:eastAsia="Times New Roman" w:hAnsi="Calibri" w:cs="Arial"/>
                <w:sz w:val="20"/>
                <w:szCs w:val="20"/>
                <w:lang w:eastAsia="es-MX"/>
              </w:rPr>
              <w:t>4,264.00</w:t>
            </w:r>
          </w:p>
        </w:tc>
      </w:tr>
    </w:tbl>
    <w:p w:rsidR="000A7254" w:rsidRDefault="000A7254" w:rsidP="0071754C">
      <w:pPr>
        <w:jc w:val="both"/>
        <w:rPr>
          <w:sz w:val="20"/>
          <w:szCs w:val="20"/>
        </w:rPr>
      </w:pPr>
    </w:p>
    <w:p w:rsidR="00FE2F37" w:rsidRDefault="00FE2F37" w:rsidP="0071754C">
      <w:pPr>
        <w:jc w:val="both"/>
        <w:rPr>
          <w:sz w:val="20"/>
          <w:szCs w:val="20"/>
        </w:rPr>
      </w:pPr>
      <w:r w:rsidRPr="00FE2F37">
        <w:rPr>
          <w:sz w:val="20"/>
          <w:szCs w:val="20"/>
        </w:rPr>
        <w:t>A partir del mes de Agosto de 2016, se otorgan becas estudiantiles, financiados por el Recurso Federal del Proyecto de Apoyo a la Incorporación de los Nuevos Profesores de Tiempo Completo,</w:t>
      </w:r>
      <w:r>
        <w:rPr>
          <w:sz w:val="20"/>
          <w:szCs w:val="20"/>
        </w:rPr>
        <w:t xml:space="preserve"> </w:t>
      </w:r>
      <w:r w:rsidRPr="00FE2F37">
        <w:rPr>
          <w:sz w:val="20"/>
          <w:szCs w:val="20"/>
        </w:rPr>
        <w:t>nivel doctorado,  autorizado según oficio DSA/103.5/15/10449 de la Secretaría de Educación Superior/ Dirección General de Educación Superior Universitaria</w:t>
      </w:r>
      <w:r>
        <w:rPr>
          <w:sz w:val="20"/>
          <w:szCs w:val="20"/>
        </w:rPr>
        <w:t>.</w:t>
      </w:r>
    </w:p>
    <w:tbl>
      <w:tblPr>
        <w:tblW w:w="13389" w:type="dxa"/>
        <w:tblInd w:w="70" w:type="dxa"/>
        <w:tblCellMar>
          <w:left w:w="70" w:type="dxa"/>
          <w:right w:w="70" w:type="dxa"/>
        </w:tblCellMar>
        <w:tblLook w:val="04A0" w:firstRow="1" w:lastRow="0" w:firstColumn="1" w:lastColumn="0" w:noHBand="0" w:noVBand="1"/>
      </w:tblPr>
      <w:tblGrid>
        <w:gridCol w:w="1176"/>
        <w:gridCol w:w="1176"/>
        <w:gridCol w:w="1176"/>
        <w:gridCol w:w="146"/>
        <w:gridCol w:w="14"/>
        <w:gridCol w:w="132"/>
        <w:gridCol w:w="28"/>
        <w:gridCol w:w="9367"/>
        <w:gridCol w:w="28"/>
        <w:gridCol w:w="118"/>
        <w:gridCol w:w="28"/>
      </w:tblGrid>
      <w:tr w:rsidR="00FE2F37" w:rsidRPr="00815DD2" w:rsidTr="00FE2F37">
        <w:trPr>
          <w:gridAfter w:val="1"/>
          <w:wAfter w:w="28" w:type="dxa"/>
          <w:trHeight w:val="315"/>
        </w:trPr>
        <w:tc>
          <w:tcPr>
            <w:tcW w:w="13361" w:type="dxa"/>
            <w:gridSpan w:val="10"/>
            <w:shd w:val="clear" w:color="auto" w:fill="auto"/>
            <w:noWrap/>
            <w:vAlign w:val="bottom"/>
            <w:hideMark/>
          </w:tcPr>
          <w:p w:rsidR="00815DD2" w:rsidRPr="00815DD2" w:rsidRDefault="00815DD2" w:rsidP="00FE2F37">
            <w:pPr>
              <w:spacing w:after="0" w:line="240" w:lineRule="auto"/>
              <w:rPr>
                <w:rFonts w:ascii="Calibri" w:eastAsia="Times New Roman" w:hAnsi="Calibri" w:cs="Arial"/>
                <w:b/>
                <w:bCs/>
                <w:sz w:val="20"/>
                <w:szCs w:val="20"/>
                <w:lang w:eastAsia="es-MX"/>
              </w:rPr>
            </w:pPr>
          </w:p>
          <w:p w:rsidR="00FE2F37" w:rsidRPr="00815DD2" w:rsidRDefault="00FE2F37" w:rsidP="00FE2F37">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 xml:space="preserve">C) NOTAS AL ESTADO DE VARIACIONES EN LA HACIENDA PÚBLICA/PATRIMONIO </w:t>
            </w:r>
          </w:p>
        </w:tc>
      </w:tr>
      <w:tr w:rsidR="00FE2F37" w:rsidRPr="00815DD2" w:rsidTr="00FE2F37">
        <w:trPr>
          <w:gridAfter w:val="1"/>
          <w:wAfter w:w="28" w:type="dxa"/>
          <w:trHeight w:val="315"/>
        </w:trPr>
        <w:tc>
          <w:tcPr>
            <w:tcW w:w="3528" w:type="dxa"/>
            <w:gridSpan w:val="3"/>
            <w:shd w:val="clear" w:color="auto" w:fill="auto"/>
            <w:noWrap/>
            <w:vAlign w:val="bottom"/>
            <w:hideMark/>
          </w:tcPr>
          <w:p w:rsidR="00FE2F37" w:rsidRPr="00815DD2" w:rsidRDefault="00FE2F37" w:rsidP="00FE2F37">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Nota 1C-1</w:t>
            </w:r>
          </w:p>
        </w:tc>
        <w:tc>
          <w:tcPr>
            <w:tcW w:w="146" w:type="dxa"/>
            <w:shd w:val="clear" w:color="auto" w:fill="auto"/>
            <w:noWrap/>
            <w:vAlign w:val="bottom"/>
            <w:hideMark/>
          </w:tcPr>
          <w:p w:rsidR="00FE2F37" w:rsidRPr="00815DD2" w:rsidRDefault="00FE2F37" w:rsidP="00FE2F37">
            <w:pPr>
              <w:spacing w:after="0" w:line="240" w:lineRule="auto"/>
              <w:jc w:val="center"/>
              <w:rPr>
                <w:rFonts w:ascii="Calibri" w:eastAsia="Times New Roman" w:hAnsi="Calibri" w:cs="Arial"/>
                <w:b/>
                <w:bCs/>
                <w:sz w:val="20"/>
                <w:szCs w:val="20"/>
                <w:lang w:eastAsia="es-MX"/>
              </w:rPr>
            </w:pPr>
          </w:p>
        </w:tc>
        <w:tc>
          <w:tcPr>
            <w:tcW w:w="146" w:type="dxa"/>
            <w:gridSpan w:val="2"/>
            <w:shd w:val="clear" w:color="auto" w:fill="auto"/>
            <w:noWrap/>
            <w:vAlign w:val="bottom"/>
            <w:hideMark/>
          </w:tcPr>
          <w:p w:rsidR="00FE2F37" w:rsidRPr="00815DD2" w:rsidRDefault="00FE2F37" w:rsidP="00FE2F37">
            <w:pPr>
              <w:spacing w:after="0" w:line="240" w:lineRule="auto"/>
              <w:jc w:val="center"/>
              <w:rPr>
                <w:rFonts w:ascii="Calibri" w:eastAsia="Times New Roman" w:hAnsi="Calibri" w:cs="Arial"/>
                <w:b/>
                <w:bCs/>
                <w:sz w:val="20"/>
                <w:szCs w:val="20"/>
                <w:lang w:eastAsia="es-MX"/>
              </w:rPr>
            </w:pPr>
          </w:p>
        </w:tc>
        <w:tc>
          <w:tcPr>
            <w:tcW w:w="9395" w:type="dxa"/>
            <w:gridSpan w:val="2"/>
            <w:shd w:val="clear" w:color="auto" w:fill="auto"/>
            <w:noWrap/>
            <w:vAlign w:val="bottom"/>
            <w:hideMark/>
          </w:tcPr>
          <w:p w:rsidR="00FE2F37" w:rsidRPr="00815DD2" w:rsidRDefault="00FE2F37" w:rsidP="00FE2F37">
            <w:pPr>
              <w:spacing w:after="0" w:line="240" w:lineRule="auto"/>
              <w:jc w:val="center"/>
              <w:rPr>
                <w:rFonts w:ascii="Calibri" w:eastAsia="Times New Roman" w:hAnsi="Calibri" w:cs="Arial"/>
                <w:b/>
                <w:bCs/>
                <w:sz w:val="20"/>
                <w:szCs w:val="20"/>
                <w:lang w:eastAsia="es-MX"/>
              </w:rPr>
            </w:pPr>
          </w:p>
        </w:tc>
        <w:tc>
          <w:tcPr>
            <w:tcW w:w="146" w:type="dxa"/>
            <w:gridSpan w:val="2"/>
            <w:shd w:val="clear" w:color="auto" w:fill="auto"/>
            <w:noWrap/>
            <w:vAlign w:val="bottom"/>
            <w:hideMark/>
          </w:tcPr>
          <w:p w:rsidR="00FE2F37" w:rsidRPr="00815DD2" w:rsidRDefault="00FE2F37" w:rsidP="00FE2F37">
            <w:pPr>
              <w:spacing w:after="0" w:line="240" w:lineRule="auto"/>
              <w:jc w:val="center"/>
              <w:rPr>
                <w:rFonts w:ascii="Calibri" w:eastAsia="Times New Roman" w:hAnsi="Calibri" w:cs="Arial"/>
                <w:b/>
                <w:bCs/>
                <w:sz w:val="20"/>
                <w:szCs w:val="20"/>
                <w:lang w:eastAsia="es-MX"/>
              </w:rPr>
            </w:pPr>
          </w:p>
        </w:tc>
      </w:tr>
      <w:tr w:rsidR="00FE2F37" w:rsidRPr="00815DD2" w:rsidTr="00FE2F37">
        <w:trPr>
          <w:gridAfter w:val="1"/>
          <w:wAfter w:w="28" w:type="dxa"/>
          <w:trHeight w:val="300"/>
        </w:trPr>
        <w:tc>
          <w:tcPr>
            <w:tcW w:w="3820" w:type="dxa"/>
            <w:gridSpan w:val="6"/>
            <w:shd w:val="clear" w:color="auto" w:fill="auto"/>
            <w:noWrap/>
            <w:vAlign w:val="bottom"/>
            <w:hideMark/>
          </w:tcPr>
          <w:p w:rsidR="00FE2F37" w:rsidRPr="00815DD2" w:rsidRDefault="00FE2F37" w:rsidP="00FE2F37">
            <w:pPr>
              <w:spacing w:after="0" w:line="240" w:lineRule="auto"/>
              <w:rPr>
                <w:rFonts w:ascii="Calibri" w:eastAsia="Times New Roman" w:hAnsi="Calibri" w:cs="Arial"/>
                <w:b/>
                <w:bCs/>
                <w:sz w:val="20"/>
                <w:szCs w:val="20"/>
                <w:lang w:eastAsia="es-MX"/>
              </w:rPr>
            </w:pPr>
            <w:r w:rsidRPr="00815DD2">
              <w:rPr>
                <w:rFonts w:ascii="Calibri" w:eastAsia="Times New Roman" w:hAnsi="Calibri" w:cs="Arial"/>
                <w:b/>
                <w:bCs/>
                <w:sz w:val="20"/>
                <w:szCs w:val="20"/>
                <w:lang w:eastAsia="es-MX"/>
              </w:rPr>
              <w:t xml:space="preserve">Hacienda Pública/Patrimonio Contribuido </w:t>
            </w:r>
          </w:p>
        </w:tc>
        <w:tc>
          <w:tcPr>
            <w:tcW w:w="9395" w:type="dxa"/>
            <w:gridSpan w:val="2"/>
            <w:shd w:val="clear" w:color="auto" w:fill="auto"/>
            <w:noWrap/>
            <w:vAlign w:val="bottom"/>
            <w:hideMark/>
          </w:tcPr>
          <w:p w:rsidR="00FE2F37" w:rsidRPr="00815DD2" w:rsidRDefault="00FE2F37" w:rsidP="00FE2F37">
            <w:pPr>
              <w:spacing w:after="0" w:line="240" w:lineRule="auto"/>
              <w:jc w:val="center"/>
              <w:rPr>
                <w:rFonts w:ascii="Calibri" w:eastAsia="Times New Roman" w:hAnsi="Calibri" w:cs="Arial"/>
                <w:b/>
                <w:bCs/>
                <w:sz w:val="20"/>
                <w:szCs w:val="20"/>
                <w:lang w:eastAsia="es-MX"/>
              </w:rPr>
            </w:pPr>
          </w:p>
        </w:tc>
        <w:tc>
          <w:tcPr>
            <w:tcW w:w="146" w:type="dxa"/>
            <w:gridSpan w:val="2"/>
            <w:shd w:val="clear" w:color="auto" w:fill="auto"/>
            <w:noWrap/>
            <w:vAlign w:val="bottom"/>
            <w:hideMark/>
          </w:tcPr>
          <w:p w:rsidR="00FE2F37" w:rsidRPr="00815DD2" w:rsidRDefault="00FE2F37" w:rsidP="00FE2F37">
            <w:pPr>
              <w:spacing w:after="0" w:line="240" w:lineRule="auto"/>
              <w:jc w:val="center"/>
              <w:rPr>
                <w:rFonts w:ascii="Calibri" w:eastAsia="Times New Roman" w:hAnsi="Calibri" w:cs="Arial"/>
                <w:b/>
                <w:bCs/>
                <w:sz w:val="20"/>
                <w:szCs w:val="20"/>
                <w:lang w:eastAsia="es-MX"/>
              </w:rPr>
            </w:pPr>
          </w:p>
        </w:tc>
      </w:tr>
      <w:tr w:rsidR="00FE2F37" w:rsidRPr="00FE2F37" w:rsidTr="00FE2F37">
        <w:trPr>
          <w:gridAfter w:val="1"/>
          <w:wAfter w:w="28" w:type="dxa"/>
          <w:trHeight w:val="255"/>
        </w:trPr>
        <w:tc>
          <w:tcPr>
            <w:tcW w:w="13361" w:type="dxa"/>
            <w:gridSpan w:val="10"/>
            <w:shd w:val="clear" w:color="auto" w:fill="auto"/>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El patrimonio Contribuido se integra como se presenta a</w:t>
            </w:r>
            <w:r>
              <w:rPr>
                <w:rFonts w:ascii="Calibri" w:eastAsia="Times New Roman" w:hAnsi="Calibri" w:cs="Arial"/>
                <w:sz w:val="20"/>
                <w:szCs w:val="20"/>
                <w:lang w:eastAsia="es-MX"/>
              </w:rPr>
              <w:t xml:space="preserve"> </w:t>
            </w:r>
            <w:r w:rsidRPr="00FE2F37">
              <w:rPr>
                <w:rFonts w:ascii="Calibri" w:eastAsia="Times New Roman" w:hAnsi="Calibri" w:cs="Arial"/>
                <w:sz w:val="20"/>
                <w:szCs w:val="20"/>
                <w:lang w:eastAsia="es-MX"/>
              </w:rPr>
              <w:t>continuación:</w:t>
            </w:r>
          </w:p>
        </w:tc>
      </w:tr>
      <w:tr w:rsidR="00FE2F37" w:rsidRPr="00FE2F37" w:rsidTr="00FE2F37">
        <w:trPr>
          <w:trHeight w:val="255"/>
        </w:trPr>
        <w:tc>
          <w:tcPr>
            <w:tcW w:w="1176" w:type="dxa"/>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1176" w:type="dxa"/>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1176" w:type="dxa"/>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160"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160"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9395"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b/>
                <w:bCs/>
                <w:sz w:val="20"/>
                <w:szCs w:val="20"/>
                <w:u w:val="single"/>
                <w:lang w:eastAsia="es-MX"/>
              </w:rPr>
            </w:pPr>
            <w:r w:rsidRPr="00FE2F37">
              <w:rPr>
                <w:rFonts w:ascii="Calibri" w:eastAsia="Times New Roman" w:hAnsi="Calibri" w:cs="Arial"/>
                <w:b/>
                <w:bCs/>
                <w:sz w:val="20"/>
                <w:szCs w:val="20"/>
                <w:lang w:eastAsia="es-MX"/>
              </w:rPr>
              <w:t xml:space="preserve">        </w:t>
            </w:r>
            <w:r w:rsidRPr="00FE2F37">
              <w:rPr>
                <w:rFonts w:ascii="Calibri" w:eastAsia="Times New Roman" w:hAnsi="Calibri" w:cs="Arial"/>
                <w:b/>
                <w:bCs/>
                <w:sz w:val="20"/>
                <w:szCs w:val="20"/>
                <w:u w:val="single"/>
                <w:lang w:eastAsia="es-MX"/>
              </w:rPr>
              <w:t xml:space="preserve">54,394,233.87 </w:t>
            </w:r>
          </w:p>
        </w:tc>
        <w:tc>
          <w:tcPr>
            <w:tcW w:w="146"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r>
      <w:tr w:rsidR="00FE2F37" w:rsidRPr="00FE2F37" w:rsidTr="00FE2F37">
        <w:trPr>
          <w:trHeight w:val="255"/>
        </w:trPr>
        <w:tc>
          <w:tcPr>
            <w:tcW w:w="3528" w:type="dxa"/>
            <w:gridSpan w:val="3"/>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Aportaciones</w:t>
            </w:r>
          </w:p>
        </w:tc>
        <w:tc>
          <w:tcPr>
            <w:tcW w:w="160"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160"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9395"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 xml:space="preserve">        10,412,444.00 </w:t>
            </w:r>
          </w:p>
        </w:tc>
        <w:tc>
          <w:tcPr>
            <w:tcW w:w="146"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r>
      <w:tr w:rsidR="00FE2F37" w:rsidRPr="00FE2F37" w:rsidTr="00FE2F37">
        <w:trPr>
          <w:trHeight w:val="255"/>
        </w:trPr>
        <w:tc>
          <w:tcPr>
            <w:tcW w:w="3528" w:type="dxa"/>
            <w:gridSpan w:val="3"/>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 xml:space="preserve">Donaciones de Capital </w:t>
            </w:r>
          </w:p>
        </w:tc>
        <w:tc>
          <w:tcPr>
            <w:tcW w:w="160"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160"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c>
          <w:tcPr>
            <w:tcW w:w="9395"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r w:rsidRPr="00FE2F37">
              <w:rPr>
                <w:rFonts w:ascii="Calibri" w:eastAsia="Times New Roman" w:hAnsi="Calibri" w:cs="Arial"/>
                <w:sz w:val="20"/>
                <w:szCs w:val="20"/>
                <w:lang w:eastAsia="es-MX"/>
              </w:rPr>
              <w:t xml:space="preserve">        43,981,789.87 </w:t>
            </w:r>
          </w:p>
        </w:tc>
        <w:tc>
          <w:tcPr>
            <w:tcW w:w="146" w:type="dxa"/>
            <w:gridSpan w:val="2"/>
            <w:shd w:val="clear" w:color="auto" w:fill="auto"/>
            <w:noWrap/>
            <w:vAlign w:val="bottom"/>
            <w:hideMark/>
          </w:tcPr>
          <w:p w:rsidR="00FE2F37" w:rsidRPr="00FE2F37" w:rsidRDefault="00FE2F37" w:rsidP="00FE2F37">
            <w:pPr>
              <w:spacing w:after="0" w:line="240" w:lineRule="auto"/>
              <w:rPr>
                <w:rFonts w:ascii="Calibri" w:eastAsia="Times New Roman" w:hAnsi="Calibri" w:cs="Arial"/>
                <w:sz w:val="20"/>
                <w:szCs w:val="20"/>
                <w:lang w:eastAsia="es-MX"/>
              </w:rPr>
            </w:pPr>
          </w:p>
        </w:tc>
      </w:tr>
    </w:tbl>
    <w:p w:rsidR="00FE2F37" w:rsidRDefault="00FE2F37" w:rsidP="00FE2F37">
      <w:pPr>
        <w:rPr>
          <w:sz w:val="20"/>
          <w:szCs w:val="20"/>
        </w:rPr>
      </w:pPr>
    </w:p>
    <w:p w:rsidR="00FE2F37" w:rsidRDefault="00FE2F37" w:rsidP="00F42DFD">
      <w:pPr>
        <w:jc w:val="both"/>
        <w:rPr>
          <w:sz w:val="20"/>
          <w:szCs w:val="20"/>
        </w:rPr>
      </w:pPr>
      <w:r w:rsidRPr="00FE2F37">
        <w:rPr>
          <w:sz w:val="20"/>
          <w:szCs w:val="20"/>
        </w:rPr>
        <w:lastRenderedPageBreak/>
        <w:t>A partir del Ejercicio 2010 y en apego a los modelos de asientos, al plan de cuentas, y a la matriz de egresos emitidos por el CONAC, el ITSSY dejo de registra como gasto contable las compras de activo (activo fijo vs bancos; gastos por equipamiento vs patrimonio) quedando un saldo en la cuenta de gastos por equipamiento contribuido que representa el total de las compras de activo fijo efectuadas desde el inicio de operaciones del ITSSY y hasta diciembre de 2009. El ITSSY ha determinado mantener el saldo en la cuenta de patrimonio contribuido en tanto los bienes incluidos en ese rubro no sean dados de baja y/o el CONAC emita alguna disposición al respecto. En el mes de noviembre de 2011 se registran los bienes muebles e inmuebles donados por el ICEMAREY, hoy IDEFEY por el importe de $ 16 280 611.84 a las cuentas correspondientes de activo fijo.  En Noviembre 2015 se registran los bienes muebles e inmuebles por parte del IDEFEY, mediante al Programa FAFEF2013/PAOE 2013.</w:t>
      </w:r>
    </w:p>
    <w:p w:rsidR="00E73FCC" w:rsidRDefault="00E73FCC" w:rsidP="00F42DFD">
      <w:pPr>
        <w:jc w:val="both"/>
        <w:rPr>
          <w:sz w:val="20"/>
          <w:szCs w:val="20"/>
        </w:rPr>
      </w:pPr>
    </w:p>
    <w:p w:rsidR="00E73FCC" w:rsidRDefault="00E73FCC" w:rsidP="00F42DFD">
      <w:pPr>
        <w:jc w:val="both"/>
        <w:rPr>
          <w:sz w:val="20"/>
          <w:szCs w:val="20"/>
        </w:rPr>
      </w:pPr>
    </w:p>
    <w:p w:rsidR="00E73FCC" w:rsidRDefault="00E73FCC" w:rsidP="00F42DFD">
      <w:pPr>
        <w:jc w:val="both"/>
        <w:rPr>
          <w:sz w:val="20"/>
          <w:szCs w:val="20"/>
        </w:rPr>
      </w:pPr>
    </w:p>
    <w:tbl>
      <w:tblPr>
        <w:tblW w:w="5732" w:type="dxa"/>
        <w:tblInd w:w="70" w:type="dxa"/>
        <w:tblCellMar>
          <w:left w:w="70" w:type="dxa"/>
          <w:right w:w="70" w:type="dxa"/>
        </w:tblCellMar>
        <w:tblLook w:val="04A0" w:firstRow="1" w:lastRow="0" w:firstColumn="1" w:lastColumn="0" w:noHBand="0" w:noVBand="1"/>
      </w:tblPr>
      <w:tblGrid>
        <w:gridCol w:w="3876"/>
        <w:gridCol w:w="1856"/>
      </w:tblGrid>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b/>
                <w:bCs/>
                <w:sz w:val="20"/>
                <w:szCs w:val="20"/>
                <w:lang w:eastAsia="es-MX"/>
              </w:rPr>
            </w:pPr>
            <w:r w:rsidRPr="003B09C7">
              <w:rPr>
                <w:rFonts w:ascii="Calibri" w:eastAsia="Times New Roman" w:hAnsi="Calibri" w:cs="Arial"/>
                <w:b/>
                <w:bCs/>
                <w:sz w:val="20"/>
                <w:szCs w:val="20"/>
                <w:lang w:eastAsia="es-MX"/>
              </w:rPr>
              <w:t>Nota 1C-2</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Arial" w:eastAsia="Times New Roman" w:hAnsi="Arial" w:cs="Arial"/>
                <w:sz w:val="20"/>
                <w:szCs w:val="20"/>
                <w:lang w:eastAsia="es-MX"/>
              </w:rPr>
            </w:pP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b/>
                <w:bCs/>
                <w:sz w:val="20"/>
                <w:szCs w:val="20"/>
                <w:lang w:eastAsia="es-MX"/>
              </w:rPr>
            </w:pPr>
            <w:r w:rsidRPr="003B09C7">
              <w:rPr>
                <w:rFonts w:ascii="Calibri" w:eastAsia="Times New Roman" w:hAnsi="Calibri" w:cs="Arial"/>
                <w:b/>
                <w:bCs/>
                <w:sz w:val="20"/>
                <w:szCs w:val="20"/>
                <w:lang w:eastAsia="es-MX"/>
              </w:rPr>
              <w:t xml:space="preserve">Hacienda Pública/Patrimonio Generado </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Arial" w:eastAsia="Times New Roman" w:hAnsi="Arial" w:cs="Arial"/>
                <w:sz w:val="20"/>
                <w:szCs w:val="20"/>
                <w:lang w:eastAsia="es-MX"/>
              </w:rPr>
            </w:pPr>
          </w:p>
        </w:tc>
      </w:tr>
      <w:tr w:rsidR="003B09C7" w:rsidRPr="003B09C7" w:rsidTr="003B09C7">
        <w:trPr>
          <w:trHeight w:val="255"/>
        </w:trPr>
        <w:tc>
          <w:tcPr>
            <w:tcW w:w="5732" w:type="dxa"/>
            <w:gridSpan w:val="2"/>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El patrimonio generado se integra como se presenta a continuación:</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Arial" w:eastAsia="Times New Roman" w:hAnsi="Arial" w:cs="Arial"/>
                <w:sz w:val="20"/>
                <w:szCs w:val="20"/>
                <w:lang w:eastAsia="es-MX"/>
              </w:rPr>
            </w:pP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Arial" w:eastAsia="Times New Roman" w:hAnsi="Arial" w:cs="Arial"/>
                <w:sz w:val="20"/>
                <w:szCs w:val="20"/>
                <w:lang w:eastAsia="es-MX"/>
              </w:rPr>
            </w:pP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b/>
                <w:bCs/>
                <w:sz w:val="20"/>
                <w:szCs w:val="20"/>
                <w:lang w:eastAsia="es-MX"/>
              </w:rPr>
            </w:pPr>
            <w:r w:rsidRPr="003B09C7">
              <w:rPr>
                <w:rFonts w:ascii="Calibri" w:eastAsia="Times New Roman" w:hAnsi="Calibri" w:cs="Arial"/>
                <w:b/>
                <w:bCs/>
                <w:sz w:val="20"/>
                <w:szCs w:val="20"/>
                <w:lang w:eastAsia="es-MX"/>
              </w:rPr>
              <w:t>Hacienda pública/patrimonio generado</w:t>
            </w:r>
          </w:p>
        </w:tc>
        <w:tc>
          <w:tcPr>
            <w:tcW w:w="1856" w:type="dxa"/>
            <w:tcBorders>
              <w:top w:val="nil"/>
              <w:left w:val="nil"/>
              <w:bottom w:val="single" w:sz="4" w:space="0" w:color="auto"/>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b/>
                <w:bCs/>
                <w:sz w:val="20"/>
                <w:szCs w:val="20"/>
                <w:lang w:eastAsia="es-MX"/>
              </w:rPr>
            </w:pPr>
            <w:r w:rsidRPr="003B09C7">
              <w:rPr>
                <w:rFonts w:ascii="Calibri" w:eastAsia="Times New Roman" w:hAnsi="Calibri" w:cs="Arial"/>
                <w:b/>
                <w:bCs/>
                <w:sz w:val="20"/>
                <w:szCs w:val="20"/>
                <w:lang w:eastAsia="es-MX"/>
              </w:rPr>
              <w:t xml:space="preserve">-          21,239,717.74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Resultado del ejercicio (ahorro/desahorro)</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3,127,492.40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Resultado de ejercicios anteriores</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24,367,210.14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Resultados acumulados</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24,367,210.14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1998</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1999</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2000</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2001</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2002</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16,840.00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2003</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45,580.26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2004</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83,917.08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2005</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2,614,872.14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lastRenderedPageBreak/>
              <w:t>Año 2006</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2,525,606.11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2007</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4,651,148.58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2008</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2,118,882.06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2009</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2,387,312.87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2010</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787,335.44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2011</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708,517.70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2012</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1,666,209.20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2013</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4,298,571.39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2014</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5,327,660.96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2015</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3,064,367.67 </w:t>
            </w:r>
          </w:p>
        </w:tc>
      </w:tr>
      <w:tr w:rsidR="003B09C7" w:rsidRPr="003B09C7" w:rsidTr="003B09C7">
        <w:trPr>
          <w:trHeight w:val="255"/>
        </w:trPr>
        <w:tc>
          <w:tcPr>
            <w:tcW w:w="387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Año 2016</w:t>
            </w:r>
          </w:p>
        </w:tc>
        <w:tc>
          <w:tcPr>
            <w:tcW w:w="1856" w:type="dxa"/>
            <w:tcBorders>
              <w:top w:val="nil"/>
              <w:left w:val="nil"/>
              <w:bottom w:val="nil"/>
              <w:right w:val="nil"/>
            </w:tcBorders>
            <w:shd w:val="clear" w:color="auto" w:fill="auto"/>
            <w:noWrap/>
            <w:vAlign w:val="bottom"/>
            <w:hideMark/>
          </w:tcPr>
          <w:p w:rsidR="003B09C7" w:rsidRPr="003B09C7" w:rsidRDefault="003B09C7" w:rsidP="003B09C7">
            <w:pPr>
              <w:spacing w:after="0" w:line="240" w:lineRule="auto"/>
              <w:rPr>
                <w:rFonts w:ascii="Calibri" w:eastAsia="Times New Roman" w:hAnsi="Calibri" w:cs="Arial"/>
                <w:sz w:val="20"/>
                <w:szCs w:val="20"/>
                <w:lang w:eastAsia="es-MX"/>
              </w:rPr>
            </w:pPr>
            <w:r w:rsidRPr="003B09C7">
              <w:rPr>
                <w:rFonts w:ascii="Calibri" w:eastAsia="Times New Roman" w:hAnsi="Calibri" w:cs="Arial"/>
                <w:sz w:val="20"/>
                <w:szCs w:val="20"/>
                <w:lang w:eastAsia="es-MX"/>
              </w:rPr>
              <w:t xml:space="preserve">-            2,926,526.14 </w:t>
            </w:r>
          </w:p>
        </w:tc>
      </w:tr>
    </w:tbl>
    <w:p w:rsidR="00FE2F37" w:rsidRDefault="00FE2F37" w:rsidP="00F42DFD">
      <w:pPr>
        <w:spacing w:after="0" w:line="240" w:lineRule="auto"/>
        <w:rPr>
          <w:sz w:val="20"/>
          <w:szCs w:val="20"/>
        </w:rPr>
      </w:pPr>
    </w:p>
    <w:tbl>
      <w:tblPr>
        <w:tblW w:w="17440" w:type="dxa"/>
        <w:tblInd w:w="70" w:type="dxa"/>
        <w:tblCellMar>
          <w:left w:w="70" w:type="dxa"/>
          <w:right w:w="70" w:type="dxa"/>
        </w:tblCellMar>
        <w:tblLook w:val="04A0" w:firstRow="1" w:lastRow="0" w:firstColumn="1" w:lastColumn="0" w:noHBand="0" w:noVBand="1"/>
      </w:tblPr>
      <w:tblGrid>
        <w:gridCol w:w="14922"/>
        <w:gridCol w:w="146"/>
        <w:gridCol w:w="146"/>
        <w:gridCol w:w="146"/>
        <w:gridCol w:w="146"/>
        <w:gridCol w:w="146"/>
        <w:gridCol w:w="146"/>
        <w:gridCol w:w="146"/>
        <w:gridCol w:w="1496"/>
      </w:tblGrid>
      <w:tr w:rsidR="00867CEF" w:rsidRPr="00867CEF" w:rsidTr="00867CEF">
        <w:trPr>
          <w:trHeight w:val="255"/>
        </w:trPr>
        <w:tc>
          <w:tcPr>
            <w:tcW w:w="15944" w:type="dxa"/>
            <w:gridSpan w:val="8"/>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Nota 1D-1</w:t>
            </w:r>
          </w:p>
        </w:tc>
        <w:tc>
          <w:tcPr>
            <w:tcW w:w="149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r>
      <w:tr w:rsidR="00867CEF" w:rsidRPr="00867CEF" w:rsidTr="00867CEF">
        <w:trPr>
          <w:trHeight w:val="255"/>
        </w:trPr>
        <w:tc>
          <w:tcPr>
            <w:tcW w:w="14922"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 xml:space="preserve">Efectivos y Equivalentes </w:t>
            </w: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49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r>
      <w:tr w:rsidR="00867CEF" w:rsidRPr="00867CEF" w:rsidTr="00867CEF">
        <w:trPr>
          <w:trHeight w:val="255"/>
        </w:trPr>
        <w:tc>
          <w:tcPr>
            <w:tcW w:w="17440" w:type="dxa"/>
            <w:gridSpan w:val="9"/>
            <w:tcBorders>
              <w:top w:val="nil"/>
              <w:left w:val="nil"/>
              <w:bottom w:val="nil"/>
              <w:right w:val="nil"/>
            </w:tcBorders>
            <w:shd w:val="clear" w:color="auto" w:fill="auto"/>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El análisis de los saldos inicial y final que figuran en la última parte del Estado de flujo de Efectivo en la cuenta de efectivo y equivalentes es el siguiente:</w:t>
            </w:r>
          </w:p>
        </w:tc>
      </w:tr>
    </w:tbl>
    <w:p w:rsidR="003B09C7" w:rsidRDefault="003B09C7" w:rsidP="00F42DFD">
      <w:pPr>
        <w:spacing w:after="0" w:line="240" w:lineRule="auto"/>
        <w:rPr>
          <w:sz w:val="20"/>
          <w:szCs w:val="20"/>
        </w:rPr>
      </w:pPr>
    </w:p>
    <w:tbl>
      <w:tblPr>
        <w:tblW w:w="8008" w:type="dxa"/>
        <w:tblInd w:w="70" w:type="dxa"/>
        <w:tblCellMar>
          <w:left w:w="70" w:type="dxa"/>
          <w:right w:w="70" w:type="dxa"/>
        </w:tblCellMar>
        <w:tblLook w:val="04A0" w:firstRow="1" w:lastRow="0" w:firstColumn="1" w:lastColumn="0" w:noHBand="0" w:noVBand="1"/>
      </w:tblPr>
      <w:tblGrid>
        <w:gridCol w:w="1216"/>
        <w:gridCol w:w="1716"/>
        <w:gridCol w:w="1536"/>
        <w:gridCol w:w="1700"/>
        <w:gridCol w:w="1840"/>
      </w:tblGrid>
      <w:tr w:rsidR="00867CEF" w:rsidRPr="00867CEF" w:rsidTr="00867CEF">
        <w:trPr>
          <w:trHeight w:val="255"/>
        </w:trPr>
        <w:tc>
          <w:tcPr>
            <w:tcW w:w="121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2017</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2016</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Efectivo </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                10,000.00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jc w:val="center"/>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                    10,000.00 </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Efectivo en Bancos-Tesorería </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           6,291,427.49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              3,987,813.05 </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Efectivo en Bancos-</w:t>
            </w:r>
            <w:r>
              <w:rPr>
                <w:rFonts w:ascii="Calibri" w:eastAsia="Times New Roman" w:hAnsi="Calibri" w:cs="Arial"/>
                <w:sz w:val="20"/>
                <w:szCs w:val="20"/>
                <w:lang w:eastAsia="es-MX"/>
              </w:rPr>
              <w:t>De</w:t>
            </w:r>
            <w:r w:rsidRPr="00867CEF">
              <w:rPr>
                <w:rFonts w:ascii="Calibri" w:eastAsia="Times New Roman" w:hAnsi="Calibri" w:cs="Arial"/>
                <w:sz w:val="20"/>
                <w:szCs w:val="20"/>
                <w:lang w:eastAsia="es-MX"/>
              </w:rPr>
              <w:t>pendencias</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Inversiones Temporales (hasta 3 meses)</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xml:space="preserve">Fondos con afectación Especifica </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Depósitos de fondos a terceros y otros</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sz w:val="20"/>
                <w:szCs w:val="20"/>
                <w:lang w:eastAsia="es-MX"/>
              </w:rPr>
            </w:pPr>
            <w:r w:rsidRPr="00867CEF">
              <w:rPr>
                <w:rFonts w:ascii="Calibri" w:eastAsia="Times New Roman" w:hAnsi="Calibri" w:cs="Arial"/>
                <w:sz w:val="20"/>
                <w:szCs w:val="20"/>
                <w:lang w:eastAsia="es-MX"/>
              </w:rPr>
              <w:t> </w:t>
            </w:r>
          </w:p>
        </w:tc>
      </w:tr>
      <w:tr w:rsidR="00867CEF" w:rsidRPr="00867CEF" w:rsidTr="00867CEF">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Total Efectivo y Equivalentes</w:t>
            </w:r>
          </w:p>
        </w:tc>
        <w:tc>
          <w:tcPr>
            <w:tcW w:w="170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 xml:space="preserve">           6,301,427.49 </w:t>
            </w:r>
          </w:p>
        </w:tc>
        <w:tc>
          <w:tcPr>
            <w:tcW w:w="1840" w:type="dxa"/>
            <w:tcBorders>
              <w:top w:val="nil"/>
              <w:left w:val="nil"/>
              <w:bottom w:val="single" w:sz="4" w:space="0" w:color="auto"/>
              <w:right w:val="single" w:sz="4" w:space="0" w:color="auto"/>
            </w:tcBorders>
            <w:shd w:val="clear" w:color="auto" w:fill="auto"/>
            <w:noWrap/>
            <w:vAlign w:val="bottom"/>
            <w:hideMark/>
          </w:tcPr>
          <w:p w:rsidR="00867CEF" w:rsidRPr="00867CEF" w:rsidRDefault="00867CEF" w:rsidP="00867CEF">
            <w:pPr>
              <w:spacing w:after="0" w:line="240" w:lineRule="auto"/>
              <w:rPr>
                <w:rFonts w:ascii="Calibri" w:eastAsia="Times New Roman" w:hAnsi="Calibri" w:cs="Arial"/>
                <w:b/>
                <w:bCs/>
                <w:sz w:val="20"/>
                <w:szCs w:val="20"/>
                <w:lang w:eastAsia="es-MX"/>
              </w:rPr>
            </w:pPr>
            <w:r w:rsidRPr="00867CEF">
              <w:rPr>
                <w:rFonts w:ascii="Calibri" w:eastAsia="Times New Roman" w:hAnsi="Calibri" w:cs="Arial"/>
                <w:b/>
                <w:bCs/>
                <w:sz w:val="20"/>
                <w:szCs w:val="20"/>
                <w:lang w:eastAsia="es-MX"/>
              </w:rPr>
              <w:t xml:space="preserve">              3,997,813.05 </w:t>
            </w:r>
          </w:p>
        </w:tc>
      </w:tr>
    </w:tbl>
    <w:p w:rsidR="0071754C" w:rsidRDefault="0071754C" w:rsidP="00F42DFD">
      <w:pPr>
        <w:spacing w:after="0" w:line="240" w:lineRule="auto"/>
        <w:jc w:val="both"/>
        <w:rPr>
          <w:sz w:val="20"/>
          <w:szCs w:val="20"/>
        </w:rPr>
      </w:pPr>
    </w:p>
    <w:tbl>
      <w:tblPr>
        <w:tblW w:w="8613" w:type="dxa"/>
        <w:tblInd w:w="70" w:type="dxa"/>
        <w:tblCellMar>
          <w:left w:w="70" w:type="dxa"/>
          <w:right w:w="70" w:type="dxa"/>
        </w:tblCellMar>
        <w:tblLook w:val="04A0" w:firstRow="1" w:lastRow="0" w:firstColumn="1" w:lastColumn="0" w:noHBand="0" w:noVBand="1"/>
      </w:tblPr>
      <w:tblGrid>
        <w:gridCol w:w="8613"/>
      </w:tblGrid>
      <w:tr w:rsidR="0074280B" w:rsidRPr="0074280B" w:rsidTr="0074280B">
        <w:trPr>
          <w:trHeight w:val="240"/>
        </w:trPr>
        <w:tc>
          <w:tcPr>
            <w:tcW w:w="8613"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Nota 1D-2</w:t>
            </w:r>
          </w:p>
        </w:tc>
      </w:tr>
      <w:tr w:rsidR="0074280B" w:rsidRPr="0074280B" w:rsidTr="0074280B">
        <w:trPr>
          <w:trHeight w:val="240"/>
        </w:trPr>
        <w:tc>
          <w:tcPr>
            <w:tcW w:w="8613"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 xml:space="preserve">Adquisición de Bienes Muebles e Inmuebles </w:t>
            </w:r>
          </w:p>
        </w:tc>
      </w:tr>
      <w:tr w:rsidR="0074280B" w:rsidRPr="0074280B" w:rsidTr="0074280B">
        <w:trPr>
          <w:trHeight w:val="240"/>
        </w:trPr>
        <w:tc>
          <w:tcPr>
            <w:tcW w:w="8613"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Integración de bienes muebles e inmuebles de acuerdo al origen del presupuesto</w:t>
            </w:r>
            <w:r>
              <w:rPr>
                <w:rFonts w:ascii="Calibri" w:eastAsia="Times New Roman" w:hAnsi="Calibri" w:cs="Arial"/>
                <w:sz w:val="20"/>
                <w:szCs w:val="20"/>
                <w:lang w:eastAsia="es-MX"/>
              </w:rPr>
              <w:t xml:space="preserve"> </w:t>
            </w:r>
            <w:r w:rsidRPr="0074280B">
              <w:rPr>
                <w:rFonts w:ascii="Calibri" w:eastAsia="Times New Roman" w:hAnsi="Calibri" w:cs="Arial"/>
                <w:sz w:val="20"/>
                <w:szCs w:val="20"/>
                <w:lang w:eastAsia="es-MX"/>
              </w:rPr>
              <w:t xml:space="preserve"> utilizado </w:t>
            </w:r>
          </w:p>
        </w:tc>
      </w:tr>
    </w:tbl>
    <w:p w:rsidR="0074280B" w:rsidRDefault="0074280B" w:rsidP="00F42DFD">
      <w:pPr>
        <w:spacing w:after="0" w:line="240" w:lineRule="auto"/>
        <w:jc w:val="both"/>
        <w:rPr>
          <w:sz w:val="20"/>
          <w:szCs w:val="20"/>
        </w:rPr>
      </w:pPr>
    </w:p>
    <w:tbl>
      <w:tblPr>
        <w:tblW w:w="11788" w:type="dxa"/>
        <w:tblInd w:w="70" w:type="dxa"/>
        <w:tblCellMar>
          <w:left w:w="70" w:type="dxa"/>
          <w:right w:w="70" w:type="dxa"/>
        </w:tblCellMar>
        <w:tblLook w:val="04A0" w:firstRow="1" w:lastRow="0" w:firstColumn="1" w:lastColumn="0" w:noHBand="0" w:noVBand="1"/>
      </w:tblPr>
      <w:tblGrid>
        <w:gridCol w:w="196"/>
        <w:gridCol w:w="1216"/>
        <w:gridCol w:w="1716"/>
        <w:gridCol w:w="1536"/>
        <w:gridCol w:w="1716"/>
        <w:gridCol w:w="1856"/>
        <w:gridCol w:w="1816"/>
        <w:gridCol w:w="1736"/>
      </w:tblGrid>
      <w:tr w:rsidR="0074280B" w:rsidRPr="0074280B" w:rsidTr="0074280B">
        <w:trPr>
          <w:trHeight w:val="255"/>
        </w:trPr>
        <w:tc>
          <w:tcPr>
            <w:tcW w:w="19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2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center"/>
            <w:hideMark/>
          </w:tcPr>
          <w:p w:rsidR="0074280B" w:rsidRPr="0074280B" w:rsidRDefault="0074280B" w:rsidP="0074280B">
            <w:pPr>
              <w:spacing w:after="0" w:line="240" w:lineRule="auto"/>
              <w:jc w:val="center"/>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 xml:space="preserve">Ingresos Propios </w:t>
            </w:r>
          </w:p>
        </w:tc>
        <w:tc>
          <w:tcPr>
            <w:tcW w:w="1856" w:type="dxa"/>
            <w:tcBorders>
              <w:top w:val="nil"/>
              <w:left w:val="nil"/>
              <w:bottom w:val="nil"/>
              <w:right w:val="nil"/>
            </w:tcBorders>
            <w:shd w:val="clear" w:color="auto" w:fill="auto"/>
            <w:noWrap/>
            <w:vAlign w:val="center"/>
            <w:hideMark/>
          </w:tcPr>
          <w:p w:rsidR="0074280B" w:rsidRPr="0074280B" w:rsidRDefault="0074280B" w:rsidP="0074280B">
            <w:pPr>
              <w:spacing w:after="0" w:line="240" w:lineRule="auto"/>
              <w:jc w:val="center"/>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 xml:space="preserve">Subsidio Federal </w:t>
            </w:r>
          </w:p>
        </w:tc>
        <w:tc>
          <w:tcPr>
            <w:tcW w:w="1816" w:type="dxa"/>
            <w:tcBorders>
              <w:top w:val="nil"/>
              <w:left w:val="nil"/>
              <w:bottom w:val="nil"/>
              <w:right w:val="nil"/>
            </w:tcBorders>
            <w:shd w:val="clear" w:color="auto" w:fill="auto"/>
            <w:noWrap/>
            <w:vAlign w:val="center"/>
            <w:hideMark/>
          </w:tcPr>
          <w:p w:rsidR="0074280B" w:rsidRPr="0074280B" w:rsidRDefault="0074280B" w:rsidP="0074280B">
            <w:pPr>
              <w:spacing w:after="0" w:line="240" w:lineRule="auto"/>
              <w:jc w:val="center"/>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 xml:space="preserve">Ajuste Contable </w:t>
            </w:r>
          </w:p>
        </w:tc>
        <w:tc>
          <w:tcPr>
            <w:tcW w:w="1736" w:type="dxa"/>
            <w:tcBorders>
              <w:top w:val="nil"/>
              <w:left w:val="nil"/>
              <w:bottom w:val="nil"/>
              <w:right w:val="nil"/>
            </w:tcBorders>
            <w:shd w:val="clear" w:color="auto" w:fill="auto"/>
            <w:noWrap/>
            <w:vAlign w:val="center"/>
            <w:hideMark/>
          </w:tcPr>
          <w:p w:rsidR="0074280B" w:rsidRPr="0074280B" w:rsidRDefault="0074280B" w:rsidP="0074280B">
            <w:pPr>
              <w:spacing w:after="0" w:line="240" w:lineRule="auto"/>
              <w:jc w:val="center"/>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 xml:space="preserve">Total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b/>
                <w:bCs/>
                <w:sz w:val="20"/>
                <w:szCs w:val="20"/>
                <w:lang w:eastAsia="es-MX"/>
              </w:rPr>
            </w:pPr>
            <w:r w:rsidRPr="0074280B">
              <w:rPr>
                <w:rFonts w:ascii="Calibri" w:eastAsia="Times New Roman" w:hAnsi="Calibri" w:cs="Arial"/>
                <w:b/>
                <w:bCs/>
                <w:sz w:val="20"/>
                <w:szCs w:val="20"/>
                <w:lang w:eastAsia="es-MX"/>
              </w:rPr>
              <w:t xml:space="preserve">Bienes Muebles, Inmuebles e Intangibles </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27,993.70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480,214.60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508,208.30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Bienes Inmuebles</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u w:val="single"/>
                <w:lang w:eastAsia="es-MX"/>
              </w:rPr>
            </w:pPr>
            <w:r w:rsidRPr="0074280B">
              <w:rPr>
                <w:rFonts w:ascii="Calibri" w:eastAsia="Times New Roman" w:hAnsi="Calibri" w:cs="Arial"/>
                <w:sz w:val="20"/>
                <w:szCs w:val="20"/>
                <w:u w:val="single"/>
                <w:lang w:eastAsia="es-MX"/>
              </w:rPr>
              <w:t>Mobiliario y Equipo de Administración</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18,684.00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18,684.00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Muebles de Oficina y </w:t>
            </w:r>
            <w:r w:rsidR="00EF743A" w:rsidRPr="0074280B">
              <w:rPr>
                <w:rFonts w:ascii="Calibri" w:eastAsia="Times New Roman" w:hAnsi="Calibri" w:cs="Arial"/>
                <w:sz w:val="20"/>
                <w:szCs w:val="20"/>
                <w:lang w:eastAsia="es-MX"/>
              </w:rPr>
              <w:t>Estantería</w:t>
            </w:r>
            <w:r w:rsidRPr="0074280B">
              <w:rPr>
                <w:rFonts w:ascii="Calibri" w:eastAsia="Times New Roman" w:hAnsi="Calibri" w:cs="Arial"/>
                <w:sz w:val="20"/>
                <w:szCs w:val="20"/>
                <w:lang w:eastAsia="es-MX"/>
              </w:rPr>
              <w:t xml:space="preserve"> </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Muebles Excepto de Oficina y </w:t>
            </w:r>
            <w:r w:rsidR="00EF743A" w:rsidRPr="0074280B">
              <w:rPr>
                <w:rFonts w:ascii="Calibri" w:eastAsia="Times New Roman" w:hAnsi="Calibri" w:cs="Arial"/>
                <w:sz w:val="20"/>
                <w:szCs w:val="20"/>
                <w:lang w:eastAsia="es-MX"/>
              </w:rPr>
              <w:t>Estantería</w:t>
            </w:r>
            <w:r w:rsidRPr="0074280B">
              <w:rPr>
                <w:rFonts w:ascii="Calibri" w:eastAsia="Times New Roman" w:hAnsi="Calibri" w:cs="Arial"/>
                <w:sz w:val="20"/>
                <w:szCs w:val="20"/>
                <w:lang w:eastAsia="es-MX"/>
              </w:rPr>
              <w:t xml:space="preserve"> </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Equipo de </w:t>
            </w:r>
            <w:r w:rsidR="00EF743A" w:rsidRPr="0074280B">
              <w:rPr>
                <w:rFonts w:ascii="Calibri" w:eastAsia="Times New Roman" w:hAnsi="Calibri" w:cs="Arial"/>
                <w:sz w:val="20"/>
                <w:szCs w:val="20"/>
                <w:lang w:eastAsia="es-MX"/>
              </w:rPr>
              <w:t>Cómputo</w:t>
            </w:r>
            <w:r w:rsidRPr="0074280B">
              <w:rPr>
                <w:rFonts w:ascii="Calibri" w:eastAsia="Times New Roman" w:hAnsi="Calibri" w:cs="Arial"/>
                <w:sz w:val="20"/>
                <w:szCs w:val="20"/>
                <w:lang w:eastAsia="es-MX"/>
              </w:rPr>
              <w:t xml:space="preserve"> y </w:t>
            </w:r>
            <w:proofErr w:type="spellStart"/>
            <w:r w:rsidRPr="0074280B">
              <w:rPr>
                <w:rFonts w:ascii="Calibri" w:eastAsia="Times New Roman" w:hAnsi="Calibri" w:cs="Arial"/>
                <w:sz w:val="20"/>
                <w:szCs w:val="20"/>
                <w:lang w:eastAsia="es-MX"/>
              </w:rPr>
              <w:t>Tec</w:t>
            </w:r>
            <w:proofErr w:type="spellEnd"/>
            <w:r w:rsidRPr="0074280B">
              <w:rPr>
                <w:rFonts w:ascii="Calibri" w:eastAsia="Times New Roman" w:hAnsi="Calibri" w:cs="Arial"/>
                <w:sz w:val="20"/>
                <w:szCs w:val="20"/>
                <w:lang w:eastAsia="es-MX"/>
              </w:rPr>
              <w:t xml:space="preserve">. De </w:t>
            </w:r>
            <w:proofErr w:type="spellStart"/>
            <w:r w:rsidRPr="0074280B">
              <w:rPr>
                <w:rFonts w:ascii="Calibri" w:eastAsia="Times New Roman" w:hAnsi="Calibri" w:cs="Arial"/>
                <w:sz w:val="20"/>
                <w:szCs w:val="20"/>
                <w:lang w:eastAsia="es-MX"/>
              </w:rPr>
              <w:t>Infor</w:t>
            </w:r>
            <w:proofErr w:type="spellEnd"/>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18,684.00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18,684.00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Otros Mobiliarios y Equipos de </w:t>
            </w:r>
            <w:r w:rsidR="00EF743A" w:rsidRPr="0074280B">
              <w:rPr>
                <w:rFonts w:ascii="Calibri" w:eastAsia="Times New Roman" w:hAnsi="Calibri" w:cs="Arial"/>
                <w:sz w:val="20"/>
                <w:szCs w:val="20"/>
                <w:lang w:eastAsia="es-MX"/>
              </w:rPr>
              <w:t>Admón.</w:t>
            </w:r>
            <w:r w:rsidRPr="0074280B">
              <w:rPr>
                <w:rFonts w:ascii="Calibri" w:eastAsia="Times New Roman" w:hAnsi="Calibri" w:cs="Arial"/>
                <w:sz w:val="20"/>
                <w:szCs w:val="20"/>
                <w:lang w:eastAsia="es-MX"/>
              </w:rPr>
              <w:t xml:space="preserve"> </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u w:val="single"/>
                <w:lang w:eastAsia="es-MX"/>
              </w:rPr>
            </w:pPr>
            <w:r w:rsidRPr="0074280B">
              <w:rPr>
                <w:rFonts w:ascii="Calibri" w:eastAsia="Times New Roman" w:hAnsi="Calibri" w:cs="Arial"/>
                <w:sz w:val="20"/>
                <w:szCs w:val="20"/>
                <w:u w:val="single"/>
                <w:lang w:eastAsia="es-MX"/>
              </w:rPr>
              <w:t>Mobiliario y Equipo Educacional y Recreativo</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24,629.70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21,315.32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45,945.02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Equipos y Aparatos Audiovisuales </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24,629.70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8,600.00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33,229.70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Aparatos Deportivos </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EF743A"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Cámaras</w:t>
            </w:r>
            <w:r w:rsidR="0074280B" w:rsidRPr="0074280B">
              <w:rPr>
                <w:rFonts w:ascii="Calibri" w:eastAsia="Times New Roman" w:hAnsi="Calibri" w:cs="Arial"/>
                <w:sz w:val="20"/>
                <w:szCs w:val="20"/>
                <w:lang w:eastAsia="es-MX"/>
              </w:rPr>
              <w:t xml:space="preserve"> </w:t>
            </w:r>
            <w:r w:rsidRPr="0074280B">
              <w:rPr>
                <w:rFonts w:ascii="Calibri" w:eastAsia="Times New Roman" w:hAnsi="Calibri" w:cs="Arial"/>
                <w:sz w:val="20"/>
                <w:szCs w:val="20"/>
                <w:lang w:eastAsia="es-MX"/>
              </w:rPr>
              <w:t>Fotográficas</w:t>
            </w:r>
            <w:r w:rsidR="0074280B" w:rsidRPr="0074280B">
              <w:rPr>
                <w:rFonts w:ascii="Calibri" w:eastAsia="Times New Roman" w:hAnsi="Calibri" w:cs="Arial"/>
                <w:sz w:val="20"/>
                <w:szCs w:val="20"/>
                <w:lang w:eastAsia="es-MX"/>
              </w:rPr>
              <w:t xml:space="preserve"> y de Video</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12,715.32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12,715.32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Otro </w:t>
            </w:r>
            <w:proofErr w:type="spellStart"/>
            <w:r w:rsidRPr="0074280B">
              <w:rPr>
                <w:rFonts w:ascii="Calibri" w:eastAsia="Times New Roman" w:hAnsi="Calibri" w:cs="Arial"/>
                <w:sz w:val="20"/>
                <w:szCs w:val="20"/>
                <w:lang w:eastAsia="es-MX"/>
              </w:rPr>
              <w:t>Mob.y</w:t>
            </w:r>
            <w:proofErr w:type="spellEnd"/>
            <w:r w:rsidRPr="0074280B">
              <w:rPr>
                <w:rFonts w:ascii="Calibri" w:eastAsia="Times New Roman" w:hAnsi="Calibri" w:cs="Arial"/>
                <w:sz w:val="20"/>
                <w:szCs w:val="20"/>
                <w:lang w:eastAsia="es-MX"/>
              </w:rPr>
              <w:t xml:space="preserve"> Equipo </w:t>
            </w:r>
            <w:r w:rsidR="00EF743A" w:rsidRPr="0074280B">
              <w:rPr>
                <w:rFonts w:ascii="Calibri" w:eastAsia="Times New Roman" w:hAnsi="Calibri" w:cs="Arial"/>
                <w:sz w:val="20"/>
                <w:szCs w:val="20"/>
                <w:lang w:eastAsia="es-MX"/>
              </w:rPr>
              <w:t>Educacional</w:t>
            </w:r>
            <w:r w:rsidRPr="0074280B">
              <w:rPr>
                <w:rFonts w:ascii="Calibri" w:eastAsia="Times New Roman" w:hAnsi="Calibri" w:cs="Arial"/>
                <w:sz w:val="20"/>
                <w:szCs w:val="20"/>
                <w:lang w:eastAsia="es-MX"/>
              </w:rPr>
              <w:t xml:space="preserve"> y Recreativo </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u w:val="single"/>
                <w:lang w:eastAsia="es-MX"/>
              </w:rPr>
            </w:pPr>
            <w:r w:rsidRPr="0074280B">
              <w:rPr>
                <w:rFonts w:ascii="Calibri" w:eastAsia="Times New Roman" w:hAnsi="Calibri" w:cs="Arial"/>
                <w:sz w:val="20"/>
                <w:szCs w:val="20"/>
                <w:u w:val="single"/>
                <w:lang w:eastAsia="es-MX"/>
              </w:rPr>
              <w:t xml:space="preserve">Equipo e Instrumental </w:t>
            </w:r>
            <w:r w:rsidR="00EF743A" w:rsidRPr="0074280B">
              <w:rPr>
                <w:rFonts w:ascii="Calibri" w:eastAsia="Times New Roman" w:hAnsi="Calibri" w:cs="Arial"/>
                <w:sz w:val="20"/>
                <w:szCs w:val="20"/>
                <w:u w:val="single"/>
                <w:lang w:eastAsia="es-MX"/>
              </w:rPr>
              <w:t>Médico</w:t>
            </w:r>
            <w:r w:rsidRPr="0074280B">
              <w:rPr>
                <w:rFonts w:ascii="Calibri" w:eastAsia="Times New Roman" w:hAnsi="Calibri" w:cs="Arial"/>
                <w:sz w:val="20"/>
                <w:szCs w:val="20"/>
                <w:u w:val="single"/>
                <w:lang w:eastAsia="es-MX"/>
              </w:rPr>
              <w:t xml:space="preserve"> y de Laboratorio</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440,215.28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440,215.28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Equipo </w:t>
            </w:r>
            <w:r w:rsidR="00EF743A" w:rsidRPr="0074280B">
              <w:rPr>
                <w:rFonts w:ascii="Calibri" w:eastAsia="Times New Roman" w:hAnsi="Calibri" w:cs="Arial"/>
                <w:sz w:val="20"/>
                <w:szCs w:val="20"/>
                <w:lang w:eastAsia="es-MX"/>
              </w:rPr>
              <w:t>Médico</w:t>
            </w:r>
            <w:r w:rsidRPr="0074280B">
              <w:rPr>
                <w:rFonts w:ascii="Calibri" w:eastAsia="Times New Roman" w:hAnsi="Calibri" w:cs="Arial"/>
                <w:sz w:val="20"/>
                <w:szCs w:val="20"/>
                <w:lang w:eastAsia="es-MX"/>
              </w:rPr>
              <w:t xml:space="preserve"> y de Laboratorio </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440,215.28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440,215.28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Instrumental </w:t>
            </w:r>
            <w:r w:rsidR="00EF743A" w:rsidRPr="0074280B">
              <w:rPr>
                <w:rFonts w:ascii="Calibri" w:eastAsia="Times New Roman" w:hAnsi="Calibri" w:cs="Arial"/>
                <w:sz w:val="20"/>
                <w:szCs w:val="20"/>
                <w:lang w:eastAsia="es-MX"/>
              </w:rPr>
              <w:t>Médico</w:t>
            </w:r>
            <w:r w:rsidRPr="0074280B">
              <w:rPr>
                <w:rFonts w:ascii="Calibri" w:eastAsia="Times New Roman" w:hAnsi="Calibri" w:cs="Arial"/>
                <w:sz w:val="20"/>
                <w:szCs w:val="20"/>
                <w:lang w:eastAsia="es-MX"/>
              </w:rPr>
              <w:t xml:space="preserve"> y de Laboratorio </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u w:val="single"/>
                <w:lang w:eastAsia="es-MX"/>
              </w:rPr>
            </w:pPr>
            <w:r w:rsidRPr="0074280B">
              <w:rPr>
                <w:rFonts w:ascii="Calibri" w:eastAsia="Times New Roman" w:hAnsi="Calibri" w:cs="Arial"/>
                <w:sz w:val="20"/>
                <w:szCs w:val="20"/>
                <w:u w:val="single"/>
                <w:lang w:eastAsia="es-MX"/>
              </w:rPr>
              <w:t xml:space="preserve">Equipo de Transporte </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EF743A"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Automóviles</w:t>
            </w:r>
            <w:r w:rsidR="0074280B" w:rsidRPr="0074280B">
              <w:rPr>
                <w:rFonts w:ascii="Calibri" w:eastAsia="Times New Roman" w:hAnsi="Calibri" w:cs="Arial"/>
                <w:sz w:val="20"/>
                <w:szCs w:val="20"/>
                <w:lang w:eastAsia="es-MX"/>
              </w:rPr>
              <w:t xml:space="preserve"> y Equipos Terrestre</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u w:val="single"/>
                <w:lang w:eastAsia="es-MX"/>
              </w:rPr>
            </w:pPr>
            <w:r w:rsidRPr="0074280B">
              <w:rPr>
                <w:rFonts w:ascii="Calibri" w:eastAsia="Times New Roman" w:hAnsi="Calibri" w:cs="Arial"/>
                <w:sz w:val="20"/>
                <w:szCs w:val="20"/>
                <w:u w:val="single"/>
                <w:lang w:eastAsia="es-MX"/>
              </w:rPr>
              <w:t>Maquinaria, Otros Equipos y Herramientas</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3,364.00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3,364.00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roofErr w:type="spellStart"/>
            <w:r w:rsidRPr="0074280B">
              <w:rPr>
                <w:rFonts w:ascii="Calibri" w:eastAsia="Times New Roman" w:hAnsi="Calibri" w:cs="Arial"/>
                <w:sz w:val="20"/>
                <w:szCs w:val="20"/>
                <w:lang w:eastAsia="es-MX"/>
              </w:rPr>
              <w:t>Sist</w:t>
            </w:r>
            <w:proofErr w:type="spellEnd"/>
            <w:r w:rsidRPr="0074280B">
              <w:rPr>
                <w:rFonts w:ascii="Calibri" w:eastAsia="Times New Roman" w:hAnsi="Calibri" w:cs="Arial"/>
                <w:sz w:val="20"/>
                <w:szCs w:val="20"/>
                <w:lang w:eastAsia="es-MX"/>
              </w:rPr>
              <w:t xml:space="preserve">. De Aire Acondicionado, </w:t>
            </w:r>
            <w:r w:rsidR="00EF743A" w:rsidRPr="0074280B">
              <w:rPr>
                <w:rFonts w:ascii="Calibri" w:eastAsia="Times New Roman" w:hAnsi="Calibri" w:cs="Arial"/>
                <w:sz w:val="20"/>
                <w:szCs w:val="20"/>
                <w:lang w:eastAsia="es-MX"/>
              </w:rPr>
              <w:t>Calefacción</w:t>
            </w:r>
            <w:r w:rsidRPr="0074280B">
              <w:rPr>
                <w:rFonts w:ascii="Calibri" w:eastAsia="Times New Roman" w:hAnsi="Calibri" w:cs="Arial"/>
                <w:sz w:val="20"/>
                <w:szCs w:val="20"/>
                <w:lang w:eastAsia="es-MX"/>
              </w:rPr>
              <w:t xml:space="preserve"> y </w:t>
            </w:r>
            <w:proofErr w:type="spellStart"/>
            <w:r w:rsidRPr="0074280B">
              <w:rPr>
                <w:rFonts w:ascii="Calibri" w:eastAsia="Times New Roman" w:hAnsi="Calibri" w:cs="Arial"/>
                <w:sz w:val="20"/>
                <w:szCs w:val="20"/>
                <w:lang w:eastAsia="es-MX"/>
              </w:rPr>
              <w:t>Refrige</w:t>
            </w:r>
            <w:proofErr w:type="spellEnd"/>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roofErr w:type="spellStart"/>
            <w:r w:rsidRPr="0074280B">
              <w:rPr>
                <w:rFonts w:ascii="Calibri" w:eastAsia="Times New Roman" w:hAnsi="Calibri" w:cs="Arial"/>
                <w:sz w:val="20"/>
                <w:szCs w:val="20"/>
                <w:lang w:eastAsia="es-MX"/>
              </w:rPr>
              <w:t>Maq</w:t>
            </w:r>
            <w:proofErr w:type="spellEnd"/>
            <w:r w:rsidRPr="0074280B">
              <w:rPr>
                <w:rFonts w:ascii="Calibri" w:eastAsia="Times New Roman" w:hAnsi="Calibri" w:cs="Arial"/>
                <w:sz w:val="20"/>
                <w:szCs w:val="20"/>
                <w:lang w:eastAsia="es-MX"/>
              </w:rPr>
              <w:t xml:space="preserve">. Y Equipo </w:t>
            </w:r>
            <w:r w:rsidR="00EF743A" w:rsidRPr="0074280B">
              <w:rPr>
                <w:rFonts w:ascii="Calibri" w:eastAsia="Times New Roman" w:hAnsi="Calibri" w:cs="Arial"/>
                <w:sz w:val="20"/>
                <w:szCs w:val="20"/>
                <w:lang w:eastAsia="es-MX"/>
              </w:rPr>
              <w:t>Eléctrico</w:t>
            </w:r>
            <w:r w:rsidRPr="0074280B">
              <w:rPr>
                <w:rFonts w:ascii="Calibri" w:eastAsia="Times New Roman" w:hAnsi="Calibri" w:cs="Arial"/>
                <w:sz w:val="20"/>
                <w:szCs w:val="20"/>
                <w:lang w:eastAsia="es-MX"/>
              </w:rPr>
              <w:t xml:space="preserve"> y </w:t>
            </w:r>
            <w:r w:rsidR="00EF743A" w:rsidRPr="0074280B">
              <w:rPr>
                <w:rFonts w:ascii="Calibri" w:eastAsia="Times New Roman" w:hAnsi="Calibri" w:cs="Arial"/>
                <w:sz w:val="20"/>
                <w:szCs w:val="20"/>
                <w:lang w:eastAsia="es-MX"/>
              </w:rPr>
              <w:t>Electrónico</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4664" w:type="dxa"/>
            <w:gridSpan w:val="4"/>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Herramientas y Maquinas-Herramientas</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3,364.00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3,364.00 </w:t>
            </w:r>
          </w:p>
        </w:tc>
      </w:tr>
      <w:tr w:rsidR="0074280B" w:rsidRPr="0074280B" w:rsidTr="0074280B">
        <w:trPr>
          <w:trHeight w:val="255"/>
        </w:trPr>
        <w:tc>
          <w:tcPr>
            <w:tcW w:w="3128" w:type="dxa"/>
            <w:gridSpan w:val="3"/>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u w:val="single"/>
                <w:lang w:eastAsia="es-MX"/>
              </w:rPr>
            </w:pPr>
            <w:r w:rsidRPr="0074280B">
              <w:rPr>
                <w:rFonts w:ascii="Calibri" w:eastAsia="Times New Roman" w:hAnsi="Calibri" w:cs="Arial"/>
                <w:sz w:val="20"/>
                <w:szCs w:val="20"/>
                <w:u w:val="single"/>
                <w:lang w:eastAsia="es-MX"/>
              </w:rPr>
              <w:t>Activos Intangibles</w:t>
            </w: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1412" w:type="dxa"/>
            <w:gridSpan w:val="2"/>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Software</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r w:rsidR="0074280B" w:rsidRPr="0074280B" w:rsidTr="0074280B">
        <w:trPr>
          <w:trHeight w:val="255"/>
        </w:trPr>
        <w:tc>
          <w:tcPr>
            <w:tcW w:w="1412" w:type="dxa"/>
            <w:gridSpan w:val="2"/>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Licencias</w:t>
            </w: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5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5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c>
          <w:tcPr>
            <w:tcW w:w="181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p>
        </w:tc>
        <w:tc>
          <w:tcPr>
            <w:tcW w:w="1736" w:type="dxa"/>
            <w:tcBorders>
              <w:top w:val="nil"/>
              <w:left w:val="nil"/>
              <w:bottom w:val="nil"/>
              <w:right w:val="nil"/>
            </w:tcBorders>
            <w:shd w:val="clear" w:color="auto" w:fill="auto"/>
            <w:noWrap/>
            <w:vAlign w:val="bottom"/>
            <w:hideMark/>
          </w:tcPr>
          <w:p w:rsidR="0074280B" w:rsidRPr="0074280B" w:rsidRDefault="0074280B" w:rsidP="0074280B">
            <w:pPr>
              <w:spacing w:after="0" w:line="240" w:lineRule="auto"/>
              <w:rPr>
                <w:rFonts w:ascii="Calibri" w:eastAsia="Times New Roman" w:hAnsi="Calibri" w:cs="Arial"/>
                <w:sz w:val="20"/>
                <w:szCs w:val="20"/>
                <w:lang w:eastAsia="es-MX"/>
              </w:rPr>
            </w:pPr>
            <w:r w:rsidRPr="0074280B">
              <w:rPr>
                <w:rFonts w:ascii="Calibri" w:eastAsia="Times New Roman" w:hAnsi="Calibri" w:cs="Arial"/>
                <w:sz w:val="20"/>
                <w:szCs w:val="20"/>
                <w:lang w:eastAsia="es-MX"/>
              </w:rPr>
              <w:t xml:space="preserve">                                -   </w:t>
            </w:r>
          </w:p>
        </w:tc>
      </w:tr>
    </w:tbl>
    <w:p w:rsidR="00406249" w:rsidRDefault="00406249" w:rsidP="00F42DFD">
      <w:pPr>
        <w:spacing w:after="0"/>
        <w:jc w:val="both"/>
        <w:rPr>
          <w:b/>
          <w:sz w:val="20"/>
          <w:szCs w:val="20"/>
        </w:rPr>
      </w:pPr>
      <w:r w:rsidRPr="00406249">
        <w:rPr>
          <w:b/>
          <w:sz w:val="20"/>
          <w:szCs w:val="20"/>
        </w:rPr>
        <w:t>E) CONCILIACIÓN ENTRE LOS INGRESOS PRESUPUESTARIOS Y CONTABLES, ASÍ COMO ENTRE LOS EGRESOS PRESUPUESTARIOS Y LOS GASTOS CONTABLES</w:t>
      </w:r>
    </w:p>
    <w:p w:rsidR="00815DD2" w:rsidRDefault="00815DD2" w:rsidP="00F42DFD">
      <w:pPr>
        <w:spacing w:after="0"/>
        <w:jc w:val="both"/>
        <w:rPr>
          <w:sz w:val="20"/>
          <w:szCs w:val="20"/>
        </w:rPr>
      </w:pPr>
    </w:p>
    <w:p w:rsidR="00815DD2" w:rsidRPr="00815DD2" w:rsidRDefault="00815DD2" w:rsidP="00F42DFD">
      <w:pPr>
        <w:spacing w:after="0"/>
        <w:jc w:val="both"/>
        <w:rPr>
          <w:sz w:val="20"/>
          <w:szCs w:val="20"/>
        </w:rPr>
      </w:pPr>
      <w:r w:rsidRPr="00815DD2">
        <w:rPr>
          <w:sz w:val="20"/>
          <w:szCs w:val="20"/>
        </w:rPr>
        <w:t>Se presenta la conciliación entre los ingresos y ga</w:t>
      </w:r>
      <w:r>
        <w:rPr>
          <w:sz w:val="20"/>
          <w:szCs w:val="20"/>
        </w:rPr>
        <w:t>stos contables y presupuestales.</w:t>
      </w:r>
    </w:p>
    <w:p w:rsidR="00F42DFD" w:rsidRDefault="00F42DFD" w:rsidP="00F42DFD">
      <w:pPr>
        <w:spacing w:after="0"/>
        <w:jc w:val="both"/>
        <w:rPr>
          <w:sz w:val="20"/>
          <w:szCs w:val="20"/>
        </w:rPr>
      </w:pPr>
    </w:p>
    <w:tbl>
      <w:tblPr>
        <w:tblW w:w="8980" w:type="dxa"/>
        <w:tblInd w:w="60" w:type="dxa"/>
        <w:tblCellMar>
          <w:left w:w="70" w:type="dxa"/>
          <w:right w:w="70" w:type="dxa"/>
        </w:tblCellMar>
        <w:tblLook w:val="04A0" w:firstRow="1" w:lastRow="0" w:firstColumn="1" w:lastColumn="0" w:noHBand="0" w:noVBand="1"/>
      </w:tblPr>
      <w:tblGrid>
        <w:gridCol w:w="186"/>
        <w:gridCol w:w="186"/>
        <w:gridCol w:w="4951"/>
        <w:gridCol w:w="1491"/>
        <w:gridCol w:w="217"/>
        <w:gridCol w:w="1949"/>
      </w:tblGrid>
      <w:tr w:rsidR="00406249" w:rsidRPr="00406249" w:rsidTr="00406249">
        <w:trPr>
          <w:trHeight w:val="255"/>
        </w:trPr>
        <w:tc>
          <w:tcPr>
            <w:tcW w:w="186" w:type="dxa"/>
            <w:tcBorders>
              <w:top w:val="single" w:sz="8" w:space="0" w:color="auto"/>
              <w:left w:val="single" w:sz="8" w:space="0" w:color="auto"/>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single" w:sz="8" w:space="0" w:color="auto"/>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6442" w:type="dxa"/>
            <w:gridSpan w:val="2"/>
            <w:tcBorders>
              <w:top w:val="single" w:sz="8" w:space="0" w:color="auto"/>
              <w:left w:val="nil"/>
              <w:bottom w:val="nil"/>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Instituto Tecnológico Superior del Sur del Estado de Yucatán</w:t>
            </w:r>
          </w:p>
        </w:tc>
        <w:tc>
          <w:tcPr>
            <w:tcW w:w="217" w:type="dxa"/>
            <w:tcBorders>
              <w:top w:val="single" w:sz="8" w:space="0" w:color="auto"/>
              <w:left w:val="nil"/>
              <w:bottom w:val="nil"/>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c>
          <w:tcPr>
            <w:tcW w:w="1949" w:type="dxa"/>
            <w:tcBorders>
              <w:top w:val="single" w:sz="8" w:space="0" w:color="auto"/>
              <w:left w:val="nil"/>
              <w:bottom w:val="nil"/>
              <w:right w:val="single" w:sz="8"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406249" w:rsidRPr="00406249" w:rsidTr="00406249">
        <w:trPr>
          <w:trHeight w:val="255"/>
        </w:trPr>
        <w:tc>
          <w:tcPr>
            <w:tcW w:w="186" w:type="dxa"/>
            <w:tcBorders>
              <w:top w:val="nil"/>
              <w:left w:val="single" w:sz="8" w:space="0" w:color="auto"/>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6442"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 xml:space="preserve">Conciliación entre los Ingresos Presupuestarios y  Contables </w:t>
            </w:r>
          </w:p>
        </w:tc>
        <w:tc>
          <w:tcPr>
            <w:tcW w:w="217"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p>
        </w:tc>
        <w:tc>
          <w:tcPr>
            <w:tcW w:w="1949" w:type="dxa"/>
            <w:tcBorders>
              <w:top w:val="nil"/>
              <w:left w:val="nil"/>
              <w:bottom w:val="nil"/>
              <w:right w:val="single" w:sz="8"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406249" w:rsidRPr="00406249" w:rsidTr="00406249">
        <w:trPr>
          <w:trHeight w:val="255"/>
        </w:trPr>
        <w:tc>
          <w:tcPr>
            <w:tcW w:w="186" w:type="dxa"/>
            <w:tcBorders>
              <w:top w:val="nil"/>
              <w:left w:val="single" w:sz="8" w:space="0" w:color="auto"/>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6442" w:type="dxa"/>
            <w:gridSpan w:val="2"/>
            <w:tcBorders>
              <w:top w:val="nil"/>
              <w:left w:val="nil"/>
              <w:bottom w:val="nil"/>
              <w:right w:val="nil"/>
            </w:tcBorders>
            <w:shd w:val="clear" w:color="auto" w:fill="auto"/>
            <w:noWrap/>
            <w:vAlign w:val="bottom"/>
            <w:hideMark/>
          </w:tcPr>
          <w:p w:rsidR="00406249" w:rsidRPr="00406249" w:rsidRDefault="00406249" w:rsidP="00867CEF">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0071754C">
              <w:rPr>
                <w:rFonts w:ascii="Calibri" w:eastAsia="Times New Roman" w:hAnsi="Calibri" w:cs="Arial"/>
                <w:b/>
                <w:bCs/>
                <w:color w:val="000000"/>
                <w:sz w:val="20"/>
                <w:szCs w:val="20"/>
                <w:lang w:eastAsia="es-MX"/>
              </w:rPr>
              <w:t xml:space="preserve">                    </w:t>
            </w: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Correspondiente del 01</w:t>
            </w:r>
            <w:r w:rsidR="0071754C">
              <w:rPr>
                <w:rFonts w:ascii="Calibri" w:eastAsia="Times New Roman" w:hAnsi="Calibri" w:cs="Arial"/>
                <w:b/>
                <w:bCs/>
                <w:color w:val="000000"/>
                <w:sz w:val="20"/>
                <w:szCs w:val="20"/>
                <w:lang w:eastAsia="es-MX"/>
              </w:rPr>
              <w:t xml:space="preserve"> de Enero </w:t>
            </w:r>
            <w:r w:rsidRPr="00406249">
              <w:rPr>
                <w:rFonts w:ascii="Calibri" w:eastAsia="Times New Roman" w:hAnsi="Calibri" w:cs="Arial"/>
                <w:b/>
                <w:bCs/>
                <w:color w:val="000000"/>
                <w:sz w:val="20"/>
                <w:szCs w:val="20"/>
                <w:lang w:eastAsia="es-MX"/>
              </w:rPr>
              <w:t xml:space="preserve"> al </w:t>
            </w:r>
            <w:r w:rsidR="00867CEF">
              <w:rPr>
                <w:rFonts w:ascii="Calibri" w:eastAsia="Times New Roman" w:hAnsi="Calibri" w:cs="Arial"/>
                <w:b/>
                <w:bCs/>
                <w:color w:val="000000"/>
                <w:sz w:val="20"/>
                <w:szCs w:val="20"/>
                <w:lang w:eastAsia="es-MX"/>
              </w:rPr>
              <w:t>31</w:t>
            </w:r>
            <w:r w:rsidR="0071754C">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 xml:space="preserve">de </w:t>
            </w:r>
            <w:r w:rsidR="00867CEF">
              <w:rPr>
                <w:rFonts w:ascii="Calibri" w:eastAsia="Times New Roman" w:hAnsi="Calibri" w:cs="Arial"/>
                <w:b/>
                <w:bCs/>
                <w:color w:val="000000"/>
                <w:sz w:val="20"/>
                <w:szCs w:val="20"/>
                <w:lang w:eastAsia="es-MX"/>
              </w:rPr>
              <w:t>Marzo</w:t>
            </w:r>
            <w:r w:rsidR="0071754C">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 xml:space="preserve"> de 2017.</w:t>
            </w:r>
          </w:p>
        </w:tc>
        <w:tc>
          <w:tcPr>
            <w:tcW w:w="217"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p>
        </w:tc>
        <w:tc>
          <w:tcPr>
            <w:tcW w:w="1949" w:type="dxa"/>
            <w:tcBorders>
              <w:top w:val="nil"/>
              <w:left w:val="nil"/>
              <w:bottom w:val="nil"/>
              <w:right w:val="single" w:sz="8"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406249" w:rsidRPr="00406249" w:rsidTr="00406249">
        <w:trPr>
          <w:trHeight w:val="270"/>
        </w:trPr>
        <w:tc>
          <w:tcPr>
            <w:tcW w:w="186" w:type="dxa"/>
            <w:tcBorders>
              <w:top w:val="nil"/>
              <w:left w:val="single" w:sz="8" w:space="0" w:color="auto"/>
              <w:bottom w:val="single" w:sz="8" w:space="0" w:color="auto"/>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186" w:type="dxa"/>
            <w:tcBorders>
              <w:top w:val="nil"/>
              <w:left w:val="nil"/>
              <w:bottom w:val="single" w:sz="8" w:space="0" w:color="auto"/>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r w:rsidRPr="00406249">
              <w:rPr>
                <w:rFonts w:ascii="Calibri" w:eastAsia="Times New Roman" w:hAnsi="Calibri" w:cs="Arial"/>
                <w:sz w:val="20"/>
                <w:szCs w:val="20"/>
                <w:lang w:eastAsia="es-MX"/>
              </w:rPr>
              <w:t> </w:t>
            </w:r>
          </w:p>
        </w:tc>
        <w:tc>
          <w:tcPr>
            <w:tcW w:w="4951" w:type="dxa"/>
            <w:tcBorders>
              <w:top w:val="nil"/>
              <w:left w:val="nil"/>
              <w:bottom w:val="single" w:sz="8" w:space="0" w:color="auto"/>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(pesos)</w:t>
            </w:r>
          </w:p>
        </w:tc>
        <w:tc>
          <w:tcPr>
            <w:tcW w:w="1708" w:type="dxa"/>
            <w:gridSpan w:val="2"/>
            <w:tcBorders>
              <w:top w:val="nil"/>
              <w:left w:val="nil"/>
              <w:bottom w:val="single" w:sz="8" w:space="0" w:color="auto"/>
              <w:right w:val="nil"/>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c>
          <w:tcPr>
            <w:tcW w:w="1949" w:type="dxa"/>
            <w:tcBorders>
              <w:top w:val="nil"/>
              <w:left w:val="nil"/>
              <w:bottom w:val="single" w:sz="8" w:space="0" w:color="auto"/>
              <w:right w:val="single" w:sz="8"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w:t>
            </w:r>
          </w:p>
        </w:tc>
      </w:tr>
      <w:tr w:rsidR="00406249" w:rsidRPr="00406249" w:rsidTr="00406249">
        <w:trPr>
          <w:trHeight w:val="255"/>
        </w:trPr>
        <w:tc>
          <w:tcPr>
            <w:tcW w:w="5323" w:type="dxa"/>
            <w:gridSpan w:val="3"/>
            <w:tcBorders>
              <w:top w:val="single" w:sz="8"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1. Ingresos Presupuestarios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tcBorders>
              <w:top w:val="nil"/>
              <w:left w:val="nil"/>
              <w:bottom w:val="single" w:sz="4" w:space="0" w:color="auto"/>
              <w:right w:val="single" w:sz="4" w:space="0" w:color="auto"/>
            </w:tcBorders>
            <w:shd w:val="clear" w:color="auto" w:fill="auto"/>
            <w:noWrap/>
            <w:vAlign w:val="bottom"/>
            <w:hideMark/>
          </w:tcPr>
          <w:p w:rsidR="00406249" w:rsidRPr="00406249" w:rsidRDefault="009F4E55" w:rsidP="0071754C">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9,501,167.15</w:t>
            </w:r>
            <w:r w:rsidR="00406249" w:rsidRPr="00406249">
              <w:rPr>
                <w:rFonts w:ascii="Calibri" w:eastAsia="Times New Roman" w:hAnsi="Calibri" w:cs="Arial"/>
                <w:b/>
                <w:bCs/>
                <w:color w:val="000000"/>
                <w:sz w:val="16"/>
                <w:szCs w:val="16"/>
                <w:lang w:eastAsia="es-MX"/>
              </w:rPr>
              <w:t xml:space="preserve"> </w:t>
            </w:r>
          </w:p>
        </w:tc>
      </w:tr>
      <w:tr w:rsidR="00406249" w:rsidRPr="00406249" w:rsidTr="00406249">
        <w:trPr>
          <w:trHeight w:val="255"/>
        </w:trPr>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495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8"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2. Más ingresos contables no presupuestarios </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jc w:val="right"/>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71754C">
            <w:pPr>
              <w:spacing w:after="0" w:line="240" w:lineRule="auto"/>
              <w:jc w:val="right"/>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 </w:t>
            </w:r>
            <w:r w:rsidR="0071754C">
              <w:rPr>
                <w:rFonts w:ascii="Calibri" w:eastAsia="Times New Roman" w:hAnsi="Calibri" w:cs="Arial"/>
                <w:b/>
                <w:bCs/>
                <w:color w:val="000000"/>
                <w:sz w:val="16"/>
                <w:szCs w:val="16"/>
                <w:lang w:eastAsia="es-MX"/>
              </w:rPr>
              <w:t>1,524,038.78</w:t>
            </w: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Incremento por variación de inventarios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52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Disminución del exceso de estimaciones por pérdida o deterioro u obsolescencia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Disminución del exceso de provisiones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ingresos y beneficios varios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71754C">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w:t>
            </w:r>
            <w:r w:rsidR="0071754C">
              <w:rPr>
                <w:rFonts w:ascii="Calibri" w:eastAsia="Times New Roman" w:hAnsi="Calibri" w:cs="Arial"/>
                <w:sz w:val="16"/>
                <w:szCs w:val="16"/>
                <w:lang w:eastAsia="es-MX"/>
              </w:rPr>
              <w:t>1,524,038.78</w:t>
            </w:r>
            <w:r w:rsidRPr="00406249">
              <w:rPr>
                <w:rFonts w:ascii="Calibri" w:eastAsia="Times New Roman" w:hAnsi="Calibri" w:cs="Arial"/>
                <w:sz w:val="16"/>
                <w:szCs w:val="16"/>
                <w:lang w:eastAsia="es-MX"/>
              </w:rPr>
              <w:t xml:space="preserve">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ingresos contables no presupuestarios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495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8"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495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8"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3. Menos ingresos presupuestarios no contables </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 $                                                 -   </w:t>
            </w: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Productos de capital</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Aprovechamientos capital</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Ingresos derivados de financiamientos</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ingresos presupuestarios no contables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86"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495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8"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3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4. Ingresos Contables (4= 1 + 2- 3)</w:t>
            </w:r>
          </w:p>
        </w:tc>
        <w:tc>
          <w:tcPr>
            <w:tcW w:w="1708"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6249" w:rsidRPr="00406249" w:rsidRDefault="009F4E55" w:rsidP="0071754C">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11,025,205.93</w:t>
            </w:r>
          </w:p>
        </w:tc>
      </w:tr>
    </w:tbl>
    <w:p w:rsidR="00406249" w:rsidRDefault="00406249" w:rsidP="00406249">
      <w:pPr>
        <w:jc w:val="both"/>
        <w:rPr>
          <w:sz w:val="20"/>
          <w:szCs w:val="20"/>
        </w:rPr>
      </w:pPr>
    </w:p>
    <w:p w:rsidR="00EF743A" w:rsidRDefault="00EF743A" w:rsidP="00406249">
      <w:pPr>
        <w:jc w:val="both"/>
        <w:rPr>
          <w:sz w:val="20"/>
          <w:szCs w:val="20"/>
        </w:rPr>
      </w:pPr>
    </w:p>
    <w:p w:rsidR="00EF743A" w:rsidRDefault="00EF743A" w:rsidP="00406249">
      <w:pPr>
        <w:jc w:val="both"/>
        <w:rPr>
          <w:sz w:val="20"/>
          <w:szCs w:val="20"/>
        </w:rPr>
      </w:pPr>
    </w:p>
    <w:tbl>
      <w:tblPr>
        <w:tblW w:w="8781" w:type="dxa"/>
        <w:tblInd w:w="60" w:type="dxa"/>
        <w:tblCellMar>
          <w:left w:w="70" w:type="dxa"/>
          <w:right w:w="70" w:type="dxa"/>
        </w:tblCellMar>
        <w:tblLook w:val="04A0" w:firstRow="1" w:lastRow="0" w:firstColumn="1" w:lastColumn="0" w:noHBand="0" w:noVBand="1"/>
      </w:tblPr>
      <w:tblGrid>
        <w:gridCol w:w="2461"/>
        <w:gridCol w:w="1439"/>
        <w:gridCol w:w="1232"/>
        <w:gridCol w:w="1700"/>
        <w:gridCol w:w="1949"/>
      </w:tblGrid>
      <w:tr w:rsidR="00406249" w:rsidRPr="00406249" w:rsidTr="00406249">
        <w:trPr>
          <w:trHeight w:val="255"/>
        </w:trPr>
        <w:tc>
          <w:tcPr>
            <w:tcW w:w="8781" w:type="dxa"/>
            <w:gridSpan w:val="5"/>
            <w:tcBorders>
              <w:top w:val="single" w:sz="8" w:space="0" w:color="auto"/>
              <w:left w:val="single" w:sz="8" w:space="0" w:color="auto"/>
              <w:bottom w:val="nil"/>
              <w:right w:val="single" w:sz="8" w:space="0" w:color="000000"/>
            </w:tcBorders>
            <w:shd w:val="clear" w:color="auto" w:fill="auto"/>
            <w:noWrap/>
            <w:vAlign w:val="bottom"/>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lastRenderedPageBreak/>
              <w:t>Instituto Tecnológico Superior del Sur del Estado de Yucatán</w:t>
            </w:r>
          </w:p>
        </w:tc>
      </w:tr>
      <w:tr w:rsidR="00406249" w:rsidRPr="00406249" w:rsidTr="00406249">
        <w:trPr>
          <w:trHeight w:val="255"/>
        </w:trPr>
        <w:tc>
          <w:tcPr>
            <w:tcW w:w="8781" w:type="dxa"/>
            <w:gridSpan w:val="5"/>
            <w:tcBorders>
              <w:top w:val="nil"/>
              <w:left w:val="single" w:sz="8" w:space="0" w:color="auto"/>
              <w:bottom w:val="nil"/>
              <w:right w:val="single" w:sz="8" w:space="0" w:color="000000"/>
            </w:tcBorders>
            <w:shd w:val="clear" w:color="auto" w:fill="auto"/>
            <w:noWrap/>
            <w:vAlign w:val="center"/>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 xml:space="preserve">Conciliación entre los Egresos Presupuestarios y los Gastos Contables </w:t>
            </w:r>
          </w:p>
        </w:tc>
      </w:tr>
      <w:tr w:rsidR="00406249" w:rsidRPr="00406249" w:rsidTr="00406249">
        <w:trPr>
          <w:trHeight w:val="255"/>
        </w:trPr>
        <w:tc>
          <w:tcPr>
            <w:tcW w:w="8781" w:type="dxa"/>
            <w:gridSpan w:val="5"/>
            <w:tcBorders>
              <w:top w:val="nil"/>
              <w:left w:val="single" w:sz="8" w:space="0" w:color="auto"/>
              <w:bottom w:val="nil"/>
              <w:right w:val="single" w:sz="8" w:space="0" w:color="000000"/>
            </w:tcBorders>
            <w:shd w:val="clear" w:color="auto" w:fill="auto"/>
            <w:noWrap/>
            <w:vAlign w:val="center"/>
            <w:hideMark/>
          </w:tcPr>
          <w:p w:rsidR="00406249" w:rsidRPr="00406249" w:rsidRDefault="00406249" w:rsidP="00CC7B51">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Correspondiente del</w:t>
            </w:r>
            <w:r w:rsidR="003F2225">
              <w:rPr>
                <w:rFonts w:ascii="Calibri" w:eastAsia="Times New Roman" w:hAnsi="Calibri" w:cs="Arial"/>
                <w:b/>
                <w:bCs/>
                <w:color w:val="000000"/>
                <w:sz w:val="20"/>
                <w:szCs w:val="20"/>
                <w:lang w:eastAsia="es-MX"/>
              </w:rPr>
              <w:t xml:space="preserve"> </w:t>
            </w:r>
            <w:r w:rsidRPr="00406249">
              <w:rPr>
                <w:rFonts w:ascii="Calibri" w:eastAsia="Times New Roman" w:hAnsi="Calibri" w:cs="Arial"/>
                <w:b/>
                <w:bCs/>
                <w:color w:val="000000"/>
                <w:sz w:val="20"/>
                <w:szCs w:val="20"/>
                <w:lang w:eastAsia="es-MX"/>
              </w:rPr>
              <w:t>01</w:t>
            </w:r>
            <w:r w:rsidR="003F2225">
              <w:rPr>
                <w:rFonts w:ascii="Calibri" w:eastAsia="Times New Roman" w:hAnsi="Calibri" w:cs="Arial"/>
                <w:b/>
                <w:bCs/>
                <w:color w:val="000000"/>
                <w:sz w:val="20"/>
                <w:szCs w:val="20"/>
                <w:lang w:eastAsia="es-MX"/>
              </w:rPr>
              <w:t xml:space="preserve"> de Enero al </w:t>
            </w:r>
            <w:r w:rsidR="00CC7B51">
              <w:rPr>
                <w:rFonts w:ascii="Calibri" w:eastAsia="Times New Roman" w:hAnsi="Calibri" w:cs="Arial"/>
                <w:b/>
                <w:bCs/>
                <w:color w:val="000000"/>
                <w:sz w:val="20"/>
                <w:szCs w:val="20"/>
                <w:lang w:eastAsia="es-MX"/>
              </w:rPr>
              <w:t>31</w:t>
            </w:r>
            <w:r w:rsidR="003F2225">
              <w:rPr>
                <w:rFonts w:ascii="Calibri" w:eastAsia="Times New Roman" w:hAnsi="Calibri" w:cs="Arial"/>
                <w:b/>
                <w:bCs/>
                <w:color w:val="000000"/>
                <w:sz w:val="20"/>
                <w:szCs w:val="20"/>
                <w:lang w:eastAsia="es-MX"/>
              </w:rPr>
              <w:t xml:space="preserve"> de </w:t>
            </w:r>
            <w:r w:rsidR="00CC7B51">
              <w:rPr>
                <w:rFonts w:ascii="Calibri" w:eastAsia="Times New Roman" w:hAnsi="Calibri" w:cs="Arial"/>
                <w:b/>
                <w:bCs/>
                <w:color w:val="000000"/>
                <w:sz w:val="20"/>
                <w:szCs w:val="20"/>
                <w:lang w:eastAsia="es-MX"/>
              </w:rPr>
              <w:t>Marzo</w:t>
            </w:r>
            <w:r w:rsidR="003F2225">
              <w:rPr>
                <w:rFonts w:ascii="Calibri" w:eastAsia="Times New Roman" w:hAnsi="Calibri" w:cs="Arial"/>
                <w:b/>
                <w:bCs/>
                <w:color w:val="000000"/>
                <w:sz w:val="20"/>
                <w:szCs w:val="20"/>
                <w:lang w:eastAsia="es-MX"/>
              </w:rPr>
              <w:t xml:space="preserve"> de </w:t>
            </w:r>
            <w:r w:rsidRPr="00406249">
              <w:rPr>
                <w:rFonts w:ascii="Calibri" w:eastAsia="Times New Roman" w:hAnsi="Calibri" w:cs="Arial"/>
                <w:b/>
                <w:bCs/>
                <w:color w:val="000000"/>
                <w:sz w:val="20"/>
                <w:szCs w:val="20"/>
                <w:lang w:eastAsia="es-MX"/>
              </w:rPr>
              <w:t xml:space="preserve"> 2017.</w:t>
            </w:r>
          </w:p>
        </w:tc>
      </w:tr>
      <w:tr w:rsidR="00406249" w:rsidRPr="00406249" w:rsidTr="00406249">
        <w:trPr>
          <w:trHeight w:val="255"/>
        </w:trPr>
        <w:tc>
          <w:tcPr>
            <w:tcW w:w="8781" w:type="dxa"/>
            <w:gridSpan w:val="5"/>
            <w:tcBorders>
              <w:top w:val="nil"/>
              <w:left w:val="single" w:sz="8" w:space="0" w:color="auto"/>
              <w:bottom w:val="single" w:sz="4" w:space="0" w:color="auto"/>
              <w:right w:val="single" w:sz="8" w:space="0" w:color="000000"/>
            </w:tcBorders>
            <w:shd w:val="clear" w:color="auto" w:fill="auto"/>
            <w:noWrap/>
            <w:vAlign w:val="center"/>
            <w:hideMark/>
          </w:tcPr>
          <w:p w:rsidR="00406249" w:rsidRPr="00406249" w:rsidRDefault="00406249" w:rsidP="00406249">
            <w:pPr>
              <w:spacing w:after="0" w:line="240" w:lineRule="auto"/>
              <w:jc w:val="center"/>
              <w:rPr>
                <w:rFonts w:ascii="Calibri" w:eastAsia="Times New Roman" w:hAnsi="Calibri" w:cs="Arial"/>
                <w:b/>
                <w:bCs/>
                <w:color w:val="000000"/>
                <w:sz w:val="20"/>
                <w:szCs w:val="20"/>
                <w:lang w:eastAsia="es-MX"/>
              </w:rPr>
            </w:pPr>
            <w:r w:rsidRPr="00406249">
              <w:rPr>
                <w:rFonts w:ascii="Calibri" w:eastAsia="Times New Roman" w:hAnsi="Calibri" w:cs="Arial"/>
                <w:b/>
                <w:bCs/>
                <w:color w:val="000000"/>
                <w:sz w:val="20"/>
                <w:szCs w:val="20"/>
                <w:lang w:eastAsia="es-MX"/>
              </w:rPr>
              <w:t>(pesos)</w:t>
            </w:r>
          </w:p>
        </w:tc>
      </w:tr>
      <w:tr w:rsidR="00406249" w:rsidRPr="00406249" w:rsidTr="00BC204A">
        <w:trPr>
          <w:trHeight w:val="255"/>
        </w:trPr>
        <w:tc>
          <w:tcPr>
            <w:tcW w:w="6832" w:type="dxa"/>
            <w:gridSpan w:val="4"/>
            <w:tcBorders>
              <w:top w:val="nil"/>
              <w:left w:val="single" w:sz="4" w:space="0" w:color="auto"/>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jc w:val="both"/>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1. Total de egresos (presupuestarios)</w:t>
            </w:r>
          </w:p>
        </w:tc>
        <w:tc>
          <w:tcPr>
            <w:tcW w:w="1949" w:type="dxa"/>
            <w:tcBorders>
              <w:top w:val="nil"/>
              <w:left w:val="nil"/>
              <w:bottom w:val="single" w:sz="4" w:space="0" w:color="auto"/>
              <w:right w:val="single" w:sz="4" w:space="0" w:color="auto"/>
            </w:tcBorders>
            <w:shd w:val="clear" w:color="auto" w:fill="auto"/>
            <w:noWrap/>
            <w:vAlign w:val="bottom"/>
            <w:hideMark/>
          </w:tcPr>
          <w:p w:rsidR="00406249" w:rsidRPr="00406249" w:rsidRDefault="009F4E55" w:rsidP="003F2225">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7,515,758.96</w:t>
            </w:r>
          </w:p>
        </w:tc>
      </w:tr>
      <w:tr w:rsidR="00406249" w:rsidRPr="00406249" w:rsidTr="00406249">
        <w:trPr>
          <w:trHeight w:val="255"/>
        </w:trPr>
        <w:tc>
          <w:tcPr>
            <w:tcW w:w="2461"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439"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23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0"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2. Menos egresos presupuestarios no contables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9F4E55" w:rsidP="00406249">
            <w:pPr>
              <w:spacing w:after="0" w:line="240" w:lineRule="auto"/>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 xml:space="preserve">                             508,208.30</w:t>
            </w: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Mobiliario y equipo de administración</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r w:rsidR="009F4E55">
              <w:rPr>
                <w:rFonts w:ascii="Calibri" w:eastAsia="Times New Roman" w:hAnsi="Calibri" w:cs="Arial"/>
                <w:sz w:val="16"/>
                <w:szCs w:val="16"/>
                <w:lang w:eastAsia="es-MX"/>
              </w:rPr>
              <w:t>18,684.00</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Mobiliario y equipo educacional y recreativo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r w:rsidR="009F4E55">
              <w:rPr>
                <w:rFonts w:ascii="Calibri" w:eastAsia="Times New Roman" w:hAnsi="Calibri" w:cs="Arial"/>
                <w:sz w:val="16"/>
                <w:szCs w:val="16"/>
                <w:lang w:eastAsia="es-MX"/>
              </w:rPr>
              <w:t>45,945.02</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Equipo e 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r w:rsidR="009F4E55">
              <w:rPr>
                <w:rFonts w:ascii="Calibri" w:eastAsia="Times New Roman" w:hAnsi="Calibri" w:cs="Arial"/>
                <w:sz w:val="16"/>
                <w:szCs w:val="16"/>
                <w:lang w:eastAsia="es-MX"/>
              </w:rPr>
              <w:t>440,215.28</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Vehículos y equipo de transporte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Equipo de defensa y seguridad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Arial" w:eastAsia="Times New Roman" w:hAnsi="Arial" w:cs="Arial"/>
                <w:sz w:val="16"/>
                <w:szCs w:val="16"/>
                <w:lang w:eastAsia="es-MX"/>
              </w:rPr>
            </w:pPr>
            <w:r w:rsidRPr="00406249">
              <w:rPr>
                <w:rFonts w:ascii="Arial" w:eastAsia="Times New Roman" w:hAnsi="Arial"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9F4E55">
        <w:trPr>
          <w:trHeight w:val="70"/>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Maquinaria, otros equipo y herramientas</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Arial" w:eastAsia="Times New Roman" w:hAnsi="Arial" w:cs="Arial"/>
                <w:sz w:val="16"/>
                <w:szCs w:val="16"/>
                <w:lang w:eastAsia="es-MX"/>
              </w:rPr>
            </w:pPr>
            <w:r w:rsidRPr="00406249">
              <w:rPr>
                <w:rFonts w:ascii="Arial" w:eastAsia="Times New Roman" w:hAnsi="Arial" w:cs="Arial"/>
                <w:sz w:val="16"/>
                <w:szCs w:val="16"/>
                <w:lang w:eastAsia="es-MX"/>
              </w:rPr>
              <w:t> </w:t>
            </w:r>
            <w:r w:rsidR="009F4E55">
              <w:rPr>
                <w:rFonts w:ascii="Arial" w:eastAsia="Times New Roman" w:hAnsi="Arial" w:cs="Arial"/>
                <w:sz w:val="16"/>
                <w:szCs w:val="16"/>
                <w:lang w:eastAsia="es-MX"/>
              </w:rPr>
              <w:t>3,364.00</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Activos biológicos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9F4E55">
            <w:pPr>
              <w:spacing w:after="0" w:line="240" w:lineRule="auto"/>
              <w:jc w:val="right"/>
              <w:rPr>
                <w:rFonts w:ascii="Arial" w:eastAsia="Times New Roman" w:hAnsi="Arial" w:cs="Arial"/>
                <w:sz w:val="16"/>
                <w:szCs w:val="16"/>
                <w:lang w:eastAsia="es-MX"/>
              </w:rPr>
            </w:pPr>
            <w:r w:rsidRPr="00406249">
              <w:rPr>
                <w:rFonts w:ascii="Arial" w:eastAsia="Times New Roman" w:hAnsi="Arial"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Bienes inmuebles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Arial" w:eastAsia="Times New Roman" w:hAnsi="Arial" w:cs="Arial"/>
                <w:sz w:val="16"/>
                <w:szCs w:val="16"/>
                <w:lang w:eastAsia="es-MX"/>
              </w:rPr>
            </w:pPr>
            <w:r w:rsidRPr="00406249">
              <w:rPr>
                <w:rFonts w:ascii="Arial" w:eastAsia="Times New Roman" w:hAnsi="Arial"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Activos intangibles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Arial" w:eastAsia="Times New Roman" w:hAnsi="Arial"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Obra pública en bienes propios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Acciones y participaciones de capital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Compra de títulos y valores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Inversiones en fideicomisos, mandatos y contratos análogos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Provisiones para contingencias y otras erogaciones especiales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Amortización de la deuda publica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Adeudo de ejercicios fiscales anteriores (ADEFAS)</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Egresos Presupuestarios No Contables </w:t>
            </w:r>
          </w:p>
        </w:tc>
        <w:tc>
          <w:tcPr>
            <w:tcW w:w="1700" w:type="dxa"/>
            <w:tcBorders>
              <w:top w:val="nil"/>
              <w:left w:val="nil"/>
              <w:bottom w:val="single" w:sz="4" w:space="0" w:color="auto"/>
              <w:right w:val="single" w:sz="4" w:space="0" w:color="auto"/>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2461"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439"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23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0"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xml:space="preserve">3. Más gastos contables no presupuestales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 </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406249" w:rsidRPr="00406249" w:rsidRDefault="009F4E55" w:rsidP="003F2225">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890,162.87</w:t>
            </w:r>
          </w:p>
        </w:tc>
      </w:tr>
      <w:tr w:rsidR="00406249" w:rsidRPr="00406249" w:rsidTr="00406249">
        <w:trPr>
          <w:trHeight w:val="46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Estimaciones, depreciaciones, deterioros, obsolescencia y amortizaciones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9F4E55" w:rsidP="003F2225">
            <w:pPr>
              <w:spacing w:after="0" w:line="240" w:lineRule="auto"/>
              <w:jc w:val="right"/>
              <w:rPr>
                <w:rFonts w:ascii="Calibri" w:eastAsia="Times New Roman" w:hAnsi="Calibri" w:cs="Arial"/>
                <w:sz w:val="16"/>
                <w:szCs w:val="16"/>
                <w:lang w:eastAsia="es-MX"/>
              </w:rPr>
            </w:pPr>
            <w:r>
              <w:rPr>
                <w:rFonts w:ascii="Calibri" w:eastAsia="Times New Roman" w:hAnsi="Calibri" w:cs="Arial"/>
                <w:sz w:val="16"/>
                <w:szCs w:val="16"/>
                <w:lang w:eastAsia="es-MX"/>
              </w:rPr>
              <w:t>890,162.87</w:t>
            </w:r>
            <w:r w:rsidR="00406249" w:rsidRPr="00406249">
              <w:rPr>
                <w:rFonts w:ascii="Calibri" w:eastAsia="Times New Roman" w:hAnsi="Calibri" w:cs="Arial"/>
                <w:sz w:val="16"/>
                <w:szCs w:val="16"/>
                <w:lang w:eastAsia="es-MX"/>
              </w:rPr>
              <w:t xml:space="preserve">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Provisiones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lastRenderedPageBreak/>
              <w:t xml:space="preserve">     Disminución de inventarios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510"/>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Aumento por insuficiencia de estimaciones por pérdida o deterioro u obsolescencia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Aumento por insuficiencia de provisiones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     Otros gastos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xml:space="preserve">Otros Gastos Contables No Presupuestales </w:t>
            </w:r>
          </w:p>
        </w:tc>
        <w:tc>
          <w:tcPr>
            <w:tcW w:w="1700" w:type="dxa"/>
            <w:tcBorders>
              <w:top w:val="nil"/>
              <w:left w:val="nil"/>
              <w:bottom w:val="single" w:sz="4" w:space="0" w:color="auto"/>
              <w:right w:val="single" w:sz="4" w:space="0" w:color="auto"/>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r w:rsidRPr="00406249">
              <w:rPr>
                <w:rFonts w:ascii="Calibri" w:eastAsia="Times New Roman" w:hAnsi="Calibri" w:cs="Arial"/>
                <w:sz w:val="16"/>
                <w:szCs w:val="16"/>
                <w:lang w:eastAsia="es-MX"/>
              </w:rPr>
              <w:t> </w:t>
            </w: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406249">
        <w:trPr>
          <w:trHeight w:val="255"/>
        </w:trPr>
        <w:tc>
          <w:tcPr>
            <w:tcW w:w="2461"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439" w:type="dxa"/>
            <w:tcBorders>
              <w:top w:val="nil"/>
              <w:left w:val="nil"/>
              <w:bottom w:val="nil"/>
              <w:right w:val="nil"/>
            </w:tcBorders>
            <w:shd w:val="clear" w:color="auto" w:fill="auto"/>
            <w:vAlign w:val="bottom"/>
            <w:hideMark/>
          </w:tcPr>
          <w:p w:rsidR="00406249" w:rsidRPr="00406249" w:rsidRDefault="00406249" w:rsidP="00406249">
            <w:pPr>
              <w:spacing w:after="0" w:line="240" w:lineRule="auto"/>
              <w:jc w:val="center"/>
              <w:rPr>
                <w:rFonts w:ascii="Calibri" w:eastAsia="Times New Roman" w:hAnsi="Calibri" w:cs="Arial"/>
                <w:sz w:val="20"/>
                <w:szCs w:val="20"/>
                <w:lang w:eastAsia="es-MX"/>
              </w:rPr>
            </w:pPr>
          </w:p>
        </w:tc>
        <w:tc>
          <w:tcPr>
            <w:tcW w:w="123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700"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c>
          <w:tcPr>
            <w:tcW w:w="1949"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16"/>
                <w:szCs w:val="16"/>
                <w:lang w:eastAsia="es-MX"/>
              </w:rPr>
            </w:pPr>
          </w:p>
        </w:tc>
      </w:tr>
      <w:tr w:rsidR="00406249" w:rsidRPr="00406249" w:rsidTr="003F2225">
        <w:trPr>
          <w:trHeight w:val="255"/>
        </w:trPr>
        <w:tc>
          <w:tcPr>
            <w:tcW w:w="513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r w:rsidRPr="00406249">
              <w:rPr>
                <w:rFonts w:ascii="Calibri" w:eastAsia="Times New Roman" w:hAnsi="Calibri" w:cs="Arial"/>
                <w:b/>
                <w:bCs/>
                <w:color w:val="000000"/>
                <w:sz w:val="16"/>
                <w:szCs w:val="16"/>
                <w:lang w:eastAsia="es-MX"/>
              </w:rPr>
              <w:t>4. Total de Gasto Contable (4= 1-2+3)</w:t>
            </w:r>
          </w:p>
        </w:tc>
        <w:tc>
          <w:tcPr>
            <w:tcW w:w="1700"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color w:val="000000"/>
                <w:sz w:val="16"/>
                <w:szCs w:val="16"/>
                <w:lang w:eastAsia="es-MX"/>
              </w:rPr>
            </w:pP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249" w:rsidRPr="00406249" w:rsidRDefault="009F4E55" w:rsidP="003F2225">
            <w:pPr>
              <w:spacing w:after="0" w:line="240" w:lineRule="auto"/>
              <w:jc w:val="right"/>
              <w:rPr>
                <w:rFonts w:ascii="Calibri" w:eastAsia="Times New Roman" w:hAnsi="Calibri" w:cs="Arial"/>
                <w:b/>
                <w:bCs/>
                <w:color w:val="000000"/>
                <w:sz w:val="16"/>
                <w:szCs w:val="16"/>
                <w:lang w:eastAsia="es-MX"/>
              </w:rPr>
            </w:pPr>
            <w:r>
              <w:rPr>
                <w:rFonts w:ascii="Calibri" w:eastAsia="Times New Roman" w:hAnsi="Calibri" w:cs="Arial"/>
                <w:b/>
                <w:bCs/>
                <w:color w:val="000000"/>
                <w:sz w:val="16"/>
                <w:szCs w:val="16"/>
                <w:lang w:eastAsia="es-MX"/>
              </w:rPr>
              <w:t>7,897,713.53</w:t>
            </w:r>
          </w:p>
        </w:tc>
      </w:tr>
    </w:tbl>
    <w:p w:rsidR="00406249" w:rsidRDefault="00406249" w:rsidP="00406249">
      <w:pPr>
        <w:jc w:val="both"/>
        <w:rPr>
          <w:sz w:val="20"/>
          <w:szCs w:val="20"/>
        </w:rPr>
      </w:pPr>
    </w:p>
    <w:p w:rsidR="00E73FCC" w:rsidRDefault="00E73FCC" w:rsidP="00406249">
      <w:pPr>
        <w:jc w:val="both"/>
        <w:rPr>
          <w:sz w:val="20"/>
          <w:szCs w:val="20"/>
        </w:rPr>
      </w:pPr>
    </w:p>
    <w:tbl>
      <w:tblPr>
        <w:tblW w:w="13120" w:type="dxa"/>
        <w:tblInd w:w="70" w:type="dxa"/>
        <w:tblCellMar>
          <w:left w:w="70" w:type="dxa"/>
          <w:right w:w="70" w:type="dxa"/>
        </w:tblCellMar>
        <w:tblLook w:val="04A0" w:firstRow="1" w:lastRow="0" w:firstColumn="1" w:lastColumn="0" w:noHBand="0" w:noVBand="1"/>
      </w:tblPr>
      <w:tblGrid>
        <w:gridCol w:w="7780"/>
        <w:gridCol w:w="1820"/>
        <w:gridCol w:w="1800"/>
        <w:gridCol w:w="1720"/>
      </w:tblGrid>
      <w:tr w:rsidR="00406249" w:rsidRPr="003D7257" w:rsidTr="00406249">
        <w:trPr>
          <w:trHeight w:val="360"/>
        </w:trPr>
        <w:tc>
          <w:tcPr>
            <w:tcW w:w="7780" w:type="dxa"/>
            <w:tcBorders>
              <w:top w:val="nil"/>
              <w:left w:val="nil"/>
              <w:bottom w:val="nil"/>
              <w:right w:val="nil"/>
            </w:tcBorders>
            <w:shd w:val="clear" w:color="auto" w:fill="auto"/>
            <w:vAlign w:val="bottom"/>
            <w:hideMark/>
          </w:tcPr>
          <w:p w:rsidR="00406249" w:rsidRPr="003D7257" w:rsidRDefault="00406249" w:rsidP="00406249">
            <w:pPr>
              <w:spacing w:after="0" w:line="240" w:lineRule="auto"/>
              <w:rPr>
                <w:rFonts w:ascii="Calibri" w:eastAsia="Times New Roman" w:hAnsi="Calibri" w:cs="Arial"/>
                <w:b/>
                <w:bCs/>
                <w:sz w:val="20"/>
                <w:szCs w:val="20"/>
                <w:lang w:eastAsia="es-MX"/>
              </w:rPr>
            </w:pPr>
            <w:r w:rsidRPr="003D7257">
              <w:rPr>
                <w:rFonts w:ascii="Calibri" w:eastAsia="Times New Roman" w:hAnsi="Calibri" w:cs="Arial"/>
                <w:b/>
                <w:bCs/>
                <w:sz w:val="20"/>
                <w:szCs w:val="20"/>
                <w:lang w:eastAsia="es-MX"/>
              </w:rPr>
              <w:t xml:space="preserve">2) NOTAS DE MEMORIA </w:t>
            </w:r>
          </w:p>
          <w:p w:rsidR="00406249" w:rsidRPr="003D7257" w:rsidRDefault="00406249" w:rsidP="00406249">
            <w:pPr>
              <w:spacing w:after="0" w:line="240" w:lineRule="auto"/>
              <w:rPr>
                <w:rFonts w:ascii="Calibri" w:eastAsia="Times New Roman" w:hAnsi="Calibri" w:cs="Arial"/>
                <w:b/>
                <w:bCs/>
                <w:sz w:val="20"/>
                <w:szCs w:val="20"/>
                <w:lang w:eastAsia="es-MX"/>
              </w:rPr>
            </w:pPr>
          </w:p>
        </w:tc>
        <w:tc>
          <w:tcPr>
            <w:tcW w:w="1820" w:type="dxa"/>
            <w:tcBorders>
              <w:top w:val="nil"/>
              <w:left w:val="nil"/>
              <w:bottom w:val="nil"/>
              <w:right w:val="nil"/>
            </w:tcBorders>
            <w:shd w:val="clear" w:color="auto" w:fill="auto"/>
            <w:vAlign w:val="bottom"/>
            <w:hideMark/>
          </w:tcPr>
          <w:p w:rsidR="00406249" w:rsidRPr="003D7257" w:rsidRDefault="00406249" w:rsidP="00406249">
            <w:pPr>
              <w:spacing w:after="0" w:line="240" w:lineRule="auto"/>
              <w:jc w:val="center"/>
              <w:rPr>
                <w:rFonts w:ascii="Calibri" w:eastAsia="Times New Roman" w:hAnsi="Calibri" w:cs="Arial"/>
                <w:b/>
                <w:bCs/>
                <w:sz w:val="20"/>
                <w:szCs w:val="20"/>
                <w:lang w:eastAsia="es-MX"/>
              </w:rPr>
            </w:pPr>
          </w:p>
        </w:tc>
        <w:tc>
          <w:tcPr>
            <w:tcW w:w="1800" w:type="dxa"/>
            <w:tcBorders>
              <w:top w:val="nil"/>
              <w:left w:val="nil"/>
              <w:bottom w:val="nil"/>
              <w:right w:val="nil"/>
            </w:tcBorders>
            <w:shd w:val="clear" w:color="auto" w:fill="auto"/>
            <w:vAlign w:val="bottom"/>
            <w:hideMark/>
          </w:tcPr>
          <w:p w:rsidR="00406249" w:rsidRPr="003D7257" w:rsidRDefault="00406249" w:rsidP="00406249">
            <w:pPr>
              <w:spacing w:after="0" w:line="240" w:lineRule="auto"/>
              <w:jc w:val="center"/>
              <w:rPr>
                <w:rFonts w:ascii="Calibri" w:eastAsia="Times New Roman" w:hAnsi="Calibri" w:cs="Arial"/>
                <w:b/>
                <w:bCs/>
                <w:sz w:val="20"/>
                <w:szCs w:val="20"/>
                <w:lang w:eastAsia="es-MX"/>
              </w:rPr>
            </w:pPr>
          </w:p>
        </w:tc>
        <w:tc>
          <w:tcPr>
            <w:tcW w:w="1720" w:type="dxa"/>
            <w:tcBorders>
              <w:top w:val="nil"/>
              <w:left w:val="nil"/>
              <w:bottom w:val="nil"/>
              <w:right w:val="nil"/>
            </w:tcBorders>
            <w:shd w:val="clear" w:color="auto" w:fill="auto"/>
            <w:vAlign w:val="bottom"/>
            <w:hideMark/>
          </w:tcPr>
          <w:p w:rsidR="00406249" w:rsidRPr="003D7257" w:rsidRDefault="00406249" w:rsidP="00406249">
            <w:pPr>
              <w:spacing w:after="0" w:line="240" w:lineRule="auto"/>
              <w:jc w:val="center"/>
              <w:rPr>
                <w:rFonts w:ascii="Calibri" w:eastAsia="Times New Roman" w:hAnsi="Calibri" w:cs="Arial"/>
                <w:b/>
                <w:bCs/>
                <w:sz w:val="20"/>
                <w:szCs w:val="20"/>
                <w:lang w:eastAsia="es-MX"/>
              </w:rPr>
            </w:pPr>
          </w:p>
        </w:tc>
      </w:tr>
      <w:tr w:rsidR="00406249" w:rsidRPr="00406249" w:rsidTr="00406249">
        <w:trPr>
          <w:trHeight w:val="270"/>
        </w:trPr>
        <w:tc>
          <w:tcPr>
            <w:tcW w:w="13120" w:type="dxa"/>
            <w:gridSpan w:val="4"/>
            <w:tcBorders>
              <w:top w:val="nil"/>
              <w:left w:val="nil"/>
              <w:bottom w:val="nil"/>
              <w:right w:val="nil"/>
            </w:tcBorders>
            <w:shd w:val="clear" w:color="auto" w:fill="auto"/>
            <w:noWrap/>
            <w:vAlign w:val="bottom"/>
            <w:hideMark/>
          </w:tcPr>
          <w:p w:rsidR="00406249" w:rsidRPr="00406249" w:rsidRDefault="00406249" w:rsidP="00F42DFD">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En el presente ejercicio el ITSSY utiliza como prueba piloto en el sistema </w:t>
            </w:r>
            <w:proofErr w:type="spellStart"/>
            <w:r w:rsidRPr="00406249">
              <w:rPr>
                <w:rFonts w:ascii="Calibri" w:eastAsia="Times New Roman" w:hAnsi="Calibri" w:cs="Arial"/>
                <w:sz w:val="20"/>
                <w:szCs w:val="20"/>
                <w:lang w:eastAsia="es-MX"/>
              </w:rPr>
              <w:t>Contpaq</w:t>
            </w:r>
            <w:proofErr w:type="spellEnd"/>
            <w:r w:rsidRPr="00406249">
              <w:rPr>
                <w:rFonts w:ascii="Calibri" w:eastAsia="Times New Roman" w:hAnsi="Calibri" w:cs="Arial"/>
                <w:sz w:val="20"/>
                <w:szCs w:val="20"/>
                <w:lang w:eastAsia="es-MX"/>
              </w:rPr>
              <w:t xml:space="preserve"> las  cuentas de orden presupuestarias que abajo se mencionan, </w:t>
            </w:r>
          </w:p>
        </w:tc>
      </w:tr>
      <w:tr w:rsidR="00406249" w:rsidRPr="00406249" w:rsidTr="00406249">
        <w:trPr>
          <w:trHeight w:val="270"/>
        </w:trPr>
        <w:tc>
          <w:tcPr>
            <w:tcW w:w="13120" w:type="dxa"/>
            <w:gridSpan w:val="4"/>
            <w:tcBorders>
              <w:top w:val="nil"/>
              <w:left w:val="nil"/>
              <w:bottom w:val="nil"/>
              <w:right w:val="nil"/>
            </w:tcBorders>
            <w:shd w:val="clear" w:color="auto" w:fill="auto"/>
            <w:noWrap/>
            <w:vAlign w:val="bottom"/>
            <w:hideMark/>
          </w:tcPr>
          <w:p w:rsidR="00406249" w:rsidRPr="00406249" w:rsidRDefault="00406249" w:rsidP="00F42DFD">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ya que no se cuenta con el programa  adecuado para el registro que interrelacionen de manera automática los saldos contables y presupuestales </w:t>
            </w:r>
          </w:p>
        </w:tc>
      </w:tr>
    </w:tbl>
    <w:p w:rsidR="00406249" w:rsidRDefault="00406249" w:rsidP="00F42DFD">
      <w:pPr>
        <w:spacing w:line="240" w:lineRule="auto"/>
        <w:jc w:val="both"/>
        <w:rPr>
          <w:sz w:val="20"/>
          <w:szCs w:val="20"/>
        </w:rPr>
      </w:pPr>
    </w:p>
    <w:tbl>
      <w:tblPr>
        <w:tblW w:w="12578" w:type="dxa"/>
        <w:tblCellMar>
          <w:left w:w="70" w:type="dxa"/>
          <w:right w:w="70" w:type="dxa"/>
        </w:tblCellMar>
        <w:tblLook w:val="04A0" w:firstRow="1" w:lastRow="0" w:firstColumn="1" w:lastColumn="0" w:noHBand="0" w:noVBand="1"/>
      </w:tblPr>
      <w:tblGrid>
        <w:gridCol w:w="70"/>
        <w:gridCol w:w="860"/>
        <w:gridCol w:w="928"/>
        <w:gridCol w:w="923"/>
        <w:gridCol w:w="923"/>
        <w:gridCol w:w="619"/>
        <w:gridCol w:w="302"/>
        <w:gridCol w:w="921"/>
        <w:gridCol w:w="1306"/>
        <w:gridCol w:w="1291"/>
        <w:gridCol w:w="1233"/>
        <w:gridCol w:w="1202"/>
        <w:gridCol w:w="928"/>
        <w:gridCol w:w="1072"/>
      </w:tblGrid>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u w:val="single"/>
                <w:lang w:eastAsia="es-MX"/>
              </w:rPr>
            </w:pPr>
            <w:r w:rsidRPr="00406249">
              <w:rPr>
                <w:rFonts w:ascii="Calibri" w:eastAsia="Times New Roman" w:hAnsi="Calibri" w:cs="Arial"/>
                <w:sz w:val="20"/>
                <w:szCs w:val="20"/>
                <w:u w:val="single"/>
                <w:lang w:eastAsia="es-MX"/>
              </w:rPr>
              <w:t xml:space="preserve">LEY DE INGRESOS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Ley de Ingresos Estimada</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Ley de Ingresos por Ejecutar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Modificaciones a la Ley de Ingresos Estimada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Ley de Ingresos Devengada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Ley de Ingresos Recaudada</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u w:val="single"/>
                <w:lang w:eastAsia="es-MX"/>
              </w:rPr>
            </w:pPr>
            <w:r w:rsidRPr="00406249">
              <w:rPr>
                <w:rFonts w:ascii="Calibri" w:eastAsia="Times New Roman" w:hAnsi="Calibri" w:cs="Arial"/>
                <w:sz w:val="20"/>
                <w:szCs w:val="20"/>
                <w:u w:val="single"/>
                <w:lang w:eastAsia="es-MX"/>
              </w:rPr>
              <w:t xml:space="preserve">PRESUPUESTO DE EGRESOS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Presupuesto de Egresos Aprobado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Presupuesto de Egresos por Ejercer</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Modificaciones al Presupuesto de Egresos Aprobado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lastRenderedPageBreak/>
              <w:t xml:space="preserve">Presupuesto Comprometido </w:t>
            </w:r>
          </w:p>
        </w:tc>
      </w:tr>
      <w:tr w:rsidR="00406249" w:rsidRPr="00406249" w:rsidTr="00406249">
        <w:trPr>
          <w:gridBefore w:val="1"/>
          <w:gridAfter w:val="8"/>
          <w:wBefore w:w="70" w:type="dxa"/>
          <w:wAfter w:w="8255" w:type="dxa"/>
          <w:trHeight w:val="270"/>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Presupuesto Devengado </w:t>
            </w:r>
          </w:p>
        </w:tc>
      </w:tr>
      <w:tr w:rsidR="00406249" w:rsidRPr="00406249" w:rsidTr="00406249">
        <w:trPr>
          <w:gridBefore w:val="1"/>
          <w:gridAfter w:val="8"/>
          <w:wBefore w:w="70" w:type="dxa"/>
          <w:wAfter w:w="8255" w:type="dxa"/>
          <w:trHeight w:val="255"/>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Presupuesto de Egresos Ejercido</w:t>
            </w:r>
          </w:p>
        </w:tc>
      </w:tr>
      <w:tr w:rsidR="00406249" w:rsidRPr="00406249" w:rsidTr="00406249">
        <w:trPr>
          <w:gridBefore w:val="1"/>
          <w:gridAfter w:val="8"/>
          <w:wBefore w:w="70" w:type="dxa"/>
          <w:wAfter w:w="8255" w:type="dxa"/>
          <w:trHeight w:val="255"/>
        </w:trPr>
        <w:tc>
          <w:tcPr>
            <w:tcW w:w="4253"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Presupuesto de Egresos Pagado </w:t>
            </w:r>
          </w:p>
        </w:tc>
      </w:tr>
      <w:tr w:rsidR="00406249" w:rsidRPr="003D7257" w:rsidTr="00406249">
        <w:trPr>
          <w:trHeight w:val="255"/>
        </w:trPr>
        <w:tc>
          <w:tcPr>
            <w:tcW w:w="5546" w:type="dxa"/>
            <w:gridSpan w:val="8"/>
            <w:tcBorders>
              <w:top w:val="nil"/>
              <w:left w:val="nil"/>
              <w:bottom w:val="nil"/>
              <w:right w:val="nil"/>
            </w:tcBorders>
            <w:shd w:val="clear" w:color="auto" w:fill="auto"/>
            <w:vAlign w:val="bottom"/>
            <w:hideMark/>
          </w:tcPr>
          <w:p w:rsidR="00406249" w:rsidRPr="003D7257" w:rsidRDefault="00406249" w:rsidP="00406249">
            <w:pPr>
              <w:spacing w:after="0" w:line="240" w:lineRule="auto"/>
              <w:rPr>
                <w:rFonts w:ascii="Calibri" w:eastAsia="Times New Roman" w:hAnsi="Calibri" w:cs="Arial"/>
                <w:b/>
                <w:bCs/>
                <w:sz w:val="20"/>
                <w:szCs w:val="20"/>
                <w:lang w:eastAsia="es-MX"/>
              </w:rPr>
            </w:pPr>
          </w:p>
          <w:p w:rsidR="00406249" w:rsidRPr="003D7257" w:rsidRDefault="00406249" w:rsidP="00406249">
            <w:pPr>
              <w:spacing w:after="0" w:line="240" w:lineRule="auto"/>
              <w:rPr>
                <w:rFonts w:ascii="Calibri" w:eastAsia="Times New Roman" w:hAnsi="Calibri" w:cs="Arial"/>
                <w:b/>
                <w:bCs/>
                <w:sz w:val="20"/>
                <w:szCs w:val="20"/>
                <w:lang w:eastAsia="es-MX"/>
              </w:rPr>
            </w:pPr>
            <w:r w:rsidRPr="003D7257">
              <w:rPr>
                <w:rFonts w:ascii="Calibri" w:eastAsia="Times New Roman" w:hAnsi="Calibri" w:cs="Arial"/>
                <w:b/>
                <w:bCs/>
                <w:sz w:val="20"/>
                <w:szCs w:val="20"/>
                <w:lang w:eastAsia="es-MX"/>
              </w:rPr>
              <w:t xml:space="preserve">3) NOTAS DE GESTIÓN ADMINISTRATIVA </w:t>
            </w:r>
          </w:p>
        </w:tc>
        <w:tc>
          <w:tcPr>
            <w:tcW w:w="1306" w:type="dxa"/>
            <w:tcBorders>
              <w:top w:val="nil"/>
              <w:left w:val="nil"/>
              <w:bottom w:val="nil"/>
              <w:right w:val="nil"/>
            </w:tcBorders>
            <w:shd w:val="clear" w:color="auto" w:fill="auto"/>
            <w:vAlign w:val="bottom"/>
            <w:hideMark/>
          </w:tcPr>
          <w:p w:rsidR="00406249" w:rsidRPr="003D7257" w:rsidRDefault="00406249" w:rsidP="00406249">
            <w:pPr>
              <w:spacing w:after="0" w:line="240" w:lineRule="auto"/>
              <w:jc w:val="center"/>
              <w:rPr>
                <w:rFonts w:ascii="Calibri" w:eastAsia="Times New Roman" w:hAnsi="Calibri" w:cs="Arial"/>
                <w:b/>
                <w:bCs/>
                <w:sz w:val="20"/>
                <w:szCs w:val="20"/>
                <w:lang w:eastAsia="es-MX"/>
              </w:rPr>
            </w:pPr>
          </w:p>
        </w:tc>
        <w:tc>
          <w:tcPr>
            <w:tcW w:w="1291" w:type="dxa"/>
            <w:tcBorders>
              <w:top w:val="nil"/>
              <w:left w:val="nil"/>
              <w:bottom w:val="nil"/>
              <w:right w:val="nil"/>
            </w:tcBorders>
            <w:shd w:val="clear" w:color="auto" w:fill="auto"/>
            <w:vAlign w:val="bottom"/>
            <w:hideMark/>
          </w:tcPr>
          <w:p w:rsidR="00406249" w:rsidRPr="003D7257" w:rsidRDefault="00406249" w:rsidP="00406249">
            <w:pPr>
              <w:spacing w:after="0" w:line="240" w:lineRule="auto"/>
              <w:jc w:val="center"/>
              <w:rPr>
                <w:rFonts w:ascii="Calibri" w:eastAsia="Times New Roman" w:hAnsi="Calibri" w:cs="Arial"/>
                <w:b/>
                <w:bCs/>
                <w:sz w:val="20"/>
                <w:szCs w:val="20"/>
                <w:lang w:eastAsia="es-MX"/>
              </w:rPr>
            </w:pPr>
          </w:p>
        </w:tc>
        <w:tc>
          <w:tcPr>
            <w:tcW w:w="1233" w:type="dxa"/>
            <w:tcBorders>
              <w:top w:val="nil"/>
              <w:left w:val="nil"/>
              <w:bottom w:val="nil"/>
              <w:right w:val="nil"/>
            </w:tcBorders>
            <w:shd w:val="clear" w:color="auto" w:fill="auto"/>
            <w:vAlign w:val="bottom"/>
            <w:hideMark/>
          </w:tcPr>
          <w:p w:rsidR="00406249" w:rsidRPr="003D7257" w:rsidRDefault="00406249" w:rsidP="00406249">
            <w:pPr>
              <w:spacing w:after="0" w:line="240" w:lineRule="auto"/>
              <w:jc w:val="center"/>
              <w:rPr>
                <w:rFonts w:ascii="Calibri" w:eastAsia="Times New Roman" w:hAnsi="Calibri" w:cs="Arial"/>
                <w:b/>
                <w:bCs/>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3D7257"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3D7257" w:rsidRDefault="00406249" w:rsidP="00406249">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3D7257"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255"/>
        </w:trPr>
        <w:tc>
          <w:tcPr>
            <w:tcW w:w="930"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255"/>
        </w:trPr>
        <w:tc>
          <w:tcPr>
            <w:tcW w:w="2781" w:type="dxa"/>
            <w:gridSpan w:val="4"/>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1.- Introducción</w:t>
            </w:r>
          </w:p>
        </w:tc>
        <w:tc>
          <w:tcPr>
            <w:tcW w:w="92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690"/>
        </w:trPr>
        <w:tc>
          <w:tcPr>
            <w:tcW w:w="12578" w:type="dxa"/>
            <w:gridSpan w:val="14"/>
            <w:tcBorders>
              <w:top w:val="nil"/>
              <w:left w:val="nil"/>
              <w:bottom w:val="nil"/>
              <w:right w:val="nil"/>
            </w:tcBorders>
            <w:shd w:val="clear" w:color="auto" w:fill="auto"/>
            <w:vAlign w:val="bottom"/>
            <w:hideMark/>
          </w:tcPr>
          <w:p w:rsidR="00406249" w:rsidRPr="00406249" w:rsidRDefault="00406249" w:rsidP="00406249">
            <w:pPr>
              <w:spacing w:after="0" w:line="240" w:lineRule="auto"/>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El Instituto Tecnológico Superior del Sur del Estado de Yucatán (ITSSY), es un Organismo Público Descentralizado del Gobierno del Estado, con personalidad jurídica y patrimonio propios, con domicilio en el Municipio de </w:t>
            </w:r>
            <w:proofErr w:type="spellStart"/>
            <w:r w:rsidRPr="00406249">
              <w:rPr>
                <w:rFonts w:ascii="Calibri" w:eastAsia="Times New Roman" w:hAnsi="Calibri" w:cs="Arial"/>
                <w:sz w:val="20"/>
                <w:szCs w:val="20"/>
                <w:lang w:eastAsia="es-MX"/>
              </w:rPr>
              <w:t>Oxkutzcab</w:t>
            </w:r>
            <w:proofErr w:type="spellEnd"/>
            <w:r w:rsidRPr="00406249">
              <w:rPr>
                <w:rFonts w:ascii="Calibri" w:eastAsia="Times New Roman" w:hAnsi="Calibri" w:cs="Arial"/>
                <w:sz w:val="20"/>
                <w:szCs w:val="20"/>
                <w:lang w:eastAsia="es-MX"/>
              </w:rPr>
              <w:t>, Yucatán. Creado a través del Decreto Número 162, a los cinco días del mes de octubre de mil novecientos noventa y ocho.</w:t>
            </w:r>
          </w:p>
        </w:tc>
      </w:tr>
      <w:tr w:rsidR="00406249" w:rsidRPr="00406249" w:rsidTr="00406249">
        <w:trPr>
          <w:trHeight w:val="255"/>
        </w:trPr>
        <w:tc>
          <w:tcPr>
            <w:tcW w:w="3704" w:type="dxa"/>
            <w:gridSpan w:val="5"/>
            <w:tcBorders>
              <w:top w:val="nil"/>
              <w:left w:val="nil"/>
              <w:bottom w:val="nil"/>
              <w:right w:val="nil"/>
            </w:tcBorders>
            <w:shd w:val="clear" w:color="auto" w:fill="auto"/>
            <w:noWrap/>
            <w:vAlign w:val="bottom"/>
            <w:hideMark/>
          </w:tcPr>
          <w:p w:rsidR="00F42DFD" w:rsidRDefault="00F42DFD" w:rsidP="00406249">
            <w:pPr>
              <w:spacing w:after="0" w:line="240" w:lineRule="auto"/>
              <w:rPr>
                <w:rFonts w:ascii="Calibri" w:eastAsia="Times New Roman" w:hAnsi="Calibri" w:cs="Arial"/>
                <w:b/>
                <w:bCs/>
                <w:sz w:val="20"/>
                <w:szCs w:val="20"/>
                <w:lang w:eastAsia="es-MX"/>
              </w:rPr>
            </w:pPr>
          </w:p>
          <w:p w:rsidR="00406249" w:rsidRPr="00406249" w:rsidRDefault="00406249" w:rsidP="00406249">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 xml:space="preserve">2.- Panorama Económico y Financiero </w:t>
            </w:r>
          </w:p>
        </w:tc>
        <w:tc>
          <w:tcPr>
            <w:tcW w:w="921"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1185"/>
        </w:trPr>
        <w:tc>
          <w:tcPr>
            <w:tcW w:w="12578" w:type="dxa"/>
            <w:gridSpan w:val="14"/>
            <w:tcBorders>
              <w:top w:val="nil"/>
              <w:left w:val="nil"/>
              <w:bottom w:val="nil"/>
              <w:right w:val="nil"/>
            </w:tcBorders>
            <w:shd w:val="clear" w:color="auto" w:fill="auto"/>
            <w:vAlign w:val="bottom"/>
            <w:hideMark/>
          </w:tcPr>
          <w:p w:rsidR="00406249" w:rsidRDefault="00406249" w:rsidP="00406249">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La normatividad observada por el Instituto Tecnológico Superior del Sur del Estado de Yucatán es correspondiente a las fuentes de financiamiento siguientes:</w:t>
            </w:r>
            <w:r w:rsidRPr="00406249">
              <w:rPr>
                <w:rFonts w:ascii="Calibri" w:eastAsia="Times New Roman" w:hAnsi="Calibri" w:cs="Arial"/>
                <w:sz w:val="20"/>
                <w:szCs w:val="20"/>
                <w:lang w:eastAsia="es-MX"/>
              </w:rPr>
              <w:br/>
              <w:t>*Recursos Federales</w:t>
            </w:r>
            <w:r w:rsidRPr="00406249">
              <w:rPr>
                <w:rFonts w:ascii="Calibri" w:eastAsia="Times New Roman" w:hAnsi="Calibri" w:cs="Arial"/>
                <w:sz w:val="20"/>
                <w:szCs w:val="20"/>
                <w:lang w:eastAsia="es-MX"/>
              </w:rPr>
              <w:br/>
              <w:t>*Recursos Estatales</w:t>
            </w:r>
            <w:r w:rsidRPr="00406249">
              <w:rPr>
                <w:rFonts w:ascii="Calibri" w:eastAsia="Times New Roman" w:hAnsi="Calibri" w:cs="Arial"/>
                <w:sz w:val="20"/>
                <w:szCs w:val="20"/>
                <w:lang w:eastAsia="es-MX"/>
              </w:rPr>
              <w:br/>
              <w:t>*Ingresos propios</w:t>
            </w:r>
          </w:p>
          <w:p w:rsidR="00E73FCC" w:rsidRPr="00406249" w:rsidRDefault="00E73FCC" w:rsidP="00406249">
            <w:pPr>
              <w:spacing w:after="0" w:line="240" w:lineRule="auto"/>
              <w:rPr>
                <w:rFonts w:ascii="Calibri" w:eastAsia="Times New Roman" w:hAnsi="Calibri" w:cs="Arial"/>
                <w:sz w:val="20"/>
                <w:szCs w:val="20"/>
                <w:lang w:eastAsia="es-MX"/>
              </w:rPr>
            </w:pPr>
          </w:p>
        </w:tc>
      </w:tr>
      <w:tr w:rsidR="00406249" w:rsidRPr="00406249" w:rsidTr="00406249">
        <w:trPr>
          <w:trHeight w:val="255"/>
        </w:trPr>
        <w:tc>
          <w:tcPr>
            <w:tcW w:w="930"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255"/>
        </w:trPr>
        <w:tc>
          <w:tcPr>
            <w:tcW w:w="3704" w:type="dxa"/>
            <w:gridSpan w:val="5"/>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 xml:space="preserve"> 3.- Autorización e Historia </w:t>
            </w:r>
          </w:p>
        </w:tc>
        <w:tc>
          <w:tcPr>
            <w:tcW w:w="921" w:type="dxa"/>
            <w:gridSpan w:val="2"/>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20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1200"/>
        </w:trPr>
        <w:tc>
          <w:tcPr>
            <w:tcW w:w="12578" w:type="dxa"/>
            <w:gridSpan w:val="14"/>
            <w:tcBorders>
              <w:top w:val="nil"/>
              <w:left w:val="nil"/>
              <w:bottom w:val="nil"/>
              <w:right w:val="nil"/>
            </w:tcBorders>
            <w:shd w:val="clear" w:color="auto" w:fill="auto"/>
            <w:vAlign w:val="bottom"/>
            <w:hideMark/>
          </w:tcPr>
          <w:p w:rsidR="00406249" w:rsidRPr="00406249" w:rsidRDefault="00406249" w:rsidP="00406249">
            <w:pPr>
              <w:spacing w:after="0" w:line="240" w:lineRule="auto"/>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 xml:space="preserve">El Instituto Tecnológico Superior del Sur del Estado de Yucatán (ITSSY), es un Organismo Público Descentralizado del Gobierno del Estado, con personalidad jurídica y patrimonio propios, con domicilio en el Municipio de </w:t>
            </w:r>
            <w:proofErr w:type="spellStart"/>
            <w:r w:rsidRPr="00406249">
              <w:rPr>
                <w:rFonts w:ascii="Calibri" w:eastAsia="Times New Roman" w:hAnsi="Calibri" w:cs="Arial"/>
                <w:sz w:val="20"/>
                <w:szCs w:val="20"/>
                <w:lang w:eastAsia="es-MX"/>
              </w:rPr>
              <w:t>Oxkutzcab</w:t>
            </w:r>
            <w:proofErr w:type="spellEnd"/>
            <w:r w:rsidRPr="00406249">
              <w:rPr>
                <w:rFonts w:ascii="Calibri" w:eastAsia="Times New Roman" w:hAnsi="Calibri" w:cs="Arial"/>
                <w:sz w:val="20"/>
                <w:szCs w:val="20"/>
                <w:lang w:eastAsia="es-MX"/>
              </w:rPr>
              <w:t xml:space="preserve">, Yucatán. Creado a través del Decreto Número 162, a los cinco días del mes de octubre de mil novecientos noventa y ocho, mismo que fue reformado el 14 de julio de 2005 mediante el decreto 598 publicado en el Diario oficial del Gobierno de Yucatán. En 18 de febrero de 2016 se publicó en el Diario Oficial del Gobierno del Estado de Yucatán, el decreto 345/2016, el cual modifica el decreto 162/1998. </w:t>
            </w:r>
          </w:p>
        </w:tc>
      </w:tr>
    </w:tbl>
    <w:p w:rsidR="0074280B" w:rsidRDefault="0074280B" w:rsidP="00406249">
      <w:pPr>
        <w:jc w:val="both"/>
        <w:rPr>
          <w:rFonts w:ascii="Calibri" w:eastAsia="Times New Roman" w:hAnsi="Calibri" w:cs="Arial"/>
          <w:b/>
          <w:bCs/>
          <w:sz w:val="20"/>
          <w:szCs w:val="20"/>
          <w:lang w:eastAsia="es-MX"/>
        </w:rPr>
      </w:pPr>
    </w:p>
    <w:p w:rsidR="006D33C0" w:rsidRDefault="006D33C0" w:rsidP="00406249">
      <w:pPr>
        <w:jc w:val="both"/>
        <w:rPr>
          <w:rFonts w:ascii="Calibri" w:eastAsia="Times New Roman" w:hAnsi="Calibri" w:cs="Arial"/>
          <w:b/>
          <w:bCs/>
          <w:sz w:val="20"/>
          <w:szCs w:val="20"/>
          <w:lang w:eastAsia="es-MX"/>
        </w:rPr>
      </w:pPr>
    </w:p>
    <w:p w:rsidR="006D33C0" w:rsidRDefault="006D33C0" w:rsidP="00406249">
      <w:pPr>
        <w:jc w:val="both"/>
        <w:rPr>
          <w:rFonts w:ascii="Calibri" w:eastAsia="Times New Roman" w:hAnsi="Calibri" w:cs="Arial"/>
          <w:b/>
          <w:bCs/>
          <w:sz w:val="20"/>
          <w:szCs w:val="20"/>
          <w:lang w:eastAsia="es-MX"/>
        </w:rPr>
      </w:pPr>
    </w:p>
    <w:p w:rsidR="00406249" w:rsidRDefault="00406249" w:rsidP="00406249">
      <w:pPr>
        <w:jc w:val="both"/>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lastRenderedPageBreak/>
        <w:t>4.- Organización y Objeto Social</w:t>
      </w:r>
    </w:p>
    <w:p w:rsidR="00406249" w:rsidRDefault="00406249" w:rsidP="00406249">
      <w:pPr>
        <w:jc w:val="both"/>
        <w:rPr>
          <w:rFonts w:ascii="Calibri" w:eastAsia="Times New Roman" w:hAnsi="Calibri" w:cs="Arial"/>
          <w:sz w:val="20"/>
          <w:szCs w:val="20"/>
          <w:lang w:eastAsia="es-MX"/>
        </w:rPr>
      </w:pPr>
      <w:r w:rsidRPr="00406249">
        <w:rPr>
          <w:rFonts w:ascii="Calibri" w:eastAsia="Times New Roman" w:hAnsi="Calibri" w:cs="Arial"/>
          <w:sz w:val="20"/>
          <w:szCs w:val="20"/>
          <w:lang w:eastAsia="es-MX"/>
        </w:rPr>
        <w:t>La entidad cuenta con personalidad jurídica y patrimonio propio, su objeto es la atención de alumnos egresados de bachillerato y regulares por los servicios del Instituto, formando profesionistas, profesores e Investigadores así como colaborar con los sectores público, privado y social en la consolidación del desarrollo tecnológico y social de la región sur del Estado de Yucatán, sus obligaciones fiscales son las siguientes:</w:t>
      </w:r>
      <w:r w:rsidRPr="00406249">
        <w:rPr>
          <w:rFonts w:ascii="Calibri" w:eastAsia="Times New Roman" w:hAnsi="Calibri" w:cs="Arial"/>
          <w:sz w:val="20"/>
          <w:szCs w:val="20"/>
          <w:lang w:eastAsia="es-MX"/>
        </w:rPr>
        <w:br/>
      </w:r>
    </w:p>
    <w:p w:rsidR="00406249" w:rsidRDefault="00406249" w:rsidP="00406249">
      <w:pPr>
        <w:rPr>
          <w:rFonts w:ascii="Calibri" w:eastAsia="Times New Roman" w:hAnsi="Calibri" w:cs="Arial"/>
          <w:sz w:val="20"/>
          <w:szCs w:val="20"/>
          <w:lang w:eastAsia="es-MX"/>
        </w:rPr>
      </w:pPr>
      <w:r w:rsidRPr="00406249">
        <w:rPr>
          <w:rFonts w:ascii="Calibri" w:eastAsia="Times New Roman" w:hAnsi="Calibri" w:cs="Arial"/>
          <w:sz w:val="20"/>
          <w:szCs w:val="20"/>
          <w:lang w:eastAsia="es-MX"/>
        </w:rPr>
        <w:t>Presentar declaración y pago provisional mensual de retenciones de Impuesto Sobre la Renta (ISR) por Sueldos y Salarios.</w:t>
      </w:r>
      <w:r w:rsidRPr="00406249">
        <w:rPr>
          <w:rFonts w:ascii="Calibri" w:eastAsia="Times New Roman" w:hAnsi="Calibri" w:cs="Arial"/>
          <w:sz w:val="20"/>
          <w:szCs w:val="20"/>
          <w:lang w:eastAsia="es-MX"/>
        </w:rPr>
        <w:br/>
        <w:t>Presentar la declaración anual de impuesto Sobre la Renta (ISR) donde informe sobre los pagos y retenciones de servicios profesionales (Personas morales).</w:t>
      </w:r>
      <w:r w:rsidRPr="00406249">
        <w:rPr>
          <w:rFonts w:ascii="Calibri" w:eastAsia="Times New Roman" w:hAnsi="Calibri" w:cs="Arial"/>
          <w:sz w:val="20"/>
          <w:szCs w:val="20"/>
          <w:lang w:eastAsia="es-MX"/>
        </w:rPr>
        <w:br/>
        <w:t>Presentar la declaración anual donde se informe sobre las retenciones de los trabajadores que recibieron sueldos y salarios y trabajadores asimilados a salarios.</w:t>
      </w:r>
      <w:r w:rsidRPr="00406249">
        <w:rPr>
          <w:rFonts w:ascii="Calibri" w:eastAsia="Times New Roman" w:hAnsi="Calibri" w:cs="Arial"/>
          <w:sz w:val="20"/>
          <w:szCs w:val="20"/>
          <w:lang w:eastAsia="es-MX"/>
        </w:rPr>
        <w:br/>
        <w:t>Presentar la declaración y pago provisional mensual del Impuesto Sobre la Renta (ISR) por las retenciones realizadas a los trabajadores asimilados a salarios.</w:t>
      </w:r>
      <w:r w:rsidRPr="00406249">
        <w:rPr>
          <w:rFonts w:ascii="Calibri" w:eastAsia="Times New Roman" w:hAnsi="Calibri" w:cs="Arial"/>
          <w:sz w:val="20"/>
          <w:szCs w:val="20"/>
          <w:lang w:eastAsia="es-MX"/>
        </w:rPr>
        <w:br/>
        <w:t>Presentar la declaración y pago provisional mensual del Impuesto Sobre la Renta (ISR) por  las retenciones realizadas por servicios profesionales.</w:t>
      </w:r>
      <w:r w:rsidRPr="00406249">
        <w:rPr>
          <w:rFonts w:ascii="Calibri" w:eastAsia="Times New Roman" w:hAnsi="Calibri" w:cs="Arial"/>
          <w:sz w:val="20"/>
          <w:szCs w:val="20"/>
          <w:lang w:eastAsia="es-MX"/>
        </w:rPr>
        <w:br/>
        <w:t>Presentar la declaración informativa anual del Subsidio para el Empleo.</w:t>
      </w:r>
      <w:r w:rsidRPr="00406249">
        <w:rPr>
          <w:rFonts w:ascii="Calibri" w:eastAsia="Times New Roman" w:hAnsi="Calibri" w:cs="Arial"/>
          <w:sz w:val="20"/>
          <w:szCs w:val="20"/>
          <w:lang w:eastAsia="es-MX"/>
        </w:rPr>
        <w:br/>
        <w:t>La estructura organizacional básica autorizada se encuentra de la siguiente manera:</w:t>
      </w:r>
    </w:p>
    <w:p w:rsidR="0074280B" w:rsidRDefault="0074280B" w:rsidP="00406249">
      <w:pPr>
        <w:rPr>
          <w:rFonts w:ascii="Calibri" w:eastAsia="Times New Roman" w:hAnsi="Calibri" w:cs="Arial"/>
          <w:sz w:val="20"/>
          <w:szCs w:val="20"/>
          <w:lang w:eastAsia="es-MX"/>
        </w:rPr>
      </w:pPr>
    </w:p>
    <w:p w:rsidR="0074280B" w:rsidRDefault="0074280B" w:rsidP="00406249">
      <w:pPr>
        <w:rPr>
          <w:rFonts w:ascii="Calibri" w:eastAsia="Times New Roman" w:hAnsi="Calibri" w:cs="Arial"/>
          <w:sz w:val="20"/>
          <w:szCs w:val="20"/>
          <w:lang w:eastAsia="es-MX"/>
        </w:rPr>
      </w:pPr>
    </w:p>
    <w:p w:rsidR="0074280B" w:rsidRDefault="0074280B" w:rsidP="00406249">
      <w:pPr>
        <w:rPr>
          <w:rFonts w:ascii="Calibri" w:eastAsia="Times New Roman" w:hAnsi="Calibri" w:cs="Arial"/>
          <w:sz w:val="20"/>
          <w:szCs w:val="20"/>
          <w:lang w:eastAsia="es-MX"/>
        </w:rPr>
      </w:pPr>
    </w:p>
    <w:p w:rsidR="00EF743A" w:rsidRDefault="00EF743A" w:rsidP="00406249">
      <w:pPr>
        <w:rPr>
          <w:rFonts w:ascii="Calibri" w:eastAsia="Times New Roman" w:hAnsi="Calibri" w:cs="Arial"/>
          <w:sz w:val="20"/>
          <w:szCs w:val="20"/>
          <w:lang w:eastAsia="es-MX"/>
        </w:rPr>
      </w:pPr>
    </w:p>
    <w:p w:rsidR="00EF743A" w:rsidRDefault="00EF743A" w:rsidP="00406249">
      <w:pPr>
        <w:rPr>
          <w:rFonts w:ascii="Calibri" w:eastAsia="Times New Roman" w:hAnsi="Calibri" w:cs="Arial"/>
          <w:sz w:val="20"/>
          <w:szCs w:val="20"/>
          <w:lang w:eastAsia="es-MX"/>
        </w:rPr>
      </w:pPr>
    </w:p>
    <w:p w:rsidR="00EF743A" w:rsidRDefault="00EF743A" w:rsidP="00406249">
      <w:pPr>
        <w:rPr>
          <w:rFonts w:ascii="Calibri" w:eastAsia="Times New Roman" w:hAnsi="Calibri" w:cs="Arial"/>
          <w:sz w:val="20"/>
          <w:szCs w:val="20"/>
          <w:lang w:eastAsia="es-MX"/>
        </w:rPr>
      </w:pPr>
    </w:p>
    <w:p w:rsidR="00EF743A" w:rsidRDefault="00EF743A" w:rsidP="00406249">
      <w:pPr>
        <w:rPr>
          <w:rFonts w:ascii="Calibri" w:eastAsia="Times New Roman" w:hAnsi="Calibri" w:cs="Arial"/>
          <w:sz w:val="20"/>
          <w:szCs w:val="20"/>
          <w:lang w:eastAsia="es-MX"/>
        </w:rPr>
      </w:pPr>
    </w:p>
    <w:p w:rsidR="00EF743A" w:rsidRDefault="00EF743A" w:rsidP="00406249">
      <w:pPr>
        <w:rPr>
          <w:rFonts w:ascii="Calibri" w:eastAsia="Times New Roman" w:hAnsi="Calibri" w:cs="Arial"/>
          <w:sz w:val="20"/>
          <w:szCs w:val="20"/>
          <w:lang w:eastAsia="es-MX"/>
        </w:rPr>
      </w:pPr>
    </w:p>
    <w:p w:rsidR="009F4E55" w:rsidRDefault="006D33C0" w:rsidP="00406249">
      <w:pPr>
        <w:rPr>
          <w:rFonts w:ascii="Calibri" w:eastAsia="Times New Roman" w:hAnsi="Calibri" w:cs="Arial"/>
          <w:sz w:val="20"/>
          <w:szCs w:val="20"/>
          <w:lang w:eastAsia="es-MX"/>
        </w:rPr>
      </w:pPr>
      <w:r w:rsidRPr="00A65169">
        <w:rPr>
          <w:rFonts w:eastAsia="Times New Roman" w:cs="Arial"/>
          <w:noProof/>
          <w:sz w:val="20"/>
          <w:szCs w:val="20"/>
          <w:lang w:eastAsia="es-MX"/>
        </w:rPr>
        <w:lastRenderedPageBreak/>
        <w:drawing>
          <wp:anchor distT="0" distB="0" distL="114300" distR="114300" simplePos="0" relativeHeight="251661312" behindDoc="0" locked="0" layoutInCell="1" allowOverlap="1" wp14:anchorId="0EEAB89B" wp14:editId="5DB8CEC6">
            <wp:simplePos x="0" y="0"/>
            <wp:positionH relativeFrom="column">
              <wp:posOffset>-537210</wp:posOffset>
            </wp:positionH>
            <wp:positionV relativeFrom="paragraph">
              <wp:posOffset>-81915</wp:posOffset>
            </wp:positionV>
            <wp:extent cx="9172575" cy="4886325"/>
            <wp:effectExtent l="0" t="0" r="9525" b="9525"/>
            <wp:wrapNone/>
            <wp:docPr id="63294" name="Imagen 63294"/>
            <wp:cNvGraphicFramePr/>
            <a:graphic xmlns:a="http://schemas.openxmlformats.org/drawingml/2006/main">
              <a:graphicData uri="http://schemas.openxmlformats.org/drawingml/2006/picture">
                <pic:pic xmlns:pic="http://schemas.openxmlformats.org/drawingml/2006/picture">
                  <pic:nvPicPr>
                    <pic:cNvPr id="63294" name="2 Image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2575" cy="48863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9F4E55" w:rsidRDefault="009F4E55" w:rsidP="00406249">
      <w:pPr>
        <w:rPr>
          <w:rFonts w:ascii="Calibri" w:eastAsia="Times New Roman" w:hAnsi="Calibri" w:cs="Arial"/>
          <w:sz w:val="20"/>
          <w:szCs w:val="20"/>
          <w:lang w:eastAsia="es-MX"/>
        </w:rPr>
      </w:pPr>
    </w:p>
    <w:p w:rsidR="003D7257" w:rsidRDefault="003D7257" w:rsidP="00406249">
      <w:pPr>
        <w:rPr>
          <w:rFonts w:ascii="Calibri" w:eastAsia="Times New Roman" w:hAnsi="Calibri" w:cs="Arial"/>
          <w:sz w:val="20"/>
          <w:szCs w:val="20"/>
          <w:lang w:eastAsia="es-MX"/>
        </w:rPr>
      </w:pPr>
    </w:p>
    <w:p w:rsidR="003D7257" w:rsidRDefault="003D7257" w:rsidP="00406249">
      <w:pPr>
        <w:rPr>
          <w:rFonts w:ascii="Calibri" w:eastAsia="Times New Roman" w:hAnsi="Calibri" w:cs="Arial"/>
          <w:sz w:val="20"/>
          <w:szCs w:val="20"/>
          <w:lang w:eastAsia="es-MX"/>
        </w:rPr>
      </w:pPr>
    </w:p>
    <w:p w:rsidR="00815DD2" w:rsidRDefault="00815DD2" w:rsidP="00406249">
      <w:pPr>
        <w:rPr>
          <w:rFonts w:ascii="Calibri" w:eastAsia="Times New Roman" w:hAnsi="Calibri" w:cs="Arial"/>
          <w:sz w:val="20"/>
          <w:szCs w:val="20"/>
          <w:lang w:eastAsia="es-MX"/>
        </w:rPr>
      </w:pPr>
    </w:p>
    <w:p w:rsidR="00406249" w:rsidRDefault="00406249" w:rsidP="00406249">
      <w:pPr>
        <w:rPr>
          <w:rFonts w:ascii="Calibri" w:eastAsia="Times New Roman" w:hAnsi="Calibri" w:cs="Arial"/>
          <w:sz w:val="20"/>
          <w:szCs w:val="20"/>
          <w:lang w:eastAsia="es-MX"/>
        </w:rPr>
      </w:pPr>
    </w:p>
    <w:p w:rsidR="00406249" w:rsidRDefault="00406249" w:rsidP="00406249">
      <w:pPr>
        <w:rPr>
          <w:sz w:val="20"/>
          <w:szCs w:val="20"/>
        </w:rPr>
      </w:pPr>
    </w:p>
    <w:p w:rsidR="00406249" w:rsidRPr="00406249" w:rsidRDefault="00406249" w:rsidP="00406249">
      <w:pPr>
        <w:rPr>
          <w:sz w:val="20"/>
          <w:szCs w:val="20"/>
        </w:rPr>
      </w:pPr>
    </w:p>
    <w:p w:rsidR="00406249" w:rsidRDefault="00406249" w:rsidP="00406249">
      <w:pPr>
        <w:jc w:val="both"/>
        <w:rPr>
          <w:sz w:val="20"/>
          <w:szCs w:val="20"/>
        </w:rPr>
      </w:pPr>
    </w:p>
    <w:p w:rsidR="00406249" w:rsidRPr="00406249" w:rsidRDefault="00406249" w:rsidP="00406249">
      <w:pPr>
        <w:rPr>
          <w:sz w:val="20"/>
          <w:szCs w:val="20"/>
        </w:rPr>
      </w:pPr>
    </w:p>
    <w:p w:rsidR="00406249" w:rsidRPr="00406249" w:rsidRDefault="00406249" w:rsidP="00406249">
      <w:pPr>
        <w:rPr>
          <w:sz w:val="20"/>
          <w:szCs w:val="20"/>
        </w:rPr>
      </w:pPr>
    </w:p>
    <w:p w:rsidR="00406249" w:rsidRDefault="00406249" w:rsidP="00406249">
      <w:pPr>
        <w:rPr>
          <w:sz w:val="20"/>
          <w:szCs w:val="20"/>
        </w:rPr>
      </w:pPr>
    </w:p>
    <w:p w:rsidR="009F4E55" w:rsidRDefault="009F4E55" w:rsidP="00406249">
      <w:pPr>
        <w:rPr>
          <w:sz w:val="20"/>
          <w:szCs w:val="20"/>
        </w:rPr>
      </w:pPr>
    </w:p>
    <w:p w:rsidR="009F4E55" w:rsidRDefault="009F4E55" w:rsidP="00406249">
      <w:pPr>
        <w:rPr>
          <w:sz w:val="20"/>
          <w:szCs w:val="20"/>
        </w:rPr>
      </w:pPr>
    </w:p>
    <w:p w:rsidR="009F4E55" w:rsidRDefault="009F4E55" w:rsidP="00406249">
      <w:pPr>
        <w:rPr>
          <w:sz w:val="20"/>
          <w:szCs w:val="20"/>
        </w:rPr>
      </w:pPr>
    </w:p>
    <w:p w:rsidR="009F4E55" w:rsidRDefault="009F4E55" w:rsidP="00406249">
      <w:pPr>
        <w:rPr>
          <w:sz w:val="20"/>
          <w:szCs w:val="20"/>
        </w:rPr>
      </w:pPr>
    </w:p>
    <w:p w:rsidR="009F4E55" w:rsidRDefault="009F4E55" w:rsidP="00406249">
      <w:pPr>
        <w:rPr>
          <w:sz w:val="20"/>
          <w:szCs w:val="20"/>
        </w:rPr>
      </w:pPr>
      <w:bookmarkStart w:id="0" w:name="_GoBack"/>
      <w:bookmarkEnd w:id="0"/>
    </w:p>
    <w:p w:rsidR="00E73FCC" w:rsidRPr="00406249" w:rsidRDefault="00E73FCC" w:rsidP="00406249">
      <w:pPr>
        <w:rPr>
          <w:sz w:val="20"/>
          <w:szCs w:val="20"/>
        </w:rPr>
      </w:pPr>
    </w:p>
    <w:tbl>
      <w:tblPr>
        <w:tblW w:w="5000" w:type="pct"/>
        <w:tblCellMar>
          <w:left w:w="70" w:type="dxa"/>
          <w:right w:w="70" w:type="dxa"/>
        </w:tblCellMar>
        <w:tblLook w:val="04A0" w:firstRow="1" w:lastRow="0" w:firstColumn="1" w:lastColumn="0" w:noHBand="0" w:noVBand="1"/>
      </w:tblPr>
      <w:tblGrid>
        <w:gridCol w:w="4963"/>
        <w:gridCol w:w="1300"/>
        <w:gridCol w:w="1393"/>
        <w:gridCol w:w="1377"/>
        <w:gridCol w:w="1314"/>
        <w:gridCol w:w="1267"/>
        <w:gridCol w:w="974"/>
        <w:gridCol w:w="1124"/>
      </w:tblGrid>
      <w:tr w:rsidR="00406249" w:rsidRPr="00406249" w:rsidTr="00815DD2">
        <w:trPr>
          <w:trHeight w:val="255"/>
        </w:trPr>
        <w:tc>
          <w:tcPr>
            <w:tcW w:w="1810"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b/>
                <w:bCs/>
                <w:sz w:val="20"/>
                <w:szCs w:val="20"/>
                <w:lang w:eastAsia="es-MX"/>
              </w:rPr>
            </w:pPr>
            <w:r w:rsidRPr="00406249">
              <w:rPr>
                <w:rFonts w:ascii="Calibri" w:eastAsia="Times New Roman" w:hAnsi="Calibri" w:cs="Arial"/>
                <w:b/>
                <w:bCs/>
                <w:sz w:val="20"/>
                <w:szCs w:val="20"/>
                <w:lang w:eastAsia="es-MX"/>
              </w:rPr>
              <w:t xml:space="preserve">5.- Bases Para Preparación de los Estados Financieros </w:t>
            </w:r>
          </w:p>
        </w:tc>
        <w:tc>
          <w:tcPr>
            <w:tcW w:w="474"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508"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502"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479"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462"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355"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c>
          <w:tcPr>
            <w:tcW w:w="410" w:type="pct"/>
            <w:tcBorders>
              <w:top w:val="nil"/>
              <w:left w:val="nil"/>
              <w:bottom w:val="nil"/>
              <w:right w:val="nil"/>
            </w:tcBorders>
            <w:shd w:val="clear" w:color="auto" w:fill="auto"/>
            <w:noWrap/>
            <w:vAlign w:val="bottom"/>
            <w:hideMark/>
          </w:tcPr>
          <w:p w:rsidR="00406249" w:rsidRPr="00406249" w:rsidRDefault="00406249" w:rsidP="00406249">
            <w:pPr>
              <w:spacing w:after="0" w:line="240" w:lineRule="auto"/>
              <w:rPr>
                <w:rFonts w:ascii="Calibri" w:eastAsia="Times New Roman" w:hAnsi="Calibri" w:cs="Arial"/>
                <w:sz w:val="20"/>
                <w:szCs w:val="20"/>
                <w:lang w:eastAsia="es-MX"/>
              </w:rPr>
            </w:pPr>
          </w:p>
        </w:tc>
      </w:tr>
      <w:tr w:rsidR="00406249" w:rsidRPr="00406249" w:rsidTr="00406249">
        <w:trPr>
          <w:trHeight w:val="945"/>
        </w:trPr>
        <w:tc>
          <w:tcPr>
            <w:tcW w:w="5000" w:type="pct"/>
            <w:gridSpan w:val="8"/>
            <w:tcBorders>
              <w:top w:val="nil"/>
              <w:left w:val="nil"/>
              <w:bottom w:val="nil"/>
              <w:right w:val="nil"/>
            </w:tcBorders>
            <w:shd w:val="clear" w:color="auto" w:fill="auto"/>
            <w:vAlign w:val="bottom"/>
            <w:hideMark/>
          </w:tcPr>
          <w:p w:rsidR="00815DD2" w:rsidRDefault="00815DD2" w:rsidP="003F2225">
            <w:pPr>
              <w:spacing w:after="0" w:line="240" w:lineRule="auto"/>
              <w:rPr>
                <w:rFonts w:ascii="Calibri" w:eastAsia="Times New Roman" w:hAnsi="Calibri" w:cs="Arial"/>
                <w:sz w:val="20"/>
                <w:szCs w:val="20"/>
                <w:lang w:eastAsia="es-MX"/>
              </w:rPr>
            </w:pPr>
          </w:p>
          <w:p w:rsidR="00406249" w:rsidRPr="00406249" w:rsidRDefault="00406249" w:rsidP="003F2225">
            <w:pPr>
              <w:spacing w:after="0" w:line="240" w:lineRule="auto"/>
              <w:rPr>
                <w:rFonts w:ascii="Calibri" w:eastAsia="Times New Roman" w:hAnsi="Calibri" w:cs="Arial"/>
                <w:sz w:val="20"/>
                <w:szCs w:val="20"/>
                <w:lang w:eastAsia="es-MX"/>
              </w:rPr>
            </w:pPr>
            <w:r w:rsidRPr="00406249">
              <w:rPr>
                <w:rFonts w:ascii="Calibri" w:eastAsia="Times New Roman" w:hAnsi="Calibri" w:cs="Arial"/>
                <w:sz w:val="20"/>
                <w:szCs w:val="20"/>
                <w:lang w:eastAsia="es-MX"/>
              </w:rPr>
              <w:t>Principales Políticas y Prácticas Contables</w:t>
            </w:r>
            <w:r w:rsidRPr="00406249">
              <w:rPr>
                <w:rFonts w:ascii="Calibri" w:eastAsia="Times New Roman" w:hAnsi="Calibri" w:cs="Arial"/>
                <w:sz w:val="20"/>
                <w:szCs w:val="20"/>
                <w:lang w:eastAsia="es-MX"/>
              </w:rPr>
              <w:br/>
              <w:t>La preparación de los estados financieros se realiza dentro de las normas y lineamientos vigentes aplicables de acuerdo al CONAC.</w:t>
            </w:r>
            <w:r w:rsidRPr="00406249">
              <w:rPr>
                <w:rFonts w:ascii="Calibri" w:eastAsia="Times New Roman" w:hAnsi="Calibri" w:cs="Arial"/>
                <w:sz w:val="20"/>
                <w:szCs w:val="20"/>
                <w:lang w:eastAsia="es-MX"/>
              </w:rPr>
              <w:br/>
              <w:t>Se establece que el registro contable de las transacciones de gasto se hará conforme la fecha de su realización, independientemente de su pago, de acuerdo a los postulados básicos emitidos por la CONAC.</w:t>
            </w:r>
          </w:p>
        </w:tc>
      </w:tr>
    </w:tbl>
    <w:p w:rsidR="00406249" w:rsidRDefault="00406249" w:rsidP="00F42DFD">
      <w:pPr>
        <w:spacing w:line="240" w:lineRule="auto"/>
        <w:rPr>
          <w:b/>
          <w:sz w:val="20"/>
          <w:szCs w:val="20"/>
        </w:rPr>
      </w:pPr>
      <w:r w:rsidRPr="00406249">
        <w:rPr>
          <w:b/>
          <w:sz w:val="20"/>
          <w:szCs w:val="20"/>
        </w:rPr>
        <w:t>6.- Políticas de Contabilidad Significativas</w:t>
      </w:r>
    </w:p>
    <w:p w:rsidR="00406249" w:rsidRPr="00406249" w:rsidRDefault="00406249" w:rsidP="00F42DFD">
      <w:pPr>
        <w:spacing w:after="0" w:line="240" w:lineRule="auto"/>
        <w:rPr>
          <w:sz w:val="20"/>
          <w:szCs w:val="20"/>
        </w:rPr>
      </w:pPr>
      <w:r w:rsidRPr="00406249">
        <w:rPr>
          <w:sz w:val="20"/>
          <w:szCs w:val="20"/>
        </w:rPr>
        <w:t>El registro contable se realiza dentro de las normas y lineamientos vigentes aplicables de acuerdo a la CONAC.</w:t>
      </w:r>
    </w:p>
    <w:p w:rsidR="00406249" w:rsidRPr="00406249" w:rsidRDefault="00406249" w:rsidP="00F42DFD">
      <w:pPr>
        <w:spacing w:after="0" w:line="240" w:lineRule="auto"/>
        <w:rPr>
          <w:sz w:val="20"/>
          <w:szCs w:val="20"/>
        </w:rPr>
      </w:pPr>
      <w:r w:rsidRPr="00406249">
        <w:rPr>
          <w:sz w:val="20"/>
          <w:szCs w:val="20"/>
        </w:rPr>
        <w:t>Los productos financieros corresponden a los intereses de las inversiones bancarias por economías de ejercicios anteriores e incrementan el valor de las mismas, por lo que se consideran el comparativo presupuestal hasta el momento en que se aplican las economías incrementando el presupuesto original aprobado en el ejercicio.</w:t>
      </w:r>
    </w:p>
    <w:p w:rsidR="00406249" w:rsidRPr="00406249" w:rsidRDefault="00406249" w:rsidP="009D4885">
      <w:pPr>
        <w:spacing w:after="0" w:line="240" w:lineRule="auto"/>
        <w:rPr>
          <w:sz w:val="20"/>
          <w:szCs w:val="20"/>
        </w:rPr>
      </w:pPr>
      <w:r w:rsidRPr="00406249">
        <w:rPr>
          <w:sz w:val="20"/>
          <w:szCs w:val="20"/>
        </w:rPr>
        <w:t>Las economías de ejercicios anteriores se utilizan atendiendo a las necesidades de la institución y a la inversión en bienes autorizada.</w:t>
      </w:r>
    </w:p>
    <w:p w:rsidR="00406249" w:rsidRPr="00406249" w:rsidRDefault="00406249" w:rsidP="009D4885">
      <w:pPr>
        <w:spacing w:after="0" w:line="240" w:lineRule="auto"/>
        <w:rPr>
          <w:sz w:val="20"/>
          <w:szCs w:val="20"/>
        </w:rPr>
      </w:pPr>
      <w:r w:rsidRPr="00406249">
        <w:rPr>
          <w:sz w:val="20"/>
          <w:szCs w:val="20"/>
        </w:rPr>
        <w:t xml:space="preserve">Los intereses generados en el ejercicio presupuestal correspondiente a un ejercicio, se registran mensualmente en las cuentas contables y presupuestales; su traspaso en efectivo a la cuenta corriente se realiza en el primer mes del ejercicio inmediato siguiente. </w:t>
      </w:r>
    </w:p>
    <w:p w:rsidR="00406249" w:rsidRPr="00406249" w:rsidRDefault="00406249" w:rsidP="009D4885">
      <w:pPr>
        <w:spacing w:after="0" w:line="240" w:lineRule="auto"/>
        <w:rPr>
          <w:sz w:val="20"/>
          <w:szCs w:val="20"/>
        </w:rPr>
      </w:pPr>
      <w:r w:rsidRPr="00406249">
        <w:rPr>
          <w:sz w:val="20"/>
          <w:szCs w:val="20"/>
        </w:rPr>
        <w:t>El control presupuestal es continuo acorde con el programa de operación anual. Los excedentes a favor que surgen cada mes se aplicaran en los meses subsecuentes atendiendo las necesidades de la operación del instituto.</w:t>
      </w:r>
    </w:p>
    <w:p w:rsidR="00406249" w:rsidRPr="00406249" w:rsidRDefault="00406249" w:rsidP="009D4885">
      <w:pPr>
        <w:spacing w:after="0" w:line="240" w:lineRule="auto"/>
        <w:rPr>
          <w:sz w:val="20"/>
          <w:szCs w:val="20"/>
        </w:rPr>
      </w:pPr>
      <w:r w:rsidRPr="00406249">
        <w:rPr>
          <w:sz w:val="20"/>
          <w:szCs w:val="20"/>
        </w:rPr>
        <w:t xml:space="preserve">Se realiza el registro de los pasivos contingentes correspondiente al mes de </w:t>
      </w:r>
      <w:r w:rsidR="00514F51">
        <w:rPr>
          <w:sz w:val="20"/>
          <w:szCs w:val="20"/>
        </w:rPr>
        <w:t xml:space="preserve">Marzo </w:t>
      </w:r>
      <w:r w:rsidRPr="00406249">
        <w:rPr>
          <w:sz w:val="20"/>
          <w:szCs w:val="20"/>
        </w:rPr>
        <w:t>2017.</w:t>
      </w:r>
    </w:p>
    <w:p w:rsidR="003F2225" w:rsidRDefault="00406249" w:rsidP="009D4885">
      <w:pPr>
        <w:spacing w:after="0" w:line="240" w:lineRule="auto"/>
        <w:rPr>
          <w:sz w:val="20"/>
          <w:szCs w:val="20"/>
        </w:rPr>
      </w:pPr>
      <w:r w:rsidRPr="00406249">
        <w:rPr>
          <w:sz w:val="20"/>
          <w:szCs w:val="20"/>
        </w:rPr>
        <w:t xml:space="preserve">Se ejerce recurso correspondiente al proyecto Fundación </w:t>
      </w:r>
      <w:proofErr w:type="spellStart"/>
      <w:proofErr w:type="gramStart"/>
      <w:r w:rsidRPr="00406249">
        <w:rPr>
          <w:sz w:val="20"/>
          <w:szCs w:val="20"/>
        </w:rPr>
        <w:t>Kellogs</w:t>
      </w:r>
      <w:proofErr w:type="spellEnd"/>
      <w:r w:rsidRPr="00406249">
        <w:rPr>
          <w:sz w:val="20"/>
          <w:szCs w:val="20"/>
        </w:rPr>
        <w:t xml:space="preserve"> ,</w:t>
      </w:r>
      <w:proofErr w:type="gramEnd"/>
      <w:r w:rsidRPr="00406249">
        <w:rPr>
          <w:sz w:val="20"/>
          <w:szCs w:val="20"/>
        </w:rPr>
        <w:t xml:space="preserve"> así mismo se presenta a continuación el análisis del gasto del proyecto </w:t>
      </w:r>
      <w:r w:rsidR="00514F51">
        <w:rPr>
          <w:sz w:val="20"/>
          <w:szCs w:val="20"/>
        </w:rPr>
        <w:t>al 31</w:t>
      </w:r>
      <w:r w:rsidR="003F2225">
        <w:rPr>
          <w:sz w:val="20"/>
          <w:szCs w:val="20"/>
        </w:rPr>
        <w:t xml:space="preserve"> de </w:t>
      </w:r>
      <w:r w:rsidR="00514F51">
        <w:rPr>
          <w:sz w:val="20"/>
          <w:szCs w:val="20"/>
        </w:rPr>
        <w:t xml:space="preserve">Marzo </w:t>
      </w:r>
      <w:r w:rsidRPr="00406249">
        <w:rPr>
          <w:sz w:val="20"/>
          <w:szCs w:val="20"/>
        </w:rPr>
        <w:t>de 2017.</w:t>
      </w:r>
    </w:p>
    <w:p w:rsidR="00815DD2" w:rsidRDefault="00815DD2" w:rsidP="00F42DFD">
      <w:pPr>
        <w:spacing w:after="0" w:line="240" w:lineRule="auto"/>
        <w:rPr>
          <w:b/>
          <w:sz w:val="20"/>
          <w:szCs w:val="20"/>
        </w:rPr>
      </w:pPr>
    </w:p>
    <w:tbl>
      <w:tblPr>
        <w:tblW w:w="11520" w:type="dxa"/>
        <w:tblInd w:w="60" w:type="dxa"/>
        <w:tblCellMar>
          <w:left w:w="70" w:type="dxa"/>
          <w:right w:w="70" w:type="dxa"/>
        </w:tblCellMar>
        <w:tblLook w:val="04A0" w:firstRow="1" w:lastRow="0" w:firstColumn="1" w:lastColumn="0" w:noHBand="0" w:noVBand="1"/>
      </w:tblPr>
      <w:tblGrid>
        <w:gridCol w:w="3860"/>
        <w:gridCol w:w="1840"/>
        <w:gridCol w:w="1420"/>
        <w:gridCol w:w="1200"/>
        <w:gridCol w:w="1560"/>
        <w:gridCol w:w="1640"/>
      </w:tblGrid>
      <w:tr w:rsidR="00514F51" w:rsidRPr="00514F51" w:rsidTr="0074280B">
        <w:trPr>
          <w:trHeight w:val="1221"/>
        </w:trPr>
        <w:tc>
          <w:tcPr>
            <w:tcW w:w="3860"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514F51" w:rsidRPr="00514F51" w:rsidRDefault="00514F51" w:rsidP="00514F51">
            <w:pPr>
              <w:spacing w:after="0" w:line="240" w:lineRule="auto"/>
              <w:jc w:val="center"/>
              <w:rPr>
                <w:rFonts w:ascii="Calibri" w:eastAsia="Times New Roman" w:hAnsi="Calibri" w:cs="Arial"/>
                <w:b/>
                <w:bCs/>
                <w:lang w:eastAsia="es-MX"/>
              </w:rPr>
            </w:pPr>
            <w:r w:rsidRPr="00514F51">
              <w:rPr>
                <w:rFonts w:ascii="Calibri" w:eastAsia="Times New Roman" w:hAnsi="Calibri" w:cs="Arial"/>
                <w:b/>
                <w:bCs/>
                <w:lang w:eastAsia="es-MX"/>
              </w:rPr>
              <w:t>Nombre</w:t>
            </w:r>
          </w:p>
        </w:tc>
        <w:tc>
          <w:tcPr>
            <w:tcW w:w="1840" w:type="dxa"/>
            <w:tcBorders>
              <w:top w:val="single" w:sz="8" w:space="0" w:color="auto"/>
              <w:left w:val="nil"/>
              <w:bottom w:val="single" w:sz="8" w:space="0" w:color="auto"/>
              <w:right w:val="single" w:sz="8" w:space="0" w:color="auto"/>
            </w:tcBorders>
            <w:shd w:val="clear" w:color="000000" w:fill="D8E4BC"/>
            <w:vAlign w:val="center"/>
            <w:hideMark/>
          </w:tcPr>
          <w:p w:rsidR="00514F51" w:rsidRPr="00514F51" w:rsidRDefault="00514F51" w:rsidP="00514F51">
            <w:pPr>
              <w:spacing w:after="0" w:line="240" w:lineRule="auto"/>
              <w:jc w:val="center"/>
              <w:rPr>
                <w:rFonts w:ascii="Calibri" w:eastAsia="Times New Roman" w:hAnsi="Calibri" w:cs="Arial"/>
                <w:b/>
                <w:bCs/>
                <w:lang w:eastAsia="es-MX"/>
              </w:rPr>
            </w:pPr>
            <w:r w:rsidRPr="00514F51">
              <w:rPr>
                <w:rFonts w:ascii="Calibri" w:eastAsia="Times New Roman" w:hAnsi="Calibri" w:cs="Arial"/>
                <w:b/>
                <w:bCs/>
                <w:lang w:eastAsia="es-MX"/>
              </w:rPr>
              <w:t xml:space="preserve">Importe asignado al proyecto </w:t>
            </w:r>
          </w:p>
        </w:tc>
        <w:tc>
          <w:tcPr>
            <w:tcW w:w="1420" w:type="dxa"/>
            <w:tcBorders>
              <w:top w:val="single" w:sz="8" w:space="0" w:color="auto"/>
              <w:left w:val="nil"/>
              <w:bottom w:val="single" w:sz="8" w:space="0" w:color="auto"/>
              <w:right w:val="single" w:sz="8" w:space="0" w:color="auto"/>
            </w:tcBorders>
            <w:shd w:val="clear" w:color="000000" w:fill="D8E4BC"/>
            <w:vAlign w:val="center"/>
            <w:hideMark/>
          </w:tcPr>
          <w:p w:rsidR="00514F51" w:rsidRPr="00514F51" w:rsidRDefault="00514F51" w:rsidP="00514F51">
            <w:pPr>
              <w:spacing w:after="0" w:line="240" w:lineRule="auto"/>
              <w:jc w:val="center"/>
              <w:rPr>
                <w:rFonts w:ascii="Calibri" w:eastAsia="Times New Roman" w:hAnsi="Calibri" w:cs="Arial"/>
                <w:b/>
                <w:bCs/>
                <w:lang w:eastAsia="es-MX"/>
              </w:rPr>
            </w:pPr>
            <w:r w:rsidRPr="00514F51">
              <w:rPr>
                <w:rFonts w:ascii="Calibri" w:eastAsia="Times New Roman" w:hAnsi="Calibri" w:cs="Arial"/>
                <w:b/>
                <w:bCs/>
                <w:lang w:eastAsia="es-MX"/>
              </w:rPr>
              <w:t>Intereses generados al 31 de Marzo de 2017</w:t>
            </w:r>
          </w:p>
        </w:tc>
        <w:tc>
          <w:tcPr>
            <w:tcW w:w="1200" w:type="dxa"/>
            <w:tcBorders>
              <w:top w:val="single" w:sz="8" w:space="0" w:color="auto"/>
              <w:left w:val="nil"/>
              <w:bottom w:val="single" w:sz="8" w:space="0" w:color="auto"/>
              <w:right w:val="single" w:sz="8" w:space="0" w:color="auto"/>
            </w:tcBorders>
            <w:shd w:val="clear" w:color="000000" w:fill="D8E4BC"/>
            <w:vAlign w:val="center"/>
            <w:hideMark/>
          </w:tcPr>
          <w:p w:rsidR="00514F51" w:rsidRPr="00514F51" w:rsidRDefault="00514F51" w:rsidP="00514F51">
            <w:pPr>
              <w:spacing w:after="0" w:line="240" w:lineRule="auto"/>
              <w:jc w:val="center"/>
              <w:rPr>
                <w:rFonts w:ascii="Calibri" w:eastAsia="Times New Roman" w:hAnsi="Calibri" w:cs="Arial"/>
                <w:b/>
                <w:bCs/>
                <w:lang w:eastAsia="es-MX"/>
              </w:rPr>
            </w:pPr>
            <w:r w:rsidRPr="00514F51">
              <w:rPr>
                <w:rFonts w:ascii="Calibri" w:eastAsia="Times New Roman" w:hAnsi="Calibri" w:cs="Arial"/>
                <w:b/>
                <w:bCs/>
                <w:lang w:eastAsia="es-MX"/>
              </w:rPr>
              <w:t xml:space="preserve">Total de Ingresos del Proyecto </w:t>
            </w:r>
            <w:proofErr w:type="spellStart"/>
            <w:r w:rsidRPr="00514F51">
              <w:rPr>
                <w:rFonts w:ascii="Calibri" w:eastAsia="Times New Roman" w:hAnsi="Calibri" w:cs="Arial"/>
                <w:b/>
                <w:bCs/>
                <w:lang w:eastAsia="es-MX"/>
              </w:rPr>
              <w:t>Kellogs</w:t>
            </w:r>
            <w:proofErr w:type="spellEnd"/>
            <w:r w:rsidRPr="00514F51">
              <w:rPr>
                <w:rFonts w:ascii="Calibri" w:eastAsia="Times New Roman" w:hAnsi="Calibri" w:cs="Arial"/>
                <w:b/>
                <w:bCs/>
                <w:lang w:eastAsia="es-MX"/>
              </w:rPr>
              <w:t xml:space="preserve"> </w:t>
            </w:r>
          </w:p>
        </w:tc>
        <w:tc>
          <w:tcPr>
            <w:tcW w:w="1560" w:type="dxa"/>
            <w:tcBorders>
              <w:top w:val="single" w:sz="8" w:space="0" w:color="auto"/>
              <w:left w:val="nil"/>
              <w:bottom w:val="single" w:sz="8" w:space="0" w:color="auto"/>
              <w:right w:val="single" w:sz="8" w:space="0" w:color="auto"/>
            </w:tcBorders>
            <w:shd w:val="clear" w:color="000000" w:fill="D8E4BC"/>
            <w:vAlign w:val="center"/>
            <w:hideMark/>
          </w:tcPr>
          <w:p w:rsidR="00514F51" w:rsidRPr="00514F51" w:rsidRDefault="00514F51" w:rsidP="00514F51">
            <w:pPr>
              <w:spacing w:after="0" w:line="240" w:lineRule="auto"/>
              <w:jc w:val="center"/>
              <w:rPr>
                <w:rFonts w:ascii="Calibri" w:eastAsia="Times New Roman" w:hAnsi="Calibri" w:cs="Arial"/>
                <w:b/>
                <w:bCs/>
                <w:lang w:eastAsia="es-MX"/>
              </w:rPr>
            </w:pPr>
            <w:r w:rsidRPr="00514F51">
              <w:rPr>
                <w:rFonts w:ascii="Calibri" w:eastAsia="Times New Roman" w:hAnsi="Calibri" w:cs="Arial"/>
                <w:b/>
                <w:bCs/>
                <w:lang w:eastAsia="es-MX"/>
              </w:rPr>
              <w:t>Ejercido al 31 de Marzo de 2017</w:t>
            </w:r>
          </w:p>
        </w:tc>
        <w:tc>
          <w:tcPr>
            <w:tcW w:w="1640" w:type="dxa"/>
            <w:tcBorders>
              <w:top w:val="single" w:sz="8" w:space="0" w:color="auto"/>
              <w:left w:val="nil"/>
              <w:bottom w:val="single" w:sz="8" w:space="0" w:color="auto"/>
              <w:right w:val="single" w:sz="8" w:space="0" w:color="auto"/>
            </w:tcBorders>
            <w:shd w:val="clear" w:color="000000" w:fill="D8E4BC"/>
            <w:vAlign w:val="center"/>
            <w:hideMark/>
          </w:tcPr>
          <w:p w:rsidR="00514F51" w:rsidRPr="00514F51" w:rsidRDefault="00514F51" w:rsidP="00514F51">
            <w:pPr>
              <w:spacing w:after="0" w:line="240" w:lineRule="auto"/>
              <w:jc w:val="center"/>
              <w:rPr>
                <w:rFonts w:ascii="Calibri" w:eastAsia="Times New Roman" w:hAnsi="Calibri" w:cs="Arial"/>
                <w:b/>
                <w:bCs/>
                <w:lang w:eastAsia="es-MX"/>
              </w:rPr>
            </w:pPr>
            <w:r w:rsidRPr="00514F51">
              <w:rPr>
                <w:rFonts w:ascii="Calibri" w:eastAsia="Times New Roman" w:hAnsi="Calibri" w:cs="Arial"/>
                <w:b/>
                <w:bCs/>
                <w:lang w:eastAsia="es-MX"/>
              </w:rPr>
              <w:t>Saldo al 31 de Marzo de 2017.</w:t>
            </w:r>
          </w:p>
        </w:tc>
      </w:tr>
      <w:tr w:rsidR="00514F51" w:rsidRPr="00514F51" w:rsidTr="00514F51">
        <w:trPr>
          <w:trHeight w:val="270"/>
        </w:trPr>
        <w:tc>
          <w:tcPr>
            <w:tcW w:w="3860" w:type="dxa"/>
            <w:tcBorders>
              <w:top w:val="nil"/>
              <w:left w:val="single" w:sz="8" w:space="0" w:color="auto"/>
              <w:bottom w:val="single" w:sz="8" w:space="0" w:color="auto"/>
              <w:right w:val="single" w:sz="8" w:space="0" w:color="auto"/>
            </w:tcBorders>
            <w:shd w:val="clear" w:color="000000" w:fill="FFFFFF"/>
            <w:vAlign w:val="center"/>
            <w:hideMark/>
          </w:tcPr>
          <w:p w:rsidR="00514F51" w:rsidRPr="00514F51" w:rsidRDefault="00514F51" w:rsidP="00514F51">
            <w:pPr>
              <w:spacing w:after="0" w:line="240" w:lineRule="auto"/>
              <w:jc w:val="center"/>
              <w:rPr>
                <w:rFonts w:ascii="Calibri" w:eastAsia="Times New Roman" w:hAnsi="Calibri" w:cs="Arial"/>
                <w:b/>
                <w:bCs/>
                <w:sz w:val="20"/>
                <w:szCs w:val="20"/>
                <w:lang w:eastAsia="es-MX"/>
              </w:rPr>
            </w:pPr>
            <w:r w:rsidRPr="00514F51">
              <w:rPr>
                <w:rFonts w:ascii="Calibri" w:eastAsia="Times New Roman" w:hAnsi="Calibri" w:cs="Arial"/>
                <w:b/>
                <w:bCs/>
                <w:sz w:val="20"/>
                <w:szCs w:val="20"/>
                <w:lang w:eastAsia="es-MX"/>
              </w:rPr>
              <w:t>Fundación Kellogg</w:t>
            </w:r>
          </w:p>
        </w:tc>
        <w:tc>
          <w:tcPr>
            <w:tcW w:w="1840" w:type="dxa"/>
            <w:tcBorders>
              <w:top w:val="nil"/>
              <w:left w:val="nil"/>
              <w:bottom w:val="single" w:sz="8" w:space="0" w:color="auto"/>
              <w:right w:val="single" w:sz="8" w:space="0" w:color="auto"/>
            </w:tcBorders>
            <w:shd w:val="clear" w:color="000000" w:fill="FFFFFF"/>
            <w:vAlign w:val="center"/>
            <w:hideMark/>
          </w:tcPr>
          <w:p w:rsidR="00514F51" w:rsidRPr="00514F51" w:rsidRDefault="00514F51" w:rsidP="00514F51">
            <w:pPr>
              <w:spacing w:after="0" w:line="240" w:lineRule="auto"/>
              <w:jc w:val="center"/>
              <w:rPr>
                <w:rFonts w:ascii="Calibri" w:eastAsia="Times New Roman" w:hAnsi="Calibri" w:cs="Arial"/>
                <w:sz w:val="20"/>
                <w:szCs w:val="20"/>
                <w:lang w:eastAsia="es-MX"/>
              </w:rPr>
            </w:pPr>
            <w:r w:rsidRPr="00514F51">
              <w:rPr>
                <w:rFonts w:ascii="Calibri" w:eastAsia="Times New Roman" w:hAnsi="Calibri" w:cs="Arial"/>
                <w:sz w:val="20"/>
                <w:szCs w:val="20"/>
                <w:lang w:eastAsia="es-MX"/>
              </w:rPr>
              <w:t>948,961.61</w:t>
            </w:r>
          </w:p>
        </w:tc>
        <w:tc>
          <w:tcPr>
            <w:tcW w:w="1420" w:type="dxa"/>
            <w:tcBorders>
              <w:top w:val="nil"/>
              <w:left w:val="nil"/>
              <w:bottom w:val="single" w:sz="8" w:space="0" w:color="auto"/>
              <w:right w:val="single" w:sz="8" w:space="0" w:color="auto"/>
            </w:tcBorders>
            <w:shd w:val="clear" w:color="000000" w:fill="FFFFFF"/>
            <w:vAlign w:val="center"/>
            <w:hideMark/>
          </w:tcPr>
          <w:p w:rsidR="00514F51" w:rsidRPr="00514F51" w:rsidRDefault="00514F51" w:rsidP="00514F51">
            <w:pPr>
              <w:spacing w:after="0" w:line="240" w:lineRule="auto"/>
              <w:jc w:val="center"/>
              <w:rPr>
                <w:rFonts w:ascii="Calibri" w:eastAsia="Times New Roman" w:hAnsi="Calibri" w:cs="Arial"/>
                <w:sz w:val="20"/>
                <w:szCs w:val="20"/>
                <w:lang w:eastAsia="es-MX"/>
              </w:rPr>
            </w:pPr>
            <w:r w:rsidRPr="00514F51">
              <w:rPr>
                <w:rFonts w:ascii="Calibri" w:eastAsia="Times New Roman" w:hAnsi="Calibri" w:cs="Arial"/>
                <w:sz w:val="20"/>
                <w:szCs w:val="20"/>
                <w:lang w:eastAsia="es-MX"/>
              </w:rPr>
              <w:t>4778.64</w:t>
            </w:r>
          </w:p>
        </w:tc>
        <w:tc>
          <w:tcPr>
            <w:tcW w:w="1200" w:type="dxa"/>
            <w:tcBorders>
              <w:top w:val="nil"/>
              <w:left w:val="nil"/>
              <w:bottom w:val="single" w:sz="8" w:space="0" w:color="auto"/>
              <w:right w:val="single" w:sz="8" w:space="0" w:color="auto"/>
            </w:tcBorders>
            <w:shd w:val="clear" w:color="000000" w:fill="FFFFFF"/>
            <w:vAlign w:val="center"/>
            <w:hideMark/>
          </w:tcPr>
          <w:p w:rsidR="00514F51" w:rsidRPr="00514F51" w:rsidRDefault="00514F51" w:rsidP="00514F51">
            <w:pPr>
              <w:spacing w:after="0" w:line="240" w:lineRule="auto"/>
              <w:jc w:val="center"/>
              <w:rPr>
                <w:rFonts w:ascii="Calibri" w:eastAsia="Times New Roman" w:hAnsi="Calibri" w:cs="Arial"/>
                <w:sz w:val="20"/>
                <w:szCs w:val="20"/>
                <w:lang w:eastAsia="es-MX"/>
              </w:rPr>
            </w:pPr>
            <w:r w:rsidRPr="00514F51">
              <w:rPr>
                <w:rFonts w:ascii="Calibri" w:eastAsia="Times New Roman" w:hAnsi="Calibri" w:cs="Arial"/>
                <w:sz w:val="20"/>
                <w:szCs w:val="20"/>
                <w:lang w:eastAsia="es-MX"/>
              </w:rPr>
              <w:t>953,740.25</w:t>
            </w:r>
          </w:p>
        </w:tc>
        <w:tc>
          <w:tcPr>
            <w:tcW w:w="1560" w:type="dxa"/>
            <w:tcBorders>
              <w:top w:val="nil"/>
              <w:left w:val="nil"/>
              <w:bottom w:val="single" w:sz="8" w:space="0" w:color="auto"/>
              <w:right w:val="single" w:sz="8" w:space="0" w:color="auto"/>
            </w:tcBorders>
            <w:shd w:val="clear" w:color="000000" w:fill="FFFFFF"/>
            <w:vAlign w:val="center"/>
            <w:hideMark/>
          </w:tcPr>
          <w:p w:rsidR="00514F51" w:rsidRPr="00514F51" w:rsidRDefault="00514F51" w:rsidP="00514F51">
            <w:pPr>
              <w:spacing w:after="0" w:line="240" w:lineRule="auto"/>
              <w:jc w:val="center"/>
              <w:rPr>
                <w:rFonts w:ascii="Calibri" w:eastAsia="Times New Roman" w:hAnsi="Calibri" w:cs="Arial"/>
                <w:sz w:val="20"/>
                <w:szCs w:val="20"/>
                <w:lang w:eastAsia="es-MX"/>
              </w:rPr>
            </w:pPr>
            <w:r w:rsidRPr="00514F51">
              <w:rPr>
                <w:rFonts w:ascii="Calibri" w:eastAsia="Times New Roman" w:hAnsi="Calibri" w:cs="Arial"/>
                <w:sz w:val="20"/>
                <w:szCs w:val="20"/>
                <w:lang w:eastAsia="es-MX"/>
              </w:rPr>
              <w:t>527,526.69</w:t>
            </w:r>
          </w:p>
        </w:tc>
        <w:tc>
          <w:tcPr>
            <w:tcW w:w="1640" w:type="dxa"/>
            <w:tcBorders>
              <w:top w:val="nil"/>
              <w:left w:val="nil"/>
              <w:bottom w:val="single" w:sz="8" w:space="0" w:color="auto"/>
              <w:right w:val="single" w:sz="8" w:space="0" w:color="auto"/>
            </w:tcBorders>
            <w:shd w:val="clear" w:color="000000" w:fill="FFFFFF"/>
            <w:vAlign w:val="center"/>
            <w:hideMark/>
          </w:tcPr>
          <w:p w:rsidR="00514F51" w:rsidRPr="00514F51" w:rsidRDefault="00514F51" w:rsidP="00514F51">
            <w:pPr>
              <w:spacing w:after="0" w:line="240" w:lineRule="auto"/>
              <w:jc w:val="center"/>
              <w:rPr>
                <w:rFonts w:ascii="Calibri" w:eastAsia="Times New Roman" w:hAnsi="Calibri" w:cs="Arial"/>
                <w:sz w:val="20"/>
                <w:szCs w:val="20"/>
                <w:lang w:eastAsia="es-MX"/>
              </w:rPr>
            </w:pPr>
            <w:r w:rsidRPr="00514F51">
              <w:rPr>
                <w:rFonts w:ascii="Calibri" w:eastAsia="Times New Roman" w:hAnsi="Calibri" w:cs="Arial"/>
                <w:sz w:val="20"/>
                <w:szCs w:val="20"/>
                <w:lang w:eastAsia="es-MX"/>
              </w:rPr>
              <w:t>426,213.56</w:t>
            </w:r>
          </w:p>
        </w:tc>
      </w:tr>
    </w:tbl>
    <w:p w:rsidR="00514F51" w:rsidRDefault="00514F51" w:rsidP="00F42DFD">
      <w:pPr>
        <w:spacing w:after="0" w:line="240" w:lineRule="auto"/>
        <w:rPr>
          <w:b/>
          <w:sz w:val="20"/>
          <w:szCs w:val="20"/>
        </w:rPr>
      </w:pPr>
    </w:p>
    <w:p w:rsidR="00EF743A" w:rsidRDefault="00EF743A" w:rsidP="00F42DFD">
      <w:pPr>
        <w:spacing w:after="0" w:line="240" w:lineRule="auto"/>
        <w:rPr>
          <w:b/>
          <w:sz w:val="20"/>
          <w:szCs w:val="20"/>
        </w:rPr>
      </w:pPr>
    </w:p>
    <w:p w:rsidR="00EF743A" w:rsidRDefault="00EF743A" w:rsidP="00F42DFD">
      <w:pPr>
        <w:spacing w:after="0" w:line="240" w:lineRule="auto"/>
        <w:rPr>
          <w:b/>
          <w:sz w:val="20"/>
          <w:szCs w:val="20"/>
        </w:rPr>
      </w:pPr>
    </w:p>
    <w:p w:rsidR="009D4885" w:rsidRDefault="009D4885" w:rsidP="00F42DFD">
      <w:pPr>
        <w:spacing w:after="0" w:line="240" w:lineRule="auto"/>
        <w:rPr>
          <w:b/>
          <w:sz w:val="20"/>
          <w:szCs w:val="20"/>
        </w:rPr>
      </w:pPr>
      <w:r w:rsidRPr="009D4885">
        <w:rPr>
          <w:b/>
          <w:sz w:val="20"/>
          <w:szCs w:val="20"/>
        </w:rPr>
        <w:t>7.- Posición en Moneda Extranjera y Protección Por Riesgo Cambiario</w:t>
      </w:r>
    </w:p>
    <w:p w:rsidR="009D4885" w:rsidRDefault="009D4885" w:rsidP="00F42DFD">
      <w:pPr>
        <w:spacing w:after="0" w:line="240" w:lineRule="auto"/>
        <w:rPr>
          <w:b/>
          <w:sz w:val="20"/>
          <w:szCs w:val="20"/>
        </w:rPr>
      </w:pPr>
    </w:p>
    <w:p w:rsidR="009D4885" w:rsidRDefault="009D4885" w:rsidP="00F42DFD">
      <w:pPr>
        <w:spacing w:after="0" w:line="240" w:lineRule="auto"/>
        <w:rPr>
          <w:sz w:val="20"/>
          <w:szCs w:val="20"/>
        </w:rPr>
      </w:pPr>
      <w:r w:rsidRPr="009D4885">
        <w:rPr>
          <w:sz w:val="20"/>
          <w:szCs w:val="20"/>
        </w:rPr>
        <w:t>Los valores presentados son en Moneda Nacional, no teniendo cuenta bancaria ni inversiones en moneda extranjera.</w:t>
      </w:r>
    </w:p>
    <w:p w:rsidR="009D4885" w:rsidRDefault="009D4885" w:rsidP="00F42DFD">
      <w:pPr>
        <w:spacing w:after="0" w:line="240" w:lineRule="auto"/>
        <w:rPr>
          <w:sz w:val="20"/>
          <w:szCs w:val="20"/>
        </w:rPr>
      </w:pPr>
    </w:p>
    <w:p w:rsidR="009D4885" w:rsidRDefault="009D4885" w:rsidP="00F42DFD">
      <w:pPr>
        <w:spacing w:after="0" w:line="240" w:lineRule="auto"/>
        <w:rPr>
          <w:b/>
          <w:sz w:val="20"/>
          <w:szCs w:val="20"/>
        </w:rPr>
      </w:pPr>
      <w:r w:rsidRPr="009D4885">
        <w:rPr>
          <w:b/>
          <w:sz w:val="20"/>
          <w:szCs w:val="20"/>
        </w:rPr>
        <w:t>8.- Reporte Analítico del Activo</w:t>
      </w:r>
    </w:p>
    <w:p w:rsidR="009D4885" w:rsidRDefault="009D4885" w:rsidP="00F42DFD">
      <w:pPr>
        <w:spacing w:after="0" w:line="240" w:lineRule="auto"/>
        <w:rPr>
          <w:b/>
          <w:sz w:val="20"/>
          <w:szCs w:val="20"/>
        </w:rPr>
      </w:pPr>
    </w:p>
    <w:p w:rsidR="009D4885" w:rsidRDefault="009D4885" w:rsidP="009D4885">
      <w:pPr>
        <w:spacing w:after="0" w:line="240" w:lineRule="auto"/>
        <w:rPr>
          <w:sz w:val="20"/>
          <w:szCs w:val="20"/>
        </w:rPr>
      </w:pPr>
      <w:r w:rsidRPr="009D4885">
        <w:rPr>
          <w:sz w:val="20"/>
          <w:szCs w:val="20"/>
        </w:rPr>
        <w:t>El registro de las depreciaciones de activos (muebles e inmuebles) propiedad del ITSSY se realiza mediante el método de depreciación en línea recta se anexa Tabla de “Guía de Vida Útil Estimada y Porcentajes de Depreciación” publicada el 15 de agosto de 2012 en el DOF</w:t>
      </w:r>
    </w:p>
    <w:tbl>
      <w:tblPr>
        <w:tblW w:w="8780" w:type="dxa"/>
        <w:tblInd w:w="60" w:type="dxa"/>
        <w:tblCellMar>
          <w:left w:w="70" w:type="dxa"/>
          <w:right w:w="70" w:type="dxa"/>
        </w:tblCellMar>
        <w:tblLook w:val="04A0" w:firstRow="1" w:lastRow="0" w:firstColumn="1" w:lastColumn="0" w:noHBand="0" w:noVBand="1"/>
      </w:tblPr>
      <w:tblGrid>
        <w:gridCol w:w="1200"/>
        <w:gridCol w:w="1700"/>
        <w:gridCol w:w="2360"/>
        <w:gridCol w:w="1700"/>
        <w:gridCol w:w="1820"/>
      </w:tblGrid>
      <w:tr w:rsidR="009D4885" w:rsidRPr="009D4885" w:rsidTr="009D4885">
        <w:trPr>
          <w:trHeight w:val="375"/>
        </w:trPr>
        <w:tc>
          <w:tcPr>
            <w:tcW w:w="1200" w:type="dxa"/>
            <w:tcBorders>
              <w:top w:val="single" w:sz="8" w:space="0" w:color="auto"/>
              <w:left w:val="single" w:sz="8" w:space="0" w:color="auto"/>
              <w:bottom w:val="single" w:sz="4" w:space="0" w:color="auto"/>
              <w:right w:val="single" w:sz="4" w:space="0" w:color="auto"/>
            </w:tcBorders>
            <w:shd w:val="pct12" w:color="000000" w:fill="DFDFDF"/>
            <w:noWrap/>
            <w:vAlign w:val="bottom"/>
            <w:hideMark/>
          </w:tcPr>
          <w:p w:rsidR="009D4885" w:rsidRPr="009D4885" w:rsidRDefault="009D4885" w:rsidP="009D4885">
            <w:pPr>
              <w:spacing w:after="0" w:line="240" w:lineRule="auto"/>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Cuenta</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9D4885" w:rsidRDefault="009D4885" w:rsidP="009D4885">
            <w:pPr>
              <w:spacing w:after="0" w:line="240" w:lineRule="auto"/>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Concepto</w:t>
            </w:r>
          </w:p>
        </w:tc>
        <w:tc>
          <w:tcPr>
            <w:tcW w:w="2360" w:type="dxa"/>
            <w:tcBorders>
              <w:top w:val="single" w:sz="8" w:space="0" w:color="auto"/>
              <w:left w:val="nil"/>
              <w:bottom w:val="single" w:sz="4" w:space="0" w:color="auto"/>
              <w:right w:val="single" w:sz="4" w:space="0" w:color="auto"/>
            </w:tcBorders>
            <w:shd w:val="pct12" w:color="000000" w:fill="DFDFDF"/>
            <w:vAlign w:val="bottom"/>
            <w:hideMark/>
          </w:tcPr>
          <w:p w:rsidR="009D4885" w:rsidRPr="009D4885" w:rsidRDefault="009D4885" w:rsidP="009D4885">
            <w:pPr>
              <w:spacing w:after="0" w:line="240" w:lineRule="auto"/>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9D4885" w:rsidRDefault="009D4885" w:rsidP="009D4885">
            <w:pPr>
              <w:spacing w:after="0" w:line="240" w:lineRule="auto"/>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Años de vida útil</w:t>
            </w:r>
          </w:p>
        </w:tc>
        <w:tc>
          <w:tcPr>
            <w:tcW w:w="1820" w:type="dxa"/>
            <w:tcBorders>
              <w:top w:val="single" w:sz="8" w:space="0" w:color="auto"/>
              <w:left w:val="nil"/>
              <w:bottom w:val="single" w:sz="4" w:space="0" w:color="auto"/>
              <w:right w:val="single" w:sz="8" w:space="0" w:color="auto"/>
            </w:tcBorders>
            <w:shd w:val="pct12" w:color="000000" w:fill="DFDFDF"/>
            <w:vAlign w:val="bottom"/>
            <w:hideMark/>
          </w:tcPr>
          <w:p w:rsidR="009D4885" w:rsidRPr="009D4885" w:rsidRDefault="009D4885" w:rsidP="009D4885">
            <w:pPr>
              <w:spacing w:after="0" w:line="240" w:lineRule="auto"/>
              <w:jc w:val="center"/>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de depreciación anual</w:t>
            </w:r>
          </w:p>
        </w:tc>
      </w:tr>
      <w:tr w:rsidR="009D4885" w:rsidRPr="009D4885" w:rsidTr="009D4885">
        <w:trPr>
          <w:trHeight w:val="600"/>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1.2.3</w:t>
            </w:r>
          </w:p>
        </w:tc>
        <w:tc>
          <w:tcPr>
            <w:tcW w:w="4060" w:type="dxa"/>
            <w:gridSpan w:val="2"/>
            <w:tcBorders>
              <w:top w:val="single" w:sz="4" w:space="0" w:color="auto"/>
              <w:left w:val="nil"/>
              <w:bottom w:val="single" w:sz="4" w:space="0" w:color="auto"/>
              <w:right w:val="nil"/>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BIENES INMUEBLES, INFRAESTRUCTURA Y CONSTRUCCIONES EN PROCESO</w:t>
            </w:r>
          </w:p>
        </w:tc>
        <w:tc>
          <w:tcPr>
            <w:tcW w:w="1700" w:type="dxa"/>
            <w:tcBorders>
              <w:top w:val="nil"/>
              <w:left w:val="nil"/>
              <w:bottom w:val="single" w:sz="4" w:space="0" w:color="auto"/>
              <w:right w:val="nil"/>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1.2.3.3</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Edificios No Habitacionales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1.2.3.9</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Otros Bienes Inmuebles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BIENES 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1.2.4.1</w:t>
            </w:r>
          </w:p>
        </w:tc>
        <w:tc>
          <w:tcPr>
            <w:tcW w:w="4060" w:type="dxa"/>
            <w:gridSpan w:val="2"/>
            <w:tcBorders>
              <w:top w:val="single" w:sz="4" w:space="0" w:color="auto"/>
              <w:left w:val="nil"/>
              <w:bottom w:val="single" w:sz="4" w:space="0" w:color="auto"/>
              <w:right w:val="nil"/>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Mobiliario y Equipo de Administración</w:t>
            </w:r>
          </w:p>
        </w:tc>
        <w:tc>
          <w:tcPr>
            <w:tcW w:w="1700" w:type="dxa"/>
            <w:tcBorders>
              <w:top w:val="nil"/>
              <w:left w:val="nil"/>
              <w:bottom w:val="single" w:sz="4" w:space="0" w:color="auto"/>
              <w:right w:val="nil"/>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1.2.4.1.1</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Muebles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1.2.4.1.2</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Muebles, Excepto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1.2.4.1.3</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 de Cómputo y de Tecnologías de la Información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33.3</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1.2.4.1.9</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Otros Mobiliarios y Equipos de Administración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1.2.4.2</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1.2.4.2.1</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Equipos y Aparatos Audiovisuales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33.3</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1.2.4.2.2</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Aparatos Deportivos</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1.2.4.2.3</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Cámaras Fotográficas y de Video</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33.3</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1.2.4.2.9</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 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1.2.4.3</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Equipo e 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1.2.4.3.1</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1.2.4.3.2</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lastRenderedPageBreak/>
              <w:t>1.2.4.4</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Equipo de Transporte</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1.2.4.4.1</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Automóviles y Equipo Terrestre</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20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1.2.4.6</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Maquinaria, Otros Equipos y Herramientas</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rPr>
                <w:rFonts w:ascii="Calibri" w:eastAsia="Times New Roman" w:hAnsi="Calibri" w:cs="Arial"/>
                <w:b/>
                <w:bCs/>
                <w:color w:val="000000"/>
                <w:sz w:val="14"/>
                <w:szCs w:val="14"/>
                <w:lang w:eastAsia="es-MX"/>
              </w:rPr>
            </w:pPr>
            <w:r w:rsidRPr="009D4885">
              <w:rPr>
                <w:rFonts w:ascii="Calibri" w:eastAsia="Times New Roman" w:hAnsi="Calibri" w:cs="Arial"/>
                <w:b/>
                <w:bCs/>
                <w:color w:val="000000"/>
                <w:sz w:val="14"/>
                <w:szCs w:val="14"/>
                <w:lang w:eastAsia="es-MX"/>
              </w:rPr>
              <w:t> </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1.2.4.6.2</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 xml:space="preserve">Maquinaria y Equipo Industrial </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37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1.2.4.6.4</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Sistemas de Aire Acondicionado, Calefacción y de Refrigeración Industrial y Comercial</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1.2.4.6.5</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Equipo de Comunicación y Telecomunicación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420"/>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1.2.4.6.6</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 xml:space="preserve">Equipos de Generación Eléctrica, Aparatos y Accesorios Eléctricos </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255"/>
        </w:trPr>
        <w:tc>
          <w:tcPr>
            <w:tcW w:w="1200" w:type="dxa"/>
            <w:tcBorders>
              <w:top w:val="nil"/>
              <w:left w:val="single" w:sz="8" w:space="0" w:color="auto"/>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1.2.4.6.7</w:t>
            </w:r>
          </w:p>
        </w:tc>
        <w:tc>
          <w:tcPr>
            <w:tcW w:w="4060" w:type="dxa"/>
            <w:gridSpan w:val="2"/>
            <w:tcBorders>
              <w:top w:val="single" w:sz="4" w:space="0" w:color="auto"/>
              <w:left w:val="nil"/>
              <w:bottom w:val="single" w:sz="4"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 xml:space="preserve">Herramientas y Máquinas-Herramienta </w:t>
            </w:r>
          </w:p>
        </w:tc>
        <w:tc>
          <w:tcPr>
            <w:tcW w:w="1700" w:type="dxa"/>
            <w:tcBorders>
              <w:top w:val="nil"/>
              <w:left w:val="nil"/>
              <w:bottom w:val="single" w:sz="4"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r w:rsidR="009D4885" w:rsidRPr="009D4885" w:rsidTr="009D4885">
        <w:trPr>
          <w:trHeight w:val="270"/>
        </w:trPr>
        <w:tc>
          <w:tcPr>
            <w:tcW w:w="1200" w:type="dxa"/>
            <w:tcBorders>
              <w:top w:val="nil"/>
              <w:left w:val="single" w:sz="8" w:space="0" w:color="auto"/>
              <w:bottom w:val="single" w:sz="8" w:space="0" w:color="auto"/>
              <w:right w:val="single" w:sz="4" w:space="0" w:color="auto"/>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1.2.4.6.9</w:t>
            </w:r>
          </w:p>
        </w:tc>
        <w:tc>
          <w:tcPr>
            <w:tcW w:w="4060" w:type="dxa"/>
            <w:gridSpan w:val="2"/>
            <w:tcBorders>
              <w:top w:val="single" w:sz="4" w:space="0" w:color="auto"/>
              <w:left w:val="nil"/>
              <w:bottom w:val="single" w:sz="8" w:space="0" w:color="auto"/>
              <w:right w:val="single" w:sz="4" w:space="0" w:color="000000"/>
            </w:tcBorders>
            <w:shd w:val="clear" w:color="auto" w:fill="auto"/>
            <w:vAlign w:val="bottom"/>
            <w:hideMark/>
          </w:tcPr>
          <w:p w:rsidR="009D4885" w:rsidRPr="009D4885" w:rsidRDefault="009D4885" w:rsidP="009D4885">
            <w:pPr>
              <w:spacing w:after="0" w:line="240" w:lineRule="auto"/>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Otros Equipos</w:t>
            </w:r>
          </w:p>
        </w:tc>
        <w:tc>
          <w:tcPr>
            <w:tcW w:w="1700" w:type="dxa"/>
            <w:tcBorders>
              <w:top w:val="nil"/>
              <w:left w:val="nil"/>
              <w:bottom w:val="single" w:sz="8" w:space="0" w:color="auto"/>
              <w:right w:val="single" w:sz="4"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c>
          <w:tcPr>
            <w:tcW w:w="1820" w:type="dxa"/>
            <w:tcBorders>
              <w:top w:val="nil"/>
              <w:left w:val="nil"/>
              <w:bottom w:val="single" w:sz="8" w:space="0" w:color="auto"/>
              <w:right w:val="single" w:sz="8" w:space="0" w:color="auto"/>
            </w:tcBorders>
            <w:shd w:val="clear" w:color="auto" w:fill="auto"/>
            <w:vAlign w:val="bottom"/>
            <w:hideMark/>
          </w:tcPr>
          <w:p w:rsidR="009D4885" w:rsidRPr="009D4885" w:rsidRDefault="009D4885" w:rsidP="009D4885">
            <w:pPr>
              <w:spacing w:after="0" w:line="240" w:lineRule="auto"/>
              <w:jc w:val="center"/>
              <w:rPr>
                <w:rFonts w:ascii="Calibri" w:eastAsia="Times New Roman" w:hAnsi="Calibri" w:cs="Arial"/>
                <w:color w:val="000000"/>
                <w:sz w:val="14"/>
                <w:szCs w:val="14"/>
                <w:lang w:eastAsia="es-MX"/>
              </w:rPr>
            </w:pPr>
            <w:r w:rsidRPr="009D4885">
              <w:rPr>
                <w:rFonts w:ascii="Calibri" w:eastAsia="Times New Roman" w:hAnsi="Calibri" w:cs="Arial"/>
                <w:color w:val="000000"/>
                <w:sz w:val="14"/>
                <w:szCs w:val="14"/>
                <w:lang w:eastAsia="es-MX"/>
              </w:rPr>
              <w:t>10</w:t>
            </w:r>
          </w:p>
        </w:tc>
      </w:tr>
    </w:tbl>
    <w:p w:rsidR="009D4885" w:rsidRDefault="009D4885" w:rsidP="009D4885">
      <w:pPr>
        <w:spacing w:after="0" w:line="240" w:lineRule="auto"/>
        <w:rPr>
          <w:sz w:val="20"/>
          <w:szCs w:val="20"/>
        </w:rPr>
      </w:pPr>
    </w:p>
    <w:tbl>
      <w:tblPr>
        <w:tblW w:w="9781" w:type="dxa"/>
        <w:tblInd w:w="70" w:type="dxa"/>
        <w:tblCellMar>
          <w:left w:w="70" w:type="dxa"/>
          <w:right w:w="70" w:type="dxa"/>
        </w:tblCellMar>
        <w:tblLook w:val="04A0" w:firstRow="1" w:lastRow="0" w:firstColumn="1" w:lastColumn="0" w:noHBand="0" w:noVBand="1"/>
      </w:tblPr>
      <w:tblGrid>
        <w:gridCol w:w="4661"/>
        <w:gridCol w:w="5120"/>
      </w:tblGrid>
      <w:tr w:rsidR="009D4885" w:rsidRPr="009D4885" w:rsidTr="009D4885">
        <w:trPr>
          <w:gridAfter w:val="1"/>
          <w:wAfter w:w="5120" w:type="dxa"/>
          <w:trHeight w:val="255"/>
        </w:trPr>
        <w:tc>
          <w:tcPr>
            <w:tcW w:w="4661" w:type="dxa"/>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9.- Fideicomisos, Mandatos y Análogos </w:t>
            </w:r>
          </w:p>
        </w:tc>
      </w:tr>
      <w:tr w:rsidR="009D4885" w:rsidRPr="009D4885" w:rsidTr="009D4885">
        <w:trPr>
          <w:trHeight w:val="255"/>
        </w:trPr>
        <w:tc>
          <w:tcPr>
            <w:tcW w:w="9781" w:type="dxa"/>
            <w:gridSpan w:val="2"/>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No se cuenta con ningún fideicomiso, mandato o análogo</w:t>
            </w:r>
          </w:p>
        </w:tc>
      </w:tr>
    </w:tbl>
    <w:p w:rsidR="009D4885" w:rsidRDefault="009D4885" w:rsidP="009D4885">
      <w:pPr>
        <w:spacing w:after="0" w:line="240" w:lineRule="auto"/>
        <w:rPr>
          <w:sz w:val="20"/>
          <w:szCs w:val="20"/>
        </w:rPr>
      </w:pPr>
    </w:p>
    <w:p w:rsidR="009D4885" w:rsidRDefault="009D4885" w:rsidP="009D4885">
      <w:pPr>
        <w:spacing w:after="0" w:line="240" w:lineRule="auto"/>
        <w:rPr>
          <w:b/>
          <w:sz w:val="20"/>
          <w:szCs w:val="20"/>
        </w:rPr>
      </w:pPr>
      <w:r w:rsidRPr="009D4885">
        <w:rPr>
          <w:b/>
          <w:sz w:val="20"/>
          <w:szCs w:val="20"/>
        </w:rPr>
        <w:t>10.- Reporte de Recaudación</w:t>
      </w:r>
    </w:p>
    <w:p w:rsidR="009D4885" w:rsidRPr="009D4885" w:rsidRDefault="009D4885" w:rsidP="009D4885">
      <w:pPr>
        <w:spacing w:after="0" w:line="240" w:lineRule="auto"/>
        <w:jc w:val="both"/>
        <w:rPr>
          <w:sz w:val="20"/>
          <w:szCs w:val="20"/>
        </w:rPr>
      </w:pPr>
      <w:r w:rsidRPr="009D4885">
        <w:rPr>
          <w:sz w:val="20"/>
          <w:szCs w:val="20"/>
        </w:rPr>
        <w:t xml:space="preserve">Los ingresos propios se registran al recibir los reportes y copia de los recibos oficiales del área de caja, con la ficha de depósito anexa y una relación, haciendo referencia al concepto de los mismos y forma de pago del interesado. </w:t>
      </w:r>
    </w:p>
    <w:p w:rsidR="009D4885" w:rsidRDefault="009D4885" w:rsidP="009D4885">
      <w:pPr>
        <w:spacing w:after="0" w:line="240" w:lineRule="auto"/>
        <w:jc w:val="both"/>
        <w:rPr>
          <w:sz w:val="20"/>
          <w:szCs w:val="20"/>
        </w:rPr>
      </w:pPr>
      <w:r w:rsidRPr="009D4885">
        <w:rPr>
          <w:sz w:val="20"/>
          <w:szCs w:val="20"/>
        </w:rPr>
        <w:t>Los ingresos por subsidios se reconocen en el momento en que la institución bancaria deposita a las cuentas del ITSSY los recursos, sin que exceda del período establecido en los correspondientes presupuesto</w:t>
      </w:r>
      <w:r>
        <w:rPr>
          <w:sz w:val="20"/>
          <w:szCs w:val="20"/>
        </w:rPr>
        <w:t>s de egresos federal y estatal.</w:t>
      </w:r>
    </w:p>
    <w:p w:rsidR="009D4885" w:rsidRDefault="009D4885" w:rsidP="009D4885">
      <w:pPr>
        <w:spacing w:after="0" w:line="240" w:lineRule="auto"/>
        <w:jc w:val="both"/>
        <w:rPr>
          <w:sz w:val="20"/>
          <w:szCs w:val="20"/>
        </w:rPr>
      </w:pPr>
      <w:r w:rsidRPr="009D4885">
        <w:rPr>
          <w:sz w:val="20"/>
          <w:szCs w:val="20"/>
        </w:rPr>
        <w:t xml:space="preserve">                                                                                                                                                                                                                                                                                                                                            Se registra al inicio del ejercicio 2017, saldos de recursos de programas y proyectos recaudados en ejercicios anteriores, por un total de $ 1,492,838.78, los cuales se detallas a continuación:  Programa para la Mejora de los Tecnológicos Descentralizados por $ 410,413.50; Programa para el desarrollo profesional docente $ 694,025.28; Apoyo Económico para la incubación y aceleración de empresas por $ 20,000.00; Aplicación de Diagnóstico a Emprendedores y/o MIPYMES por $ 6,000.00 y Programa para certificación de carreras por $ 362,400.00</w:t>
      </w:r>
    </w:p>
    <w:p w:rsidR="003F2225" w:rsidRDefault="003F2225" w:rsidP="009D4885">
      <w:pPr>
        <w:spacing w:after="0" w:line="240" w:lineRule="auto"/>
        <w:jc w:val="both"/>
        <w:rPr>
          <w:sz w:val="20"/>
          <w:szCs w:val="20"/>
        </w:rPr>
      </w:pPr>
    </w:p>
    <w:p w:rsidR="003F2225" w:rsidRDefault="003F2225" w:rsidP="009D4885">
      <w:pPr>
        <w:spacing w:after="0" w:line="240" w:lineRule="auto"/>
        <w:jc w:val="both"/>
        <w:rPr>
          <w:sz w:val="20"/>
          <w:szCs w:val="20"/>
        </w:rPr>
      </w:pPr>
      <w:r w:rsidRPr="003F2225">
        <w:rPr>
          <w:sz w:val="20"/>
          <w:szCs w:val="20"/>
        </w:rPr>
        <w:t>Ingresos Recaudados de Proyectos y/o Programas Específicos  en el ejercicio 2017:</w:t>
      </w:r>
    </w:p>
    <w:p w:rsidR="003F2225" w:rsidRDefault="003F2225" w:rsidP="009D4885">
      <w:pPr>
        <w:spacing w:after="0" w:line="240" w:lineRule="auto"/>
        <w:jc w:val="both"/>
        <w:rPr>
          <w:sz w:val="20"/>
          <w:szCs w:val="20"/>
        </w:rPr>
      </w:pPr>
    </w:p>
    <w:tbl>
      <w:tblPr>
        <w:tblW w:w="7235" w:type="dxa"/>
        <w:tblInd w:w="65" w:type="dxa"/>
        <w:tblCellMar>
          <w:left w:w="70" w:type="dxa"/>
          <w:right w:w="70" w:type="dxa"/>
        </w:tblCellMar>
        <w:tblLook w:val="04A0" w:firstRow="1" w:lastRow="0" w:firstColumn="1" w:lastColumn="0" w:noHBand="0" w:noVBand="1"/>
      </w:tblPr>
      <w:tblGrid>
        <w:gridCol w:w="5108"/>
        <w:gridCol w:w="2127"/>
      </w:tblGrid>
      <w:tr w:rsidR="003F2225" w:rsidRPr="003F2225" w:rsidTr="0074280B">
        <w:trPr>
          <w:trHeight w:val="329"/>
        </w:trPr>
        <w:tc>
          <w:tcPr>
            <w:tcW w:w="5108" w:type="dxa"/>
            <w:tcBorders>
              <w:top w:val="single" w:sz="4" w:space="0" w:color="auto"/>
              <w:left w:val="single" w:sz="4" w:space="0" w:color="auto"/>
              <w:bottom w:val="single" w:sz="4" w:space="0" w:color="auto"/>
              <w:right w:val="single" w:sz="4" w:space="0" w:color="000000"/>
            </w:tcBorders>
            <w:shd w:val="clear" w:color="000000" w:fill="D9D9D9"/>
            <w:vAlign w:val="bottom"/>
            <w:hideMark/>
          </w:tcPr>
          <w:p w:rsidR="003F2225" w:rsidRPr="003F2225" w:rsidRDefault="003F2225" w:rsidP="003F2225">
            <w:pPr>
              <w:spacing w:after="0" w:line="240" w:lineRule="auto"/>
              <w:jc w:val="center"/>
              <w:rPr>
                <w:rFonts w:ascii="Calibri" w:eastAsia="Times New Roman" w:hAnsi="Calibri" w:cs="Arial"/>
                <w:sz w:val="20"/>
                <w:szCs w:val="20"/>
                <w:lang w:eastAsia="es-MX"/>
              </w:rPr>
            </w:pPr>
            <w:r w:rsidRPr="003F2225">
              <w:rPr>
                <w:rFonts w:ascii="Calibri" w:eastAsia="Times New Roman" w:hAnsi="Calibri" w:cs="Arial"/>
                <w:sz w:val="20"/>
                <w:szCs w:val="20"/>
                <w:lang w:eastAsia="es-MX"/>
              </w:rPr>
              <w:t xml:space="preserve">PROGRAMA/ PROYECTO </w:t>
            </w:r>
          </w:p>
        </w:tc>
        <w:tc>
          <w:tcPr>
            <w:tcW w:w="2127" w:type="dxa"/>
            <w:tcBorders>
              <w:top w:val="single" w:sz="4" w:space="0" w:color="auto"/>
              <w:left w:val="nil"/>
              <w:bottom w:val="single" w:sz="4" w:space="0" w:color="auto"/>
              <w:right w:val="single" w:sz="4" w:space="0" w:color="auto"/>
            </w:tcBorders>
            <w:shd w:val="clear" w:color="000000" w:fill="D9D9D9"/>
            <w:vAlign w:val="center"/>
            <w:hideMark/>
          </w:tcPr>
          <w:p w:rsidR="003F2225" w:rsidRPr="003F2225" w:rsidRDefault="003F2225" w:rsidP="003F2225">
            <w:pPr>
              <w:spacing w:after="0" w:line="240" w:lineRule="auto"/>
              <w:jc w:val="center"/>
              <w:rPr>
                <w:rFonts w:ascii="Calibri" w:eastAsia="Times New Roman" w:hAnsi="Calibri" w:cs="Arial"/>
                <w:sz w:val="20"/>
                <w:szCs w:val="20"/>
                <w:lang w:eastAsia="es-MX"/>
              </w:rPr>
            </w:pPr>
            <w:r w:rsidRPr="003F2225">
              <w:rPr>
                <w:rFonts w:ascii="Calibri" w:eastAsia="Times New Roman" w:hAnsi="Calibri" w:cs="Arial"/>
                <w:sz w:val="20"/>
                <w:szCs w:val="20"/>
                <w:lang w:eastAsia="es-MX"/>
              </w:rPr>
              <w:t>IMPORTE DEL RECURSO</w:t>
            </w:r>
          </w:p>
        </w:tc>
      </w:tr>
      <w:tr w:rsidR="003F2225" w:rsidRPr="003F2225" w:rsidTr="0074280B">
        <w:trPr>
          <w:trHeight w:val="276"/>
        </w:trPr>
        <w:tc>
          <w:tcPr>
            <w:tcW w:w="510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F2225" w:rsidRPr="003F2225" w:rsidRDefault="003F2225" w:rsidP="003F2225">
            <w:pPr>
              <w:spacing w:after="0" w:line="240" w:lineRule="auto"/>
              <w:rPr>
                <w:rFonts w:ascii="Calibri" w:eastAsia="Times New Roman" w:hAnsi="Calibri" w:cs="Arial"/>
                <w:sz w:val="20"/>
                <w:szCs w:val="20"/>
                <w:lang w:eastAsia="es-MX"/>
              </w:rPr>
            </w:pPr>
            <w:r w:rsidRPr="003F2225">
              <w:rPr>
                <w:rFonts w:ascii="Calibri" w:eastAsia="Times New Roman" w:hAnsi="Calibri" w:cs="Arial"/>
                <w:sz w:val="20"/>
                <w:szCs w:val="20"/>
                <w:lang w:eastAsia="es-MX"/>
              </w:rPr>
              <w:t xml:space="preserve"> Aplicación de </w:t>
            </w:r>
            <w:r w:rsidR="00815DD2" w:rsidRPr="003F2225">
              <w:rPr>
                <w:rFonts w:ascii="Calibri" w:eastAsia="Times New Roman" w:hAnsi="Calibri" w:cs="Arial"/>
                <w:sz w:val="20"/>
                <w:szCs w:val="20"/>
                <w:lang w:eastAsia="es-MX"/>
              </w:rPr>
              <w:t>Diagnósticos</w:t>
            </w:r>
            <w:r w:rsidRPr="003F2225">
              <w:rPr>
                <w:rFonts w:ascii="Calibri" w:eastAsia="Times New Roman" w:hAnsi="Calibri" w:cs="Arial"/>
                <w:sz w:val="20"/>
                <w:szCs w:val="20"/>
                <w:lang w:eastAsia="es-MX"/>
              </w:rPr>
              <w:t xml:space="preserve"> a Emprendedores y/o MIPYMES </w:t>
            </w:r>
          </w:p>
        </w:tc>
        <w:tc>
          <w:tcPr>
            <w:tcW w:w="2127" w:type="dxa"/>
            <w:tcBorders>
              <w:top w:val="nil"/>
              <w:left w:val="nil"/>
              <w:bottom w:val="single" w:sz="4" w:space="0" w:color="auto"/>
              <w:right w:val="single" w:sz="4" w:space="0" w:color="auto"/>
            </w:tcBorders>
            <w:shd w:val="clear" w:color="auto" w:fill="auto"/>
            <w:vAlign w:val="bottom"/>
            <w:hideMark/>
          </w:tcPr>
          <w:p w:rsidR="003F2225" w:rsidRPr="003F2225" w:rsidRDefault="003F2225" w:rsidP="003F2225">
            <w:pPr>
              <w:spacing w:after="0" w:line="240" w:lineRule="auto"/>
              <w:rPr>
                <w:rFonts w:ascii="Calibri" w:eastAsia="Times New Roman" w:hAnsi="Calibri" w:cs="Arial"/>
                <w:sz w:val="20"/>
                <w:szCs w:val="20"/>
                <w:lang w:eastAsia="es-MX"/>
              </w:rPr>
            </w:pPr>
            <w:r w:rsidRPr="003F2225">
              <w:rPr>
                <w:rFonts w:ascii="Calibri" w:eastAsia="Times New Roman" w:hAnsi="Calibri" w:cs="Arial"/>
                <w:sz w:val="20"/>
                <w:szCs w:val="20"/>
                <w:lang w:eastAsia="es-MX"/>
              </w:rPr>
              <w:t xml:space="preserve">                31,200.00 </w:t>
            </w:r>
          </w:p>
        </w:tc>
      </w:tr>
    </w:tbl>
    <w:p w:rsidR="003F2225" w:rsidRDefault="003F2225" w:rsidP="009D4885">
      <w:pPr>
        <w:spacing w:after="0" w:line="240" w:lineRule="auto"/>
        <w:jc w:val="both"/>
        <w:rPr>
          <w:sz w:val="20"/>
          <w:szCs w:val="20"/>
        </w:rPr>
      </w:pPr>
    </w:p>
    <w:tbl>
      <w:tblPr>
        <w:tblW w:w="5000" w:type="pct"/>
        <w:tblCellMar>
          <w:left w:w="70" w:type="dxa"/>
          <w:right w:w="70" w:type="dxa"/>
        </w:tblCellMar>
        <w:tblLook w:val="04A0" w:firstRow="1" w:lastRow="0" w:firstColumn="1" w:lastColumn="0" w:noHBand="0" w:noVBand="1"/>
      </w:tblPr>
      <w:tblGrid>
        <w:gridCol w:w="1239"/>
        <w:gridCol w:w="1239"/>
        <w:gridCol w:w="1240"/>
        <w:gridCol w:w="1240"/>
        <w:gridCol w:w="1240"/>
        <w:gridCol w:w="1648"/>
        <w:gridCol w:w="1127"/>
        <w:gridCol w:w="1111"/>
        <w:gridCol w:w="1050"/>
        <w:gridCol w:w="1004"/>
        <w:gridCol w:w="710"/>
        <w:gridCol w:w="864"/>
      </w:tblGrid>
      <w:tr w:rsidR="009D4885" w:rsidRPr="009D4885" w:rsidTr="00815DD2">
        <w:trPr>
          <w:trHeight w:val="255"/>
        </w:trPr>
        <w:tc>
          <w:tcPr>
            <w:tcW w:w="2260" w:type="pct"/>
            <w:gridSpan w:val="5"/>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11.- Información Sobre la Deuda y el Reporte Analítico de la Deuda </w:t>
            </w: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"Esta nota no le aplica al ente público"</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12.- Calificaciones Otorgadas</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"Esta nota no le aplica al ente público"</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13.- Procesos de Mejora </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9D4885">
        <w:trPr>
          <w:trHeight w:val="255"/>
        </w:trPr>
        <w:tc>
          <w:tcPr>
            <w:tcW w:w="5000" w:type="pct"/>
            <w:gridSpan w:val="12"/>
            <w:tcBorders>
              <w:top w:val="nil"/>
              <w:left w:val="nil"/>
              <w:bottom w:val="nil"/>
              <w:right w:val="nil"/>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sz w:val="20"/>
                <w:szCs w:val="20"/>
                <w:lang w:eastAsia="es-MX"/>
              </w:rPr>
            </w:pPr>
            <w:r w:rsidRPr="009D4885">
              <w:rPr>
                <w:rFonts w:ascii="Calibri" w:eastAsia="Times New Roman" w:hAnsi="Calibri" w:cs="Arial"/>
                <w:sz w:val="20"/>
                <w:szCs w:val="20"/>
                <w:lang w:eastAsia="es-MX"/>
              </w:rPr>
              <w:t>El instituto cuenta con un procedimiento de compras directas revisado y actualizado cada inicio de ejercicio, el cual permite establecer la metodología que admita atender los requerimientos y efectuar la compra de bienes y servicios de manera oportuna y transparente, que solicitan las áreas de responsabilidad para realizar el trabajo que se les tiene asignado, dicho  procedimiento es aplicable para cualquier tipo de compra de bienes, insumos y/o prestación de servicios que se requieren en el Instituto Tecnológico Superior del Sur del Estado de Yucatán.</w:t>
            </w:r>
            <w:r w:rsidRPr="009D4885">
              <w:rPr>
                <w:rFonts w:ascii="Calibri" w:eastAsia="Times New Roman" w:hAnsi="Calibri" w:cs="Arial"/>
                <w:sz w:val="20"/>
                <w:szCs w:val="20"/>
                <w:lang w:eastAsia="es-MX"/>
              </w:rPr>
              <w:br/>
              <w:t>Cada Ejercicio es sometido a la revisión de un despacho Dictaminador Externo, el cual da certidumbre al correcto manejo de los recursos materiales, así como monetarios.</w:t>
            </w:r>
          </w:p>
        </w:tc>
      </w:tr>
      <w:tr w:rsidR="009D4885" w:rsidRPr="009D4885" w:rsidTr="00815DD2">
        <w:trPr>
          <w:trHeight w:val="255"/>
        </w:trPr>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14.- Información por Segmentos </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"Esta nota no le aplica al ente público"</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15.- Eventos Posteriores al Cierre</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2260" w:type="pct"/>
            <w:gridSpan w:val="5"/>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r w:rsidRPr="009D4885">
              <w:rPr>
                <w:rFonts w:ascii="Calibri" w:eastAsia="Times New Roman" w:hAnsi="Calibri" w:cs="Arial"/>
                <w:sz w:val="20"/>
                <w:szCs w:val="20"/>
                <w:lang w:eastAsia="es-MX"/>
              </w:rPr>
              <w:t>No se registró ningún movimiento posterior al cierre.</w:t>
            </w: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1808" w:type="pct"/>
            <w:gridSpan w:val="4"/>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16.- Partes Relacionadas</w:t>
            </w: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9D4885">
        <w:trPr>
          <w:trHeight w:val="255"/>
        </w:trPr>
        <w:tc>
          <w:tcPr>
            <w:tcW w:w="5000" w:type="pct"/>
            <w:gridSpan w:val="12"/>
            <w:tcBorders>
              <w:top w:val="nil"/>
              <w:left w:val="nil"/>
              <w:bottom w:val="nil"/>
              <w:right w:val="nil"/>
            </w:tcBorders>
            <w:shd w:val="clear" w:color="auto" w:fill="auto"/>
            <w:vAlign w:val="bottom"/>
            <w:hideMark/>
          </w:tcPr>
          <w:p w:rsidR="009D4885" w:rsidRPr="009D4885" w:rsidRDefault="009D4885" w:rsidP="009D4885">
            <w:pPr>
              <w:spacing w:after="0" w:line="240" w:lineRule="auto"/>
              <w:jc w:val="both"/>
              <w:rPr>
                <w:rFonts w:ascii="Calibri" w:eastAsia="Times New Roman" w:hAnsi="Calibri" w:cs="Arial"/>
                <w:sz w:val="20"/>
                <w:szCs w:val="20"/>
                <w:lang w:eastAsia="es-MX"/>
              </w:rPr>
            </w:pPr>
            <w:r w:rsidRPr="009D4885">
              <w:rPr>
                <w:rFonts w:ascii="Calibri" w:eastAsia="Times New Roman" w:hAnsi="Calibri" w:cs="Arial"/>
                <w:sz w:val="20"/>
                <w:szCs w:val="20"/>
                <w:lang w:eastAsia="es-MX"/>
              </w:rPr>
              <w:t>No existen partes relacionadas que pudieran ejercer influencia significativa sobre la toma de decisiones financieras y operativas sobre la información financiera del Instituto Tecnológico Superior del Sur del Estado de Yucatán.</w:t>
            </w:r>
          </w:p>
        </w:tc>
      </w:tr>
      <w:tr w:rsidR="009D4885" w:rsidRPr="009D4885" w:rsidTr="00815DD2">
        <w:trPr>
          <w:trHeight w:val="255"/>
        </w:trPr>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52"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60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815DD2">
        <w:trPr>
          <w:trHeight w:val="255"/>
        </w:trPr>
        <w:tc>
          <w:tcPr>
            <w:tcW w:w="2861" w:type="pct"/>
            <w:gridSpan w:val="6"/>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b/>
                <w:bCs/>
                <w:sz w:val="20"/>
                <w:szCs w:val="20"/>
                <w:lang w:eastAsia="es-MX"/>
              </w:rPr>
            </w:pPr>
            <w:r w:rsidRPr="009D4885">
              <w:rPr>
                <w:rFonts w:ascii="Calibri" w:eastAsia="Times New Roman" w:hAnsi="Calibri" w:cs="Arial"/>
                <w:b/>
                <w:bCs/>
                <w:sz w:val="20"/>
                <w:szCs w:val="20"/>
                <w:lang w:eastAsia="es-MX"/>
              </w:rPr>
              <w:t xml:space="preserve">17.-  Responsabilidad Sobre la Presentación Razonable de los Estados Financieros </w:t>
            </w:r>
          </w:p>
        </w:tc>
        <w:tc>
          <w:tcPr>
            <w:tcW w:w="411"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40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83"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66"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259"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c>
          <w:tcPr>
            <w:tcW w:w="315" w:type="pct"/>
            <w:tcBorders>
              <w:top w:val="nil"/>
              <w:left w:val="nil"/>
              <w:bottom w:val="nil"/>
              <w:right w:val="nil"/>
            </w:tcBorders>
            <w:shd w:val="clear" w:color="auto" w:fill="auto"/>
            <w:noWrap/>
            <w:vAlign w:val="bottom"/>
            <w:hideMark/>
          </w:tcPr>
          <w:p w:rsidR="009D4885" w:rsidRPr="009D4885" w:rsidRDefault="009D4885" w:rsidP="009D4885">
            <w:pPr>
              <w:spacing w:after="0" w:line="240" w:lineRule="auto"/>
              <w:rPr>
                <w:rFonts w:ascii="Calibri" w:eastAsia="Times New Roman" w:hAnsi="Calibri" w:cs="Arial"/>
                <w:sz w:val="20"/>
                <w:szCs w:val="20"/>
                <w:lang w:eastAsia="es-MX"/>
              </w:rPr>
            </w:pPr>
          </w:p>
        </w:tc>
      </w:tr>
      <w:tr w:rsidR="009D4885" w:rsidRPr="009D4885" w:rsidTr="009D4885">
        <w:trPr>
          <w:trHeight w:val="244"/>
        </w:trPr>
        <w:tc>
          <w:tcPr>
            <w:tcW w:w="5000" w:type="pct"/>
            <w:gridSpan w:val="12"/>
            <w:vMerge w:val="restart"/>
            <w:tcBorders>
              <w:top w:val="nil"/>
              <w:left w:val="nil"/>
              <w:bottom w:val="nil"/>
              <w:right w:val="nil"/>
            </w:tcBorders>
            <w:shd w:val="clear" w:color="auto" w:fill="auto"/>
            <w:vAlign w:val="bottom"/>
            <w:hideMark/>
          </w:tcPr>
          <w:p w:rsidR="00002BF5" w:rsidRDefault="009D4885" w:rsidP="009D4885">
            <w:pPr>
              <w:spacing w:after="0" w:line="240" w:lineRule="auto"/>
              <w:jc w:val="both"/>
              <w:rPr>
                <w:rFonts w:ascii="Calibri" w:eastAsia="Times New Roman" w:hAnsi="Calibri" w:cs="Arial"/>
                <w:sz w:val="20"/>
                <w:szCs w:val="20"/>
                <w:lang w:eastAsia="es-MX"/>
              </w:rPr>
            </w:pPr>
            <w:r w:rsidRPr="009D4885">
              <w:rPr>
                <w:rFonts w:ascii="Calibri" w:eastAsia="Times New Roman" w:hAnsi="Calibri" w:cs="Arial"/>
                <w:sz w:val="20"/>
                <w:szCs w:val="20"/>
                <w:lang w:eastAsia="es-MX"/>
              </w:rPr>
              <w:t xml:space="preserve">Los Estados Financieros se presentan debidamente rubricados y se incluye la siguiente leyenda: </w:t>
            </w:r>
          </w:p>
          <w:p w:rsidR="009D4885" w:rsidRPr="009D4885" w:rsidRDefault="009D4885" w:rsidP="009D4885">
            <w:pPr>
              <w:spacing w:after="0" w:line="240" w:lineRule="auto"/>
              <w:jc w:val="both"/>
              <w:rPr>
                <w:rFonts w:ascii="Calibri" w:eastAsia="Times New Roman" w:hAnsi="Calibri" w:cs="Arial"/>
                <w:sz w:val="20"/>
                <w:szCs w:val="20"/>
                <w:lang w:eastAsia="es-MX"/>
              </w:rPr>
            </w:pPr>
            <w:r w:rsidRPr="009D4885">
              <w:rPr>
                <w:rFonts w:ascii="Calibri" w:eastAsia="Times New Roman" w:hAnsi="Calibri" w:cs="Arial"/>
                <w:sz w:val="20"/>
                <w:szCs w:val="20"/>
                <w:lang w:eastAsia="es-MX"/>
              </w:rPr>
              <w:t xml:space="preserve">Bajo Protesta de decir verdad declaramos que los </w:t>
            </w:r>
            <w:r w:rsidR="00EF743A">
              <w:rPr>
                <w:rFonts w:ascii="Calibri" w:eastAsia="Times New Roman" w:hAnsi="Calibri" w:cs="Arial"/>
                <w:sz w:val="20"/>
                <w:szCs w:val="20"/>
                <w:lang w:eastAsia="es-MX"/>
              </w:rPr>
              <w:t>Estados Financieros y sus Notas</w:t>
            </w:r>
            <w:r w:rsidRPr="009D4885">
              <w:rPr>
                <w:rFonts w:ascii="Calibri" w:eastAsia="Times New Roman" w:hAnsi="Calibri" w:cs="Arial"/>
                <w:sz w:val="20"/>
                <w:szCs w:val="20"/>
                <w:lang w:eastAsia="es-MX"/>
              </w:rPr>
              <w:t xml:space="preserve"> son razonablemente correctos y</w:t>
            </w:r>
            <w:r w:rsidR="00002BF5">
              <w:rPr>
                <w:rFonts w:ascii="Calibri" w:eastAsia="Times New Roman" w:hAnsi="Calibri" w:cs="Arial"/>
                <w:sz w:val="20"/>
                <w:szCs w:val="20"/>
                <w:lang w:eastAsia="es-MX"/>
              </w:rPr>
              <w:t xml:space="preserve"> son responsabilidad del emisor</w:t>
            </w:r>
          </w:p>
        </w:tc>
      </w:tr>
      <w:tr w:rsidR="009D4885" w:rsidRPr="009D4885" w:rsidTr="009D4885">
        <w:trPr>
          <w:trHeight w:val="480"/>
        </w:trPr>
        <w:tc>
          <w:tcPr>
            <w:tcW w:w="5000" w:type="pct"/>
            <w:gridSpan w:val="12"/>
            <w:vMerge/>
            <w:tcBorders>
              <w:top w:val="nil"/>
              <w:left w:val="nil"/>
              <w:bottom w:val="nil"/>
              <w:right w:val="nil"/>
            </w:tcBorders>
            <w:vAlign w:val="center"/>
            <w:hideMark/>
          </w:tcPr>
          <w:p w:rsidR="009D4885" w:rsidRPr="009D4885" w:rsidRDefault="009D4885" w:rsidP="009D4885">
            <w:pPr>
              <w:spacing w:after="0" w:line="240" w:lineRule="auto"/>
              <w:rPr>
                <w:rFonts w:ascii="Calibri" w:eastAsia="Times New Roman" w:hAnsi="Calibri" w:cs="Arial"/>
                <w:sz w:val="20"/>
                <w:szCs w:val="20"/>
                <w:lang w:eastAsia="es-MX"/>
              </w:rPr>
            </w:pPr>
          </w:p>
        </w:tc>
      </w:tr>
    </w:tbl>
    <w:p w:rsidR="009D4885" w:rsidRDefault="009D4885" w:rsidP="009D4885">
      <w:pPr>
        <w:spacing w:after="0" w:line="240" w:lineRule="auto"/>
        <w:jc w:val="both"/>
        <w:rPr>
          <w:sz w:val="20"/>
          <w:szCs w:val="20"/>
        </w:rPr>
      </w:pPr>
    </w:p>
    <w:sectPr w:rsidR="009D4885" w:rsidSect="00EF743A">
      <w:pgSz w:w="15840" w:h="12240" w:orient="landscape" w:code="1"/>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A0" w:rsidRDefault="00C208A0" w:rsidP="00B07A9A">
      <w:pPr>
        <w:spacing w:after="0" w:line="240" w:lineRule="auto"/>
      </w:pPr>
      <w:r>
        <w:separator/>
      </w:r>
    </w:p>
  </w:endnote>
  <w:endnote w:type="continuationSeparator" w:id="0">
    <w:p w:rsidR="00C208A0" w:rsidRDefault="00C208A0" w:rsidP="00B0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A0" w:rsidRDefault="00C208A0" w:rsidP="00B07A9A">
      <w:pPr>
        <w:spacing w:after="0" w:line="240" w:lineRule="auto"/>
      </w:pPr>
      <w:r>
        <w:separator/>
      </w:r>
    </w:p>
  </w:footnote>
  <w:footnote w:type="continuationSeparator" w:id="0">
    <w:p w:rsidR="00C208A0" w:rsidRDefault="00C208A0" w:rsidP="00B07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956"/>
    <w:multiLevelType w:val="hybridMultilevel"/>
    <w:tmpl w:val="5660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E2666D"/>
    <w:multiLevelType w:val="hybridMultilevel"/>
    <w:tmpl w:val="7A62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0E5BAB"/>
    <w:multiLevelType w:val="hybridMultilevel"/>
    <w:tmpl w:val="D8F4A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3B"/>
    <w:rsid w:val="00002BF5"/>
    <w:rsid w:val="0001030E"/>
    <w:rsid w:val="00017317"/>
    <w:rsid w:val="00045706"/>
    <w:rsid w:val="00074FD9"/>
    <w:rsid w:val="00075CF3"/>
    <w:rsid w:val="000833C2"/>
    <w:rsid w:val="00095B4E"/>
    <w:rsid w:val="000A7254"/>
    <w:rsid w:val="000D2D54"/>
    <w:rsid w:val="00124586"/>
    <w:rsid w:val="00140FD7"/>
    <w:rsid w:val="00156EAE"/>
    <w:rsid w:val="001E1178"/>
    <w:rsid w:val="001F6C1C"/>
    <w:rsid w:val="002763C5"/>
    <w:rsid w:val="002903F6"/>
    <w:rsid w:val="00343897"/>
    <w:rsid w:val="00357B0D"/>
    <w:rsid w:val="003B09C7"/>
    <w:rsid w:val="003D7257"/>
    <w:rsid w:val="003F2225"/>
    <w:rsid w:val="00406249"/>
    <w:rsid w:val="004076BA"/>
    <w:rsid w:val="004156E5"/>
    <w:rsid w:val="00420BCC"/>
    <w:rsid w:val="004A3436"/>
    <w:rsid w:val="004A3BE8"/>
    <w:rsid w:val="004E22A4"/>
    <w:rsid w:val="004E243F"/>
    <w:rsid w:val="00514F51"/>
    <w:rsid w:val="00521C8D"/>
    <w:rsid w:val="00535602"/>
    <w:rsid w:val="00586267"/>
    <w:rsid w:val="005C13D1"/>
    <w:rsid w:val="00604C5E"/>
    <w:rsid w:val="006408DE"/>
    <w:rsid w:val="00687C98"/>
    <w:rsid w:val="006926BA"/>
    <w:rsid w:val="006D33C0"/>
    <w:rsid w:val="006E18BB"/>
    <w:rsid w:val="00704211"/>
    <w:rsid w:val="0071754C"/>
    <w:rsid w:val="00731DF1"/>
    <w:rsid w:val="0074280B"/>
    <w:rsid w:val="007516C7"/>
    <w:rsid w:val="007604C4"/>
    <w:rsid w:val="00770F52"/>
    <w:rsid w:val="00775754"/>
    <w:rsid w:val="00783160"/>
    <w:rsid w:val="007A6DCD"/>
    <w:rsid w:val="007F5C2B"/>
    <w:rsid w:val="00807A47"/>
    <w:rsid w:val="00815DD2"/>
    <w:rsid w:val="00867CEF"/>
    <w:rsid w:val="00876E19"/>
    <w:rsid w:val="008D023B"/>
    <w:rsid w:val="00931455"/>
    <w:rsid w:val="009440CC"/>
    <w:rsid w:val="00976C77"/>
    <w:rsid w:val="009D4885"/>
    <w:rsid w:val="009E13B2"/>
    <w:rsid w:val="009F4E55"/>
    <w:rsid w:val="009F69FF"/>
    <w:rsid w:val="00A65169"/>
    <w:rsid w:val="00A76240"/>
    <w:rsid w:val="00A970ED"/>
    <w:rsid w:val="00AB57A2"/>
    <w:rsid w:val="00AC7F4F"/>
    <w:rsid w:val="00B07A9A"/>
    <w:rsid w:val="00B14532"/>
    <w:rsid w:val="00B16C87"/>
    <w:rsid w:val="00B34846"/>
    <w:rsid w:val="00B66DC4"/>
    <w:rsid w:val="00B80505"/>
    <w:rsid w:val="00B97440"/>
    <w:rsid w:val="00B97946"/>
    <w:rsid w:val="00BC204A"/>
    <w:rsid w:val="00BD78B5"/>
    <w:rsid w:val="00BF2498"/>
    <w:rsid w:val="00C039CE"/>
    <w:rsid w:val="00C208A0"/>
    <w:rsid w:val="00C23581"/>
    <w:rsid w:val="00C24E42"/>
    <w:rsid w:val="00C406A5"/>
    <w:rsid w:val="00C5790F"/>
    <w:rsid w:val="00C62E23"/>
    <w:rsid w:val="00C92DC4"/>
    <w:rsid w:val="00CB15CB"/>
    <w:rsid w:val="00CC7B51"/>
    <w:rsid w:val="00CD7932"/>
    <w:rsid w:val="00CE12B5"/>
    <w:rsid w:val="00D03071"/>
    <w:rsid w:val="00D45513"/>
    <w:rsid w:val="00D51BF8"/>
    <w:rsid w:val="00D70C00"/>
    <w:rsid w:val="00D908E9"/>
    <w:rsid w:val="00D91482"/>
    <w:rsid w:val="00DB3998"/>
    <w:rsid w:val="00DB4DF0"/>
    <w:rsid w:val="00DC5A25"/>
    <w:rsid w:val="00E362C0"/>
    <w:rsid w:val="00E47C4F"/>
    <w:rsid w:val="00E73FCC"/>
    <w:rsid w:val="00E744DE"/>
    <w:rsid w:val="00E96219"/>
    <w:rsid w:val="00EC30F0"/>
    <w:rsid w:val="00EF743A"/>
    <w:rsid w:val="00EF75D0"/>
    <w:rsid w:val="00F01E0D"/>
    <w:rsid w:val="00F42DFD"/>
    <w:rsid w:val="00F74A90"/>
    <w:rsid w:val="00FB0EC3"/>
    <w:rsid w:val="00FC1DF4"/>
    <w:rsid w:val="00FC5ECC"/>
    <w:rsid w:val="00FD0B66"/>
    <w:rsid w:val="00FD1A44"/>
    <w:rsid w:val="00FE1A4C"/>
    <w:rsid w:val="00FE2F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1">
      <w:bodyDiv w:val="1"/>
      <w:marLeft w:val="0"/>
      <w:marRight w:val="0"/>
      <w:marTop w:val="0"/>
      <w:marBottom w:val="0"/>
      <w:divBdr>
        <w:top w:val="none" w:sz="0" w:space="0" w:color="auto"/>
        <w:left w:val="none" w:sz="0" w:space="0" w:color="auto"/>
        <w:bottom w:val="none" w:sz="0" w:space="0" w:color="auto"/>
        <w:right w:val="none" w:sz="0" w:space="0" w:color="auto"/>
      </w:divBdr>
    </w:div>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55588816">
      <w:bodyDiv w:val="1"/>
      <w:marLeft w:val="0"/>
      <w:marRight w:val="0"/>
      <w:marTop w:val="0"/>
      <w:marBottom w:val="0"/>
      <w:divBdr>
        <w:top w:val="none" w:sz="0" w:space="0" w:color="auto"/>
        <w:left w:val="none" w:sz="0" w:space="0" w:color="auto"/>
        <w:bottom w:val="none" w:sz="0" w:space="0" w:color="auto"/>
        <w:right w:val="none" w:sz="0" w:space="0" w:color="auto"/>
      </w:divBdr>
    </w:div>
    <w:div w:id="80418727">
      <w:bodyDiv w:val="1"/>
      <w:marLeft w:val="0"/>
      <w:marRight w:val="0"/>
      <w:marTop w:val="0"/>
      <w:marBottom w:val="0"/>
      <w:divBdr>
        <w:top w:val="none" w:sz="0" w:space="0" w:color="auto"/>
        <w:left w:val="none" w:sz="0" w:space="0" w:color="auto"/>
        <w:bottom w:val="none" w:sz="0" w:space="0" w:color="auto"/>
        <w:right w:val="none" w:sz="0" w:space="0" w:color="auto"/>
      </w:divBdr>
    </w:div>
    <w:div w:id="90245580">
      <w:bodyDiv w:val="1"/>
      <w:marLeft w:val="0"/>
      <w:marRight w:val="0"/>
      <w:marTop w:val="0"/>
      <w:marBottom w:val="0"/>
      <w:divBdr>
        <w:top w:val="none" w:sz="0" w:space="0" w:color="auto"/>
        <w:left w:val="none" w:sz="0" w:space="0" w:color="auto"/>
        <w:bottom w:val="none" w:sz="0" w:space="0" w:color="auto"/>
        <w:right w:val="none" w:sz="0" w:space="0" w:color="auto"/>
      </w:divBdr>
    </w:div>
    <w:div w:id="103117275">
      <w:bodyDiv w:val="1"/>
      <w:marLeft w:val="0"/>
      <w:marRight w:val="0"/>
      <w:marTop w:val="0"/>
      <w:marBottom w:val="0"/>
      <w:divBdr>
        <w:top w:val="none" w:sz="0" w:space="0" w:color="auto"/>
        <w:left w:val="none" w:sz="0" w:space="0" w:color="auto"/>
        <w:bottom w:val="none" w:sz="0" w:space="0" w:color="auto"/>
        <w:right w:val="none" w:sz="0" w:space="0" w:color="auto"/>
      </w:divBdr>
    </w:div>
    <w:div w:id="108404540">
      <w:bodyDiv w:val="1"/>
      <w:marLeft w:val="0"/>
      <w:marRight w:val="0"/>
      <w:marTop w:val="0"/>
      <w:marBottom w:val="0"/>
      <w:divBdr>
        <w:top w:val="none" w:sz="0" w:space="0" w:color="auto"/>
        <w:left w:val="none" w:sz="0" w:space="0" w:color="auto"/>
        <w:bottom w:val="none" w:sz="0" w:space="0" w:color="auto"/>
        <w:right w:val="none" w:sz="0" w:space="0" w:color="auto"/>
      </w:divBdr>
    </w:div>
    <w:div w:id="111901647">
      <w:bodyDiv w:val="1"/>
      <w:marLeft w:val="0"/>
      <w:marRight w:val="0"/>
      <w:marTop w:val="0"/>
      <w:marBottom w:val="0"/>
      <w:divBdr>
        <w:top w:val="none" w:sz="0" w:space="0" w:color="auto"/>
        <w:left w:val="none" w:sz="0" w:space="0" w:color="auto"/>
        <w:bottom w:val="none" w:sz="0" w:space="0" w:color="auto"/>
        <w:right w:val="none" w:sz="0" w:space="0" w:color="auto"/>
      </w:divBdr>
    </w:div>
    <w:div w:id="118190155">
      <w:bodyDiv w:val="1"/>
      <w:marLeft w:val="0"/>
      <w:marRight w:val="0"/>
      <w:marTop w:val="0"/>
      <w:marBottom w:val="0"/>
      <w:divBdr>
        <w:top w:val="none" w:sz="0" w:space="0" w:color="auto"/>
        <w:left w:val="none" w:sz="0" w:space="0" w:color="auto"/>
        <w:bottom w:val="none" w:sz="0" w:space="0" w:color="auto"/>
        <w:right w:val="none" w:sz="0" w:space="0" w:color="auto"/>
      </w:divBdr>
    </w:div>
    <w:div w:id="132797187">
      <w:bodyDiv w:val="1"/>
      <w:marLeft w:val="0"/>
      <w:marRight w:val="0"/>
      <w:marTop w:val="0"/>
      <w:marBottom w:val="0"/>
      <w:divBdr>
        <w:top w:val="none" w:sz="0" w:space="0" w:color="auto"/>
        <w:left w:val="none" w:sz="0" w:space="0" w:color="auto"/>
        <w:bottom w:val="none" w:sz="0" w:space="0" w:color="auto"/>
        <w:right w:val="none" w:sz="0" w:space="0" w:color="auto"/>
      </w:divBdr>
    </w:div>
    <w:div w:id="155153486">
      <w:bodyDiv w:val="1"/>
      <w:marLeft w:val="0"/>
      <w:marRight w:val="0"/>
      <w:marTop w:val="0"/>
      <w:marBottom w:val="0"/>
      <w:divBdr>
        <w:top w:val="none" w:sz="0" w:space="0" w:color="auto"/>
        <w:left w:val="none" w:sz="0" w:space="0" w:color="auto"/>
        <w:bottom w:val="none" w:sz="0" w:space="0" w:color="auto"/>
        <w:right w:val="none" w:sz="0" w:space="0" w:color="auto"/>
      </w:divBdr>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9681418">
      <w:bodyDiv w:val="1"/>
      <w:marLeft w:val="0"/>
      <w:marRight w:val="0"/>
      <w:marTop w:val="0"/>
      <w:marBottom w:val="0"/>
      <w:divBdr>
        <w:top w:val="none" w:sz="0" w:space="0" w:color="auto"/>
        <w:left w:val="none" w:sz="0" w:space="0" w:color="auto"/>
        <w:bottom w:val="none" w:sz="0" w:space="0" w:color="auto"/>
        <w:right w:val="none" w:sz="0" w:space="0" w:color="auto"/>
      </w:divBdr>
    </w:div>
    <w:div w:id="179008294">
      <w:bodyDiv w:val="1"/>
      <w:marLeft w:val="0"/>
      <w:marRight w:val="0"/>
      <w:marTop w:val="0"/>
      <w:marBottom w:val="0"/>
      <w:divBdr>
        <w:top w:val="none" w:sz="0" w:space="0" w:color="auto"/>
        <w:left w:val="none" w:sz="0" w:space="0" w:color="auto"/>
        <w:bottom w:val="none" w:sz="0" w:space="0" w:color="auto"/>
        <w:right w:val="none" w:sz="0" w:space="0" w:color="auto"/>
      </w:divBdr>
    </w:div>
    <w:div w:id="179204517">
      <w:bodyDiv w:val="1"/>
      <w:marLeft w:val="0"/>
      <w:marRight w:val="0"/>
      <w:marTop w:val="0"/>
      <w:marBottom w:val="0"/>
      <w:divBdr>
        <w:top w:val="none" w:sz="0" w:space="0" w:color="auto"/>
        <w:left w:val="none" w:sz="0" w:space="0" w:color="auto"/>
        <w:bottom w:val="none" w:sz="0" w:space="0" w:color="auto"/>
        <w:right w:val="none" w:sz="0" w:space="0" w:color="auto"/>
      </w:divBdr>
    </w:div>
    <w:div w:id="193463792">
      <w:bodyDiv w:val="1"/>
      <w:marLeft w:val="0"/>
      <w:marRight w:val="0"/>
      <w:marTop w:val="0"/>
      <w:marBottom w:val="0"/>
      <w:divBdr>
        <w:top w:val="none" w:sz="0" w:space="0" w:color="auto"/>
        <w:left w:val="none" w:sz="0" w:space="0" w:color="auto"/>
        <w:bottom w:val="none" w:sz="0" w:space="0" w:color="auto"/>
        <w:right w:val="none" w:sz="0" w:space="0" w:color="auto"/>
      </w:divBdr>
    </w:div>
    <w:div w:id="215749316">
      <w:bodyDiv w:val="1"/>
      <w:marLeft w:val="0"/>
      <w:marRight w:val="0"/>
      <w:marTop w:val="0"/>
      <w:marBottom w:val="0"/>
      <w:divBdr>
        <w:top w:val="none" w:sz="0" w:space="0" w:color="auto"/>
        <w:left w:val="none" w:sz="0" w:space="0" w:color="auto"/>
        <w:bottom w:val="none" w:sz="0" w:space="0" w:color="auto"/>
        <w:right w:val="none" w:sz="0" w:space="0" w:color="auto"/>
      </w:divBdr>
    </w:div>
    <w:div w:id="226385857">
      <w:bodyDiv w:val="1"/>
      <w:marLeft w:val="0"/>
      <w:marRight w:val="0"/>
      <w:marTop w:val="0"/>
      <w:marBottom w:val="0"/>
      <w:divBdr>
        <w:top w:val="none" w:sz="0" w:space="0" w:color="auto"/>
        <w:left w:val="none" w:sz="0" w:space="0" w:color="auto"/>
        <w:bottom w:val="none" w:sz="0" w:space="0" w:color="auto"/>
        <w:right w:val="none" w:sz="0" w:space="0" w:color="auto"/>
      </w:divBdr>
    </w:div>
    <w:div w:id="243338401">
      <w:bodyDiv w:val="1"/>
      <w:marLeft w:val="0"/>
      <w:marRight w:val="0"/>
      <w:marTop w:val="0"/>
      <w:marBottom w:val="0"/>
      <w:divBdr>
        <w:top w:val="none" w:sz="0" w:space="0" w:color="auto"/>
        <w:left w:val="none" w:sz="0" w:space="0" w:color="auto"/>
        <w:bottom w:val="none" w:sz="0" w:space="0" w:color="auto"/>
        <w:right w:val="none" w:sz="0" w:space="0" w:color="auto"/>
      </w:divBdr>
    </w:div>
    <w:div w:id="250706026">
      <w:bodyDiv w:val="1"/>
      <w:marLeft w:val="0"/>
      <w:marRight w:val="0"/>
      <w:marTop w:val="0"/>
      <w:marBottom w:val="0"/>
      <w:divBdr>
        <w:top w:val="none" w:sz="0" w:space="0" w:color="auto"/>
        <w:left w:val="none" w:sz="0" w:space="0" w:color="auto"/>
        <w:bottom w:val="none" w:sz="0" w:space="0" w:color="auto"/>
        <w:right w:val="none" w:sz="0" w:space="0" w:color="auto"/>
      </w:divBdr>
    </w:div>
    <w:div w:id="262998118">
      <w:bodyDiv w:val="1"/>
      <w:marLeft w:val="0"/>
      <w:marRight w:val="0"/>
      <w:marTop w:val="0"/>
      <w:marBottom w:val="0"/>
      <w:divBdr>
        <w:top w:val="none" w:sz="0" w:space="0" w:color="auto"/>
        <w:left w:val="none" w:sz="0" w:space="0" w:color="auto"/>
        <w:bottom w:val="none" w:sz="0" w:space="0" w:color="auto"/>
        <w:right w:val="none" w:sz="0" w:space="0" w:color="auto"/>
      </w:divBdr>
    </w:div>
    <w:div w:id="271057789">
      <w:bodyDiv w:val="1"/>
      <w:marLeft w:val="0"/>
      <w:marRight w:val="0"/>
      <w:marTop w:val="0"/>
      <w:marBottom w:val="0"/>
      <w:divBdr>
        <w:top w:val="none" w:sz="0" w:space="0" w:color="auto"/>
        <w:left w:val="none" w:sz="0" w:space="0" w:color="auto"/>
        <w:bottom w:val="none" w:sz="0" w:space="0" w:color="auto"/>
        <w:right w:val="none" w:sz="0" w:space="0" w:color="auto"/>
      </w:divBdr>
    </w:div>
    <w:div w:id="274096302">
      <w:bodyDiv w:val="1"/>
      <w:marLeft w:val="0"/>
      <w:marRight w:val="0"/>
      <w:marTop w:val="0"/>
      <w:marBottom w:val="0"/>
      <w:divBdr>
        <w:top w:val="none" w:sz="0" w:space="0" w:color="auto"/>
        <w:left w:val="none" w:sz="0" w:space="0" w:color="auto"/>
        <w:bottom w:val="none" w:sz="0" w:space="0" w:color="auto"/>
        <w:right w:val="none" w:sz="0" w:space="0" w:color="auto"/>
      </w:divBdr>
    </w:div>
    <w:div w:id="279142074">
      <w:bodyDiv w:val="1"/>
      <w:marLeft w:val="0"/>
      <w:marRight w:val="0"/>
      <w:marTop w:val="0"/>
      <w:marBottom w:val="0"/>
      <w:divBdr>
        <w:top w:val="none" w:sz="0" w:space="0" w:color="auto"/>
        <w:left w:val="none" w:sz="0" w:space="0" w:color="auto"/>
        <w:bottom w:val="none" w:sz="0" w:space="0" w:color="auto"/>
        <w:right w:val="none" w:sz="0" w:space="0" w:color="auto"/>
      </w:divBdr>
    </w:div>
    <w:div w:id="280653975">
      <w:bodyDiv w:val="1"/>
      <w:marLeft w:val="0"/>
      <w:marRight w:val="0"/>
      <w:marTop w:val="0"/>
      <w:marBottom w:val="0"/>
      <w:divBdr>
        <w:top w:val="none" w:sz="0" w:space="0" w:color="auto"/>
        <w:left w:val="none" w:sz="0" w:space="0" w:color="auto"/>
        <w:bottom w:val="none" w:sz="0" w:space="0" w:color="auto"/>
        <w:right w:val="none" w:sz="0" w:space="0" w:color="auto"/>
      </w:divBdr>
    </w:div>
    <w:div w:id="293608219">
      <w:bodyDiv w:val="1"/>
      <w:marLeft w:val="0"/>
      <w:marRight w:val="0"/>
      <w:marTop w:val="0"/>
      <w:marBottom w:val="0"/>
      <w:divBdr>
        <w:top w:val="none" w:sz="0" w:space="0" w:color="auto"/>
        <w:left w:val="none" w:sz="0" w:space="0" w:color="auto"/>
        <w:bottom w:val="none" w:sz="0" w:space="0" w:color="auto"/>
        <w:right w:val="none" w:sz="0" w:space="0" w:color="auto"/>
      </w:divBdr>
    </w:div>
    <w:div w:id="341013319">
      <w:bodyDiv w:val="1"/>
      <w:marLeft w:val="0"/>
      <w:marRight w:val="0"/>
      <w:marTop w:val="0"/>
      <w:marBottom w:val="0"/>
      <w:divBdr>
        <w:top w:val="none" w:sz="0" w:space="0" w:color="auto"/>
        <w:left w:val="none" w:sz="0" w:space="0" w:color="auto"/>
        <w:bottom w:val="none" w:sz="0" w:space="0" w:color="auto"/>
        <w:right w:val="none" w:sz="0" w:space="0" w:color="auto"/>
      </w:divBdr>
    </w:div>
    <w:div w:id="342708783">
      <w:bodyDiv w:val="1"/>
      <w:marLeft w:val="0"/>
      <w:marRight w:val="0"/>
      <w:marTop w:val="0"/>
      <w:marBottom w:val="0"/>
      <w:divBdr>
        <w:top w:val="none" w:sz="0" w:space="0" w:color="auto"/>
        <w:left w:val="none" w:sz="0" w:space="0" w:color="auto"/>
        <w:bottom w:val="none" w:sz="0" w:space="0" w:color="auto"/>
        <w:right w:val="none" w:sz="0" w:space="0" w:color="auto"/>
      </w:divBdr>
    </w:div>
    <w:div w:id="344598569">
      <w:bodyDiv w:val="1"/>
      <w:marLeft w:val="0"/>
      <w:marRight w:val="0"/>
      <w:marTop w:val="0"/>
      <w:marBottom w:val="0"/>
      <w:divBdr>
        <w:top w:val="none" w:sz="0" w:space="0" w:color="auto"/>
        <w:left w:val="none" w:sz="0" w:space="0" w:color="auto"/>
        <w:bottom w:val="none" w:sz="0" w:space="0" w:color="auto"/>
        <w:right w:val="none" w:sz="0" w:space="0" w:color="auto"/>
      </w:divBdr>
    </w:div>
    <w:div w:id="349915193">
      <w:bodyDiv w:val="1"/>
      <w:marLeft w:val="0"/>
      <w:marRight w:val="0"/>
      <w:marTop w:val="0"/>
      <w:marBottom w:val="0"/>
      <w:divBdr>
        <w:top w:val="none" w:sz="0" w:space="0" w:color="auto"/>
        <w:left w:val="none" w:sz="0" w:space="0" w:color="auto"/>
        <w:bottom w:val="none" w:sz="0" w:space="0" w:color="auto"/>
        <w:right w:val="none" w:sz="0" w:space="0" w:color="auto"/>
      </w:divBdr>
    </w:div>
    <w:div w:id="359210055">
      <w:bodyDiv w:val="1"/>
      <w:marLeft w:val="0"/>
      <w:marRight w:val="0"/>
      <w:marTop w:val="0"/>
      <w:marBottom w:val="0"/>
      <w:divBdr>
        <w:top w:val="none" w:sz="0" w:space="0" w:color="auto"/>
        <w:left w:val="none" w:sz="0" w:space="0" w:color="auto"/>
        <w:bottom w:val="none" w:sz="0" w:space="0" w:color="auto"/>
        <w:right w:val="none" w:sz="0" w:space="0" w:color="auto"/>
      </w:divBdr>
    </w:div>
    <w:div w:id="396052578">
      <w:bodyDiv w:val="1"/>
      <w:marLeft w:val="0"/>
      <w:marRight w:val="0"/>
      <w:marTop w:val="0"/>
      <w:marBottom w:val="0"/>
      <w:divBdr>
        <w:top w:val="none" w:sz="0" w:space="0" w:color="auto"/>
        <w:left w:val="none" w:sz="0" w:space="0" w:color="auto"/>
        <w:bottom w:val="none" w:sz="0" w:space="0" w:color="auto"/>
        <w:right w:val="none" w:sz="0" w:space="0" w:color="auto"/>
      </w:divBdr>
    </w:div>
    <w:div w:id="411120210">
      <w:bodyDiv w:val="1"/>
      <w:marLeft w:val="0"/>
      <w:marRight w:val="0"/>
      <w:marTop w:val="0"/>
      <w:marBottom w:val="0"/>
      <w:divBdr>
        <w:top w:val="none" w:sz="0" w:space="0" w:color="auto"/>
        <w:left w:val="none" w:sz="0" w:space="0" w:color="auto"/>
        <w:bottom w:val="none" w:sz="0" w:space="0" w:color="auto"/>
        <w:right w:val="none" w:sz="0" w:space="0" w:color="auto"/>
      </w:divBdr>
    </w:div>
    <w:div w:id="437605533">
      <w:bodyDiv w:val="1"/>
      <w:marLeft w:val="0"/>
      <w:marRight w:val="0"/>
      <w:marTop w:val="0"/>
      <w:marBottom w:val="0"/>
      <w:divBdr>
        <w:top w:val="none" w:sz="0" w:space="0" w:color="auto"/>
        <w:left w:val="none" w:sz="0" w:space="0" w:color="auto"/>
        <w:bottom w:val="none" w:sz="0" w:space="0" w:color="auto"/>
        <w:right w:val="none" w:sz="0" w:space="0" w:color="auto"/>
      </w:divBdr>
    </w:div>
    <w:div w:id="443042352">
      <w:bodyDiv w:val="1"/>
      <w:marLeft w:val="0"/>
      <w:marRight w:val="0"/>
      <w:marTop w:val="0"/>
      <w:marBottom w:val="0"/>
      <w:divBdr>
        <w:top w:val="none" w:sz="0" w:space="0" w:color="auto"/>
        <w:left w:val="none" w:sz="0" w:space="0" w:color="auto"/>
        <w:bottom w:val="none" w:sz="0" w:space="0" w:color="auto"/>
        <w:right w:val="none" w:sz="0" w:space="0" w:color="auto"/>
      </w:divBdr>
    </w:div>
    <w:div w:id="445080901">
      <w:bodyDiv w:val="1"/>
      <w:marLeft w:val="0"/>
      <w:marRight w:val="0"/>
      <w:marTop w:val="0"/>
      <w:marBottom w:val="0"/>
      <w:divBdr>
        <w:top w:val="none" w:sz="0" w:space="0" w:color="auto"/>
        <w:left w:val="none" w:sz="0" w:space="0" w:color="auto"/>
        <w:bottom w:val="none" w:sz="0" w:space="0" w:color="auto"/>
        <w:right w:val="none" w:sz="0" w:space="0" w:color="auto"/>
      </w:divBdr>
    </w:div>
    <w:div w:id="445587718">
      <w:bodyDiv w:val="1"/>
      <w:marLeft w:val="0"/>
      <w:marRight w:val="0"/>
      <w:marTop w:val="0"/>
      <w:marBottom w:val="0"/>
      <w:divBdr>
        <w:top w:val="none" w:sz="0" w:space="0" w:color="auto"/>
        <w:left w:val="none" w:sz="0" w:space="0" w:color="auto"/>
        <w:bottom w:val="none" w:sz="0" w:space="0" w:color="auto"/>
        <w:right w:val="none" w:sz="0" w:space="0" w:color="auto"/>
      </w:divBdr>
    </w:div>
    <w:div w:id="458035446">
      <w:bodyDiv w:val="1"/>
      <w:marLeft w:val="0"/>
      <w:marRight w:val="0"/>
      <w:marTop w:val="0"/>
      <w:marBottom w:val="0"/>
      <w:divBdr>
        <w:top w:val="none" w:sz="0" w:space="0" w:color="auto"/>
        <w:left w:val="none" w:sz="0" w:space="0" w:color="auto"/>
        <w:bottom w:val="none" w:sz="0" w:space="0" w:color="auto"/>
        <w:right w:val="none" w:sz="0" w:space="0" w:color="auto"/>
      </w:divBdr>
    </w:div>
    <w:div w:id="462239751">
      <w:bodyDiv w:val="1"/>
      <w:marLeft w:val="0"/>
      <w:marRight w:val="0"/>
      <w:marTop w:val="0"/>
      <w:marBottom w:val="0"/>
      <w:divBdr>
        <w:top w:val="none" w:sz="0" w:space="0" w:color="auto"/>
        <w:left w:val="none" w:sz="0" w:space="0" w:color="auto"/>
        <w:bottom w:val="none" w:sz="0" w:space="0" w:color="auto"/>
        <w:right w:val="none" w:sz="0" w:space="0" w:color="auto"/>
      </w:divBdr>
    </w:div>
    <w:div w:id="469977281">
      <w:bodyDiv w:val="1"/>
      <w:marLeft w:val="0"/>
      <w:marRight w:val="0"/>
      <w:marTop w:val="0"/>
      <w:marBottom w:val="0"/>
      <w:divBdr>
        <w:top w:val="none" w:sz="0" w:space="0" w:color="auto"/>
        <w:left w:val="none" w:sz="0" w:space="0" w:color="auto"/>
        <w:bottom w:val="none" w:sz="0" w:space="0" w:color="auto"/>
        <w:right w:val="none" w:sz="0" w:space="0" w:color="auto"/>
      </w:divBdr>
    </w:div>
    <w:div w:id="472606165">
      <w:bodyDiv w:val="1"/>
      <w:marLeft w:val="0"/>
      <w:marRight w:val="0"/>
      <w:marTop w:val="0"/>
      <w:marBottom w:val="0"/>
      <w:divBdr>
        <w:top w:val="none" w:sz="0" w:space="0" w:color="auto"/>
        <w:left w:val="none" w:sz="0" w:space="0" w:color="auto"/>
        <w:bottom w:val="none" w:sz="0" w:space="0" w:color="auto"/>
        <w:right w:val="none" w:sz="0" w:space="0" w:color="auto"/>
      </w:divBdr>
    </w:div>
    <w:div w:id="480735372">
      <w:bodyDiv w:val="1"/>
      <w:marLeft w:val="0"/>
      <w:marRight w:val="0"/>
      <w:marTop w:val="0"/>
      <w:marBottom w:val="0"/>
      <w:divBdr>
        <w:top w:val="none" w:sz="0" w:space="0" w:color="auto"/>
        <w:left w:val="none" w:sz="0" w:space="0" w:color="auto"/>
        <w:bottom w:val="none" w:sz="0" w:space="0" w:color="auto"/>
        <w:right w:val="none" w:sz="0" w:space="0" w:color="auto"/>
      </w:divBdr>
    </w:div>
    <w:div w:id="502016092">
      <w:bodyDiv w:val="1"/>
      <w:marLeft w:val="0"/>
      <w:marRight w:val="0"/>
      <w:marTop w:val="0"/>
      <w:marBottom w:val="0"/>
      <w:divBdr>
        <w:top w:val="none" w:sz="0" w:space="0" w:color="auto"/>
        <w:left w:val="none" w:sz="0" w:space="0" w:color="auto"/>
        <w:bottom w:val="none" w:sz="0" w:space="0" w:color="auto"/>
        <w:right w:val="none" w:sz="0" w:space="0" w:color="auto"/>
      </w:divBdr>
    </w:div>
    <w:div w:id="516424461">
      <w:bodyDiv w:val="1"/>
      <w:marLeft w:val="0"/>
      <w:marRight w:val="0"/>
      <w:marTop w:val="0"/>
      <w:marBottom w:val="0"/>
      <w:divBdr>
        <w:top w:val="none" w:sz="0" w:space="0" w:color="auto"/>
        <w:left w:val="none" w:sz="0" w:space="0" w:color="auto"/>
        <w:bottom w:val="none" w:sz="0" w:space="0" w:color="auto"/>
        <w:right w:val="none" w:sz="0" w:space="0" w:color="auto"/>
      </w:divBdr>
    </w:div>
    <w:div w:id="520897088">
      <w:bodyDiv w:val="1"/>
      <w:marLeft w:val="0"/>
      <w:marRight w:val="0"/>
      <w:marTop w:val="0"/>
      <w:marBottom w:val="0"/>
      <w:divBdr>
        <w:top w:val="none" w:sz="0" w:space="0" w:color="auto"/>
        <w:left w:val="none" w:sz="0" w:space="0" w:color="auto"/>
        <w:bottom w:val="none" w:sz="0" w:space="0" w:color="auto"/>
        <w:right w:val="none" w:sz="0" w:space="0" w:color="auto"/>
      </w:divBdr>
    </w:div>
    <w:div w:id="538053967">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3641076">
      <w:bodyDiv w:val="1"/>
      <w:marLeft w:val="0"/>
      <w:marRight w:val="0"/>
      <w:marTop w:val="0"/>
      <w:marBottom w:val="0"/>
      <w:divBdr>
        <w:top w:val="none" w:sz="0" w:space="0" w:color="auto"/>
        <w:left w:val="none" w:sz="0" w:space="0" w:color="auto"/>
        <w:bottom w:val="none" w:sz="0" w:space="0" w:color="auto"/>
        <w:right w:val="none" w:sz="0" w:space="0" w:color="auto"/>
      </w:divBdr>
    </w:div>
    <w:div w:id="570889862">
      <w:bodyDiv w:val="1"/>
      <w:marLeft w:val="0"/>
      <w:marRight w:val="0"/>
      <w:marTop w:val="0"/>
      <w:marBottom w:val="0"/>
      <w:divBdr>
        <w:top w:val="none" w:sz="0" w:space="0" w:color="auto"/>
        <w:left w:val="none" w:sz="0" w:space="0" w:color="auto"/>
        <w:bottom w:val="none" w:sz="0" w:space="0" w:color="auto"/>
        <w:right w:val="none" w:sz="0" w:space="0" w:color="auto"/>
      </w:divBdr>
    </w:div>
    <w:div w:id="588202153">
      <w:bodyDiv w:val="1"/>
      <w:marLeft w:val="0"/>
      <w:marRight w:val="0"/>
      <w:marTop w:val="0"/>
      <w:marBottom w:val="0"/>
      <w:divBdr>
        <w:top w:val="none" w:sz="0" w:space="0" w:color="auto"/>
        <w:left w:val="none" w:sz="0" w:space="0" w:color="auto"/>
        <w:bottom w:val="none" w:sz="0" w:space="0" w:color="auto"/>
        <w:right w:val="none" w:sz="0" w:space="0" w:color="auto"/>
      </w:divBdr>
    </w:div>
    <w:div w:id="597061885">
      <w:bodyDiv w:val="1"/>
      <w:marLeft w:val="0"/>
      <w:marRight w:val="0"/>
      <w:marTop w:val="0"/>
      <w:marBottom w:val="0"/>
      <w:divBdr>
        <w:top w:val="none" w:sz="0" w:space="0" w:color="auto"/>
        <w:left w:val="none" w:sz="0" w:space="0" w:color="auto"/>
        <w:bottom w:val="none" w:sz="0" w:space="0" w:color="auto"/>
        <w:right w:val="none" w:sz="0" w:space="0" w:color="auto"/>
      </w:divBdr>
    </w:div>
    <w:div w:id="607004495">
      <w:bodyDiv w:val="1"/>
      <w:marLeft w:val="0"/>
      <w:marRight w:val="0"/>
      <w:marTop w:val="0"/>
      <w:marBottom w:val="0"/>
      <w:divBdr>
        <w:top w:val="none" w:sz="0" w:space="0" w:color="auto"/>
        <w:left w:val="none" w:sz="0" w:space="0" w:color="auto"/>
        <w:bottom w:val="none" w:sz="0" w:space="0" w:color="auto"/>
        <w:right w:val="none" w:sz="0" w:space="0" w:color="auto"/>
      </w:divBdr>
    </w:div>
    <w:div w:id="611741190">
      <w:bodyDiv w:val="1"/>
      <w:marLeft w:val="0"/>
      <w:marRight w:val="0"/>
      <w:marTop w:val="0"/>
      <w:marBottom w:val="0"/>
      <w:divBdr>
        <w:top w:val="none" w:sz="0" w:space="0" w:color="auto"/>
        <w:left w:val="none" w:sz="0" w:space="0" w:color="auto"/>
        <w:bottom w:val="none" w:sz="0" w:space="0" w:color="auto"/>
        <w:right w:val="none" w:sz="0" w:space="0" w:color="auto"/>
      </w:divBdr>
    </w:div>
    <w:div w:id="614019268">
      <w:bodyDiv w:val="1"/>
      <w:marLeft w:val="0"/>
      <w:marRight w:val="0"/>
      <w:marTop w:val="0"/>
      <w:marBottom w:val="0"/>
      <w:divBdr>
        <w:top w:val="none" w:sz="0" w:space="0" w:color="auto"/>
        <w:left w:val="none" w:sz="0" w:space="0" w:color="auto"/>
        <w:bottom w:val="none" w:sz="0" w:space="0" w:color="auto"/>
        <w:right w:val="none" w:sz="0" w:space="0" w:color="auto"/>
      </w:divBdr>
    </w:div>
    <w:div w:id="633565741">
      <w:bodyDiv w:val="1"/>
      <w:marLeft w:val="0"/>
      <w:marRight w:val="0"/>
      <w:marTop w:val="0"/>
      <w:marBottom w:val="0"/>
      <w:divBdr>
        <w:top w:val="none" w:sz="0" w:space="0" w:color="auto"/>
        <w:left w:val="none" w:sz="0" w:space="0" w:color="auto"/>
        <w:bottom w:val="none" w:sz="0" w:space="0" w:color="auto"/>
        <w:right w:val="none" w:sz="0" w:space="0" w:color="auto"/>
      </w:divBdr>
    </w:div>
    <w:div w:id="638847142">
      <w:bodyDiv w:val="1"/>
      <w:marLeft w:val="0"/>
      <w:marRight w:val="0"/>
      <w:marTop w:val="0"/>
      <w:marBottom w:val="0"/>
      <w:divBdr>
        <w:top w:val="none" w:sz="0" w:space="0" w:color="auto"/>
        <w:left w:val="none" w:sz="0" w:space="0" w:color="auto"/>
        <w:bottom w:val="none" w:sz="0" w:space="0" w:color="auto"/>
        <w:right w:val="none" w:sz="0" w:space="0" w:color="auto"/>
      </w:divBdr>
    </w:div>
    <w:div w:id="648438841">
      <w:bodyDiv w:val="1"/>
      <w:marLeft w:val="0"/>
      <w:marRight w:val="0"/>
      <w:marTop w:val="0"/>
      <w:marBottom w:val="0"/>
      <w:divBdr>
        <w:top w:val="none" w:sz="0" w:space="0" w:color="auto"/>
        <w:left w:val="none" w:sz="0" w:space="0" w:color="auto"/>
        <w:bottom w:val="none" w:sz="0" w:space="0" w:color="auto"/>
        <w:right w:val="none" w:sz="0" w:space="0" w:color="auto"/>
      </w:divBdr>
    </w:div>
    <w:div w:id="651299538">
      <w:bodyDiv w:val="1"/>
      <w:marLeft w:val="0"/>
      <w:marRight w:val="0"/>
      <w:marTop w:val="0"/>
      <w:marBottom w:val="0"/>
      <w:divBdr>
        <w:top w:val="none" w:sz="0" w:space="0" w:color="auto"/>
        <w:left w:val="none" w:sz="0" w:space="0" w:color="auto"/>
        <w:bottom w:val="none" w:sz="0" w:space="0" w:color="auto"/>
        <w:right w:val="none" w:sz="0" w:space="0" w:color="auto"/>
      </w:divBdr>
    </w:div>
    <w:div w:id="676930083">
      <w:bodyDiv w:val="1"/>
      <w:marLeft w:val="0"/>
      <w:marRight w:val="0"/>
      <w:marTop w:val="0"/>
      <w:marBottom w:val="0"/>
      <w:divBdr>
        <w:top w:val="none" w:sz="0" w:space="0" w:color="auto"/>
        <w:left w:val="none" w:sz="0" w:space="0" w:color="auto"/>
        <w:bottom w:val="none" w:sz="0" w:space="0" w:color="auto"/>
        <w:right w:val="none" w:sz="0" w:space="0" w:color="auto"/>
      </w:divBdr>
    </w:div>
    <w:div w:id="680202235">
      <w:bodyDiv w:val="1"/>
      <w:marLeft w:val="0"/>
      <w:marRight w:val="0"/>
      <w:marTop w:val="0"/>
      <w:marBottom w:val="0"/>
      <w:divBdr>
        <w:top w:val="none" w:sz="0" w:space="0" w:color="auto"/>
        <w:left w:val="none" w:sz="0" w:space="0" w:color="auto"/>
        <w:bottom w:val="none" w:sz="0" w:space="0" w:color="auto"/>
        <w:right w:val="none" w:sz="0" w:space="0" w:color="auto"/>
      </w:divBdr>
    </w:div>
    <w:div w:id="682366803">
      <w:bodyDiv w:val="1"/>
      <w:marLeft w:val="0"/>
      <w:marRight w:val="0"/>
      <w:marTop w:val="0"/>
      <w:marBottom w:val="0"/>
      <w:divBdr>
        <w:top w:val="none" w:sz="0" w:space="0" w:color="auto"/>
        <w:left w:val="none" w:sz="0" w:space="0" w:color="auto"/>
        <w:bottom w:val="none" w:sz="0" w:space="0" w:color="auto"/>
        <w:right w:val="none" w:sz="0" w:space="0" w:color="auto"/>
      </w:divBdr>
    </w:div>
    <w:div w:id="686709241">
      <w:bodyDiv w:val="1"/>
      <w:marLeft w:val="0"/>
      <w:marRight w:val="0"/>
      <w:marTop w:val="0"/>
      <w:marBottom w:val="0"/>
      <w:divBdr>
        <w:top w:val="none" w:sz="0" w:space="0" w:color="auto"/>
        <w:left w:val="none" w:sz="0" w:space="0" w:color="auto"/>
        <w:bottom w:val="none" w:sz="0" w:space="0" w:color="auto"/>
        <w:right w:val="none" w:sz="0" w:space="0" w:color="auto"/>
      </w:divBdr>
    </w:div>
    <w:div w:id="707266398">
      <w:bodyDiv w:val="1"/>
      <w:marLeft w:val="0"/>
      <w:marRight w:val="0"/>
      <w:marTop w:val="0"/>
      <w:marBottom w:val="0"/>
      <w:divBdr>
        <w:top w:val="none" w:sz="0" w:space="0" w:color="auto"/>
        <w:left w:val="none" w:sz="0" w:space="0" w:color="auto"/>
        <w:bottom w:val="none" w:sz="0" w:space="0" w:color="auto"/>
        <w:right w:val="none" w:sz="0" w:space="0" w:color="auto"/>
      </w:divBdr>
    </w:div>
    <w:div w:id="707873931">
      <w:bodyDiv w:val="1"/>
      <w:marLeft w:val="0"/>
      <w:marRight w:val="0"/>
      <w:marTop w:val="0"/>
      <w:marBottom w:val="0"/>
      <w:divBdr>
        <w:top w:val="none" w:sz="0" w:space="0" w:color="auto"/>
        <w:left w:val="none" w:sz="0" w:space="0" w:color="auto"/>
        <w:bottom w:val="none" w:sz="0" w:space="0" w:color="auto"/>
        <w:right w:val="none" w:sz="0" w:space="0" w:color="auto"/>
      </w:divBdr>
    </w:div>
    <w:div w:id="719283253">
      <w:bodyDiv w:val="1"/>
      <w:marLeft w:val="0"/>
      <w:marRight w:val="0"/>
      <w:marTop w:val="0"/>
      <w:marBottom w:val="0"/>
      <w:divBdr>
        <w:top w:val="none" w:sz="0" w:space="0" w:color="auto"/>
        <w:left w:val="none" w:sz="0" w:space="0" w:color="auto"/>
        <w:bottom w:val="none" w:sz="0" w:space="0" w:color="auto"/>
        <w:right w:val="none" w:sz="0" w:space="0" w:color="auto"/>
      </w:divBdr>
    </w:div>
    <w:div w:id="747574313">
      <w:bodyDiv w:val="1"/>
      <w:marLeft w:val="0"/>
      <w:marRight w:val="0"/>
      <w:marTop w:val="0"/>
      <w:marBottom w:val="0"/>
      <w:divBdr>
        <w:top w:val="none" w:sz="0" w:space="0" w:color="auto"/>
        <w:left w:val="none" w:sz="0" w:space="0" w:color="auto"/>
        <w:bottom w:val="none" w:sz="0" w:space="0" w:color="auto"/>
        <w:right w:val="none" w:sz="0" w:space="0" w:color="auto"/>
      </w:divBdr>
    </w:div>
    <w:div w:id="749304803">
      <w:bodyDiv w:val="1"/>
      <w:marLeft w:val="0"/>
      <w:marRight w:val="0"/>
      <w:marTop w:val="0"/>
      <w:marBottom w:val="0"/>
      <w:divBdr>
        <w:top w:val="none" w:sz="0" w:space="0" w:color="auto"/>
        <w:left w:val="none" w:sz="0" w:space="0" w:color="auto"/>
        <w:bottom w:val="none" w:sz="0" w:space="0" w:color="auto"/>
        <w:right w:val="none" w:sz="0" w:space="0" w:color="auto"/>
      </w:divBdr>
    </w:div>
    <w:div w:id="761604070">
      <w:bodyDiv w:val="1"/>
      <w:marLeft w:val="0"/>
      <w:marRight w:val="0"/>
      <w:marTop w:val="0"/>
      <w:marBottom w:val="0"/>
      <w:divBdr>
        <w:top w:val="none" w:sz="0" w:space="0" w:color="auto"/>
        <w:left w:val="none" w:sz="0" w:space="0" w:color="auto"/>
        <w:bottom w:val="none" w:sz="0" w:space="0" w:color="auto"/>
        <w:right w:val="none" w:sz="0" w:space="0" w:color="auto"/>
      </w:divBdr>
    </w:div>
    <w:div w:id="762990452">
      <w:bodyDiv w:val="1"/>
      <w:marLeft w:val="0"/>
      <w:marRight w:val="0"/>
      <w:marTop w:val="0"/>
      <w:marBottom w:val="0"/>
      <w:divBdr>
        <w:top w:val="none" w:sz="0" w:space="0" w:color="auto"/>
        <w:left w:val="none" w:sz="0" w:space="0" w:color="auto"/>
        <w:bottom w:val="none" w:sz="0" w:space="0" w:color="auto"/>
        <w:right w:val="none" w:sz="0" w:space="0" w:color="auto"/>
      </w:divBdr>
    </w:div>
    <w:div w:id="771166130">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784808715">
      <w:bodyDiv w:val="1"/>
      <w:marLeft w:val="0"/>
      <w:marRight w:val="0"/>
      <w:marTop w:val="0"/>
      <w:marBottom w:val="0"/>
      <w:divBdr>
        <w:top w:val="none" w:sz="0" w:space="0" w:color="auto"/>
        <w:left w:val="none" w:sz="0" w:space="0" w:color="auto"/>
        <w:bottom w:val="none" w:sz="0" w:space="0" w:color="auto"/>
        <w:right w:val="none" w:sz="0" w:space="0" w:color="auto"/>
      </w:divBdr>
    </w:div>
    <w:div w:id="799768558">
      <w:bodyDiv w:val="1"/>
      <w:marLeft w:val="0"/>
      <w:marRight w:val="0"/>
      <w:marTop w:val="0"/>
      <w:marBottom w:val="0"/>
      <w:divBdr>
        <w:top w:val="none" w:sz="0" w:space="0" w:color="auto"/>
        <w:left w:val="none" w:sz="0" w:space="0" w:color="auto"/>
        <w:bottom w:val="none" w:sz="0" w:space="0" w:color="auto"/>
        <w:right w:val="none" w:sz="0" w:space="0" w:color="auto"/>
      </w:divBdr>
    </w:div>
    <w:div w:id="804808439">
      <w:bodyDiv w:val="1"/>
      <w:marLeft w:val="0"/>
      <w:marRight w:val="0"/>
      <w:marTop w:val="0"/>
      <w:marBottom w:val="0"/>
      <w:divBdr>
        <w:top w:val="none" w:sz="0" w:space="0" w:color="auto"/>
        <w:left w:val="none" w:sz="0" w:space="0" w:color="auto"/>
        <w:bottom w:val="none" w:sz="0" w:space="0" w:color="auto"/>
        <w:right w:val="none" w:sz="0" w:space="0" w:color="auto"/>
      </w:divBdr>
    </w:div>
    <w:div w:id="813764541">
      <w:bodyDiv w:val="1"/>
      <w:marLeft w:val="0"/>
      <w:marRight w:val="0"/>
      <w:marTop w:val="0"/>
      <w:marBottom w:val="0"/>
      <w:divBdr>
        <w:top w:val="none" w:sz="0" w:space="0" w:color="auto"/>
        <w:left w:val="none" w:sz="0" w:space="0" w:color="auto"/>
        <w:bottom w:val="none" w:sz="0" w:space="0" w:color="auto"/>
        <w:right w:val="none" w:sz="0" w:space="0" w:color="auto"/>
      </w:divBdr>
    </w:div>
    <w:div w:id="829445503">
      <w:bodyDiv w:val="1"/>
      <w:marLeft w:val="0"/>
      <w:marRight w:val="0"/>
      <w:marTop w:val="0"/>
      <w:marBottom w:val="0"/>
      <w:divBdr>
        <w:top w:val="none" w:sz="0" w:space="0" w:color="auto"/>
        <w:left w:val="none" w:sz="0" w:space="0" w:color="auto"/>
        <w:bottom w:val="none" w:sz="0" w:space="0" w:color="auto"/>
        <w:right w:val="none" w:sz="0" w:space="0" w:color="auto"/>
      </w:divBdr>
    </w:div>
    <w:div w:id="831607151">
      <w:bodyDiv w:val="1"/>
      <w:marLeft w:val="0"/>
      <w:marRight w:val="0"/>
      <w:marTop w:val="0"/>
      <w:marBottom w:val="0"/>
      <w:divBdr>
        <w:top w:val="none" w:sz="0" w:space="0" w:color="auto"/>
        <w:left w:val="none" w:sz="0" w:space="0" w:color="auto"/>
        <w:bottom w:val="none" w:sz="0" w:space="0" w:color="auto"/>
        <w:right w:val="none" w:sz="0" w:space="0" w:color="auto"/>
      </w:divBdr>
    </w:div>
    <w:div w:id="842400333">
      <w:bodyDiv w:val="1"/>
      <w:marLeft w:val="0"/>
      <w:marRight w:val="0"/>
      <w:marTop w:val="0"/>
      <w:marBottom w:val="0"/>
      <w:divBdr>
        <w:top w:val="none" w:sz="0" w:space="0" w:color="auto"/>
        <w:left w:val="none" w:sz="0" w:space="0" w:color="auto"/>
        <w:bottom w:val="none" w:sz="0" w:space="0" w:color="auto"/>
        <w:right w:val="none" w:sz="0" w:space="0" w:color="auto"/>
      </w:divBdr>
    </w:div>
    <w:div w:id="869033410">
      <w:bodyDiv w:val="1"/>
      <w:marLeft w:val="0"/>
      <w:marRight w:val="0"/>
      <w:marTop w:val="0"/>
      <w:marBottom w:val="0"/>
      <w:divBdr>
        <w:top w:val="none" w:sz="0" w:space="0" w:color="auto"/>
        <w:left w:val="none" w:sz="0" w:space="0" w:color="auto"/>
        <w:bottom w:val="none" w:sz="0" w:space="0" w:color="auto"/>
        <w:right w:val="none" w:sz="0" w:space="0" w:color="auto"/>
      </w:divBdr>
    </w:div>
    <w:div w:id="874276506">
      <w:bodyDiv w:val="1"/>
      <w:marLeft w:val="0"/>
      <w:marRight w:val="0"/>
      <w:marTop w:val="0"/>
      <w:marBottom w:val="0"/>
      <w:divBdr>
        <w:top w:val="none" w:sz="0" w:space="0" w:color="auto"/>
        <w:left w:val="none" w:sz="0" w:space="0" w:color="auto"/>
        <w:bottom w:val="none" w:sz="0" w:space="0" w:color="auto"/>
        <w:right w:val="none" w:sz="0" w:space="0" w:color="auto"/>
      </w:divBdr>
    </w:div>
    <w:div w:id="879703664">
      <w:bodyDiv w:val="1"/>
      <w:marLeft w:val="0"/>
      <w:marRight w:val="0"/>
      <w:marTop w:val="0"/>
      <w:marBottom w:val="0"/>
      <w:divBdr>
        <w:top w:val="none" w:sz="0" w:space="0" w:color="auto"/>
        <w:left w:val="none" w:sz="0" w:space="0" w:color="auto"/>
        <w:bottom w:val="none" w:sz="0" w:space="0" w:color="auto"/>
        <w:right w:val="none" w:sz="0" w:space="0" w:color="auto"/>
      </w:divBdr>
    </w:div>
    <w:div w:id="887885206">
      <w:bodyDiv w:val="1"/>
      <w:marLeft w:val="0"/>
      <w:marRight w:val="0"/>
      <w:marTop w:val="0"/>
      <w:marBottom w:val="0"/>
      <w:divBdr>
        <w:top w:val="none" w:sz="0" w:space="0" w:color="auto"/>
        <w:left w:val="none" w:sz="0" w:space="0" w:color="auto"/>
        <w:bottom w:val="none" w:sz="0" w:space="0" w:color="auto"/>
        <w:right w:val="none" w:sz="0" w:space="0" w:color="auto"/>
      </w:divBdr>
    </w:div>
    <w:div w:id="891039505">
      <w:bodyDiv w:val="1"/>
      <w:marLeft w:val="0"/>
      <w:marRight w:val="0"/>
      <w:marTop w:val="0"/>
      <w:marBottom w:val="0"/>
      <w:divBdr>
        <w:top w:val="none" w:sz="0" w:space="0" w:color="auto"/>
        <w:left w:val="none" w:sz="0" w:space="0" w:color="auto"/>
        <w:bottom w:val="none" w:sz="0" w:space="0" w:color="auto"/>
        <w:right w:val="none" w:sz="0" w:space="0" w:color="auto"/>
      </w:divBdr>
    </w:div>
    <w:div w:id="899902196">
      <w:bodyDiv w:val="1"/>
      <w:marLeft w:val="0"/>
      <w:marRight w:val="0"/>
      <w:marTop w:val="0"/>
      <w:marBottom w:val="0"/>
      <w:divBdr>
        <w:top w:val="none" w:sz="0" w:space="0" w:color="auto"/>
        <w:left w:val="none" w:sz="0" w:space="0" w:color="auto"/>
        <w:bottom w:val="none" w:sz="0" w:space="0" w:color="auto"/>
        <w:right w:val="none" w:sz="0" w:space="0" w:color="auto"/>
      </w:divBdr>
    </w:div>
    <w:div w:id="904535825">
      <w:bodyDiv w:val="1"/>
      <w:marLeft w:val="0"/>
      <w:marRight w:val="0"/>
      <w:marTop w:val="0"/>
      <w:marBottom w:val="0"/>
      <w:divBdr>
        <w:top w:val="none" w:sz="0" w:space="0" w:color="auto"/>
        <w:left w:val="none" w:sz="0" w:space="0" w:color="auto"/>
        <w:bottom w:val="none" w:sz="0" w:space="0" w:color="auto"/>
        <w:right w:val="none" w:sz="0" w:space="0" w:color="auto"/>
      </w:divBdr>
    </w:div>
    <w:div w:id="911699925">
      <w:bodyDiv w:val="1"/>
      <w:marLeft w:val="0"/>
      <w:marRight w:val="0"/>
      <w:marTop w:val="0"/>
      <w:marBottom w:val="0"/>
      <w:divBdr>
        <w:top w:val="none" w:sz="0" w:space="0" w:color="auto"/>
        <w:left w:val="none" w:sz="0" w:space="0" w:color="auto"/>
        <w:bottom w:val="none" w:sz="0" w:space="0" w:color="auto"/>
        <w:right w:val="none" w:sz="0" w:space="0" w:color="auto"/>
      </w:divBdr>
    </w:div>
    <w:div w:id="933517937">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55139438">
      <w:bodyDiv w:val="1"/>
      <w:marLeft w:val="0"/>
      <w:marRight w:val="0"/>
      <w:marTop w:val="0"/>
      <w:marBottom w:val="0"/>
      <w:divBdr>
        <w:top w:val="none" w:sz="0" w:space="0" w:color="auto"/>
        <w:left w:val="none" w:sz="0" w:space="0" w:color="auto"/>
        <w:bottom w:val="none" w:sz="0" w:space="0" w:color="auto"/>
        <w:right w:val="none" w:sz="0" w:space="0" w:color="auto"/>
      </w:divBdr>
    </w:div>
    <w:div w:id="959997595">
      <w:bodyDiv w:val="1"/>
      <w:marLeft w:val="0"/>
      <w:marRight w:val="0"/>
      <w:marTop w:val="0"/>
      <w:marBottom w:val="0"/>
      <w:divBdr>
        <w:top w:val="none" w:sz="0" w:space="0" w:color="auto"/>
        <w:left w:val="none" w:sz="0" w:space="0" w:color="auto"/>
        <w:bottom w:val="none" w:sz="0" w:space="0" w:color="auto"/>
        <w:right w:val="none" w:sz="0" w:space="0" w:color="auto"/>
      </w:divBdr>
    </w:div>
    <w:div w:id="995180854">
      <w:bodyDiv w:val="1"/>
      <w:marLeft w:val="0"/>
      <w:marRight w:val="0"/>
      <w:marTop w:val="0"/>
      <w:marBottom w:val="0"/>
      <w:divBdr>
        <w:top w:val="none" w:sz="0" w:space="0" w:color="auto"/>
        <w:left w:val="none" w:sz="0" w:space="0" w:color="auto"/>
        <w:bottom w:val="none" w:sz="0" w:space="0" w:color="auto"/>
        <w:right w:val="none" w:sz="0" w:space="0" w:color="auto"/>
      </w:divBdr>
    </w:div>
    <w:div w:id="998458620">
      <w:bodyDiv w:val="1"/>
      <w:marLeft w:val="0"/>
      <w:marRight w:val="0"/>
      <w:marTop w:val="0"/>
      <w:marBottom w:val="0"/>
      <w:divBdr>
        <w:top w:val="none" w:sz="0" w:space="0" w:color="auto"/>
        <w:left w:val="none" w:sz="0" w:space="0" w:color="auto"/>
        <w:bottom w:val="none" w:sz="0" w:space="0" w:color="auto"/>
        <w:right w:val="none" w:sz="0" w:space="0" w:color="auto"/>
      </w:divBdr>
    </w:div>
    <w:div w:id="1012954988">
      <w:bodyDiv w:val="1"/>
      <w:marLeft w:val="0"/>
      <w:marRight w:val="0"/>
      <w:marTop w:val="0"/>
      <w:marBottom w:val="0"/>
      <w:divBdr>
        <w:top w:val="none" w:sz="0" w:space="0" w:color="auto"/>
        <w:left w:val="none" w:sz="0" w:space="0" w:color="auto"/>
        <w:bottom w:val="none" w:sz="0" w:space="0" w:color="auto"/>
        <w:right w:val="none" w:sz="0" w:space="0" w:color="auto"/>
      </w:divBdr>
    </w:div>
    <w:div w:id="1019891705">
      <w:bodyDiv w:val="1"/>
      <w:marLeft w:val="0"/>
      <w:marRight w:val="0"/>
      <w:marTop w:val="0"/>
      <w:marBottom w:val="0"/>
      <w:divBdr>
        <w:top w:val="none" w:sz="0" w:space="0" w:color="auto"/>
        <w:left w:val="none" w:sz="0" w:space="0" w:color="auto"/>
        <w:bottom w:val="none" w:sz="0" w:space="0" w:color="auto"/>
        <w:right w:val="none" w:sz="0" w:space="0" w:color="auto"/>
      </w:divBdr>
    </w:div>
    <w:div w:id="1021473933">
      <w:bodyDiv w:val="1"/>
      <w:marLeft w:val="0"/>
      <w:marRight w:val="0"/>
      <w:marTop w:val="0"/>
      <w:marBottom w:val="0"/>
      <w:divBdr>
        <w:top w:val="none" w:sz="0" w:space="0" w:color="auto"/>
        <w:left w:val="none" w:sz="0" w:space="0" w:color="auto"/>
        <w:bottom w:val="none" w:sz="0" w:space="0" w:color="auto"/>
        <w:right w:val="none" w:sz="0" w:space="0" w:color="auto"/>
      </w:divBdr>
    </w:div>
    <w:div w:id="1079404809">
      <w:bodyDiv w:val="1"/>
      <w:marLeft w:val="0"/>
      <w:marRight w:val="0"/>
      <w:marTop w:val="0"/>
      <w:marBottom w:val="0"/>
      <w:divBdr>
        <w:top w:val="none" w:sz="0" w:space="0" w:color="auto"/>
        <w:left w:val="none" w:sz="0" w:space="0" w:color="auto"/>
        <w:bottom w:val="none" w:sz="0" w:space="0" w:color="auto"/>
        <w:right w:val="none" w:sz="0" w:space="0" w:color="auto"/>
      </w:divBdr>
    </w:div>
    <w:div w:id="1118649213">
      <w:bodyDiv w:val="1"/>
      <w:marLeft w:val="0"/>
      <w:marRight w:val="0"/>
      <w:marTop w:val="0"/>
      <w:marBottom w:val="0"/>
      <w:divBdr>
        <w:top w:val="none" w:sz="0" w:space="0" w:color="auto"/>
        <w:left w:val="none" w:sz="0" w:space="0" w:color="auto"/>
        <w:bottom w:val="none" w:sz="0" w:space="0" w:color="auto"/>
        <w:right w:val="none" w:sz="0" w:space="0" w:color="auto"/>
      </w:divBdr>
    </w:div>
    <w:div w:id="1151870233">
      <w:bodyDiv w:val="1"/>
      <w:marLeft w:val="0"/>
      <w:marRight w:val="0"/>
      <w:marTop w:val="0"/>
      <w:marBottom w:val="0"/>
      <w:divBdr>
        <w:top w:val="none" w:sz="0" w:space="0" w:color="auto"/>
        <w:left w:val="none" w:sz="0" w:space="0" w:color="auto"/>
        <w:bottom w:val="none" w:sz="0" w:space="0" w:color="auto"/>
        <w:right w:val="none" w:sz="0" w:space="0" w:color="auto"/>
      </w:divBdr>
    </w:div>
    <w:div w:id="1152254568">
      <w:bodyDiv w:val="1"/>
      <w:marLeft w:val="0"/>
      <w:marRight w:val="0"/>
      <w:marTop w:val="0"/>
      <w:marBottom w:val="0"/>
      <w:divBdr>
        <w:top w:val="none" w:sz="0" w:space="0" w:color="auto"/>
        <w:left w:val="none" w:sz="0" w:space="0" w:color="auto"/>
        <w:bottom w:val="none" w:sz="0" w:space="0" w:color="auto"/>
        <w:right w:val="none" w:sz="0" w:space="0" w:color="auto"/>
      </w:divBdr>
    </w:div>
    <w:div w:id="1154561889">
      <w:bodyDiv w:val="1"/>
      <w:marLeft w:val="0"/>
      <w:marRight w:val="0"/>
      <w:marTop w:val="0"/>
      <w:marBottom w:val="0"/>
      <w:divBdr>
        <w:top w:val="none" w:sz="0" w:space="0" w:color="auto"/>
        <w:left w:val="none" w:sz="0" w:space="0" w:color="auto"/>
        <w:bottom w:val="none" w:sz="0" w:space="0" w:color="auto"/>
        <w:right w:val="none" w:sz="0" w:space="0" w:color="auto"/>
      </w:divBdr>
    </w:div>
    <w:div w:id="1165323730">
      <w:bodyDiv w:val="1"/>
      <w:marLeft w:val="0"/>
      <w:marRight w:val="0"/>
      <w:marTop w:val="0"/>
      <w:marBottom w:val="0"/>
      <w:divBdr>
        <w:top w:val="none" w:sz="0" w:space="0" w:color="auto"/>
        <w:left w:val="none" w:sz="0" w:space="0" w:color="auto"/>
        <w:bottom w:val="none" w:sz="0" w:space="0" w:color="auto"/>
        <w:right w:val="none" w:sz="0" w:space="0" w:color="auto"/>
      </w:divBdr>
    </w:div>
    <w:div w:id="1165559292">
      <w:bodyDiv w:val="1"/>
      <w:marLeft w:val="0"/>
      <w:marRight w:val="0"/>
      <w:marTop w:val="0"/>
      <w:marBottom w:val="0"/>
      <w:divBdr>
        <w:top w:val="none" w:sz="0" w:space="0" w:color="auto"/>
        <w:left w:val="none" w:sz="0" w:space="0" w:color="auto"/>
        <w:bottom w:val="none" w:sz="0" w:space="0" w:color="auto"/>
        <w:right w:val="none" w:sz="0" w:space="0" w:color="auto"/>
      </w:divBdr>
    </w:div>
    <w:div w:id="1166285695">
      <w:bodyDiv w:val="1"/>
      <w:marLeft w:val="0"/>
      <w:marRight w:val="0"/>
      <w:marTop w:val="0"/>
      <w:marBottom w:val="0"/>
      <w:divBdr>
        <w:top w:val="none" w:sz="0" w:space="0" w:color="auto"/>
        <w:left w:val="none" w:sz="0" w:space="0" w:color="auto"/>
        <w:bottom w:val="none" w:sz="0" w:space="0" w:color="auto"/>
        <w:right w:val="none" w:sz="0" w:space="0" w:color="auto"/>
      </w:divBdr>
    </w:div>
    <w:div w:id="1174108481">
      <w:bodyDiv w:val="1"/>
      <w:marLeft w:val="0"/>
      <w:marRight w:val="0"/>
      <w:marTop w:val="0"/>
      <w:marBottom w:val="0"/>
      <w:divBdr>
        <w:top w:val="none" w:sz="0" w:space="0" w:color="auto"/>
        <w:left w:val="none" w:sz="0" w:space="0" w:color="auto"/>
        <w:bottom w:val="none" w:sz="0" w:space="0" w:color="auto"/>
        <w:right w:val="none" w:sz="0" w:space="0" w:color="auto"/>
      </w:divBdr>
    </w:div>
    <w:div w:id="1182278232">
      <w:bodyDiv w:val="1"/>
      <w:marLeft w:val="0"/>
      <w:marRight w:val="0"/>
      <w:marTop w:val="0"/>
      <w:marBottom w:val="0"/>
      <w:divBdr>
        <w:top w:val="none" w:sz="0" w:space="0" w:color="auto"/>
        <w:left w:val="none" w:sz="0" w:space="0" w:color="auto"/>
        <w:bottom w:val="none" w:sz="0" w:space="0" w:color="auto"/>
        <w:right w:val="none" w:sz="0" w:space="0" w:color="auto"/>
      </w:divBdr>
    </w:div>
    <w:div w:id="1208419141">
      <w:bodyDiv w:val="1"/>
      <w:marLeft w:val="0"/>
      <w:marRight w:val="0"/>
      <w:marTop w:val="0"/>
      <w:marBottom w:val="0"/>
      <w:divBdr>
        <w:top w:val="none" w:sz="0" w:space="0" w:color="auto"/>
        <w:left w:val="none" w:sz="0" w:space="0" w:color="auto"/>
        <w:bottom w:val="none" w:sz="0" w:space="0" w:color="auto"/>
        <w:right w:val="none" w:sz="0" w:space="0" w:color="auto"/>
      </w:divBdr>
    </w:div>
    <w:div w:id="1215390319">
      <w:bodyDiv w:val="1"/>
      <w:marLeft w:val="0"/>
      <w:marRight w:val="0"/>
      <w:marTop w:val="0"/>
      <w:marBottom w:val="0"/>
      <w:divBdr>
        <w:top w:val="none" w:sz="0" w:space="0" w:color="auto"/>
        <w:left w:val="none" w:sz="0" w:space="0" w:color="auto"/>
        <w:bottom w:val="none" w:sz="0" w:space="0" w:color="auto"/>
        <w:right w:val="none" w:sz="0" w:space="0" w:color="auto"/>
      </w:divBdr>
    </w:div>
    <w:div w:id="1252008136">
      <w:bodyDiv w:val="1"/>
      <w:marLeft w:val="0"/>
      <w:marRight w:val="0"/>
      <w:marTop w:val="0"/>
      <w:marBottom w:val="0"/>
      <w:divBdr>
        <w:top w:val="none" w:sz="0" w:space="0" w:color="auto"/>
        <w:left w:val="none" w:sz="0" w:space="0" w:color="auto"/>
        <w:bottom w:val="none" w:sz="0" w:space="0" w:color="auto"/>
        <w:right w:val="none" w:sz="0" w:space="0" w:color="auto"/>
      </w:divBdr>
    </w:div>
    <w:div w:id="1267735426">
      <w:bodyDiv w:val="1"/>
      <w:marLeft w:val="0"/>
      <w:marRight w:val="0"/>
      <w:marTop w:val="0"/>
      <w:marBottom w:val="0"/>
      <w:divBdr>
        <w:top w:val="none" w:sz="0" w:space="0" w:color="auto"/>
        <w:left w:val="none" w:sz="0" w:space="0" w:color="auto"/>
        <w:bottom w:val="none" w:sz="0" w:space="0" w:color="auto"/>
        <w:right w:val="none" w:sz="0" w:space="0" w:color="auto"/>
      </w:divBdr>
    </w:div>
    <w:div w:id="1275745267">
      <w:bodyDiv w:val="1"/>
      <w:marLeft w:val="0"/>
      <w:marRight w:val="0"/>
      <w:marTop w:val="0"/>
      <w:marBottom w:val="0"/>
      <w:divBdr>
        <w:top w:val="none" w:sz="0" w:space="0" w:color="auto"/>
        <w:left w:val="none" w:sz="0" w:space="0" w:color="auto"/>
        <w:bottom w:val="none" w:sz="0" w:space="0" w:color="auto"/>
        <w:right w:val="none" w:sz="0" w:space="0" w:color="auto"/>
      </w:divBdr>
    </w:div>
    <w:div w:id="1276399360">
      <w:bodyDiv w:val="1"/>
      <w:marLeft w:val="0"/>
      <w:marRight w:val="0"/>
      <w:marTop w:val="0"/>
      <w:marBottom w:val="0"/>
      <w:divBdr>
        <w:top w:val="none" w:sz="0" w:space="0" w:color="auto"/>
        <w:left w:val="none" w:sz="0" w:space="0" w:color="auto"/>
        <w:bottom w:val="none" w:sz="0" w:space="0" w:color="auto"/>
        <w:right w:val="none" w:sz="0" w:space="0" w:color="auto"/>
      </w:divBdr>
    </w:div>
    <w:div w:id="1286428366">
      <w:bodyDiv w:val="1"/>
      <w:marLeft w:val="0"/>
      <w:marRight w:val="0"/>
      <w:marTop w:val="0"/>
      <w:marBottom w:val="0"/>
      <w:divBdr>
        <w:top w:val="none" w:sz="0" w:space="0" w:color="auto"/>
        <w:left w:val="none" w:sz="0" w:space="0" w:color="auto"/>
        <w:bottom w:val="none" w:sz="0" w:space="0" w:color="auto"/>
        <w:right w:val="none" w:sz="0" w:space="0" w:color="auto"/>
      </w:divBdr>
    </w:div>
    <w:div w:id="1290430046">
      <w:bodyDiv w:val="1"/>
      <w:marLeft w:val="0"/>
      <w:marRight w:val="0"/>
      <w:marTop w:val="0"/>
      <w:marBottom w:val="0"/>
      <w:divBdr>
        <w:top w:val="none" w:sz="0" w:space="0" w:color="auto"/>
        <w:left w:val="none" w:sz="0" w:space="0" w:color="auto"/>
        <w:bottom w:val="none" w:sz="0" w:space="0" w:color="auto"/>
        <w:right w:val="none" w:sz="0" w:space="0" w:color="auto"/>
      </w:divBdr>
    </w:div>
    <w:div w:id="1299991599">
      <w:bodyDiv w:val="1"/>
      <w:marLeft w:val="0"/>
      <w:marRight w:val="0"/>
      <w:marTop w:val="0"/>
      <w:marBottom w:val="0"/>
      <w:divBdr>
        <w:top w:val="none" w:sz="0" w:space="0" w:color="auto"/>
        <w:left w:val="none" w:sz="0" w:space="0" w:color="auto"/>
        <w:bottom w:val="none" w:sz="0" w:space="0" w:color="auto"/>
        <w:right w:val="none" w:sz="0" w:space="0" w:color="auto"/>
      </w:divBdr>
    </w:div>
    <w:div w:id="1327830057">
      <w:bodyDiv w:val="1"/>
      <w:marLeft w:val="0"/>
      <w:marRight w:val="0"/>
      <w:marTop w:val="0"/>
      <w:marBottom w:val="0"/>
      <w:divBdr>
        <w:top w:val="none" w:sz="0" w:space="0" w:color="auto"/>
        <w:left w:val="none" w:sz="0" w:space="0" w:color="auto"/>
        <w:bottom w:val="none" w:sz="0" w:space="0" w:color="auto"/>
        <w:right w:val="none" w:sz="0" w:space="0" w:color="auto"/>
      </w:divBdr>
    </w:div>
    <w:div w:id="1329745716">
      <w:bodyDiv w:val="1"/>
      <w:marLeft w:val="0"/>
      <w:marRight w:val="0"/>
      <w:marTop w:val="0"/>
      <w:marBottom w:val="0"/>
      <w:divBdr>
        <w:top w:val="none" w:sz="0" w:space="0" w:color="auto"/>
        <w:left w:val="none" w:sz="0" w:space="0" w:color="auto"/>
        <w:bottom w:val="none" w:sz="0" w:space="0" w:color="auto"/>
        <w:right w:val="none" w:sz="0" w:space="0" w:color="auto"/>
      </w:divBdr>
    </w:div>
    <w:div w:id="1339038351">
      <w:bodyDiv w:val="1"/>
      <w:marLeft w:val="0"/>
      <w:marRight w:val="0"/>
      <w:marTop w:val="0"/>
      <w:marBottom w:val="0"/>
      <w:divBdr>
        <w:top w:val="none" w:sz="0" w:space="0" w:color="auto"/>
        <w:left w:val="none" w:sz="0" w:space="0" w:color="auto"/>
        <w:bottom w:val="none" w:sz="0" w:space="0" w:color="auto"/>
        <w:right w:val="none" w:sz="0" w:space="0" w:color="auto"/>
      </w:divBdr>
    </w:div>
    <w:div w:id="1362827393">
      <w:bodyDiv w:val="1"/>
      <w:marLeft w:val="0"/>
      <w:marRight w:val="0"/>
      <w:marTop w:val="0"/>
      <w:marBottom w:val="0"/>
      <w:divBdr>
        <w:top w:val="none" w:sz="0" w:space="0" w:color="auto"/>
        <w:left w:val="none" w:sz="0" w:space="0" w:color="auto"/>
        <w:bottom w:val="none" w:sz="0" w:space="0" w:color="auto"/>
        <w:right w:val="none" w:sz="0" w:space="0" w:color="auto"/>
      </w:divBdr>
    </w:div>
    <w:div w:id="1363676353">
      <w:bodyDiv w:val="1"/>
      <w:marLeft w:val="0"/>
      <w:marRight w:val="0"/>
      <w:marTop w:val="0"/>
      <w:marBottom w:val="0"/>
      <w:divBdr>
        <w:top w:val="none" w:sz="0" w:space="0" w:color="auto"/>
        <w:left w:val="none" w:sz="0" w:space="0" w:color="auto"/>
        <w:bottom w:val="none" w:sz="0" w:space="0" w:color="auto"/>
        <w:right w:val="none" w:sz="0" w:space="0" w:color="auto"/>
      </w:divBdr>
    </w:div>
    <w:div w:id="1397435309">
      <w:bodyDiv w:val="1"/>
      <w:marLeft w:val="0"/>
      <w:marRight w:val="0"/>
      <w:marTop w:val="0"/>
      <w:marBottom w:val="0"/>
      <w:divBdr>
        <w:top w:val="none" w:sz="0" w:space="0" w:color="auto"/>
        <w:left w:val="none" w:sz="0" w:space="0" w:color="auto"/>
        <w:bottom w:val="none" w:sz="0" w:space="0" w:color="auto"/>
        <w:right w:val="none" w:sz="0" w:space="0" w:color="auto"/>
      </w:divBdr>
    </w:div>
    <w:div w:id="1397582198">
      <w:bodyDiv w:val="1"/>
      <w:marLeft w:val="0"/>
      <w:marRight w:val="0"/>
      <w:marTop w:val="0"/>
      <w:marBottom w:val="0"/>
      <w:divBdr>
        <w:top w:val="none" w:sz="0" w:space="0" w:color="auto"/>
        <w:left w:val="none" w:sz="0" w:space="0" w:color="auto"/>
        <w:bottom w:val="none" w:sz="0" w:space="0" w:color="auto"/>
        <w:right w:val="none" w:sz="0" w:space="0" w:color="auto"/>
      </w:divBdr>
    </w:div>
    <w:div w:id="1403482338">
      <w:bodyDiv w:val="1"/>
      <w:marLeft w:val="0"/>
      <w:marRight w:val="0"/>
      <w:marTop w:val="0"/>
      <w:marBottom w:val="0"/>
      <w:divBdr>
        <w:top w:val="none" w:sz="0" w:space="0" w:color="auto"/>
        <w:left w:val="none" w:sz="0" w:space="0" w:color="auto"/>
        <w:bottom w:val="none" w:sz="0" w:space="0" w:color="auto"/>
        <w:right w:val="none" w:sz="0" w:space="0" w:color="auto"/>
      </w:divBdr>
    </w:div>
    <w:div w:id="1409499541">
      <w:bodyDiv w:val="1"/>
      <w:marLeft w:val="0"/>
      <w:marRight w:val="0"/>
      <w:marTop w:val="0"/>
      <w:marBottom w:val="0"/>
      <w:divBdr>
        <w:top w:val="none" w:sz="0" w:space="0" w:color="auto"/>
        <w:left w:val="none" w:sz="0" w:space="0" w:color="auto"/>
        <w:bottom w:val="none" w:sz="0" w:space="0" w:color="auto"/>
        <w:right w:val="none" w:sz="0" w:space="0" w:color="auto"/>
      </w:divBdr>
    </w:div>
    <w:div w:id="1422019536">
      <w:bodyDiv w:val="1"/>
      <w:marLeft w:val="0"/>
      <w:marRight w:val="0"/>
      <w:marTop w:val="0"/>
      <w:marBottom w:val="0"/>
      <w:divBdr>
        <w:top w:val="none" w:sz="0" w:space="0" w:color="auto"/>
        <w:left w:val="none" w:sz="0" w:space="0" w:color="auto"/>
        <w:bottom w:val="none" w:sz="0" w:space="0" w:color="auto"/>
        <w:right w:val="none" w:sz="0" w:space="0" w:color="auto"/>
      </w:divBdr>
    </w:div>
    <w:div w:id="1426802375">
      <w:bodyDiv w:val="1"/>
      <w:marLeft w:val="0"/>
      <w:marRight w:val="0"/>
      <w:marTop w:val="0"/>
      <w:marBottom w:val="0"/>
      <w:divBdr>
        <w:top w:val="none" w:sz="0" w:space="0" w:color="auto"/>
        <w:left w:val="none" w:sz="0" w:space="0" w:color="auto"/>
        <w:bottom w:val="none" w:sz="0" w:space="0" w:color="auto"/>
        <w:right w:val="none" w:sz="0" w:space="0" w:color="auto"/>
      </w:divBdr>
    </w:div>
    <w:div w:id="1428578222">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53860635">
      <w:bodyDiv w:val="1"/>
      <w:marLeft w:val="0"/>
      <w:marRight w:val="0"/>
      <w:marTop w:val="0"/>
      <w:marBottom w:val="0"/>
      <w:divBdr>
        <w:top w:val="none" w:sz="0" w:space="0" w:color="auto"/>
        <w:left w:val="none" w:sz="0" w:space="0" w:color="auto"/>
        <w:bottom w:val="none" w:sz="0" w:space="0" w:color="auto"/>
        <w:right w:val="none" w:sz="0" w:space="0" w:color="auto"/>
      </w:divBdr>
    </w:div>
    <w:div w:id="1479107408">
      <w:bodyDiv w:val="1"/>
      <w:marLeft w:val="0"/>
      <w:marRight w:val="0"/>
      <w:marTop w:val="0"/>
      <w:marBottom w:val="0"/>
      <w:divBdr>
        <w:top w:val="none" w:sz="0" w:space="0" w:color="auto"/>
        <w:left w:val="none" w:sz="0" w:space="0" w:color="auto"/>
        <w:bottom w:val="none" w:sz="0" w:space="0" w:color="auto"/>
        <w:right w:val="none" w:sz="0" w:space="0" w:color="auto"/>
      </w:divBdr>
    </w:div>
    <w:div w:id="1491603887">
      <w:bodyDiv w:val="1"/>
      <w:marLeft w:val="0"/>
      <w:marRight w:val="0"/>
      <w:marTop w:val="0"/>
      <w:marBottom w:val="0"/>
      <w:divBdr>
        <w:top w:val="none" w:sz="0" w:space="0" w:color="auto"/>
        <w:left w:val="none" w:sz="0" w:space="0" w:color="auto"/>
        <w:bottom w:val="none" w:sz="0" w:space="0" w:color="auto"/>
        <w:right w:val="none" w:sz="0" w:space="0" w:color="auto"/>
      </w:divBdr>
    </w:div>
    <w:div w:id="1519268422">
      <w:bodyDiv w:val="1"/>
      <w:marLeft w:val="0"/>
      <w:marRight w:val="0"/>
      <w:marTop w:val="0"/>
      <w:marBottom w:val="0"/>
      <w:divBdr>
        <w:top w:val="none" w:sz="0" w:space="0" w:color="auto"/>
        <w:left w:val="none" w:sz="0" w:space="0" w:color="auto"/>
        <w:bottom w:val="none" w:sz="0" w:space="0" w:color="auto"/>
        <w:right w:val="none" w:sz="0" w:space="0" w:color="auto"/>
      </w:divBdr>
    </w:div>
    <w:div w:id="1528830579">
      <w:bodyDiv w:val="1"/>
      <w:marLeft w:val="0"/>
      <w:marRight w:val="0"/>
      <w:marTop w:val="0"/>
      <w:marBottom w:val="0"/>
      <w:divBdr>
        <w:top w:val="none" w:sz="0" w:space="0" w:color="auto"/>
        <w:left w:val="none" w:sz="0" w:space="0" w:color="auto"/>
        <w:bottom w:val="none" w:sz="0" w:space="0" w:color="auto"/>
        <w:right w:val="none" w:sz="0" w:space="0" w:color="auto"/>
      </w:divBdr>
    </w:div>
    <w:div w:id="1529223517">
      <w:bodyDiv w:val="1"/>
      <w:marLeft w:val="0"/>
      <w:marRight w:val="0"/>
      <w:marTop w:val="0"/>
      <w:marBottom w:val="0"/>
      <w:divBdr>
        <w:top w:val="none" w:sz="0" w:space="0" w:color="auto"/>
        <w:left w:val="none" w:sz="0" w:space="0" w:color="auto"/>
        <w:bottom w:val="none" w:sz="0" w:space="0" w:color="auto"/>
        <w:right w:val="none" w:sz="0" w:space="0" w:color="auto"/>
      </w:divBdr>
    </w:div>
    <w:div w:id="1547982240">
      <w:bodyDiv w:val="1"/>
      <w:marLeft w:val="0"/>
      <w:marRight w:val="0"/>
      <w:marTop w:val="0"/>
      <w:marBottom w:val="0"/>
      <w:divBdr>
        <w:top w:val="none" w:sz="0" w:space="0" w:color="auto"/>
        <w:left w:val="none" w:sz="0" w:space="0" w:color="auto"/>
        <w:bottom w:val="none" w:sz="0" w:space="0" w:color="auto"/>
        <w:right w:val="none" w:sz="0" w:space="0" w:color="auto"/>
      </w:divBdr>
    </w:div>
    <w:div w:id="1568801382">
      <w:bodyDiv w:val="1"/>
      <w:marLeft w:val="0"/>
      <w:marRight w:val="0"/>
      <w:marTop w:val="0"/>
      <w:marBottom w:val="0"/>
      <w:divBdr>
        <w:top w:val="none" w:sz="0" w:space="0" w:color="auto"/>
        <w:left w:val="none" w:sz="0" w:space="0" w:color="auto"/>
        <w:bottom w:val="none" w:sz="0" w:space="0" w:color="auto"/>
        <w:right w:val="none" w:sz="0" w:space="0" w:color="auto"/>
      </w:divBdr>
    </w:div>
    <w:div w:id="1579942359">
      <w:bodyDiv w:val="1"/>
      <w:marLeft w:val="0"/>
      <w:marRight w:val="0"/>
      <w:marTop w:val="0"/>
      <w:marBottom w:val="0"/>
      <w:divBdr>
        <w:top w:val="none" w:sz="0" w:space="0" w:color="auto"/>
        <w:left w:val="none" w:sz="0" w:space="0" w:color="auto"/>
        <w:bottom w:val="none" w:sz="0" w:space="0" w:color="auto"/>
        <w:right w:val="none" w:sz="0" w:space="0" w:color="auto"/>
      </w:divBdr>
    </w:div>
    <w:div w:id="1584562097">
      <w:bodyDiv w:val="1"/>
      <w:marLeft w:val="0"/>
      <w:marRight w:val="0"/>
      <w:marTop w:val="0"/>
      <w:marBottom w:val="0"/>
      <w:divBdr>
        <w:top w:val="none" w:sz="0" w:space="0" w:color="auto"/>
        <w:left w:val="none" w:sz="0" w:space="0" w:color="auto"/>
        <w:bottom w:val="none" w:sz="0" w:space="0" w:color="auto"/>
        <w:right w:val="none" w:sz="0" w:space="0" w:color="auto"/>
      </w:divBdr>
    </w:div>
    <w:div w:id="1586189282">
      <w:bodyDiv w:val="1"/>
      <w:marLeft w:val="0"/>
      <w:marRight w:val="0"/>
      <w:marTop w:val="0"/>
      <w:marBottom w:val="0"/>
      <w:divBdr>
        <w:top w:val="none" w:sz="0" w:space="0" w:color="auto"/>
        <w:left w:val="none" w:sz="0" w:space="0" w:color="auto"/>
        <w:bottom w:val="none" w:sz="0" w:space="0" w:color="auto"/>
        <w:right w:val="none" w:sz="0" w:space="0" w:color="auto"/>
      </w:divBdr>
    </w:div>
    <w:div w:id="1586458520">
      <w:bodyDiv w:val="1"/>
      <w:marLeft w:val="0"/>
      <w:marRight w:val="0"/>
      <w:marTop w:val="0"/>
      <w:marBottom w:val="0"/>
      <w:divBdr>
        <w:top w:val="none" w:sz="0" w:space="0" w:color="auto"/>
        <w:left w:val="none" w:sz="0" w:space="0" w:color="auto"/>
        <w:bottom w:val="none" w:sz="0" w:space="0" w:color="auto"/>
        <w:right w:val="none" w:sz="0" w:space="0" w:color="auto"/>
      </w:divBdr>
    </w:div>
    <w:div w:id="1605193030">
      <w:bodyDiv w:val="1"/>
      <w:marLeft w:val="0"/>
      <w:marRight w:val="0"/>
      <w:marTop w:val="0"/>
      <w:marBottom w:val="0"/>
      <w:divBdr>
        <w:top w:val="none" w:sz="0" w:space="0" w:color="auto"/>
        <w:left w:val="none" w:sz="0" w:space="0" w:color="auto"/>
        <w:bottom w:val="none" w:sz="0" w:space="0" w:color="auto"/>
        <w:right w:val="none" w:sz="0" w:space="0" w:color="auto"/>
      </w:divBdr>
    </w:div>
    <w:div w:id="1607230401">
      <w:bodyDiv w:val="1"/>
      <w:marLeft w:val="0"/>
      <w:marRight w:val="0"/>
      <w:marTop w:val="0"/>
      <w:marBottom w:val="0"/>
      <w:divBdr>
        <w:top w:val="none" w:sz="0" w:space="0" w:color="auto"/>
        <w:left w:val="none" w:sz="0" w:space="0" w:color="auto"/>
        <w:bottom w:val="none" w:sz="0" w:space="0" w:color="auto"/>
        <w:right w:val="none" w:sz="0" w:space="0" w:color="auto"/>
      </w:divBdr>
    </w:div>
    <w:div w:id="1643188983">
      <w:bodyDiv w:val="1"/>
      <w:marLeft w:val="0"/>
      <w:marRight w:val="0"/>
      <w:marTop w:val="0"/>
      <w:marBottom w:val="0"/>
      <w:divBdr>
        <w:top w:val="none" w:sz="0" w:space="0" w:color="auto"/>
        <w:left w:val="none" w:sz="0" w:space="0" w:color="auto"/>
        <w:bottom w:val="none" w:sz="0" w:space="0" w:color="auto"/>
        <w:right w:val="none" w:sz="0" w:space="0" w:color="auto"/>
      </w:divBdr>
    </w:div>
    <w:div w:id="1650673543">
      <w:bodyDiv w:val="1"/>
      <w:marLeft w:val="0"/>
      <w:marRight w:val="0"/>
      <w:marTop w:val="0"/>
      <w:marBottom w:val="0"/>
      <w:divBdr>
        <w:top w:val="none" w:sz="0" w:space="0" w:color="auto"/>
        <w:left w:val="none" w:sz="0" w:space="0" w:color="auto"/>
        <w:bottom w:val="none" w:sz="0" w:space="0" w:color="auto"/>
        <w:right w:val="none" w:sz="0" w:space="0" w:color="auto"/>
      </w:divBdr>
    </w:div>
    <w:div w:id="1672178640">
      <w:bodyDiv w:val="1"/>
      <w:marLeft w:val="0"/>
      <w:marRight w:val="0"/>
      <w:marTop w:val="0"/>
      <w:marBottom w:val="0"/>
      <w:divBdr>
        <w:top w:val="none" w:sz="0" w:space="0" w:color="auto"/>
        <w:left w:val="none" w:sz="0" w:space="0" w:color="auto"/>
        <w:bottom w:val="none" w:sz="0" w:space="0" w:color="auto"/>
        <w:right w:val="none" w:sz="0" w:space="0" w:color="auto"/>
      </w:divBdr>
    </w:div>
    <w:div w:id="1693989600">
      <w:bodyDiv w:val="1"/>
      <w:marLeft w:val="0"/>
      <w:marRight w:val="0"/>
      <w:marTop w:val="0"/>
      <w:marBottom w:val="0"/>
      <w:divBdr>
        <w:top w:val="none" w:sz="0" w:space="0" w:color="auto"/>
        <w:left w:val="none" w:sz="0" w:space="0" w:color="auto"/>
        <w:bottom w:val="none" w:sz="0" w:space="0" w:color="auto"/>
        <w:right w:val="none" w:sz="0" w:space="0" w:color="auto"/>
      </w:divBdr>
    </w:div>
    <w:div w:id="1702973260">
      <w:bodyDiv w:val="1"/>
      <w:marLeft w:val="0"/>
      <w:marRight w:val="0"/>
      <w:marTop w:val="0"/>
      <w:marBottom w:val="0"/>
      <w:divBdr>
        <w:top w:val="none" w:sz="0" w:space="0" w:color="auto"/>
        <w:left w:val="none" w:sz="0" w:space="0" w:color="auto"/>
        <w:bottom w:val="none" w:sz="0" w:space="0" w:color="auto"/>
        <w:right w:val="none" w:sz="0" w:space="0" w:color="auto"/>
      </w:divBdr>
    </w:div>
    <w:div w:id="1713847509">
      <w:bodyDiv w:val="1"/>
      <w:marLeft w:val="0"/>
      <w:marRight w:val="0"/>
      <w:marTop w:val="0"/>
      <w:marBottom w:val="0"/>
      <w:divBdr>
        <w:top w:val="none" w:sz="0" w:space="0" w:color="auto"/>
        <w:left w:val="none" w:sz="0" w:space="0" w:color="auto"/>
        <w:bottom w:val="none" w:sz="0" w:space="0" w:color="auto"/>
        <w:right w:val="none" w:sz="0" w:space="0" w:color="auto"/>
      </w:divBdr>
    </w:div>
    <w:div w:id="1724602758">
      <w:bodyDiv w:val="1"/>
      <w:marLeft w:val="0"/>
      <w:marRight w:val="0"/>
      <w:marTop w:val="0"/>
      <w:marBottom w:val="0"/>
      <w:divBdr>
        <w:top w:val="none" w:sz="0" w:space="0" w:color="auto"/>
        <w:left w:val="none" w:sz="0" w:space="0" w:color="auto"/>
        <w:bottom w:val="none" w:sz="0" w:space="0" w:color="auto"/>
        <w:right w:val="none" w:sz="0" w:space="0" w:color="auto"/>
      </w:divBdr>
    </w:div>
    <w:div w:id="1739358096">
      <w:bodyDiv w:val="1"/>
      <w:marLeft w:val="0"/>
      <w:marRight w:val="0"/>
      <w:marTop w:val="0"/>
      <w:marBottom w:val="0"/>
      <w:divBdr>
        <w:top w:val="none" w:sz="0" w:space="0" w:color="auto"/>
        <w:left w:val="none" w:sz="0" w:space="0" w:color="auto"/>
        <w:bottom w:val="none" w:sz="0" w:space="0" w:color="auto"/>
        <w:right w:val="none" w:sz="0" w:space="0" w:color="auto"/>
      </w:divBdr>
    </w:div>
    <w:div w:id="1761097513">
      <w:bodyDiv w:val="1"/>
      <w:marLeft w:val="0"/>
      <w:marRight w:val="0"/>
      <w:marTop w:val="0"/>
      <w:marBottom w:val="0"/>
      <w:divBdr>
        <w:top w:val="none" w:sz="0" w:space="0" w:color="auto"/>
        <w:left w:val="none" w:sz="0" w:space="0" w:color="auto"/>
        <w:bottom w:val="none" w:sz="0" w:space="0" w:color="auto"/>
        <w:right w:val="none" w:sz="0" w:space="0" w:color="auto"/>
      </w:divBdr>
    </w:div>
    <w:div w:id="1791898888">
      <w:bodyDiv w:val="1"/>
      <w:marLeft w:val="0"/>
      <w:marRight w:val="0"/>
      <w:marTop w:val="0"/>
      <w:marBottom w:val="0"/>
      <w:divBdr>
        <w:top w:val="none" w:sz="0" w:space="0" w:color="auto"/>
        <w:left w:val="none" w:sz="0" w:space="0" w:color="auto"/>
        <w:bottom w:val="none" w:sz="0" w:space="0" w:color="auto"/>
        <w:right w:val="none" w:sz="0" w:space="0" w:color="auto"/>
      </w:divBdr>
    </w:div>
    <w:div w:id="1834834967">
      <w:bodyDiv w:val="1"/>
      <w:marLeft w:val="0"/>
      <w:marRight w:val="0"/>
      <w:marTop w:val="0"/>
      <w:marBottom w:val="0"/>
      <w:divBdr>
        <w:top w:val="none" w:sz="0" w:space="0" w:color="auto"/>
        <w:left w:val="none" w:sz="0" w:space="0" w:color="auto"/>
        <w:bottom w:val="none" w:sz="0" w:space="0" w:color="auto"/>
        <w:right w:val="none" w:sz="0" w:space="0" w:color="auto"/>
      </w:divBdr>
    </w:div>
    <w:div w:id="1835147697">
      <w:bodyDiv w:val="1"/>
      <w:marLeft w:val="0"/>
      <w:marRight w:val="0"/>
      <w:marTop w:val="0"/>
      <w:marBottom w:val="0"/>
      <w:divBdr>
        <w:top w:val="none" w:sz="0" w:space="0" w:color="auto"/>
        <w:left w:val="none" w:sz="0" w:space="0" w:color="auto"/>
        <w:bottom w:val="none" w:sz="0" w:space="0" w:color="auto"/>
        <w:right w:val="none" w:sz="0" w:space="0" w:color="auto"/>
      </w:divBdr>
    </w:div>
    <w:div w:id="1836023389">
      <w:bodyDiv w:val="1"/>
      <w:marLeft w:val="0"/>
      <w:marRight w:val="0"/>
      <w:marTop w:val="0"/>
      <w:marBottom w:val="0"/>
      <w:divBdr>
        <w:top w:val="none" w:sz="0" w:space="0" w:color="auto"/>
        <w:left w:val="none" w:sz="0" w:space="0" w:color="auto"/>
        <w:bottom w:val="none" w:sz="0" w:space="0" w:color="auto"/>
        <w:right w:val="none" w:sz="0" w:space="0" w:color="auto"/>
      </w:divBdr>
    </w:div>
    <w:div w:id="1837259602">
      <w:bodyDiv w:val="1"/>
      <w:marLeft w:val="0"/>
      <w:marRight w:val="0"/>
      <w:marTop w:val="0"/>
      <w:marBottom w:val="0"/>
      <w:divBdr>
        <w:top w:val="none" w:sz="0" w:space="0" w:color="auto"/>
        <w:left w:val="none" w:sz="0" w:space="0" w:color="auto"/>
        <w:bottom w:val="none" w:sz="0" w:space="0" w:color="auto"/>
        <w:right w:val="none" w:sz="0" w:space="0" w:color="auto"/>
      </w:divBdr>
    </w:div>
    <w:div w:id="1860506117">
      <w:bodyDiv w:val="1"/>
      <w:marLeft w:val="0"/>
      <w:marRight w:val="0"/>
      <w:marTop w:val="0"/>
      <w:marBottom w:val="0"/>
      <w:divBdr>
        <w:top w:val="none" w:sz="0" w:space="0" w:color="auto"/>
        <w:left w:val="none" w:sz="0" w:space="0" w:color="auto"/>
        <w:bottom w:val="none" w:sz="0" w:space="0" w:color="auto"/>
        <w:right w:val="none" w:sz="0" w:space="0" w:color="auto"/>
      </w:divBdr>
    </w:div>
    <w:div w:id="1862550945">
      <w:bodyDiv w:val="1"/>
      <w:marLeft w:val="0"/>
      <w:marRight w:val="0"/>
      <w:marTop w:val="0"/>
      <w:marBottom w:val="0"/>
      <w:divBdr>
        <w:top w:val="none" w:sz="0" w:space="0" w:color="auto"/>
        <w:left w:val="none" w:sz="0" w:space="0" w:color="auto"/>
        <w:bottom w:val="none" w:sz="0" w:space="0" w:color="auto"/>
        <w:right w:val="none" w:sz="0" w:space="0" w:color="auto"/>
      </w:divBdr>
    </w:div>
    <w:div w:id="1890720742">
      <w:bodyDiv w:val="1"/>
      <w:marLeft w:val="0"/>
      <w:marRight w:val="0"/>
      <w:marTop w:val="0"/>
      <w:marBottom w:val="0"/>
      <w:divBdr>
        <w:top w:val="none" w:sz="0" w:space="0" w:color="auto"/>
        <w:left w:val="none" w:sz="0" w:space="0" w:color="auto"/>
        <w:bottom w:val="none" w:sz="0" w:space="0" w:color="auto"/>
        <w:right w:val="none" w:sz="0" w:space="0" w:color="auto"/>
      </w:divBdr>
    </w:div>
    <w:div w:id="1896819001">
      <w:bodyDiv w:val="1"/>
      <w:marLeft w:val="0"/>
      <w:marRight w:val="0"/>
      <w:marTop w:val="0"/>
      <w:marBottom w:val="0"/>
      <w:divBdr>
        <w:top w:val="none" w:sz="0" w:space="0" w:color="auto"/>
        <w:left w:val="none" w:sz="0" w:space="0" w:color="auto"/>
        <w:bottom w:val="none" w:sz="0" w:space="0" w:color="auto"/>
        <w:right w:val="none" w:sz="0" w:space="0" w:color="auto"/>
      </w:divBdr>
    </w:div>
    <w:div w:id="1913078139">
      <w:bodyDiv w:val="1"/>
      <w:marLeft w:val="0"/>
      <w:marRight w:val="0"/>
      <w:marTop w:val="0"/>
      <w:marBottom w:val="0"/>
      <w:divBdr>
        <w:top w:val="none" w:sz="0" w:space="0" w:color="auto"/>
        <w:left w:val="none" w:sz="0" w:space="0" w:color="auto"/>
        <w:bottom w:val="none" w:sz="0" w:space="0" w:color="auto"/>
        <w:right w:val="none" w:sz="0" w:space="0" w:color="auto"/>
      </w:divBdr>
    </w:div>
    <w:div w:id="1944995139">
      <w:bodyDiv w:val="1"/>
      <w:marLeft w:val="0"/>
      <w:marRight w:val="0"/>
      <w:marTop w:val="0"/>
      <w:marBottom w:val="0"/>
      <w:divBdr>
        <w:top w:val="none" w:sz="0" w:space="0" w:color="auto"/>
        <w:left w:val="none" w:sz="0" w:space="0" w:color="auto"/>
        <w:bottom w:val="none" w:sz="0" w:space="0" w:color="auto"/>
        <w:right w:val="none" w:sz="0" w:space="0" w:color="auto"/>
      </w:divBdr>
    </w:div>
    <w:div w:id="1961565163">
      <w:bodyDiv w:val="1"/>
      <w:marLeft w:val="0"/>
      <w:marRight w:val="0"/>
      <w:marTop w:val="0"/>
      <w:marBottom w:val="0"/>
      <w:divBdr>
        <w:top w:val="none" w:sz="0" w:space="0" w:color="auto"/>
        <w:left w:val="none" w:sz="0" w:space="0" w:color="auto"/>
        <w:bottom w:val="none" w:sz="0" w:space="0" w:color="auto"/>
        <w:right w:val="none" w:sz="0" w:space="0" w:color="auto"/>
      </w:divBdr>
    </w:div>
    <w:div w:id="1976446385">
      <w:bodyDiv w:val="1"/>
      <w:marLeft w:val="0"/>
      <w:marRight w:val="0"/>
      <w:marTop w:val="0"/>
      <w:marBottom w:val="0"/>
      <w:divBdr>
        <w:top w:val="none" w:sz="0" w:space="0" w:color="auto"/>
        <w:left w:val="none" w:sz="0" w:space="0" w:color="auto"/>
        <w:bottom w:val="none" w:sz="0" w:space="0" w:color="auto"/>
        <w:right w:val="none" w:sz="0" w:space="0" w:color="auto"/>
      </w:divBdr>
    </w:div>
    <w:div w:id="1981419202">
      <w:bodyDiv w:val="1"/>
      <w:marLeft w:val="0"/>
      <w:marRight w:val="0"/>
      <w:marTop w:val="0"/>
      <w:marBottom w:val="0"/>
      <w:divBdr>
        <w:top w:val="none" w:sz="0" w:space="0" w:color="auto"/>
        <w:left w:val="none" w:sz="0" w:space="0" w:color="auto"/>
        <w:bottom w:val="none" w:sz="0" w:space="0" w:color="auto"/>
        <w:right w:val="none" w:sz="0" w:space="0" w:color="auto"/>
      </w:divBdr>
    </w:div>
    <w:div w:id="1984507484">
      <w:bodyDiv w:val="1"/>
      <w:marLeft w:val="0"/>
      <w:marRight w:val="0"/>
      <w:marTop w:val="0"/>
      <w:marBottom w:val="0"/>
      <w:divBdr>
        <w:top w:val="none" w:sz="0" w:space="0" w:color="auto"/>
        <w:left w:val="none" w:sz="0" w:space="0" w:color="auto"/>
        <w:bottom w:val="none" w:sz="0" w:space="0" w:color="auto"/>
        <w:right w:val="none" w:sz="0" w:space="0" w:color="auto"/>
      </w:divBdr>
    </w:div>
    <w:div w:id="2030059924">
      <w:bodyDiv w:val="1"/>
      <w:marLeft w:val="0"/>
      <w:marRight w:val="0"/>
      <w:marTop w:val="0"/>
      <w:marBottom w:val="0"/>
      <w:divBdr>
        <w:top w:val="none" w:sz="0" w:space="0" w:color="auto"/>
        <w:left w:val="none" w:sz="0" w:space="0" w:color="auto"/>
        <w:bottom w:val="none" w:sz="0" w:space="0" w:color="auto"/>
        <w:right w:val="none" w:sz="0" w:space="0" w:color="auto"/>
      </w:divBdr>
    </w:div>
    <w:div w:id="2033265158">
      <w:bodyDiv w:val="1"/>
      <w:marLeft w:val="0"/>
      <w:marRight w:val="0"/>
      <w:marTop w:val="0"/>
      <w:marBottom w:val="0"/>
      <w:divBdr>
        <w:top w:val="none" w:sz="0" w:space="0" w:color="auto"/>
        <w:left w:val="none" w:sz="0" w:space="0" w:color="auto"/>
        <w:bottom w:val="none" w:sz="0" w:space="0" w:color="auto"/>
        <w:right w:val="none" w:sz="0" w:space="0" w:color="auto"/>
      </w:divBdr>
    </w:div>
    <w:div w:id="2043821587">
      <w:bodyDiv w:val="1"/>
      <w:marLeft w:val="0"/>
      <w:marRight w:val="0"/>
      <w:marTop w:val="0"/>
      <w:marBottom w:val="0"/>
      <w:divBdr>
        <w:top w:val="none" w:sz="0" w:space="0" w:color="auto"/>
        <w:left w:val="none" w:sz="0" w:space="0" w:color="auto"/>
        <w:bottom w:val="none" w:sz="0" w:space="0" w:color="auto"/>
        <w:right w:val="none" w:sz="0" w:space="0" w:color="auto"/>
      </w:divBdr>
    </w:div>
    <w:div w:id="2048870581">
      <w:bodyDiv w:val="1"/>
      <w:marLeft w:val="0"/>
      <w:marRight w:val="0"/>
      <w:marTop w:val="0"/>
      <w:marBottom w:val="0"/>
      <w:divBdr>
        <w:top w:val="none" w:sz="0" w:space="0" w:color="auto"/>
        <w:left w:val="none" w:sz="0" w:space="0" w:color="auto"/>
        <w:bottom w:val="none" w:sz="0" w:space="0" w:color="auto"/>
        <w:right w:val="none" w:sz="0" w:space="0" w:color="auto"/>
      </w:divBdr>
    </w:div>
    <w:div w:id="2050494783">
      <w:bodyDiv w:val="1"/>
      <w:marLeft w:val="0"/>
      <w:marRight w:val="0"/>
      <w:marTop w:val="0"/>
      <w:marBottom w:val="0"/>
      <w:divBdr>
        <w:top w:val="none" w:sz="0" w:space="0" w:color="auto"/>
        <w:left w:val="none" w:sz="0" w:space="0" w:color="auto"/>
        <w:bottom w:val="none" w:sz="0" w:space="0" w:color="auto"/>
        <w:right w:val="none" w:sz="0" w:space="0" w:color="auto"/>
      </w:divBdr>
    </w:div>
    <w:div w:id="2059620601">
      <w:bodyDiv w:val="1"/>
      <w:marLeft w:val="0"/>
      <w:marRight w:val="0"/>
      <w:marTop w:val="0"/>
      <w:marBottom w:val="0"/>
      <w:divBdr>
        <w:top w:val="none" w:sz="0" w:space="0" w:color="auto"/>
        <w:left w:val="none" w:sz="0" w:space="0" w:color="auto"/>
        <w:bottom w:val="none" w:sz="0" w:space="0" w:color="auto"/>
        <w:right w:val="none" w:sz="0" w:space="0" w:color="auto"/>
      </w:divBdr>
    </w:div>
    <w:div w:id="2067678870">
      <w:bodyDiv w:val="1"/>
      <w:marLeft w:val="0"/>
      <w:marRight w:val="0"/>
      <w:marTop w:val="0"/>
      <w:marBottom w:val="0"/>
      <w:divBdr>
        <w:top w:val="none" w:sz="0" w:space="0" w:color="auto"/>
        <w:left w:val="none" w:sz="0" w:space="0" w:color="auto"/>
        <w:bottom w:val="none" w:sz="0" w:space="0" w:color="auto"/>
        <w:right w:val="none" w:sz="0" w:space="0" w:color="auto"/>
      </w:divBdr>
    </w:div>
    <w:div w:id="2072923216">
      <w:bodyDiv w:val="1"/>
      <w:marLeft w:val="0"/>
      <w:marRight w:val="0"/>
      <w:marTop w:val="0"/>
      <w:marBottom w:val="0"/>
      <w:divBdr>
        <w:top w:val="none" w:sz="0" w:space="0" w:color="auto"/>
        <w:left w:val="none" w:sz="0" w:space="0" w:color="auto"/>
        <w:bottom w:val="none" w:sz="0" w:space="0" w:color="auto"/>
        <w:right w:val="none" w:sz="0" w:space="0" w:color="auto"/>
      </w:divBdr>
    </w:div>
    <w:div w:id="2075882997">
      <w:bodyDiv w:val="1"/>
      <w:marLeft w:val="0"/>
      <w:marRight w:val="0"/>
      <w:marTop w:val="0"/>
      <w:marBottom w:val="0"/>
      <w:divBdr>
        <w:top w:val="none" w:sz="0" w:space="0" w:color="auto"/>
        <w:left w:val="none" w:sz="0" w:space="0" w:color="auto"/>
        <w:bottom w:val="none" w:sz="0" w:space="0" w:color="auto"/>
        <w:right w:val="none" w:sz="0" w:space="0" w:color="auto"/>
      </w:divBdr>
    </w:div>
    <w:div w:id="2086995596">
      <w:bodyDiv w:val="1"/>
      <w:marLeft w:val="0"/>
      <w:marRight w:val="0"/>
      <w:marTop w:val="0"/>
      <w:marBottom w:val="0"/>
      <w:divBdr>
        <w:top w:val="none" w:sz="0" w:space="0" w:color="auto"/>
        <w:left w:val="none" w:sz="0" w:space="0" w:color="auto"/>
        <w:bottom w:val="none" w:sz="0" w:space="0" w:color="auto"/>
        <w:right w:val="none" w:sz="0" w:space="0" w:color="auto"/>
      </w:divBdr>
    </w:div>
    <w:div w:id="2087416668">
      <w:bodyDiv w:val="1"/>
      <w:marLeft w:val="0"/>
      <w:marRight w:val="0"/>
      <w:marTop w:val="0"/>
      <w:marBottom w:val="0"/>
      <w:divBdr>
        <w:top w:val="none" w:sz="0" w:space="0" w:color="auto"/>
        <w:left w:val="none" w:sz="0" w:space="0" w:color="auto"/>
        <w:bottom w:val="none" w:sz="0" w:space="0" w:color="auto"/>
        <w:right w:val="none" w:sz="0" w:space="0" w:color="auto"/>
      </w:divBdr>
    </w:div>
    <w:div w:id="2092314669">
      <w:bodyDiv w:val="1"/>
      <w:marLeft w:val="0"/>
      <w:marRight w:val="0"/>
      <w:marTop w:val="0"/>
      <w:marBottom w:val="0"/>
      <w:divBdr>
        <w:top w:val="none" w:sz="0" w:space="0" w:color="auto"/>
        <w:left w:val="none" w:sz="0" w:space="0" w:color="auto"/>
        <w:bottom w:val="none" w:sz="0" w:space="0" w:color="auto"/>
        <w:right w:val="none" w:sz="0" w:space="0" w:color="auto"/>
      </w:divBdr>
    </w:div>
    <w:div w:id="2100056518">
      <w:bodyDiv w:val="1"/>
      <w:marLeft w:val="0"/>
      <w:marRight w:val="0"/>
      <w:marTop w:val="0"/>
      <w:marBottom w:val="0"/>
      <w:divBdr>
        <w:top w:val="none" w:sz="0" w:space="0" w:color="auto"/>
        <w:left w:val="none" w:sz="0" w:space="0" w:color="auto"/>
        <w:bottom w:val="none" w:sz="0" w:space="0" w:color="auto"/>
        <w:right w:val="none" w:sz="0" w:space="0" w:color="auto"/>
      </w:divBdr>
    </w:div>
    <w:div w:id="2122262477">
      <w:bodyDiv w:val="1"/>
      <w:marLeft w:val="0"/>
      <w:marRight w:val="0"/>
      <w:marTop w:val="0"/>
      <w:marBottom w:val="0"/>
      <w:divBdr>
        <w:top w:val="none" w:sz="0" w:space="0" w:color="auto"/>
        <w:left w:val="none" w:sz="0" w:space="0" w:color="auto"/>
        <w:bottom w:val="none" w:sz="0" w:space="0" w:color="auto"/>
        <w:right w:val="none" w:sz="0" w:space="0" w:color="auto"/>
      </w:divBdr>
    </w:div>
    <w:div w:id="21231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23437-E941-4E22-8553-0B0D0B74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5886</Words>
  <Characters>32374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c:creator>
  <cp:lastModifiedBy>Alvar Ricardo Cachón Pérez</cp:lastModifiedBy>
  <cp:revision>5</cp:revision>
  <cp:lastPrinted>2018-05-09T16:02:00Z</cp:lastPrinted>
  <dcterms:created xsi:type="dcterms:W3CDTF">2017-04-24T17:43:00Z</dcterms:created>
  <dcterms:modified xsi:type="dcterms:W3CDTF">2018-05-09T16:03:00Z</dcterms:modified>
</cp:coreProperties>
</file>