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9A" w:rsidRPr="007E7C9A" w:rsidRDefault="00140F72" w:rsidP="007E7C9A">
      <w:pPr>
        <w:spacing w:line="240" w:lineRule="auto"/>
        <w:jc w:val="center"/>
        <w:rPr>
          <w:rFonts w:ascii="Calibri" w:eastAsia="Times New Roman" w:hAnsi="Calibri" w:cs="Arial"/>
          <w:b/>
          <w:sz w:val="20"/>
          <w:szCs w:val="20"/>
          <w:lang w:val="es-ES"/>
        </w:rPr>
      </w:pPr>
      <w:bookmarkStart w:id="0" w:name="_GoBack"/>
      <w:bookmarkEnd w:id="0"/>
      <w:r>
        <w:rPr>
          <w:rFonts w:ascii="Calibri" w:eastAsia="Times New Roman" w:hAnsi="Calibri" w:cs="Arial"/>
          <w:b/>
          <w:sz w:val="20"/>
          <w:szCs w:val="20"/>
          <w:lang w:val="es-ES"/>
        </w:rPr>
        <w:t>Cuenta Pública 2017</w:t>
      </w:r>
    </w:p>
    <w:p w:rsidR="007E7C9A" w:rsidRPr="007E7C9A" w:rsidRDefault="007E7C9A" w:rsidP="007E7C9A">
      <w:pPr>
        <w:spacing w:line="240" w:lineRule="auto"/>
        <w:jc w:val="center"/>
        <w:rPr>
          <w:rFonts w:ascii="Calibri" w:eastAsia="Times New Roman" w:hAnsi="Calibri" w:cs="Arial"/>
          <w:b/>
          <w:sz w:val="20"/>
          <w:szCs w:val="20"/>
          <w:lang w:val="es-ES"/>
        </w:rPr>
      </w:pPr>
      <w:r w:rsidRPr="007E7C9A">
        <w:rPr>
          <w:rFonts w:ascii="Calibri" w:eastAsia="Times New Roman" w:hAnsi="Calibri" w:cs="Arial"/>
          <w:b/>
          <w:sz w:val="20"/>
          <w:szCs w:val="20"/>
          <w:lang w:val="es-ES"/>
        </w:rPr>
        <w:t>Notas a los Estados Financieros</w:t>
      </w:r>
    </w:p>
    <w:p w:rsidR="007E7C9A" w:rsidRPr="007E7C9A" w:rsidRDefault="00140F72" w:rsidP="007E7C9A">
      <w:pPr>
        <w:spacing w:line="240" w:lineRule="auto"/>
        <w:jc w:val="center"/>
        <w:rPr>
          <w:rFonts w:ascii="Calibri" w:eastAsia="Times New Roman" w:hAnsi="Calibri" w:cs="Arial"/>
          <w:b/>
          <w:sz w:val="20"/>
          <w:szCs w:val="20"/>
          <w:lang w:val="es-ES"/>
        </w:rPr>
      </w:pPr>
      <w:r>
        <w:rPr>
          <w:rFonts w:ascii="Calibri" w:eastAsia="Times New Roman" w:hAnsi="Calibri" w:cs="Arial"/>
          <w:b/>
          <w:sz w:val="20"/>
          <w:szCs w:val="20"/>
          <w:lang w:val="es-ES"/>
        </w:rPr>
        <w:t>Al 31 de Marzo de 2017</w:t>
      </w:r>
    </w:p>
    <w:p w:rsidR="007E7C9A" w:rsidRPr="007E7C9A" w:rsidRDefault="007E7C9A" w:rsidP="007E7C9A">
      <w:pPr>
        <w:spacing w:line="240" w:lineRule="auto"/>
        <w:jc w:val="center"/>
        <w:rPr>
          <w:rFonts w:ascii="Calibri" w:eastAsia="Times New Roman" w:hAnsi="Calibri" w:cs="Arial"/>
          <w:b/>
          <w:sz w:val="20"/>
          <w:szCs w:val="20"/>
          <w:lang w:val="es-ES"/>
        </w:rPr>
      </w:pPr>
      <w:r w:rsidRPr="007E7C9A">
        <w:rPr>
          <w:rFonts w:ascii="Calibri" w:eastAsia="Times New Roman" w:hAnsi="Calibri" w:cs="Arial"/>
          <w:b/>
          <w:sz w:val="20"/>
          <w:szCs w:val="20"/>
          <w:lang w:val="es-ES"/>
        </w:rPr>
        <w:t>(Pesos)</w:t>
      </w:r>
    </w:p>
    <w:p w:rsidR="007E7C9A" w:rsidRPr="007E7C9A" w:rsidRDefault="007E7C9A" w:rsidP="007E7C9A">
      <w:pPr>
        <w:spacing w:line="240" w:lineRule="auto"/>
        <w:jc w:val="center"/>
        <w:rPr>
          <w:rFonts w:ascii="Calibri" w:eastAsia="Times New Roman" w:hAnsi="Calibri" w:cs="Arial"/>
          <w:b/>
          <w:sz w:val="20"/>
          <w:szCs w:val="20"/>
          <w:lang w:val="es-ES"/>
        </w:rPr>
      </w:pPr>
    </w:p>
    <w:p w:rsidR="007E7C9A" w:rsidRPr="007E7C9A" w:rsidRDefault="007E7C9A" w:rsidP="007E7C9A">
      <w:pPr>
        <w:spacing w:line="240" w:lineRule="auto"/>
        <w:rPr>
          <w:rFonts w:ascii="Calibri" w:eastAsia="Calibri" w:hAnsi="Calibri" w:cs="Arial"/>
          <w:b/>
          <w:sz w:val="20"/>
          <w:szCs w:val="20"/>
        </w:rPr>
      </w:pPr>
      <w:r w:rsidRPr="007E7C9A">
        <w:rPr>
          <w:rFonts w:ascii="Calibri" w:eastAsia="Calibri" w:hAnsi="Calibri" w:cs="Arial"/>
          <w:b/>
          <w:sz w:val="20"/>
          <w:szCs w:val="20"/>
        </w:rPr>
        <w:t>Ente Público</w:t>
      </w:r>
      <w:proofErr w:type="gramStart"/>
      <w:r w:rsidRPr="007E7C9A">
        <w:rPr>
          <w:rFonts w:ascii="Calibri" w:eastAsia="Calibri" w:hAnsi="Calibri" w:cs="Arial"/>
          <w:b/>
          <w:sz w:val="20"/>
          <w:szCs w:val="20"/>
        </w:rPr>
        <w:t>:  UNIVERSIDAD</w:t>
      </w:r>
      <w:proofErr w:type="gramEnd"/>
      <w:r w:rsidRPr="007E7C9A">
        <w:rPr>
          <w:rFonts w:ascii="Calibri" w:eastAsia="Calibri" w:hAnsi="Calibri" w:cs="Arial"/>
          <w:b/>
          <w:sz w:val="20"/>
          <w:szCs w:val="20"/>
        </w:rPr>
        <w:t xml:space="preserve"> TECNOLÓGICA METROPOLITANA          </w:t>
      </w:r>
    </w:p>
    <w:p w:rsidR="00324BB3" w:rsidRDefault="00324BB3" w:rsidP="00324BB3">
      <w:pPr>
        <w:spacing w:line="240" w:lineRule="auto"/>
        <w:rPr>
          <w:rFonts w:cs="Arial"/>
          <w:b/>
          <w:sz w:val="20"/>
          <w:szCs w:val="20"/>
        </w:rPr>
      </w:pPr>
      <w:r>
        <w:rPr>
          <w:rFonts w:cs="Arial"/>
          <w:b/>
          <w:sz w:val="20"/>
          <w:szCs w:val="20"/>
        </w:rPr>
        <w:t>NOTAS DE GESTIÓN ADMINISTRATIVO</w:t>
      </w:r>
    </w:p>
    <w:p w:rsidR="00324BB3" w:rsidRDefault="00324BB3" w:rsidP="00324BB3">
      <w:pPr>
        <w:pStyle w:val="Texto"/>
        <w:numPr>
          <w:ilvl w:val="1"/>
          <w:numId w:val="34"/>
        </w:numPr>
        <w:tabs>
          <w:tab w:val="num" w:pos="851"/>
        </w:tabs>
        <w:spacing w:after="0" w:line="240" w:lineRule="exact"/>
        <w:ind w:left="851" w:hanging="567"/>
        <w:rPr>
          <w:rFonts w:ascii="Calibri" w:hAnsi="Calibri" w:cs="Arial"/>
          <w:b/>
          <w:sz w:val="20"/>
          <w:lang w:val="es-ES_tradnl"/>
        </w:rPr>
      </w:pPr>
      <w:r>
        <w:rPr>
          <w:rFonts w:ascii="Calibri" w:hAnsi="Calibri" w:cs="Arial"/>
          <w:b/>
          <w:sz w:val="20"/>
          <w:lang w:val="es-ES_tradnl"/>
        </w:rPr>
        <w:t>Introducción</w:t>
      </w:r>
    </w:p>
    <w:p w:rsidR="00324BB3" w:rsidRDefault="00324BB3" w:rsidP="00324BB3">
      <w:pPr>
        <w:jc w:val="both"/>
        <w:rPr>
          <w:rFonts w:ascii="Calibri" w:hAnsi="Calibri" w:cs="Arial"/>
          <w:sz w:val="20"/>
          <w:szCs w:val="20"/>
        </w:rPr>
      </w:pPr>
      <w:r>
        <w:rPr>
          <w:rFonts w:cs="Arial"/>
          <w:sz w:val="20"/>
          <w:szCs w:val="20"/>
        </w:rPr>
        <w:t xml:space="preserve">Los Estados Financieros de la Universidad Tecnológica Metropolitana, proveen de información financiera a los principales usuarios de la misma.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 </w:t>
      </w:r>
    </w:p>
    <w:p w:rsidR="00324BB3" w:rsidRDefault="00324BB3" w:rsidP="00324BB3">
      <w:pPr>
        <w:pStyle w:val="Texto"/>
        <w:spacing w:after="0" w:line="240" w:lineRule="exact"/>
        <w:ind w:firstLine="0"/>
        <w:rPr>
          <w:rFonts w:ascii="Calibri" w:hAnsi="Calibri" w:cs="Arial"/>
          <w:sz w:val="20"/>
          <w:lang w:val="es-ES_tradnl"/>
        </w:rPr>
      </w:pPr>
      <w:r>
        <w:rPr>
          <w:rFonts w:ascii="Calibri" w:hAnsi="Calibri" w:cs="Arial"/>
          <w:sz w:val="20"/>
          <w:lang w:val="es-ES_tradnl"/>
        </w:rPr>
        <w:t>Aquí se informa y explica la respuesta de la Universidad Tecnológica Metropolitana a las condiciones relacionadas con la información financiera de cada período de gestión; además, de exponer aquellas políticas que podrían afectar la toma de decisiones en períodos posteriores</w:t>
      </w:r>
    </w:p>
    <w:p w:rsidR="00324BB3" w:rsidRDefault="00324BB3" w:rsidP="00324BB3">
      <w:pPr>
        <w:pStyle w:val="Texto"/>
        <w:spacing w:after="0" w:line="240" w:lineRule="exact"/>
        <w:ind w:left="340" w:firstLine="0"/>
        <w:rPr>
          <w:rFonts w:ascii="Calibri" w:hAnsi="Calibri" w:cs="Arial"/>
          <w:sz w:val="20"/>
          <w:lang w:val="es-ES_tradnl"/>
        </w:rPr>
      </w:pPr>
    </w:p>
    <w:p w:rsidR="00324BB3" w:rsidRDefault="00324BB3" w:rsidP="00324BB3">
      <w:pPr>
        <w:pStyle w:val="Texto"/>
        <w:spacing w:after="0" w:line="240" w:lineRule="exact"/>
        <w:rPr>
          <w:rFonts w:ascii="Calibri" w:hAnsi="Calibri" w:cs="Arial"/>
          <w:b/>
          <w:sz w:val="20"/>
          <w:lang w:val="es-ES_tradnl"/>
        </w:rPr>
      </w:pPr>
      <w:r>
        <w:rPr>
          <w:rFonts w:ascii="Calibri" w:hAnsi="Calibri" w:cs="Arial"/>
          <w:b/>
          <w:sz w:val="20"/>
          <w:lang w:val="es-ES_tradnl"/>
        </w:rPr>
        <w:t>2.</w:t>
      </w:r>
      <w:r>
        <w:rPr>
          <w:rFonts w:ascii="Calibri" w:hAnsi="Calibri" w:cs="Arial"/>
          <w:b/>
          <w:sz w:val="20"/>
          <w:lang w:val="es-ES_tradnl"/>
        </w:rPr>
        <w:tab/>
        <w:t>Panorama Económico y Financiero</w:t>
      </w:r>
    </w:p>
    <w:p w:rsidR="00324BB3" w:rsidRDefault="00324BB3" w:rsidP="00324BB3">
      <w:pPr>
        <w:pStyle w:val="Texto"/>
        <w:spacing w:after="0" w:line="240" w:lineRule="exact"/>
        <w:ind w:firstLine="0"/>
        <w:rPr>
          <w:rFonts w:ascii="Calibri" w:hAnsi="Calibri" w:cs="Arial"/>
          <w:sz w:val="20"/>
          <w:lang w:val="es-ES_tradnl"/>
        </w:rPr>
      </w:pPr>
      <w:r>
        <w:rPr>
          <w:rFonts w:ascii="Calibri" w:hAnsi="Calibri" w:cs="Arial"/>
          <w:sz w:val="20"/>
          <w:lang w:val="es-ES_tradnl"/>
        </w:rPr>
        <w:t>Las condiciones económicas y financieras bajo las cuales la Universidad Tecnológica Metropolitana estuvo operando, son las mismas a las que se sujeta el Presupuesto de Egresos del Estado.</w:t>
      </w:r>
    </w:p>
    <w:p w:rsidR="00324BB3" w:rsidRDefault="00324BB3" w:rsidP="00324BB3">
      <w:pPr>
        <w:pStyle w:val="Texto"/>
        <w:spacing w:after="0" w:line="240" w:lineRule="exact"/>
        <w:rPr>
          <w:rFonts w:ascii="Calibri" w:hAnsi="Calibri" w:cs="Arial"/>
          <w:sz w:val="20"/>
          <w:lang w:val="es-ES_tradnl"/>
        </w:rPr>
      </w:pPr>
    </w:p>
    <w:p w:rsidR="00324BB3" w:rsidRDefault="00324BB3" w:rsidP="00324BB3">
      <w:pPr>
        <w:numPr>
          <w:ilvl w:val="0"/>
          <w:numId w:val="18"/>
        </w:numPr>
        <w:spacing w:after="0" w:line="240" w:lineRule="auto"/>
        <w:ind w:left="709" w:hanging="425"/>
        <w:jc w:val="both"/>
        <w:rPr>
          <w:rFonts w:ascii="Calibri" w:hAnsi="Calibri" w:cs="Arial"/>
          <w:b/>
          <w:sz w:val="20"/>
          <w:szCs w:val="20"/>
        </w:rPr>
      </w:pPr>
      <w:r>
        <w:rPr>
          <w:rFonts w:cs="Arial"/>
          <w:b/>
          <w:sz w:val="20"/>
          <w:szCs w:val="20"/>
        </w:rPr>
        <w:t>Autorización e Historia.</w:t>
      </w:r>
    </w:p>
    <w:p w:rsidR="00324BB3" w:rsidRDefault="00324BB3" w:rsidP="00324BB3">
      <w:pPr>
        <w:jc w:val="both"/>
        <w:rPr>
          <w:rFonts w:cs="Arial"/>
          <w:sz w:val="20"/>
          <w:szCs w:val="20"/>
        </w:rPr>
      </w:pPr>
      <w:r>
        <w:rPr>
          <w:rFonts w:cs="Arial"/>
          <w:sz w:val="20"/>
          <w:szCs w:val="20"/>
        </w:rPr>
        <w:t>La Universidad Tecnológica Metropolitana es un Organismo Público Descentralizado del Gobierno del Estado de Yucatán miembro del Sistema Nacional de Universidades Tecnológicas, con personalidad jurídica y patrimonio propio, con domicilio en la ciudad de Mérida, Yucatán, conforme Decreto número 196 emitido por el Poder Ejecutivo del Gobierno del Estado de Yucatán el 13 de mayo de 1999.</w:t>
      </w:r>
    </w:p>
    <w:p w:rsidR="00B6657A" w:rsidRDefault="00B6657A" w:rsidP="00324BB3">
      <w:pPr>
        <w:jc w:val="both"/>
        <w:rPr>
          <w:rFonts w:cs="Arial"/>
          <w:sz w:val="20"/>
          <w:szCs w:val="20"/>
        </w:rPr>
      </w:pPr>
    </w:p>
    <w:p w:rsidR="00324BB3" w:rsidRDefault="00324BB3" w:rsidP="00324BB3">
      <w:pPr>
        <w:numPr>
          <w:ilvl w:val="0"/>
          <w:numId w:val="18"/>
        </w:numPr>
        <w:spacing w:after="0" w:line="240" w:lineRule="auto"/>
        <w:ind w:left="709" w:hanging="425"/>
        <w:jc w:val="both"/>
        <w:rPr>
          <w:rFonts w:cs="Arial"/>
          <w:b/>
          <w:sz w:val="20"/>
          <w:szCs w:val="20"/>
        </w:rPr>
      </w:pPr>
      <w:r>
        <w:rPr>
          <w:rFonts w:cs="Arial"/>
          <w:b/>
          <w:sz w:val="20"/>
          <w:szCs w:val="20"/>
        </w:rPr>
        <w:lastRenderedPageBreak/>
        <w:t>Organización y Objeto Social</w:t>
      </w:r>
    </w:p>
    <w:p w:rsidR="00324BB3" w:rsidRDefault="00324BB3" w:rsidP="00324BB3">
      <w:pPr>
        <w:autoSpaceDE w:val="0"/>
        <w:autoSpaceDN w:val="0"/>
        <w:adjustRightInd w:val="0"/>
        <w:jc w:val="both"/>
        <w:rPr>
          <w:rFonts w:cs="Arial"/>
          <w:sz w:val="20"/>
          <w:szCs w:val="20"/>
        </w:rPr>
      </w:pPr>
      <w:r>
        <w:rPr>
          <w:rFonts w:cs="Arial"/>
          <w:sz w:val="20"/>
          <w:szCs w:val="20"/>
        </w:rPr>
        <w:t>Su modelo educativo, está basado en ofrecer servicios educativos cuya calidad responda a las necesidades y expectativas de los egresados de educación media superior interesados en este modelo de vanguardia, y que al ser concluidos los estudios, permitan al egresado vincularse armónica y positivamente con el entorno económico-productivo de la entidad.</w:t>
      </w:r>
    </w:p>
    <w:p w:rsidR="00324BB3" w:rsidRDefault="00324BB3" w:rsidP="00324BB3">
      <w:pPr>
        <w:autoSpaceDE w:val="0"/>
        <w:autoSpaceDN w:val="0"/>
        <w:adjustRightInd w:val="0"/>
        <w:jc w:val="both"/>
        <w:rPr>
          <w:rFonts w:cs="Arial"/>
          <w:sz w:val="20"/>
          <w:szCs w:val="20"/>
        </w:rPr>
      </w:pPr>
      <w:r>
        <w:rPr>
          <w:rFonts w:cs="Arial"/>
          <w:sz w:val="20"/>
          <w:szCs w:val="20"/>
        </w:rPr>
        <w:t>La Universidad es una Institución de Educación Superior comprometida con el desarrollo armónico del Estado de Yucatán, contribuye al desarrollo económico de la región y es reconocida por su compromiso con el medio ambiente; la Universidad Tecnológica Metropolitana sustenta su reconocimiento, en la sólida formación integral que ofrece, en la calidad técnica y humana de sus egresados, en su capacidad de respuesta a las demandas del entorno y en su rendición de cuentas expresada en excelentes resultados y una operación óptima.</w:t>
      </w:r>
    </w:p>
    <w:p w:rsidR="00324BB3" w:rsidRDefault="00324BB3" w:rsidP="00324BB3">
      <w:pPr>
        <w:jc w:val="both"/>
        <w:rPr>
          <w:rFonts w:cs="Arial"/>
          <w:sz w:val="20"/>
          <w:szCs w:val="20"/>
        </w:rPr>
      </w:pPr>
      <w:r>
        <w:rPr>
          <w:rFonts w:cs="Arial"/>
          <w:sz w:val="20"/>
          <w:szCs w:val="20"/>
        </w:rPr>
        <w:t>Sus principales objetivos son:</w:t>
      </w:r>
    </w:p>
    <w:p w:rsidR="00324BB3" w:rsidRDefault="00324BB3" w:rsidP="00324BB3">
      <w:pPr>
        <w:numPr>
          <w:ilvl w:val="0"/>
          <w:numId w:val="19"/>
        </w:numPr>
        <w:spacing w:after="0" w:line="240" w:lineRule="auto"/>
        <w:jc w:val="both"/>
        <w:rPr>
          <w:rFonts w:cs="Arial"/>
          <w:sz w:val="20"/>
          <w:szCs w:val="20"/>
        </w:rPr>
      </w:pPr>
      <w:r>
        <w:rPr>
          <w:rFonts w:cs="Arial"/>
          <w:sz w:val="20"/>
          <w:szCs w:val="20"/>
        </w:rPr>
        <w:t>Formar, a partir de egresados del bachillerato, Técnicos Superiores Universitarios.</w:t>
      </w:r>
    </w:p>
    <w:p w:rsidR="00324BB3" w:rsidRDefault="00324BB3" w:rsidP="00324BB3">
      <w:pPr>
        <w:numPr>
          <w:ilvl w:val="0"/>
          <w:numId w:val="19"/>
        </w:numPr>
        <w:spacing w:after="0" w:line="240" w:lineRule="auto"/>
        <w:jc w:val="both"/>
        <w:rPr>
          <w:rFonts w:cs="Arial"/>
          <w:sz w:val="20"/>
          <w:szCs w:val="20"/>
        </w:rPr>
      </w:pPr>
      <w:r>
        <w:rPr>
          <w:rFonts w:cs="Arial"/>
          <w:sz w:val="20"/>
          <w:szCs w:val="20"/>
        </w:rPr>
        <w:t>Desarrollar estudios o proyectos en las áreas de su competencia.</w:t>
      </w:r>
    </w:p>
    <w:p w:rsidR="00324BB3" w:rsidRDefault="00324BB3" w:rsidP="00324BB3">
      <w:pPr>
        <w:numPr>
          <w:ilvl w:val="0"/>
          <w:numId w:val="19"/>
        </w:numPr>
        <w:spacing w:after="0" w:line="240" w:lineRule="auto"/>
        <w:jc w:val="both"/>
        <w:rPr>
          <w:rFonts w:cs="Arial"/>
          <w:sz w:val="20"/>
          <w:szCs w:val="20"/>
        </w:rPr>
      </w:pPr>
      <w:r>
        <w:rPr>
          <w:rFonts w:cs="Arial"/>
          <w:sz w:val="20"/>
          <w:szCs w:val="20"/>
        </w:rPr>
        <w:t>Desarrollar programas de apoyo técnico en beneficio de la comunidad.</w:t>
      </w:r>
    </w:p>
    <w:p w:rsidR="00324BB3" w:rsidRDefault="00324BB3" w:rsidP="00324BB3">
      <w:pPr>
        <w:numPr>
          <w:ilvl w:val="0"/>
          <w:numId w:val="19"/>
        </w:numPr>
        <w:spacing w:after="0" w:line="240" w:lineRule="auto"/>
        <w:jc w:val="both"/>
        <w:rPr>
          <w:rFonts w:cs="Arial"/>
          <w:sz w:val="20"/>
          <w:szCs w:val="20"/>
        </w:rPr>
      </w:pPr>
      <w:r>
        <w:rPr>
          <w:rFonts w:cs="Arial"/>
          <w:sz w:val="20"/>
          <w:szCs w:val="20"/>
        </w:rPr>
        <w:t>Promover la cultura científica y tecnológica.</w:t>
      </w:r>
    </w:p>
    <w:p w:rsidR="00324BB3" w:rsidRDefault="00324BB3" w:rsidP="00324BB3">
      <w:pPr>
        <w:numPr>
          <w:ilvl w:val="0"/>
          <w:numId w:val="19"/>
        </w:numPr>
        <w:spacing w:after="0" w:line="240" w:lineRule="auto"/>
        <w:jc w:val="both"/>
        <w:rPr>
          <w:rFonts w:cs="Arial"/>
          <w:sz w:val="20"/>
          <w:szCs w:val="20"/>
        </w:rPr>
      </w:pPr>
      <w:r>
        <w:rPr>
          <w:rFonts w:cs="Arial"/>
          <w:sz w:val="20"/>
          <w:szCs w:val="20"/>
        </w:rPr>
        <w:t>Desarrollar las funciones de vinculación con los diversos sectores del Estado de Yucatán para contribuir al desarrollo tecnológico y social de la comunidad.</w:t>
      </w:r>
    </w:p>
    <w:p w:rsidR="00324BB3" w:rsidRDefault="00324BB3" w:rsidP="00324BB3">
      <w:pPr>
        <w:jc w:val="both"/>
        <w:rPr>
          <w:rFonts w:cs="Arial"/>
          <w:sz w:val="20"/>
          <w:szCs w:val="20"/>
        </w:rPr>
      </w:pPr>
    </w:p>
    <w:p w:rsidR="00324BB3" w:rsidRDefault="00324BB3" w:rsidP="00324BB3">
      <w:pPr>
        <w:autoSpaceDE w:val="0"/>
        <w:autoSpaceDN w:val="0"/>
        <w:adjustRightInd w:val="0"/>
        <w:jc w:val="both"/>
        <w:rPr>
          <w:rFonts w:cs="Arial"/>
          <w:sz w:val="20"/>
          <w:szCs w:val="20"/>
        </w:rPr>
      </w:pPr>
      <w:r>
        <w:rPr>
          <w:rFonts w:cs="Arial"/>
          <w:sz w:val="20"/>
          <w:szCs w:val="20"/>
        </w:rPr>
        <w:t>Los servicios de educación continua, innovación, transferencia y asistencia de tecnología que la Universidad brinda, al sector productivo, público y privado, son pertinentes, innovadores, oportunos, de calidad y congruentes con la vocación de la institución. La UTM es referente en el diseño y desarrollo de asistencia, transferencia e innovación de tecnología. Los servicios de asistencia, transferencia e innovación de tecnología son una fuente de recursos financieros propios.</w:t>
      </w:r>
    </w:p>
    <w:p w:rsidR="00324BB3" w:rsidRDefault="00324BB3" w:rsidP="00324BB3">
      <w:pPr>
        <w:jc w:val="both"/>
        <w:rPr>
          <w:rFonts w:cs="Arial"/>
          <w:sz w:val="20"/>
          <w:szCs w:val="20"/>
        </w:rPr>
      </w:pPr>
      <w:r>
        <w:rPr>
          <w:rFonts w:cs="Arial"/>
          <w:sz w:val="20"/>
          <w:szCs w:val="20"/>
        </w:rPr>
        <w:t>La Universidad se encuentra registrada ante la Secretaría de Hacienda y Crédito Público en el Régimen de Persona Moral con fines no lucrativos y con las siguientes obligaciones fiscales</w:t>
      </w:r>
    </w:p>
    <w:p w:rsidR="00324BB3" w:rsidRDefault="00324BB3" w:rsidP="00324BB3">
      <w:pPr>
        <w:numPr>
          <w:ilvl w:val="0"/>
          <w:numId w:val="35"/>
        </w:numPr>
        <w:spacing w:after="0" w:line="240" w:lineRule="auto"/>
        <w:jc w:val="both"/>
        <w:rPr>
          <w:rFonts w:cs="Arial"/>
          <w:sz w:val="20"/>
          <w:szCs w:val="20"/>
        </w:rPr>
      </w:pPr>
      <w:r>
        <w:rPr>
          <w:rFonts w:cs="Arial"/>
          <w:sz w:val="20"/>
          <w:szCs w:val="20"/>
        </w:rPr>
        <w:t>Entero de retenciones mensuales de ISR por ingresos asimilados a salarios</w:t>
      </w:r>
    </w:p>
    <w:p w:rsidR="00324BB3" w:rsidRDefault="00324BB3" w:rsidP="00324BB3">
      <w:pPr>
        <w:numPr>
          <w:ilvl w:val="0"/>
          <w:numId w:val="35"/>
        </w:numPr>
        <w:spacing w:after="0" w:line="240" w:lineRule="auto"/>
        <w:jc w:val="both"/>
        <w:rPr>
          <w:rFonts w:cs="Arial"/>
          <w:sz w:val="20"/>
          <w:szCs w:val="20"/>
        </w:rPr>
      </w:pPr>
      <w:r>
        <w:rPr>
          <w:rFonts w:cs="Arial"/>
          <w:sz w:val="20"/>
          <w:szCs w:val="20"/>
        </w:rPr>
        <w:t>Declaración informativa anual de retenciones de ISR por sueldos y salarios e ingresos asimilados a salarios</w:t>
      </w:r>
    </w:p>
    <w:p w:rsidR="00324BB3" w:rsidRDefault="00324BB3" w:rsidP="00324BB3">
      <w:pPr>
        <w:numPr>
          <w:ilvl w:val="0"/>
          <w:numId w:val="35"/>
        </w:numPr>
        <w:spacing w:after="0" w:line="240" w:lineRule="auto"/>
        <w:jc w:val="both"/>
        <w:rPr>
          <w:rFonts w:cs="Arial"/>
          <w:sz w:val="20"/>
          <w:szCs w:val="20"/>
        </w:rPr>
      </w:pPr>
      <w:r>
        <w:rPr>
          <w:rFonts w:cs="Arial"/>
          <w:sz w:val="20"/>
          <w:szCs w:val="20"/>
        </w:rPr>
        <w:t>Declaración informativa anual de pagos y retenciones de servicios profesionales. Personas Morales. Impuesto Sobre la Renta</w:t>
      </w:r>
    </w:p>
    <w:p w:rsidR="00324BB3" w:rsidRDefault="00324BB3" w:rsidP="00324BB3">
      <w:pPr>
        <w:numPr>
          <w:ilvl w:val="0"/>
          <w:numId w:val="35"/>
        </w:numPr>
        <w:spacing w:after="0" w:line="240" w:lineRule="auto"/>
        <w:jc w:val="both"/>
        <w:rPr>
          <w:rFonts w:cs="Arial"/>
          <w:sz w:val="20"/>
          <w:szCs w:val="20"/>
        </w:rPr>
      </w:pPr>
      <w:r>
        <w:rPr>
          <w:rFonts w:cs="Arial"/>
          <w:sz w:val="20"/>
          <w:szCs w:val="20"/>
        </w:rPr>
        <w:lastRenderedPageBreak/>
        <w:t>Entero de retenciones de IVA Mensual</w:t>
      </w:r>
    </w:p>
    <w:p w:rsidR="00324BB3" w:rsidRDefault="00324BB3" w:rsidP="00324BB3">
      <w:pPr>
        <w:numPr>
          <w:ilvl w:val="0"/>
          <w:numId w:val="35"/>
        </w:numPr>
        <w:spacing w:after="0" w:line="240" w:lineRule="auto"/>
        <w:jc w:val="both"/>
        <w:rPr>
          <w:rFonts w:cs="Arial"/>
          <w:sz w:val="20"/>
          <w:szCs w:val="20"/>
        </w:rPr>
      </w:pPr>
      <w:r>
        <w:rPr>
          <w:rFonts w:cs="Arial"/>
          <w:sz w:val="20"/>
          <w:szCs w:val="20"/>
        </w:rPr>
        <w:t>Entero de retención de ISR por servicios profesionales. Mensual</w:t>
      </w:r>
    </w:p>
    <w:p w:rsidR="00324BB3" w:rsidRDefault="00324BB3" w:rsidP="00324BB3">
      <w:pPr>
        <w:numPr>
          <w:ilvl w:val="0"/>
          <w:numId w:val="35"/>
        </w:numPr>
        <w:spacing w:after="0" w:line="240" w:lineRule="auto"/>
        <w:jc w:val="both"/>
        <w:rPr>
          <w:rFonts w:cs="Arial"/>
          <w:sz w:val="20"/>
          <w:szCs w:val="20"/>
        </w:rPr>
      </w:pPr>
      <w:r>
        <w:rPr>
          <w:rFonts w:cs="Arial"/>
          <w:sz w:val="20"/>
          <w:szCs w:val="20"/>
        </w:rPr>
        <w:t>Entero de retenciones mensuales de ISR por sueldos y salarios</w:t>
      </w:r>
    </w:p>
    <w:p w:rsidR="00324BB3" w:rsidRDefault="00324BB3" w:rsidP="00324BB3">
      <w:pPr>
        <w:numPr>
          <w:ilvl w:val="0"/>
          <w:numId w:val="35"/>
        </w:numPr>
        <w:spacing w:after="0" w:line="240" w:lineRule="auto"/>
        <w:jc w:val="both"/>
        <w:rPr>
          <w:rFonts w:cs="Arial"/>
          <w:sz w:val="20"/>
          <w:szCs w:val="20"/>
        </w:rPr>
      </w:pPr>
      <w:r>
        <w:rPr>
          <w:rFonts w:cs="Arial"/>
          <w:sz w:val="20"/>
          <w:szCs w:val="20"/>
        </w:rPr>
        <w:t>Declaración informativa de IVA con la anual de ISR</w:t>
      </w:r>
    </w:p>
    <w:p w:rsidR="00324BB3" w:rsidRDefault="00324BB3" w:rsidP="00324BB3">
      <w:pPr>
        <w:numPr>
          <w:ilvl w:val="0"/>
          <w:numId w:val="35"/>
        </w:numPr>
        <w:spacing w:after="0" w:line="240" w:lineRule="auto"/>
        <w:jc w:val="both"/>
        <w:rPr>
          <w:rFonts w:cs="Arial"/>
          <w:sz w:val="20"/>
          <w:szCs w:val="20"/>
        </w:rPr>
      </w:pPr>
      <w:r>
        <w:rPr>
          <w:rFonts w:cs="Arial"/>
          <w:sz w:val="20"/>
          <w:szCs w:val="20"/>
        </w:rPr>
        <w:t>Pago definitivo mensual de IVA.</w:t>
      </w:r>
    </w:p>
    <w:p w:rsidR="00324BB3" w:rsidRDefault="00324BB3" w:rsidP="00324BB3">
      <w:pPr>
        <w:numPr>
          <w:ilvl w:val="0"/>
          <w:numId w:val="35"/>
        </w:numPr>
        <w:spacing w:after="0" w:line="240" w:lineRule="auto"/>
        <w:jc w:val="both"/>
        <w:rPr>
          <w:rFonts w:cs="Arial"/>
          <w:sz w:val="20"/>
          <w:szCs w:val="20"/>
        </w:rPr>
      </w:pPr>
      <w:r>
        <w:rPr>
          <w:rFonts w:cs="Arial"/>
          <w:sz w:val="20"/>
          <w:szCs w:val="20"/>
        </w:rPr>
        <w:t>Declaración informativa mensual de operaciones con terceros de IVA</w:t>
      </w:r>
    </w:p>
    <w:p w:rsidR="00324BB3" w:rsidRDefault="00324BB3" w:rsidP="00324BB3">
      <w:pPr>
        <w:numPr>
          <w:ilvl w:val="0"/>
          <w:numId w:val="35"/>
        </w:numPr>
        <w:spacing w:after="0" w:line="240" w:lineRule="auto"/>
        <w:jc w:val="both"/>
        <w:rPr>
          <w:rFonts w:cs="Arial"/>
          <w:sz w:val="20"/>
          <w:szCs w:val="20"/>
        </w:rPr>
      </w:pPr>
      <w:r>
        <w:rPr>
          <w:rFonts w:cs="Arial"/>
          <w:sz w:val="20"/>
          <w:szCs w:val="20"/>
        </w:rPr>
        <w:t>Informativa anual del subsidio para el empleo</w:t>
      </w:r>
    </w:p>
    <w:p w:rsidR="00324BB3" w:rsidRDefault="00324BB3" w:rsidP="00324BB3">
      <w:pPr>
        <w:numPr>
          <w:ilvl w:val="0"/>
          <w:numId w:val="35"/>
        </w:numPr>
        <w:spacing w:after="0" w:line="240" w:lineRule="auto"/>
        <w:jc w:val="both"/>
        <w:rPr>
          <w:rFonts w:cs="Arial"/>
          <w:sz w:val="20"/>
          <w:szCs w:val="20"/>
        </w:rPr>
      </w:pPr>
      <w:r>
        <w:rPr>
          <w:rFonts w:cs="Arial"/>
          <w:sz w:val="20"/>
          <w:szCs w:val="20"/>
        </w:rPr>
        <w:t>Declaración anual de ISR del ejercicio Personas Morales. PMFNL que generen ingresos gravados</w:t>
      </w:r>
    </w:p>
    <w:p w:rsidR="00324BB3" w:rsidRDefault="00324BB3" w:rsidP="00324BB3">
      <w:pPr>
        <w:jc w:val="both"/>
        <w:rPr>
          <w:rFonts w:cs="Arial"/>
          <w:sz w:val="20"/>
          <w:szCs w:val="20"/>
        </w:rPr>
      </w:pPr>
    </w:p>
    <w:p w:rsidR="00324BB3" w:rsidRDefault="00324BB3" w:rsidP="00324BB3">
      <w:pPr>
        <w:jc w:val="both"/>
        <w:rPr>
          <w:rFonts w:cs="Arial"/>
          <w:sz w:val="20"/>
          <w:szCs w:val="20"/>
        </w:rPr>
      </w:pPr>
      <w:r>
        <w:rPr>
          <w:rFonts w:cs="Arial"/>
          <w:sz w:val="20"/>
          <w:szCs w:val="20"/>
        </w:rPr>
        <w:t>La estructura organizacional de la Universidad Tecnológica Metropolitana está distribuida de la siguiente manera.</w:t>
      </w: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B6657A" w:rsidRDefault="00B6657A" w:rsidP="00324BB3">
      <w:pPr>
        <w:jc w:val="both"/>
        <w:rPr>
          <w:rFonts w:cs="Arial"/>
          <w:sz w:val="20"/>
          <w:szCs w:val="20"/>
        </w:rPr>
      </w:pPr>
    </w:p>
    <w:p w:rsidR="00324BB3" w:rsidRDefault="00324BB3" w:rsidP="00324BB3">
      <w:pPr>
        <w:jc w:val="both"/>
        <w:rPr>
          <w:rFonts w:cs="Arial"/>
          <w:b/>
          <w:sz w:val="20"/>
          <w:szCs w:val="20"/>
        </w:rPr>
      </w:pPr>
      <w:r>
        <w:rPr>
          <w:rFonts w:cs="Times New Roman"/>
          <w:noProof/>
          <w:lang w:eastAsia="es-MX"/>
        </w:rPr>
        <w:lastRenderedPageBreak/>
        <w:drawing>
          <wp:anchor distT="0" distB="0" distL="114300" distR="114300" simplePos="0" relativeHeight="251659264" behindDoc="1" locked="0" layoutInCell="1" allowOverlap="1">
            <wp:simplePos x="0" y="0"/>
            <wp:positionH relativeFrom="column">
              <wp:posOffset>337185</wp:posOffset>
            </wp:positionH>
            <wp:positionV relativeFrom="paragraph">
              <wp:posOffset>120015</wp:posOffset>
            </wp:positionV>
            <wp:extent cx="7962900" cy="4762500"/>
            <wp:effectExtent l="0" t="0" r="0" b="0"/>
            <wp:wrapNone/>
            <wp:docPr id="2" name="Imagen 2" descr="Organigrama Institucional UT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rganigrama Institucional UTM "/>
                    <pic:cNvPicPr>
                      <a:picLocks noChangeAspect="1" noChangeArrowheads="1"/>
                    </pic:cNvPicPr>
                  </pic:nvPicPr>
                  <pic:blipFill>
                    <a:blip r:embed="rId6">
                      <a:extLst>
                        <a:ext uri="{28A0092B-C50C-407E-A947-70E740481C1C}">
                          <a14:useLocalDpi xmlns:a14="http://schemas.microsoft.com/office/drawing/2010/main" val="0"/>
                        </a:ext>
                      </a:extLst>
                    </a:blip>
                    <a:srcRect t="4463"/>
                    <a:stretch>
                      <a:fillRect/>
                    </a:stretch>
                  </pic:blipFill>
                  <pic:spPr bwMode="auto">
                    <a:xfrm>
                      <a:off x="0" y="0"/>
                      <a:ext cx="7962900" cy="4762500"/>
                    </a:xfrm>
                    <a:prstGeom prst="rect">
                      <a:avLst/>
                    </a:prstGeom>
                    <a:noFill/>
                  </pic:spPr>
                </pic:pic>
              </a:graphicData>
            </a:graphic>
            <wp14:sizeRelH relativeFrom="page">
              <wp14:pctWidth>0</wp14:pctWidth>
            </wp14:sizeRelH>
            <wp14:sizeRelV relativeFrom="page">
              <wp14:pctHeight>0</wp14:pctHeight>
            </wp14:sizeRelV>
          </wp:anchor>
        </w:drawing>
      </w: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t>Bases de Preparación de los Estados Financieros.</w:t>
      </w:r>
    </w:p>
    <w:p w:rsidR="00324BB3" w:rsidRDefault="00324BB3" w:rsidP="00324BB3">
      <w:pPr>
        <w:ind w:firstLine="540"/>
        <w:jc w:val="both"/>
        <w:rPr>
          <w:rFonts w:cs="Arial"/>
          <w:b/>
          <w:sz w:val="20"/>
          <w:szCs w:val="20"/>
        </w:rPr>
      </w:pPr>
      <w:r>
        <w:rPr>
          <w:rFonts w:cs="Arial"/>
          <w:b/>
          <w:sz w:val="20"/>
          <w:szCs w:val="20"/>
        </w:rPr>
        <w:t xml:space="preserve">   Principales Políticas Contables.</w:t>
      </w:r>
    </w:p>
    <w:p w:rsidR="00324BB3" w:rsidRDefault="00324BB3" w:rsidP="00324BB3">
      <w:pPr>
        <w:jc w:val="both"/>
        <w:rPr>
          <w:rFonts w:cs="Arial"/>
          <w:sz w:val="20"/>
          <w:szCs w:val="20"/>
        </w:rPr>
      </w:pPr>
      <w:r>
        <w:rPr>
          <w:rFonts w:cs="Arial"/>
          <w:sz w:val="20"/>
          <w:szCs w:val="20"/>
        </w:rPr>
        <w:t>Los Estados Financieros, el registro de las operaciones y la preparación de los Informes se realizan de acuerdo a la Ley General de Contabilidad  Gubernamental, la cual fue publicada el 31 de Diciembre de 2008 en el Diario Oficial de la Federación, y entró en vigor el 1 de Enero de 2011 su objeto es establecer los criterios generales que regirán en la Contabilidad Gubernamental y la emisión de la información financiera de los entes públicos, con el fin de lograr su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r>
        <w:rPr>
          <w:rFonts w:cs="Arial"/>
          <w:sz w:val="20"/>
          <w:szCs w:val="20"/>
        </w:rPr>
        <w:tab/>
      </w:r>
    </w:p>
    <w:p w:rsidR="00324BB3" w:rsidRDefault="00324BB3" w:rsidP="00324BB3">
      <w:pPr>
        <w:jc w:val="both"/>
        <w:rPr>
          <w:rFonts w:cs="Arial"/>
          <w:sz w:val="20"/>
          <w:szCs w:val="20"/>
        </w:rPr>
      </w:pPr>
      <w:r>
        <w:rPr>
          <w:rFonts w:cs="Arial"/>
          <w:sz w:val="20"/>
          <w:szCs w:val="20"/>
        </w:rPr>
        <w:t>Las Normas de Información Financiera emitidos por el Consejo Mexicano para la Investigación y Desarrollo de Normas de Información Financiera (CINIF) que conforman la estructura básica, establecen diferencias y semejanzas entre las entidades lucrativas y las entidades con propósitos no lucrativos, haciendo compatible y posible la integración de un cuerpo de Normas de Contabilidad Gubernamental ya que la presentación de la Información debe ajustarse a las disposiciones legales y a los requerimientos de los usuarios.</w:t>
      </w:r>
    </w:p>
    <w:p w:rsidR="00324BB3" w:rsidRDefault="00324BB3" w:rsidP="00324BB3">
      <w:pPr>
        <w:jc w:val="both"/>
        <w:rPr>
          <w:rFonts w:cs="Arial"/>
          <w:sz w:val="20"/>
          <w:szCs w:val="20"/>
        </w:rPr>
      </w:pPr>
      <w:r>
        <w:rPr>
          <w:rFonts w:cs="Arial"/>
          <w:sz w:val="20"/>
          <w:szCs w:val="20"/>
        </w:rPr>
        <w:t>De conformidad con la Norma de Información Financiera B-10, la entidad no reconoce en los Estados Financieros los efectos de la inflación del período debido a que opera en un entorno económico no inflacionario.</w:t>
      </w:r>
    </w:p>
    <w:p w:rsidR="00324BB3" w:rsidRDefault="00324BB3" w:rsidP="00324BB3">
      <w:pPr>
        <w:jc w:val="both"/>
        <w:rPr>
          <w:rFonts w:cs="Arial"/>
          <w:sz w:val="20"/>
          <w:szCs w:val="20"/>
        </w:rPr>
      </w:pPr>
      <w:r>
        <w:rPr>
          <w:rFonts w:cs="Arial"/>
          <w:sz w:val="20"/>
          <w:szCs w:val="20"/>
        </w:rPr>
        <w:t>De acuerdo a la LGCG en su artículo 22 se establece que “Los postulados tienen como objetivo sustentar técnicamente la Contabilidad Gubernamental, así como organizar la efectiva sistematización que permita la obtención de información veraz, clara y concisa”.</w:t>
      </w:r>
    </w:p>
    <w:p w:rsidR="00324BB3" w:rsidRDefault="00324BB3" w:rsidP="00324BB3">
      <w:pPr>
        <w:jc w:val="both"/>
        <w:rPr>
          <w:rFonts w:cs="Arial"/>
          <w:sz w:val="20"/>
          <w:szCs w:val="20"/>
        </w:rPr>
      </w:pPr>
      <w:r>
        <w:rPr>
          <w:rFonts w:cs="Arial"/>
          <w:sz w:val="20"/>
          <w:szCs w:val="20"/>
        </w:rPr>
        <w:t>Conforme a la norma contable Postulados Básicos de Contabilidad Gubernamental establecida por el CONAC, la Universidad adopta para sus registros contables los postulados básicos que se mencionan a continuación:</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Sustancia Económica.</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Entes Públicos.</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Existencia Permanente.</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Revelación Suficiente.</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lastRenderedPageBreak/>
        <w:t>Importancia Relativa.</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Registro e Integración Presupuestaria.</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 xml:space="preserve">Consolidación de la Información Financiera. </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Devengo Contable.</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Valuación.</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Dualidad Económica.</w:t>
      </w:r>
    </w:p>
    <w:p w:rsidR="00324BB3" w:rsidRDefault="00324BB3" w:rsidP="00324BB3">
      <w:pPr>
        <w:numPr>
          <w:ilvl w:val="3"/>
          <w:numId w:val="21"/>
        </w:numPr>
        <w:spacing w:after="0" w:line="240" w:lineRule="auto"/>
        <w:ind w:left="567" w:hanging="283"/>
        <w:jc w:val="both"/>
        <w:rPr>
          <w:rFonts w:cs="Arial"/>
          <w:sz w:val="20"/>
          <w:szCs w:val="20"/>
        </w:rPr>
      </w:pPr>
      <w:r>
        <w:rPr>
          <w:rFonts w:cs="Arial"/>
          <w:sz w:val="20"/>
          <w:szCs w:val="20"/>
        </w:rPr>
        <w:t>Consistencia.</w:t>
      </w:r>
    </w:p>
    <w:p w:rsidR="00324BB3" w:rsidRDefault="00324BB3" w:rsidP="00324BB3">
      <w:pPr>
        <w:spacing w:after="0" w:line="240" w:lineRule="auto"/>
        <w:ind w:left="567"/>
        <w:jc w:val="both"/>
        <w:rPr>
          <w:rFonts w:cs="Arial"/>
          <w:sz w:val="20"/>
          <w:szCs w:val="20"/>
        </w:rPr>
      </w:pPr>
    </w:p>
    <w:p w:rsidR="00324BB3" w:rsidRDefault="00324BB3" w:rsidP="00324BB3">
      <w:pPr>
        <w:spacing w:after="0" w:line="240" w:lineRule="auto"/>
        <w:ind w:left="567"/>
        <w:jc w:val="both"/>
        <w:rPr>
          <w:rFonts w:cs="Arial"/>
          <w:sz w:val="20"/>
          <w:szCs w:val="20"/>
        </w:rPr>
      </w:pP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t>Políticas de Contabilidad Significativas.</w:t>
      </w:r>
    </w:p>
    <w:p w:rsidR="00324BB3" w:rsidRDefault="00324BB3" w:rsidP="00324BB3">
      <w:pPr>
        <w:ind w:firstLine="708"/>
        <w:jc w:val="both"/>
        <w:rPr>
          <w:rFonts w:cs="Arial"/>
          <w:sz w:val="20"/>
          <w:szCs w:val="20"/>
        </w:rPr>
      </w:pPr>
    </w:p>
    <w:p w:rsidR="00324BB3" w:rsidRDefault="00324BB3" w:rsidP="00324BB3">
      <w:pPr>
        <w:ind w:firstLine="708"/>
        <w:jc w:val="both"/>
        <w:rPr>
          <w:rFonts w:cs="Arial"/>
          <w:sz w:val="20"/>
          <w:szCs w:val="20"/>
        </w:rPr>
      </w:pPr>
      <w:r>
        <w:rPr>
          <w:rFonts w:cs="Arial"/>
          <w:sz w:val="20"/>
          <w:szCs w:val="20"/>
        </w:rPr>
        <w:t>Las principales políticas contables de la Universidad Tecnológica Metropolitana se resumen a continuación:</w:t>
      </w:r>
    </w:p>
    <w:p w:rsidR="00324BB3" w:rsidRDefault="00324BB3" w:rsidP="00324BB3">
      <w:pPr>
        <w:jc w:val="both"/>
        <w:rPr>
          <w:rFonts w:cs="Arial"/>
          <w:sz w:val="20"/>
          <w:szCs w:val="20"/>
        </w:rPr>
      </w:pPr>
      <w:r>
        <w:rPr>
          <w:rFonts w:cs="Arial"/>
          <w:sz w:val="20"/>
          <w:szCs w:val="20"/>
        </w:rPr>
        <w:t>Los estados financieros al 31 de Marzo de 2017 están en pesos históricos y no reconocen los efectos de la inflación en la información financiera contenidos en las Normas de Información Financiera, en tanto la CONAC no emita lo conducente.</w:t>
      </w:r>
    </w:p>
    <w:p w:rsidR="00324BB3" w:rsidRDefault="00324BB3" w:rsidP="00324BB3">
      <w:pPr>
        <w:jc w:val="both"/>
        <w:rPr>
          <w:rFonts w:cs="Arial"/>
          <w:sz w:val="20"/>
          <w:szCs w:val="20"/>
        </w:rPr>
      </w:pPr>
      <w:r>
        <w:rPr>
          <w:rFonts w:cs="Arial"/>
          <w:sz w:val="20"/>
          <w:szCs w:val="20"/>
        </w:rPr>
        <w:t>La información se elabora conforme a las normas, criterios y principios técnicos emitidos por la CONAC y las disposiciones legales aplicables, obedeciendo a las mejores prácticas contables.</w:t>
      </w:r>
    </w:p>
    <w:p w:rsidR="00324BB3" w:rsidRDefault="00324BB3" w:rsidP="00324BB3">
      <w:pPr>
        <w:jc w:val="both"/>
        <w:rPr>
          <w:rFonts w:cs="Arial"/>
          <w:sz w:val="20"/>
          <w:szCs w:val="20"/>
        </w:rPr>
      </w:pPr>
      <w:r>
        <w:rPr>
          <w:rFonts w:cs="Arial"/>
          <w:sz w:val="20"/>
          <w:szCs w:val="20"/>
        </w:rPr>
        <w:t>Para la clasificación y registro de las operaciones presupuestarias y contables se alinea el clasificado por Objeto del Gasto, Clasificado por Tipo de Gasto, Clasificados Funcional del Gasto y Clasificador por Rubro de Ingresos emitido por Secretaria de Administración y Finanzas del Gobierno del Estado de Yucatán al Plan de Cuentas emitido por la CONAC.</w:t>
      </w:r>
    </w:p>
    <w:p w:rsidR="00324BB3" w:rsidRDefault="00324BB3" w:rsidP="00324BB3">
      <w:pPr>
        <w:jc w:val="both"/>
        <w:rPr>
          <w:rFonts w:cs="Arial"/>
          <w:sz w:val="20"/>
          <w:szCs w:val="20"/>
        </w:rPr>
      </w:pPr>
      <w:r>
        <w:rPr>
          <w:rFonts w:cs="Arial"/>
          <w:sz w:val="20"/>
          <w:szCs w:val="20"/>
        </w:rPr>
        <w:t>Las notas descritas son parte integral de los Estados Financieros de la Universidad Tecnológica Metropolitana al 31 de Marzo de 2017.</w:t>
      </w: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t xml:space="preserve">Posición en Moneda Extranjera y Protección por Riesgo Cambiario. </w:t>
      </w:r>
    </w:p>
    <w:p w:rsidR="00324BB3" w:rsidRDefault="00324BB3" w:rsidP="00324BB3">
      <w:pPr>
        <w:ind w:left="720"/>
        <w:jc w:val="both"/>
        <w:rPr>
          <w:rFonts w:cs="Arial"/>
          <w:b/>
          <w:sz w:val="20"/>
          <w:szCs w:val="20"/>
        </w:rPr>
      </w:pPr>
      <w:r>
        <w:rPr>
          <w:rFonts w:cs="Arial"/>
          <w:b/>
          <w:sz w:val="20"/>
          <w:szCs w:val="20"/>
        </w:rPr>
        <w:t>NO APLICA</w:t>
      </w:r>
    </w:p>
    <w:p w:rsidR="00B6657A" w:rsidRDefault="00B6657A" w:rsidP="00324BB3">
      <w:pPr>
        <w:ind w:left="720"/>
        <w:jc w:val="both"/>
        <w:rPr>
          <w:rFonts w:cs="Arial"/>
          <w:b/>
          <w:sz w:val="20"/>
          <w:szCs w:val="20"/>
        </w:rPr>
      </w:pP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lastRenderedPageBreak/>
        <w:t>Reporte Analítico del Activo.</w:t>
      </w:r>
    </w:p>
    <w:p w:rsidR="00324BB3" w:rsidRDefault="00324BB3" w:rsidP="00324BB3">
      <w:pPr>
        <w:pStyle w:val="Prrafodelista"/>
        <w:jc w:val="both"/>
        <w:rPr>
          <w:rFonts w:ascii="Calibri" w:hAnsi="Calibri" w:cs="Arial"/>
          <w:b/>
          <w:sz w:val="20"/>
          <w:szCs w:val="20"/>
        </w:rPr>
      </w:pPr>
    </w:p>
    <w:p w:rsidR="00324BB3" w:rsidRDefault="00324BB3" w:rsidP="00324BB3">
      <w:pPr>
        <w:jc w:val="both"/>
        <w:rPr>
          <w:rFonts w:ascii="Calibri" w:hAnsi="Calibri" w:cs="Arial"/>
          <w:sz w:val="20"/>
          <w:szCs w:val="20"/>
        </w:rPr>
      </w:pPr>
      <w:r>
        <w:rPr>
          <w:rFonts w:cs="Arial"/>
          <w:bCs/>
          <w:color w:val="000000"/>
          <w:sz w:val="20"/>
          <w:szCs w:val="20"/>
          <w:lang w:eastAsia="es-MX"/>
        </w:rPr>
        <w:t>La depreciación se</w:t>
      </w:r>
      <w:r>
        <w:rPr>
          <w:rFonts w:cs="Arial"/>
          <w:sz w:val="20"/>
          <w:szCs w:val="20"/>
        </w:rPr>
        <w:t xml:space="preserve"> realiza de manera mensual, para los bienes adquiridos durante y anteriores al 2012 se utilizan las tasas de depreciación relacionadas en la tabla de abajo de acuerdo con la Ley del Impuesto sobre la Renta, en el caso de los bienes adquiridos a partir del año 2013 se utiliza la “Guía de vida útil estimada y porcentajes de depreciación” emitida por el CONAC y publicada en el Diario Oficial de la Federación el 15 de Agosto de 2012.</w:t>
      </w:r>
    </w:p>
    <w:p w:rsidR="00324BB3" w:rsidRDefault="00324BB3" w:rsidP="00324BB3">
      <w:pPr>
        <w:jc w:val="both"/>
        <w:rPr>
          <w:rFonts w:cs="Arial"/>
          <w:sz w:val="20"/>
          <w:szCs w:val="20"/>
        </w:rPr>
      </w:pPr>
    </w:p>
    <w:p w:rsidR="00324BB3" w:rsidRDefault="00324BB3" w:rsidP="00324BB3">
      <w:pPr>
        <w:jc w:val="both"/>
        <w:rPr>
          <w:rFonts w:cs="Arial"/>
          <w:sz w:val="20"/>
          <w:szCs w:val="20"/>
        </w:rPr>
      </w:pPr>
    </w:p>
    <w:tbl>
      <w:tblPr>
        <w:tblW w:w="0" w:type="auto"/>
        <w:jc w:val="center"/>
        <w:tblBorders>
          <w:top w:val="single" w:sz="12" w:space="0" w:color="008000"/>
          <w:bottom w:val="single" w:sz="12" w:space="0" w:color="008000"/>
        </w:tblBorders>
        <w:tblLook w:val="01E0" w:firstRow="1" w:lastRow="1" w:firstColumn="1" w:lastColumn="1" w:noHBand="0" w:noVBand="0"/>
      </w:tblPr>
      <w:tblGrid>
        <w:gridCol w:w="2827"/>
        <w:gridCol w:w="609"/>
      </w:tblGrid>
      <w:tr w:rsidR="00324BB3" w:rsidTr="00324BB3">
        <w:trPr>
          <w:jc w:val="center"/>
        </w:trPr>
        <w:tc>
          <w:tcPr>
            <w:tcW w:w="0" w:type="auto"/>
            <w:tcBorders>
              <w:top w:val="single" w:sz="12" w:space="0" w:color="76923C"/>
              <w:left w:val="nil"/>
              <w:bottom w:val="single" w:sz="12" w:space="0" w:color="76923C"/>
              <w:right w:val="nil"/>
            </w:tcBorders>
            <w:hideMark/>
          </w:tcPr>
          <w:p w:rsidR="00324BB3" w:rsidRDefault="00324BB3">
            <w:pPr>
              <w:spacing w:after="0"/>
              <w:jc w:val="both"/>
              <w:rPr>
                <w:rFonts w:cs="Arial"/>
                <w:b/>
                <w:sz w:val="18"/>
                <w:szCs w:val="18"/>
              </w:rPr>
            </w:pPr>
            <w:r>
              <w:rPr>
                <w:rFonts w:cs="Arial"/>
                <w:sz w:val="20"/>
                <w:szCs w:val="20"/>
              </w:rPr>
              <w:tab/>
            </w:r>
            <w:r>
              <w:rPr>
                <w:rFonts w:cs="Arial"/>
                <w:b/>
                <w:sz w:val="18"/>
                <w:szCs w:val="18"/>
              </w:rPr>
              <w:t>ACTIVO</w:t>
            </w:r>
          </w:p>
        </w:tc>
        <w:tc>
          <w:tcPr>
            <w:tcW w:w="0" w:type="auto"/>
            <w:tcBorders>
              <w:top w:val="single" w:sz="12" w:space="0" w:color="76923C"/>
              <w:left w:val="nil"/>
              <w:bottom w:val="single" w:sz="12" w:space="0" w:color="76923C"/>
              <w:right w:val="nil"/>
            </w:tcBorders>
            <w:hideMark/>
          </w:tcPr>
          <w:p w:rsidR="00324BB3" w:rsidRDefault="00324BB3">
            <w:pPr>
              <w:spacing w:after="0"/>
              <w:jc w:val="both"/>
              <w:rPr>
                <w:rFonts w:cs="Arial"/>
                <w:b/>
                <w:sz w:val="18"/>
                <w:szCs w:val="18"/>
              </w:rPr>
            </w:pPr>
            <w:r>
              <w:rPr>
                <w:rFonts w:cs="Arial"/>
                <w:b/>
                <w:sz w:val="18"/>
                <w:szCs w:val="18"/>
              </w:rPr>
              <w:t>TASA</w:t>
            </w:r>
          </w:p>
        </w:tc>
      </w:tr>
      <w:tr w:rsidR="00324BB3" w:rsidTr="00324BB3">
        <w:trPr>
          <w:jc w:val="center"/>
        </w:trPr>
        <w:tc>
          <w:tcPr>
            <w:tcW w:w="0" w:type="auto"/>
            <w:tcBorders>
              <w:top w:val="single" w:sz="12" w:space="0" w:color="76923C"/>
              <w:left w:val="nil"/>
              <w:bottom w:val="nil"/>
              <w:right w:val="nil"/>
            </w:tcBorders>
            <w:hideMark/>
          </w:tcPr>
          <w:p w:rsidR="00324BB3" w:rsidRDefault="00324BB3">
            <w:pPr>
              <w:spacing w:after="0"/>
              <w:jc w:val="both"/>
              <w:rPr>
                <w:rFonts w:cs="Arial"/>
                <w:sz w:val="18"/>
                <w:szCs w:val="18"/>
              </w:rPr>
            </w:pPr>
            <w:r>
              <w:rPr>
                <w:rFonts w:cs="Arial"/>
                <w:sz w:val="18"/>
                <w:szCs w:val="18"/>
              </w:rPr>
              <w:t>Edificios</w:t>
            </w:r>
          </w:p>
        </w:tc>
        <w:tc>
          <w:tcPr>
            <w:tcW w:w="0" w:type="auto"/>
            <w:tcBorders>
              <w:top w:val="single" w:sz="12" w:space="0" w:color="76923C"/>
              <w:left w:val="nil"/>
              <w:bottom w:val="nil"/>
              <w:right w:val="nil"/>
            </w:tcBorders>
            <w:hideMark/>
          </w:tcPr>
          <w:p w:rsidR="00324BB3" w:rsidRDefault="00324BB3">
            <w:pPr>
              <w:spacing w:after="0"/>
              <w:jc w:val="both"/>
              <w:rPr>
                <w:rFonts w:cs="Arial"/>
                <w:sz w:val="18"/>
                <w:szCs w:val="18"/>
              </w:rPr>
            </w:pPr>
            <w:r>
              <w:rPr>
                <w:rFonts w:cs="Arial"/>
                <w:sz w:val="18"/>
                <w:szCs w:val="18"/>
              </w:rPr>
              <w:t>5%</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Maquinaria y Equipo Diverso</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Equipo Educacional y Recreativo</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color w:val="000000"/>
                <w:sz w:val="18"/>
                <w:szCs w:val="18"/>
              </w:rPr>
            </w:pPr>
            <w:r>
              <w:rPr>
                <w:rFonts w:cs="Arial"/>
                <w:color w:val="000000"/>
                <w:sz w:val="18"/>
                <w:szCs w:val="18"/>
              </w:rPr>
              <w:t>Mobiliario y Equipo de oficina</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Equipo de administración</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Herramientas y maquinaria</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Equipo y Aparatos de comunicación</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Maquinaria y equipo eléctrico</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Maquinaria y equipo de seguridad</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Bienes Informáticos</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30%</w:t>
            </w:r>
          </w:p>
        </w:tc>
      </w:tr>
      <w:tr w:rsidR="00324BB3" w:rsidTr="00324BB3">
        <w:trPr>
          <w:jc w:val="center"/>
        </w:trPr>
        <w:tc>
          <w:tcPr>
            <w:tcW w:w="0" w:type="auto"/>
            <w:tcBorders>
              <w:top w:val="nil"/>
              <w:left w:val="nil"/>
              <w:bottom w:val="single" w:sz="12" w:space="0" w:color="76923C"/>
              <w:right w:val="nil"/>
            </w:tcBorders>
            <w:hideMark/>
          </w:tcPr>
          <w:p w:rsidR="00324BB3" w:rsidRDefault="00324BB3">
            <w:pPr>
              <w:spacing w:after="0"/>
              <w:jc w:val="both"/>
              <w:rPr>
                <w:rFonts w:cs="Arial"/>
                <w:sz w:val="18"/>
                <w:szCs w:val="18"/>
              </w:rPr>
            </w:pPr>
            <w:r>
              <w:rPr>
                <w:rFonts w:cs="Arial"/>
                <w:sz w:val="18"/>
                <w:szCs w:val="18"/>
              </w:rPr>
              <w:t>Vehículos y equipo terrestre</w:t>
            </w:r>
          </w:p>
        </w:tc>
        <w:tc>
          <w:tcPr>
            <w:tcW w:w="0" w:type="auto"/>
            <w:tcBorders>
              <w:top w:val="nil"/>
              <w:left w:val="nil"/>
              <w:bottom w:val="single" w:sz="12" w:space="0" w:color="76923C"/>
              <w:right w:val="nil"/>
            </w:tcBorders>
            <w:hideMark/>
          </w:tcPr>
          <w:p w:rsidR="00324BB3" w:rsidRDefault="00324BB3">
            <w:pPr>
              <w:spacing w:after="0"/>
              <w:jc w:val="both"/>
              <w:rPr>
                <w:rFonts w:cs="Arial"/>
                <w:color w:val="000000"/>
                <w:sz w:val="18"/>
                <w:szCs w:val="18"/>
              </w:rPr>
            </w:pPr>
            <w:r>
              <w:rPr>
                <w:rFonts w:cs="Arial"/>
                <w:color w:val="000000"/>
                <w:sz w:val="18"/>
                <w:szCs w:val="18"/>
              </w:rPr>
              <w:t>25%</w:t>
            </w:r>
          </w:p>
        </w:tc>
      </w:tr>
    </w:tbl>
    <w:p w:rsidR="00324BB3" w:rsidRDefault="00324BB3" w:rsidP="00324BB3">
      <w:pPr>
        <w:spacing w:after="0"/>
        <w:jc w:val="both"/>
        <w:rPr>
          <w:rFonts w:ascii="Calibri" w:hAnsi="Calibri" w:cs="Arial"/>
          <w:b/>
          <w:sz w:val="20"/>
          <w:szCs w:val="20"/>
        </w:rPr>
      </w:pP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t xml:space="preserve">Fideicomisos, Mandatos y Análogos </w:t>
      </w:r>
    </w:p>
    <w:p w:rsidR="00324BB3" w:rsidRDefault="00324BB3" w:rsidP="00324BB3">
      <w:pPr>
        <w:ind w:left="1040"/>
        <w:jc w:val="both"/>
        <w:rPr>
          <w:rFonts w:cs="Arial"/>
          <w:b/>
          <w:sz w:val="20"/>
          <w:szCs w:val="20"/>
        </w:rPr>
      </w:pPr>
      <w:r>
        <w:rPr>
          <w:rFonts w:cs="Arial"/>
          <w:b/>
          <w:sz w:val="20"/>
          <w:szCs w:val="20"/>
        </w:rPr>
        <w:t>NO APLICA</w:t>
      </w:r>
    </w:p>
    <w:p w:rsidR="00B6657A" w:rsidRDefault="00B6657A" w:rsidP="00324BB3">
      <w:pPr>
        <w:ind w:left="1040"/>
        <w:jc w:val="both"/>
        <w:rPr>
          <w:rFonts w:cs="Arial"/>
          <w:b/>
          <w:sz w:val="20"/>
          <w:szCs w:val="20"/>
        </w:rPr>
      </w:pPr>
    </w:p>
    <w:p w:rsidR="00B6657A" w:rsidRDefault="00B6657A" w:rsidP="00324BB3">
      <w:pPr>
        <w:ind w:left="1040"/>
        <w:jc w:val="both"/>
        <w:rPr>
          <w:rFonts w:cs="Arial"/>
          <w:b/>
          <w:sz w:val="20"/>
          <w:szCs w:val="20"/>
        </w:rPr>
      </w:pP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lastRenderedPageBreak/>
        <w:t>Reporte de la recaudación.</w:t>
      </w:r>
    </w:p>
    <w:p w:rsidR="00324BB3" w:rsidRDefault="00324BB3" w:rsidP="00324BB3">
      <w:pPr>
        <w:ind w:left="720"/>
        <w:jc w:val="both"/>
        <w:rPr>
          <w:rFonts w:cs="Arial"/>
          <w:sz w:val="20"/>
          <w:szCs w:val="20"/>
        </w:rPr>
      </w:pPr>
      <w:r>
        <w:rPr>
          <w:rFonts w:cs="Arial"/>
          <w:sz w:val="20"/>
          <w:szCs w:val="20"/>
        </w:rPr>
        <w:t>Los ingresos recaudados  al 31 de Marzo de 2017 están integrados de la siguiente forma:</w:t>
      </w:r>
    </w:p>
    <w:tbl>
      <w:tblPr>
        <w:tblW w:w="5236" w:type="dxa"/>
        <w:jc w:val="center"/>
        <w:tblInd w:w="55" w:type="dxa"/>
        <w:tblCellMar>
          <w:left w:w="70" w:type="dxa"/>
          <w:right w:w="70" w:type="dxa"/>
        </w:tblCellMar>
        <w:tblLook w:val="04A0" w:firstRow="1" w:lastRow="0" w:firstColumn="1" w:lastColumn="0" w:noHBand="0" w:noVBand="1"/>
      </w:tblPr>
      <w:tblGrid>
        <w:gridCol w:w="1200"/>
        <w:gridCol w:w="1311"/>
        <w:gridCol w:w="1311"/>
        <w:gridCol w:w="1414"/>
      </w:tblGrid>
      <w:tr w:rsidR="00324BB3" w:rsidTr="00324BB3">
        <w:trPr>
          <w:trHeight w:val="540"/>
          <w:jc w:val="center"/>
        </w:trPr>
        <w:tc>
          <w:tcPr>
            <w:tcW w:w="1200" w:type="dxa"/>
            <w:tcBorders>
              <w:top w:val="single" w:sz="12" w:space="0" w:color="008000"/>
              <w:left w:val="nil"/>
              <w:bottom w:val="single" w:sz="8" w:space="0" w:color="008000"/>
              <w:right w:val="nil"/>
            </w:tcBorders>
            <w:vAlign w:val="bottom"/>
            <w:hideMark/>
          </w:tcPr>
          <w:p w:rsidR="00324BB3" w:rsidRDefault="00324BB3">
            <w:pPr>
              <w:spacing w:after="0" w:line="240" w:lineRule="auto"/>
              <w:jc w:val="center"/>
              <w:rPr>
                <w:rFonts w:eastAsia="Times New Roman" w:cs="Arial"/>
                <w:b/>
                <w:bCs/>
                <w:color w:val="000000"/>
                <w:sz w:val="20"/>
                <w:szCs w:val="20"/>
                <w:lang w:eastAsia="es-MX"/>
              </w:rPr>
            </w:pPr>
            <w:r>
              <w:rPr>
                <w:rFonts w:eastAsia="Times New Roman" w:cs="Arial"/>
                <w:b/>
                <w:bCs/>
                <w:color w:val="000000"/>
                <w:sz w:val="20"/>
                <w:szCs w:val="20"/>
                <w:lang w:eastAsia="es-MX"/>
              </w:rPr>
              <w:t xml:space="preserve">Período </w:t>
            </w:r>
          </w:p>
        </w:tc>
        <w:tc>
          <w:tcPr>
            <w:tcW w:w="1311" w:type="dxa"/>
            <w:tcBorders>
              <w:top w:val="single" w:sz="12" w:space="0" w:color="008000"/>
              <w:left w:val="nil"/>
              <w:bottom w:val="single" w:sz="8" w:space="0" w:color="008000"/>
              <w:right w:val="nil"/>
            </w:tcBorders>
            <w:vAlign w:val="bottom"/>
            <w:hideMark/>
          </w:tcPr>
          <w:p w:rsidR="00324BB3" w:rsidRDefault="00324BB3">
            <w:pPr>
              <w:spacing w:after="0" w:line="240" w:lineRule="auto"/>
              <w:jc w:val="center"/>
              <w:rPr>
                <w:rFonts w:eastAsia="Times New Roman" w:cs="Arial"/>
                <w:b/>
                <w:bCs/>
                <w:color w:val="000000"/>
                <w:sz w:val="20"/>
                <w:szCs w:val="20"/>
                <w:lang w:eastAsia="es-MX"/>
              </w:rPr>
            </w:pPr>
            <w:r>
              <w:rPr>
                <w:rFonts w:eastAsia="Times New Roman" w:cs="Arial"/>
                <w:b/>
                <w:bCs/>
                <w:color w:val="000000"/>
                <w:sz w:val="20"/>
                <w:szCs w:val="20"/>
                <w:lang w:eastAsia="es-MX"/>
              </w:rPr>
              <w:t xml:space="preserve"> Subsidio Federal  </w:t>
            </w:r>
          </w:p>
        </w:tc>
        <w:tc>
          <w:tcPr>
            <w:tcW w:w="1311" w:type="dxa"/>
            <w:tcBorders>
              <w:top w:val="single" w:sz="12" w:space="0" w:color="008000"/>
              <w:left w:val="nil"/>
              <w:bottom w:val="single" w:sz="8" w:space="0" w:color="008000"/>
              <w:right w:val="nil"/>
            </w:tcBorders>
            <w:vAlign w:val="bottom"/>
            <w:hideMark/>
          </w:tcPr>
          <w:p w:rsidR="00324BB3" w:rsidRDefault="00324BB3">
            <w:pPr>
              <w:spacing w:after="0" w:line="240" w:lineRule="auto"/>
              <w:jc w:val="center"/>
              <w:rPr>
                <w:rFonts w:eastAsia="Times New Roman" w:cs="Arial"/>
                <w:b/>
                <w:bCs/>
                <w:color w:val="000000"/>
                <w:sz w:val="20"/>
                <w:szCs w:val="20"/>
                <w:lang w:eastAsia="es-MX"/>
              </w:rPr>
            </w:pPr>
            <w:r>
              <w:rPr>
                <w:rFonts w:eastAsia="Times New Roman" w:cs="Arial"/>
                <w:b/>
                <w:bCs/>
                <w:color w:val="000000"/>
                <w:sz w:val="20"/>
                <w:szCs w:val="20"/>
                <w:lang w:eastAsia="es-MX"/>
              </w:rPr>
              <w:t xml:space="preserve"> Subsidio Estatal </w:t>
            </w:r>
          </w:p>
        </w:tc>
        <w:tc>
          <w:tcPr>
            <w:tcW w:w="1414" w:type="dxa"/>
            <w:tcBorders>
              <w:top w:val="single" w:sz="12" w:space="0" w:color="008000"/>
              <w:left w:val="nil"/>
              <w:bottom w:val="single" w:sz="8" w:space="0" w:color="008000"/>
              <w:right w:val="nil"/>
            </w:tcBorders>
            <w:vAlign w:val="bottom"/>
            <w:hideMark/>
          </w:tcPr>
          <w:p w:rsidR="00324BB3" w:rsidRDefault="00324BB3">
            <w:pPr>
              <w:spacing w:after="0" w:line="240" w:lineRule="auto"/>
              <w:jc w:val="center"/>
              <w:rPr>
                <w:rFonts w:eastAsia="Times New Roman" w:cs="Arial"/>
                <w:b/>
                <w:bCs/>
                <w:color w:val="000000"/>
                <w:sz w:val="20"/>
                <w:szCs w:val="20"/>
                <w:lang w:eastAsia="es-MX"/>
              </w:rPr>
            </w:pPr>
            <w:r>
              <w:rPr>
                <w:rFonts w:eastAsia="Times New Roman" w:cs="Arial"/>
                <w:b/>
                <w:bCs/>
                <w:color w:val="000000"/>
                <w:sz w:val="20"/>
                <w:szCs w:val="20"/>
                <w:lang w:eastAsia="es-MX"/>
              </w:rPr>
              <w:t xml:space="preserve"> Ingresos Propios  </w:t>
            </w:r>
          </w:p>
        </w:tc>
      </w:tr>
      <w:tr w:rsidR="00324BB3" w:rsidTr="00324BB3">
        <w:trPr>
          <w:trHeight w:val="255"/>
          <w:jc w:val="center"/>
        </w:trPr>
        <w:tc>
          <w:tcPr>
            <w:tcW w:w="1200" w:type="dxa"/>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Enero</w:t>
            </w:r>
          </w:p>
        </w:tc>
        <w:tc>
          <w:tcPr>
            <w:tcW w:w="1311" w:type="dxa"/>
            <w:noWrap/>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0.00</w:t>
            </w:r>
          </w:p>
        </w:tc>
        <w:tc>
          <w:tcPr>
            <w:tcW w:w="1311" w:type="dxa"/>
            <w:noWrap/>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3,712,372.00</w:t>
            </w:r>
          </w:p>
        </w:tc>
        <w:tc>
          <w:tcPr>
            <w:tcW w:w="1414" w:type="dxa"/>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1,571,011.07</w:t>
            </w:r>
          </w:p>
        </w:tc>
      </w:tr>
      <w:tr w:rsidR="00324BB3" w:rsidTr="00324BB3">
        <w:trPr>
          <w:trHeight w:val="255"/>
          <w:jc w:val="center"/>
        </w:trPr>
        <w:tc>
          <w:tcPr>
            <w:tcW w:w="1200" w:type="dxa"/>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Febrero</w:t>
            </w:r>
          </w:p>
        </w:tc>
        <w:tc>
          <w:tcPr>
            <w:tcW w:w="1311" w:type="dxa"/>
            <w:noWrap/>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2,404,152.00</w:t>
            </w:r>
          </w:p>
        </w:tc>
        <w:tc>
          <w:tcPr>
            <w:tcW w:w="1311" w:type="dxa"/>
            <w:noWrap/>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695,387.00</w:t>
            </w:r>
          </w:p>
        </w:tc>
        <w:tc>
          <w:tcPr>
            <w:tcW w:w="1414" w:type="dxa"/>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708,433.07</w:t>
            </w:r>
          </w:p>
        </w:tc>
      </w:tr>
      <w:tr w:rsidR="00324BB3" w:rsidTr="00324BB3">
        <w:trPr>
          <w:trHeight w:val="255"/>
          <w:jc w:val="center"/>
        </w:trPr>
        <w:tc>
          <w:tcPr>
            <w:tcW w:w="1200" w:type="dxa"/>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Marzo</w:t>
            </w:r>
          </w:p>
        </w:tc>
        <w:tc>
          <w:tcPr>
            <w:tcW w:w="1311" w:type="dxa"/>
            <w:noWrap/>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4,808,304.00</w:t>
            </w:r>
          </w:p>
        </w:tc>
        <w:tc>
          <w:tcPr>
            <w:tcW w:w="1311" w:type="dxa"/>
            <w:noWrap/>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7,170,295.00</w:t>
            </w:r>
          </w:p>
        </w:tc>
        <w:tc>
          <w:tcPr>
            <w:tcW w:w="1414" w:type="dxa"/>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1,110,934.97</w:t>
            </w:r>
          </w:p>
        </w:tc>
      </w:tr>
      <w:tr w:rsidR="00324BB3" w:rsidTr="00324BB3">
        <w:trPr>
          <w:trHeight w:val="255"/>
          <w:jc w:val="center"/>
        </w:trPr>
        <w:tc>
          <w:tcPr>
            <w:tcW w:w="1200" w:type="dxa"/>
            <w:noWrap/>
            <w:vAlign w:val="bottom"/>
            <w:hideMark/>
          </w:tcPr>
          <w:p w:rsidR="00324BB3" w:rsidRDefault="00324BB3">
            <w:pPr>
              <w:spacing w:after="0" w:line="240" w:lineRule="auto"/>
              <w:rPr>
                <w:sz w:val="20"/>
                <w:szCs w:val="20"/>
                <w:lang w:eastAsia="es-MX"/>
              </w:rPr>
            </w:pPr>
          </w:p>
        </w:tc>
        <w:tc>
          <w:tcPr>
            <w:tcW w:w="1311" w:type="dxa"/>
            <w:noWrap/>
            <w:vAlign w:val="bottom"/>
            <w:hideMark/>
          </w:tcPr>
          <w:p w:rsidR="00324BB3" w:rsidRDefault="00324BB3">
            <w:pPr>
              <w:spacing w:after="0" w:line="240" w:lineRule="auto"/>
              <w:rPr>
                <w:sz w:val="20"/>
                <w:szCs w:val="20"/>
                <w:lang w:eastAsia="es-MX"/>
              </w:rPr>
            </w:pPr>
          </w:p>
        </w:tc>
        <w:tc>
          <w:tcPr>
            <w:tcW w:w="1311" w:type="dxa"/>
            <w:noWrap/>
            <w:vAlign w:val="bottom"/>
            <w:hideMark/>
          </w:tcPr>
          <w:p w:rsidR="00324BB3" w:rsidRDefault="00324BB3">
            <w:pPr>
              <w:spacing w:after="0" w:line="240" w:lineRule="auto"/>
              <w:rPr>
                <w:sz w:val="20"/>
                <w:szCs w:val="20"/>
                <w:lang w:eastAsia="es-MX"/>
              </w:rPr>
            </w:pPr>
          </w:p>
        </w:tc>
        <w:tc>
          <w:tcPr>
            <w:tcW w:w="1414" w:type="dxa"/>
            <w:vAlign w:val="bottom"/>
            <w:hideMark/>
          </w:tcPr>
          <w:p w:rsidR="00324BB3" w:rsidRDefault="00324BB3">
            <w:pPr>
              <w:spacing w:after="0" w:line="240" w:lineRule="auto"/>
              <w:rPr>
                <w:sz w:val="20"/>
                <w:szCs w:val="20"/>
                <w:lang w:eastAsia="es-MX"/>
              </w:rPr>
            </w:pPr>
          </w:p>
        </w:tc>
      </w:tr>
      <w:tr w:rsidR="00324BB3" w:rsidTr="00324BB3">
        <w:trPr>
          <w:trHeight w:val="270"/>
          <w:jc w:val="center"/>
        </w:trPr>
        <w:tc>
          <w:tcPr>
            <w:tcW w:w="1200" w:type="dxa"/>
            <w:tcBorders>
              <w:top w:val="single" w:sz="8" w:space="0" w:color="008000"/>
              <w:left w:val="nil"/>
              <w:bottom w:val="single" w:sz="12" w:space="0" w:color="008000"/>
              <w:right w:val="nil"/>
            </w:tcBorders>
            <w:vAlign w:val="bottom"/>
            <w:hideMark/>
          </w:tcPr>
          <w:p w:rsidR="00324BB3" w:rsidRDefault="00324BB3">
            <w:pPr>
              <w:spacing w:after="0" w:line="240" w:lineRule="auto"/>
              <w:jc w:val="center"/>
              <w:rPr>
                <w:rFonts w:eastAsia="Times New Roman" w:cs="Arial"/>
                <w:b/>
                <w:bCs/>
                <w:color w:val="000000"/>
                <w:sz w:val="20"/>
                <w:szCs w:val="20"/>
                <w:lang w:eastAsia="es-MX"/>
              </w:rPr>
            </w:pPr>
            <w:r>
              <w:rPr>
                <w:rFonts w:eastAsia="Times New Roman" w:cs="Arial"/>
                <w:b/>
                <w:bCs/>
                <w:color w:val="000000"/>
                <w:sz w:val="20"/>
                <w:szCs w:val="20"/>
                <w:lang w:eastAsia="es-MX"/>
              </w:rPr>
              <w:t>TOTAL</w:t>
            </w:r>
          </w:p>
        </w:tc>
        <w:tc>
          <w:tcPr>
            <w:tcW w:w="1311" w:type="dxa"/>
            <w:tcBorders>
              <w:top w:val="single" w:sz="8" w:space="0" w:color="008000"/>
              <w:left w:val="nil"/>
              <w:bottom w:val="single" w:sz="12" w:space="0" w:color="008000"/>
              <w:right w:val="nil"/>
            </w:tcBorders>
            <w:vAlign w:val="bottom"/>
            <w:hideMark/>
          </w:tcPr>
          <w:p w:rsidR="00324BB3" w:rsidRDefault="00324BB3">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7,212,456.00</w:t>
            </w:r>
          </w:p>
        </w:tc>
        <w:tc>
          <w:tcPr>
            <w:tcW w:w="1311" w:type="dxa"/>
            <w:tcBorders>
              <w:top w:val="single" w:sz="8" w:space="0" w:color="008000"/>
              <w:left w:val="nil"/>
              <w:bottom w:val="single" w:sz="12" w:space="0" w:color="008000"/>
              <w:right w:val="nil"/>
            </w:tcBorders>
            <w:vAlign w:val="bottom"/>
            <w:hideMark/>
          </w:tcPr>
          <w:p w:rsidR="00324BB3" w:rsidRDefault="00324BB3">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11,578,054.00</w:t>
            </w:r>
          </w:p>
        </w:tc>
        <w:tc>
          <w:tcPr>
            <w:tcW w:w="1414" w:type="dxa"/>
            <w:tcBorders>
              <w:top w:val="single" w:sz="8" w:space="0" w:color="008000"/>
              <w:left w:val="nil"/>
              <w:bottom w:val="single" w:sz="12" w:space="0" w:color="008000"/>
              <w:right w:val="nil"/>
            </w:tcBorders>
            <w:vAlign w:val="bottom"/>
            <w:hideMark/>
          </w:tcPr>
          <w:p w:rsidR="00324BB3" w:rsidRDefault="00324BB3">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 xml:space="preserve"> 3,390,379.11</w:t>
            </w:r>
          </w:p>
        </w:tc>
      </w:tr>
    </w:tbl>
    <w:p w:rsidR="00324BB3" w:rsidRDefault="00324BB3" w:rsidP="00324BB3">
      <w:pPr>
        <w:ind w:left="720"/>
        <w:jc w:val="both"/>
        <w:rPr>
          <w:rFonts w:ascii="Calibri" w:hAnsi="Calibri" w:cs="Arial"/>
          <w:sz w:val="20"/>
          <w:szCs w:val="20"/>
        </w:rPr>
      </w:pPr>
    </w:p>
    <w:p w:rsidR="00324BB3" w:rsidRDefault="00324BB3" w:rsidP="00324BB3">
      <w:pPr>
        <w:numPr>
          <w:ilvl w:val="0"/>
          <w:numId w:val="18"/>
        </w:numPr>
        <w:spacing w:after="0" w:line="240" w:lineRule="auto"/>
        <w:jc w:val="both"/>
        <w:rPr>
          <w:rFonts w:cs="Arial"/>
          <w:b/>
          <w:sz w:val="20"/>
          <w:szCs w:val="20"/>
        </w:rPr>
      </w:pPr>
      <w:r>
        <w:rPr>
          <w:rFonts w:cs="Arial"/>
          <w:b/>
          <w:sz w:val="20"/>
          <w:szCs w:val="20"/>
        </w:rPr>
        <w:t>Información sobre la Deuda y el Reporte Analítico de la Deuda.</w:t>
      </w:r>
    </w:p>
    <w:p w:rsidR="00324BB3" w:rsidRDefault="00324BB3" w:rsidP="00324BB3">
      <w:pPr>
        <w:ind w:left="1040"/>
        <w:jc w:val="both"/>
        <w:rPr>
          <w:rFonts w:cs="Arial"/>
          <w:b/>
          <w:sz w:val="20"/>
          <w:szCs w:val="20"/>
        </w:rPr>
      </w:pPr>
      <w:r>
        <w:rPr>
          <w:rFonts w:cs="Arial"/>
          <w:b/>
          <w:sz w:val="20"/>
          <w:szCs w:val="20"/>
        </w:rPr>
        <w:t>NO APLICA</w:t>
      </w:r>
    </w:p>
    <w:p w:rsidR="00324BB3" w:rsidRDefault="00324BB3" w:rsidP="00324BB3">
      <w:pPr>
        <w:numPr>
          <w:ilvl w:val="0"/>
          <w:numId w:val="18"/>
        </w:numPr>
        <w:spacing w:after="0" w:line="240" w:lineRule="auto"/>
        <w:jc w:val="both"/>
        <w:rPr>
          <w:rFonts w:cs="Arial"/>
          <w:b/>
          <w:sz w:val="20"/>
          <w:szCs w:val="20"/>
        </w:rPr>
      </w:pPr>
      <w:r>
        <w:rPr>
          <w:rFonts w:cs="Arial"/>
          <w:b/>
          <w:sz w:val="20"/>
          <w:szCs w:val="20"/>
        </w:rPr>
        <w:t>Calificaciones Otorgadas</w:t>
      </w:r>
    </w:p>
    <w:p w:rsidR="00324BB3" w:rsidRDefault="00324BB3" w:rsidP="00324BB3">
      <w:pPr>
        <w:ind w:left="1040"/>
        <w:jc w:val="both"/>
        <w:rPr>
          <w:rFonts w:cs="Arial"/>
          <w:b/>
          <w:sz w:val="20"/>
          <w:szCs w:val="20"/>
        </w:rPr>
      </w:pPr>
      <w:r>
        <w:rPr>
          <w:rFonts w:cs="Arial"/>
          <w:b/>
          <w:sz w:val="20"/>
          <w:szCs w:val="20"/>
        </w:rPr>
        <w:t>NO APLICA</w:t>
      </w:r>
    </w:p>
    <w:p w:rsidR="00324BB3" w:rsidRDefault="00324BB3" w:rsidP="00324BB3">
      <w:pPr>
        <w:numPr>
          <w:ilvl w:val="0"/>
          <w:numId w:val="18"/>
        </w:numPr>
        <w:spacing w:after="0" w:line="240" w:lineRule="auto"/>
        <w:jc w:val="both"/>
        <w:rPr>
          <w:rFonts w:cs="Arial"/>
          <w:b/>
          <w:sz w:val="20"/>
          <w:szCs w:val="20"/>
        </w:rPr>
      </w:pPr>
      <w:r>
        <w:rPr>
          <w:rFonts w:cs="Arial"/>
          <w:b/>
          <w:sz w:val="20"/>
          <w:szCs w:val="20"/>
        </w:rPr>
        <w:t>Proceso de Mejora.</w:t>
      </w:r>
    </w:p>
    <w:p w:rsidR="00324BB3" w:rsidRDefault="00324BB3" w:rsidP="00324BB3">
      <w:pPr>
        <w:spacing w:after="0" w:line="240" w:lineRule="auto"/>
        <w:ind w:left="1040"/>
        <w:jc w:val="both"/>
        <w:rPr>
          <w:rFonts w:cs="Arial"/>
          <w:b/>
          <w:sz w:val="20"/>
          <w:szCs w:val="20"/>
        </w:rPr>
      </w:pPr>
    </w:p>
    <w:p w:rsidR="00324BB3" w:rsidRDefault="00324BB3" w:rsidP="00324BB3">
      <w:pPr>
        <w:jc w:val="both"/>
        <w:rPr>
          <w:rFonts w:cs="Arial"/>
          <w:sz w:val="20"/>
          <w:szCs w:val="20"/>
        </w:rPr>
      </w:pPr>
      <w:r>
        <w:rPr>
          <w:rFonts w:cs="Arial"/>
          <w:sz w:val="20"/>
          <w:szCs w:val="20"/>
        </w:rPr>
        <w:t xml:space="preserve">Las principales políticas de Control Interno para el registro de las operaciones contables se detallan a continuación: </w:t>
      </w:r>
    </w:p>
    <w:p w:rsidR="00324BB3" w:rsidRDefault="00324BB3" w:rsidP="00324BB3">
      <w:pPr>
        <w:jc w:val="both"/>
        <w:rPr>
          <w:rFonts w:cs="Arial"/>
          <w:b/>
          <w:sz w:val="20"/>
          <w:szCs w:val="20"/>
        </w:rPr>
      </w:pPr>
      <w:r>
        <w:rPr>
          <w:rFonts w:cs="Arial"/>
          <w:b/>
          <w:sz w:val="20"/>
          <w:szCs w:val="20"/>
        </w:rPr>
        <w:t>INGRESOS.</w:t>
      </w:r>
    </w:p>
    <w:p w:rsidR="00324BB3" w:rsidRDefault="00324BB3" w:rsidP="00324BB3">
      <w:pPr>
        <w:jc w:val="both"/>
        <w:rPr>
          <w:rFonts w:cs="Arial"/>
          <w:sz w:val="20"/>
          <w:szCs w:val="20"/>
        </w:rPr>
      </w:pPr>
      <w:r>
        <w:rPr>
          <w:rFonts w:cs="Arial"/>
          <w:sz w:val="20"/>
          <w:szCs w:val="20"/>
        </w:rPr>
        <w:t>Para el registro de las cuotas estudiantiles se necesita:</w:t>
      </w:r>
    </w:p>
    <w:p w:rsidR="00324BB3" w:rsidRDefault="00324BB3" w:rsidP="00324BB3">
      <w:pPr>
        <w:jc w:val="both"/>
        <w:rPr>
          <w:rFonts w:cs="Arial"/>
          <w:sz w:val="20"/>
          <w:szCs w:val="20"/>
        </w:rPr>
      </w:pPr>
      <w:r>
        <w:rPr>
          <w:rFonts w:cs="Arial"/>
          <w:sz w:val="20"/>
          <w:szCs w:val="20"/>
        </w:rPr>
        <w:t>El Reporte de Movimientos Financieros por Tipo de Ingreso generado del programa SADE.</w:t>
      </w:r>
    </w:p>
    <w:p w:rsidR="00324BB3" w:rsidRDefault="00324BB3" w:rsidP="00324BB3">
      <w:pPr>
        <w:jc w:val="both"/>
        <w:rPr>
          <w:rFonts w:cs="Arial"/>
          <w:sz w:val="20"/>
          <w:szCs w:val="20"/>
        </w:rPr>
      </w:pPr>
      <w:r>
        <w:rPr>
          <w:rFonts w:cs="Arial"/>
          <w:sz w:val="20"/>
          <w:szCs w:val="20"/>
        </w:rPr>
        <w:t>Consecutivo de recibos de caja.</w:t>
      </w:r>
    </w:p>
    <w:p w:rsidR="00324BB3" w:rsidRDefault="00324BB3" w:rsidP="00324BB3">
      <w:pPr>
        <w:jc w:val="both"/>
        <w:rPr>
          <w:rFonts w:cs="Arial"/>
          <w:sz w:val="20"/>
          <w:szCs w:val="20"/>
        </w:rPr>
      </w:pPr>
      <w:r>
        <w:rPr>
          <w:rFonts w:cs="Arial"/>
          <w:sz w:val="20"/>
          <w:szCs w:val="20"/>
        </w:rPr>
        <w:lastRenderedPageBreak/>
        <w:t>Ficha de depósito bancario.</w:t>
      </w:r>
    </w:p>
    <w:p w:rsidR="00324BB3" w:rsidRDefault="00324BB3" w:rsidP="00324BB3">
      <w:pPr>
        <w:jc w:val="both"/>
        <w:rPr>
          <w:rFonts w:cs="Arial"/>
          <w:sz w:val="20"/>
          <w:szCs w:val="20"/>
        </w:rPr>
      </w:pPr>
      <w:r>
        <w:rPr>
          <w:rFonts w:cs="Arial"/>
          <w:sz w:val="20"/>
          <w:szCs w:val="20"/>
        </w:rPr>
        <w:t>Cierres exitosos de las Terminales Punto de Venta.</w:t>
      </w:r>
    </w:p>
    <w:p w:rsidR="00324BB3" w:rsidRDefault="00324BB3" w:rsidP="00324BB3">
      <w:pPr>
        <w:jc w:val="both"/>
        <w:rPr>
          <w:rFonts w:cs="Arial"/>
          <w:sz w:val="20"/>
          <w:szCs w:val="20"/>
        </w:rPr>
      </w:pPr>
      <w:r>
        <w:rPr>
          <w:rFonts w:cs="Arial"/>
          <w:sz w:val="20"/>
          <w:szCs w:val="20"/>
        </w:rPr>
        <w:t>Factura(s) generadas en CONTPAQi, que coincidan en monto y concepto con el Reporte de Movimientos Financieros por Tipo de Ingreso generado del programa SADE.</w:t>
      </w:r>
    </w:p>
    <w:p w:rsidR="00324BB3" w:rsidRDefault="00324BB3" w:rsidP="00324BB3">
      <w:pPr>
        <w:jc w:val="both"/>
        <w:rPr>
          <w:rFonts w:cs="Arial"/>
          <w:sz w:val="20"/>
          <w:szCs w:val="20"/>
        </w:rPr>
      </w:pPr>
      <w:r>
        <w:rPr>
          <w:rFonts w:cs="Arial"/>
          <w:sz w:val="20"/>
          <w:szCs w:val="20"/>
        </w:rPr>
        <w:t xml:space="preserve"> La información anterior será proporcionada al departamento de contabilidad por el departamento de control escolar para el registro diario de la recaudación de las cuotas estudiantiles. La recaudación del último día del mes se provisionará con el Reporte de Movimientos Financieros por Tipo de Ingreso generado del programa SADE y se cancelará al mes siguiente una vez que el depósito quede reflejado en Bancos.</w:t>
      </w:r>
    </w:p>
    <w:p w:rsidR="00324BB3" w:rsidRDefault="00324BB3" w:rsidP="00324BB3">
      <w:pPr>
        <w:jc w:val="both"/>
        <w:rPr>
          <w:rFonts w:cs="Arial"/>
          <w:sz w:val="20"/>
          <w:szCs w:val="20"/>
        </w:rPr>
      </w:pPr>
    </w:p>
    <w:p w:rsidR="00324BB3" w:rsidRDefault="00324BB3" w:rsidP="00324BB3">
      <w:pPr>
        <w:jc w:val="both"/>
        <w:rPr>
          <w:rFonts w:cs="Arial"/>
          <w:sz w:val="20"/>
          <w:szCs w:val="20"/>
        </w:rPr>
      </w:pPr>
      <w:r>
        <w:rPr>
          <w:rFonts w:cs="Arial"/>
          <w:sz w:val="20"/>
          <w:szCs w:val="20"/>
        </w:rPr>
        <w:t>Ingresos por Copias e Impresiones</w:t>
      </w:r>
    </w:p>
    <w:p w:rsidR="00324BB3" w:rsidRDefault="00324BB3" w:rsidP="00324BB3">
      <w:pPr>
        <w:jc w:val="both"/>
        <w:rPr>
          <w:rFonts w:cs="Arial"/>
          <w:sz w:val="20"/>
          <w:szCs w:val="20"/>
        </w:rPr>
      </w:pPr>
      <w:r>
        <w:rPr>
          <w:rFonts w:cs="Arial"/>
          <w:sz w:val="20"/>
          <w:szCs w:val="20"/>
        </w:rPr>
        <w:t>Los ingresos por Copias e Impresiones serán registrados de manera mensual; los responsables del CIDU deberán entregar en forma semanal al departamento de contabilidad su corte en efectivo con el reporte de conteo de impresiones y copias, dichos reportes se juntarán a fin de mes junto con el efectivo para elaborar las facturas correspondientes (una por copias y otra por impresiones) y mandar a depositar la recaudación por dichos conceptos. Una vez que se cuenta con el depósito y la factura  por cada concepto se procederá al registro en contabilidad de la recaudación de dichos conceptos.</w:t>
      </w:r>
    </w:p>
    <w:p w:rsidR="00324BB3" w:rsidRDefault="00324BB3" w:rsidP="00324BB3">
      <w:pPr>
        <w:jc w:val="both"/>
        <w:rPr>
          <w:rFonts w:cs="Arial"/>
          <w:sz w:val="20"/>
          <w:szCs w:val="20"/>
        </w:rPr>
      </w:pPr>
      <w:r>
        <w:rPr>
          <w:rFonts w:cs="Arial"/>
          <w:sz w:val="20"/>
          <w:szCs w:val="20"/>
        </w:rPr>
        <w:t>Ingresos Por Educación Continua y Servicios de Asistencia y Transferencia Tecnológica.</w:t>
      </w:r>
    </w:p>
    <w:p w:rsidR="00324BB3" w:rsidRDefault="00324BB3" w:rsidP="00324BB3">
      <w:pPr>
        <w:jc w:val="both"/>
        <w:rPr>
          <w:rFonts w:cs="Arial"/>
          <w:sz w:val="20"/>
          <w:szCs w:val="20"/>
        </w:rPr>
      </w:pPr>
      <w:r>
        <w:rPr>
          <w:rFonts w:cs="Arial"/>
          <w:sz w:val="20"/>
          <w:szCs w:val="20"/>
        </w:rPr>
        <w:t>El área responsable de educación continua, asistencia y transferencia tecnológica y unidades de servicio envían por correo electrónico una solicitud de factura, con las especificaciones del servicio y el monto, especificando si es con IVA incluido o más IVA, anexando a la solicitud Copia del comprobante domiciliario del cliente y cedula fiscal para la corroboración de los datos de facturación; una vez recibida la documentación se elabora la factura en el departamento de control presupuestal, quien la envía al cliente, al solicitante y al departamento de contabilidad para su registro, el cual se realiza una vez recibida la factura.</w:t>
      </w:r>
    </w:p>
    <w:p w:rsidR="00324BB3" w:rsidRDefault="00324BB3" w:rsidP="00324BB3">
      <w:pPr>
        <w:jc w:val="both"/>
        <w:rPr>
          <w:rFonts w:cs="Arial"/>
          <w:sz w:val="20"/>
          <w:szCs w:val="20"/>
        </w:rPr>
      </w:pPr>
      <w:r>
        <w:rPr>
          <w:rFonts w:cs="Arial"/>
          <w:sz w:val="20"/>
          <w:szCs w:val="20"/>
        </w:rPr>
        <w:t>La factura se provisionará en contabilidad una vez que se que se haya cotejado contra el estado de cuenta el depósito del la misma y se verifique que no ha sido pagada; cuando al departamento de contabilidad le envíen copia de la ficha de depósito o comprobante de transferencia por la factura de servicios, el registro del ingreso se hará en forma directa y no se provisionará la factura.</w:t>
      </w:r>
    </w:p>
    <w:p w:rsidR="00324BB3" w:rsidRDefault="00324BB3" w:rsidP="00324BB3">
      <w:pPr>
        <w:jc w:val="both"/>
        <w:rPr>
          <w:rFonts w:cs="Arial"/>
          <w:sz w:val="20"/>
          <w:szCs w:val="20"/>
        </w:rPr>
      </w:pPr>
      <w:r>
        <w:rPr>
          <w:rFonts w:cs="Arial"/>
          <w:sz w:val="20"/>
          <w:szCs w:val="20"/>
        </w:rPr>
        <w:lastRenderedPageBreak/>
        <w:t>Ingresos por Subsidios.</w:t>
      </w:r>
    </w:p>
    <w:p w:rsidR="00324BB3" w:rsidRDefault="00324BB3" w:rsidP="00324BB3">
      <w:pPr>
        <w:jc w:val="both"/>
        <w:rPr>
          <w:rFonts w:cs="Arial"/>
          <w:sz w:val="20"/>
          <w:szCs w:val="20"/>
        </w:rPr>
      </w:pPr>
      <w:r>
        <w:rPr>
          <w:rFonts w:cs="Arial"/>
          <w:sz w:val="20"/>
          <w:szCs w:val="20"/>
        </w:rPr>
        <w:t>El departamento de control presupuestal elaborará las facturas por subsidios de acuerdo a convenios, y enviará una copia a contabilidad para el registro del ingreso, la cual se provisionará y cotejará en estado de cuenta para el registro de la recaudación</w:t>
      </w:r>
    </w:p>
    <w:p w:rsidR="00324BB3" w:rsidRDefault="00324BB3" w:rsidP="00324BB3">
      <w:pPr>
        <w:jc w:val="both"/>
        <w:rPr>
          <w:rFonts w:cs="Arial"/>
          <w:b/>
          <w:sz w:val="20"/>
          <w:szCs w:val="20"/>
        </w:rPr>
      </w:pPr>
    </w:p>
    <w:p w:rsidR="00324BB3" w:rsidRDefault="00324BB3" w:rsidP="00324BB3">
      <w:pPr>
        <w:jc w:val="both"/>
        <w:rPr>
          <w:rFonts w:cs="Arial"/>
          <w:b/>
          <w:sz w:val="20"/>
          <w:szCs w:val="20"/>
        </w:rPr>
      </w:pPr>
      <w:r>
        <w:rPr>
          <w:rFonts w:cs="Arial"/>
          <w:b/>
          <w:sz w:val="20"/>
          <w:szCs w:val="20"/>
        </w:rPr>
        <w:t>EGRESOS.</w:t>
      </w:r>
    </w:p>
    <w:p w:rsidR="00324BB3" w:rsidRDefault="00324BB3" w:rsidP="00324BB3">
      <w:pPr>
        <w:jc w:val="both"/>
        <w:rPr>
          <w:rFonts w:cs="Arial"/>
          <w:sz w:val="20"/>
          <w:szCs w:val="20"/>
        </w:rPr>
      </w:pPr>
      <w:r>
        <w:rPr>
          <w:rFonts w:cs="Arial"/>
          <w:sz w:val="20"/>
          <w:szCs w:val="20"/>
        </w:rPr>
        <w:t>Compra De Insumos.</w:t>
      </w:r>
    </w:p>
    <w:p w:rsidR="00324BB3" w:rsidRDefault="00324BB3" w:rsidP="00324BB3">
      <w:pPr>
        <w:jc w:val="both"/>
        <w:rPr>
          <w:rFonts w:cs="Arial"/>
          <w:sz w:val="20"/>
          <w:szCs w:val="20"/>
        </w:rPr>
      </w:pPr>
      <w:r>
        <w:rPr>
          <w:rFonts w:cs="Arial"/>
          <w:sz w:val="20"/>
          <w:szCs w:val="20"/>
        </w:rPr>
        <w:t>El departamento de Contabilidad recepcionará los días martes de cada semana a más tardar a las 15:00 horas las facturas de proveedores del departamento de compras para el registro en contabilidad de las mismas y la programación del pago. Para que una factura sea recepcionada por el departamento de contabilidad para su registro deberá contar con la siguiente documentación de manera indistinta:</w:t>
      </w:r>
    </w:p>
    <w:p w:rsidR="00324BB3" w:rsidRDefault="00324BB3" w:rsidP="00324BB3">
      <w:pPr>
        <w:numPr>
          <w:ilvl w:val="0"/>
          <w:numId w:val="36"/>
        </w:numPr>
        <w:jc w:val="both"/>
        <w:rPr>
          <w:rFonts w:cs="Arial"/>
          <w:sz w:val="20"/>
          <w:szCs w:val="20"/>
        </w:rPr>
      </w:pPr>
      <w:r>
        <w:rPr>
          <w:rFonts w:cs="Arial"/>
          <w:sz w:val="20"/>
          <w:szCs w:val="20"/>
        </w:rPr>
        <w:t>Factura original con sello de recibido del departamento de compras.</w:t>
      </w:r>
    </w:p>
    <w:p w:rsidR="00324BB3" w:rsidRDefault="00324BB3" w:rsidP="00324BB3">
      <w:pPr>
        <w:numPr>
          <w:ilvl w:val="0"/>
          <w:numId w:val="36"/>
        </w:numPr>
        <w:jc w:val="both"/>
        <w:rPr>
          <w:rFonts w:cs="Arial"/>
          <w:sz w:val="20"/>
          <w:szCs w:val="20"/>
        </w:rPr>
      </w:pPr>
      <w:r>
        <w:rPr>
          <w:rFonts w:cs="Arial"/>
          <w:sz w:val="20"/>
          <w:szCs w:val="20"/>
        </w:rPr>
        <w:t>Requisiciones con las especificaciones de lo que contiene la factura, firmadas por el director o coordinador del área y firma de autorización del Director (a) de Administración y Finanzas y del Rector.</w:t>
      </w:r>
    </w:p>
    <w:p w:rsidR="00324BB3" w:rsidRDefault="00324BB3" w:rsidP="00324BB3">
      <w:pPr>
        <w:numPr>
          <w:ilvl w:val="0"/>
          <w:numId w:val="36"/>
        </w:numPr>
        <w:jc w:val="both"/>
        <w:rPr>
          <w:rFonts w:cs="Arial"/>
          <w:sz w:val="20"/>
          <w:szCs w:val="20"/>
        </w:rPr>
      </w:pPr>
      <w:r>
        <w:rPr>
          <w:rFonts w:cs="Arial"/>
          <w:sz w:val="20"/>
          <w:szCs w:val="20"/>
        </w:rPr>
        <w:t>Al menos tres cotizaciones de proveedores diferentes.</w:t>
      </w:r>
    </w:p>
    <w:p w:rsidR="00324BB3" w:rsidRDefault="00324BB3" w:rsidP="00324BB3">
      <w:pPr>
        <w:numPr>
          <w:ilvl w:val="0"/>
          <w:numId w:val="36"/>
        </w:numPr>
        <w:jc w:val="both"/>
        <w:rPr>
          <w:rFonts w:cs="Arial"/>
          <w:sz w:val="20"/>
          <w:szCs w:val="20"/>
        </w:rPr>
      </w:pPr>
      <w:r>
        <w:rPr>
          <w:rFonts w:cs="Arial"/>
          <w:sz w:val="20"/>
          <w:szCs w:val="20"/>
        </w:rPr>
        <w:t>Orden de compra coincidente en monto y especificaciones con la factura recepcionada.</w:t>
      </w:r>
    </w:p>
    <w:p w:rsidR="00324BB3" w:rsidRDefault="00324BB3" w:rsidP="00324BB3">
      <w:pPr>
        <w:jc w:val="both"/>
        <w:rPr>
          <w:rFonts w:cs="Arial"/>
          <w:sz w:val="20"/>
          <w:szCs w:val="20"/>
        </w:rPr>
      </w:pPr>
      <w:r>
        <w:rPr>
          <w:rFonts w:cs="Arial"/>
          <w:sz w:val="20"/>
          <w:szCs w:val="20"/>
        </w:rPr>
        <w:t>Servicios Generales.</w:t>
      </w:r>
    </w:p>
    <w:p w:rsidR="00324BB3" w:rsidRDefault="00324BB3" w:rsidP="00324BB3">
      <w:pPr>
        <w:jc w:val="both"/>
        <w:rPr>
          <w:rFonts w:cs="Arial"/>
          <w:sz w:val="20"/>
          <w:szCs w:val="20"/>
        </w:rPr>
      </w:pPr>
      <w:r>
        <w:rPr>
          <w:rFonts w:cs="Arial"/>
          <w:sz w:val="20"/>
          <w:szCs w:val="20"/>
        </w:rPr>
        <w:t>Los servicios de vigilancia, jardinería, recolección de basura y limpieza serán recepcionados para su registro en el departamento de contabilidad los días martes, esta recepción será una vez al mes y deberá ir acompañada para su registro por:</w:t>
      </w:r>
    </w:p>
    <w:p w:rsidR="00324BB3" w:rsidRDefault="00324BB3" w:rsidP="00324BB3">
      <w:pPr>
        <w:numPr>
          <w:ilvl w:val="0"/>
          <w:numId w:val="37"/>
        </w:numPr>
        <w:jc w:val="both"/>
        <w:rPr>
          <w:rFonts w:cs="Arial"/>
          <w:sz w:val="20"/>
          <w:szCs w:val="20"/>
        </w:rPr>
      </w:pPr>
      <w:r>
        <w:rPr>
          <w:rFonts w:cs="Arial"/>
          <w:sz w:val="20"/>
          <w:szCs w:val="20"/>
        </w:rPr>
        <w:t>Requisición que especifique el servicio solicitado.</w:t>
      </w:r>
    </w:p>
    <w:p w:rsidR="00324BB3" w:rsidRDefault="00324BB3" w:rsidP="00324BB3">
      <w:pPr>
        <w:jc w:val="both"/>
        <w:rPr>
          <w:rFonts w:cs="Arial"/>
          <w:sz w:val="20"/>
          <w:szCs w:val="20"/>
        </w:rPr>
      </w:pPr>
    </w:p>
    <w:p w:rsidR="00324BB3" w:rsidRDefault="00324BB3" w:rsidP="00324BB3">
      <w:pPr>
        <w:jc w:val="both"/>
        <w:rPr>
          <w:rFonts w:cs="Arial"/>
          <w:sz w:val="20"/>
          <w:szCs w:val="20"/>
        </w:rPr>
      </w:pPr>
      <w:r>
        <w:rPr>
          <w:rFonts w:cs="Arial"/>
          <w:sz w:val="20"/>
          <w:szCs w:val="20"/>
        </w:rPr>
        <w:t>Los servicios por renta de copiadoras irá acompañada por:</w:t>
      </w:r>
    </w:p>
    <w:p w:rsidR="00324BB3" w:rsidRDefault="00324BB3" w:rsidP="00324BB3">
      <w:pPr>
        <w:numPr>
          <w:ilvl w:val="0"/>
          <w:numId w:val="37"/>
        </w:numPr>
        <w:jc w:val="both"/>
        <w:rPr>
          <w:rFonts w:cs="Arial"/>
          <w:sz w:val="20"/>
          <w:szCs w:val="20"/>
        </w:rPr>
      </w:pPr>
      <w:r>
        <w:rPr>
          <w:rFonts w:cs="Arial"/>
          <w:sz w:val="20"/>
          <w:szCs w:val="20"/>
        </w:rPr>
        <w:t>Requisición que especifique el servicio correspondiente.</w:t>
      </w:r>
    </w:p>
    <w:p w:rsidR="00324BB3" w:rsidRDefault="00324BB3" w:rsidP="00324BB3">
      <w:pPr>
        <w:numPr>
          <w:ilvl w:val="0"/>
          <w:numId w:val="37"/>
        </w:numPr>
        <w:jc w:val="both"/>
        <w:rPr>
          <w:rFonts w:cs="Arial"/>
          <w:sz w:val="20"/>
          <w:szCs w:val="20"/>
        </w:rPr>
      </w:pPr>
      <w:r>
        <w:rPr>
          <w:rFonts w:cs="Arial"/>
          <w:sz w:val="20"/>
          <w:szCs w:val="20"/>
        </w:rPr>
        <w:t>Conteo de copias del proveedor por cada máquina arrendada.</w:t>
      </w:r>
    </w:p>
    <w:p w:rsidR="00324BB3" w:rsidRDefault="00324BB3" w:rsidP="00324BB3">
      <w:pPr>
        <w:jc w:val="both"/>
        <w:rPr>
          <w:rFonts w:cs="Arial"/>
          <w:sz w:val="20"/>
          <w:szCs w:val="20"/>
        </w:rPr>
      </w:pPr>
    </w:p>
    <w:p w:rsidR="00324BB3" w:rsidRDefault="00324BB3" w:rsidP="00324BB3">
      <w:pPr>
        <w:jc w:val="both"/>
        <w:rPr>
          <w:rFonts w:cs="Arial"/>
          <w:sz w:val="20"/>
          <w:szCs w:val="20"/>
        </w:rPr>
      </w:pPr>
      <w:r>
        <w:rPr>
          <w:rFonts w:cs="Arial"/>
          <w:sz w:val="20"/>
          <w:szCs w:val="20"/>
        </w:rPr>
        <w:t>En el caso de las facturas por servicio de propaganda y publicidad, las cotizaciones y orden de compra serán sustituidas por la orden de pago sellada por la Secretaría de Comunicación Social.</w:t>
      </w:r>
    </w:p>
    <w:p w:rsidR="00324BB3" w:rsidRDefault="00324BB3" w:rsidP="00324BB3">
      <w:pPr>
        <w:jc w:val="both"/>
        <w:rPr>
          <w:rFonts w:cs="Arial"/>
          <w:sz w:val="20"/>
          <w:szCs w:val="20"/>
        </w:rPr>
      </w:pPr>
      <w:r>
        <w:rPr>
          <w:rFonts w:cs="Arial"/>
          <w:sz w:val="20"/>
          <w:szCs w:val="20"/>
        </w:rPr>
        <w:t>Los servicios por renta de tarimas, audio y mobiliario para eventos, deberán ir acompañados por:</w:t>
      </w:r>
    </w:p>
    <w:p w:rsidR="00324BB3" w:rsidRDefault="00324BB3" w:rsidP="00324BB3">
      <w:pPr>
        <w:numPr>
          <w:ilvl w:val="0"/>
          <w:numId w:val="38"/>
        </w:numPr>
        <w:jc w:val="both"/>
        <w:rPr>
          <w:rFonts w:cs="Arial"/>
          <w:sz w:val="20"/>
          <w:szCs w:val="20"/>
        </w:rPr>
      </w:pPr>
      <w:r>
        <w:rPr>
          <w:rFonts w:cs="Arial"/>
          <w:sz w:val="20"/>
          <w:szCs w:val="20"/>
        </w:rPr>
        <w:t>Requisición que especifique el servicio.</w:t>
      </w:r>
    </w:p>
    <w:p w:rsidR="00324BB3" w:rsidRDefault="00324BB3" w:rsidP="00324BB3">
      <w:pPr>
        <w:numPr>
          <w:ilvl w:val="0"/>
          <w:numId w:val="38"/>
        </w:numPr>
        <w:jc w:val="both"/>
        <w:rPr>
          <w:rFonts w:cs="Arial"/>
          <w:sz w:val="20"/>
          <w:szCs w:val="20"/>
        </w:rPr>
      </w:pPr>
      <w:r>
        <w:rPr>
          <w:rFonts w:cs="Arial"/>
          <w:sz w:val="20"/>
          <w:szCs w:val="20"/>
        </w:rPr>
        <w:t>Al menos tres cotizaciones de proveedores diferentes.</w:t>
      </w:r>
    </w:p>
    <w:p w:rsidR="00324BB3" w:rsidRDefault="00324BB3" w:rsidP="00324BB3">
      <w:pPr>
        <w:numPr>
          <w:ilvl w:val="0"/>
          <w:numId w:val="38"/>
        </w:numPr>
        <w:jc w:val="both"/>
        <w:rPr>
          <w:rFonts w:cs="Arial"/>
          <w:sz w:val="20"/>
          <w:szCs w:val="20"/>
        </w:rPr>
      </w:pPr>
      <w:r>
        <w:rPr>
          <w:rFonts w:cs="Arial"/>
          <w:sz w:val="20"/>
          <w:szCs w:val="20"/>
        </w:rPr>
        <w:t>Orden de compra coincidente en monto y especificaciones con la factura recepcionada.</w:t>
      </w:r>
    </w:p>
    <w:p w:rsidR="00324BB3" w:rsidRDefault="00324BB3" w:rsidP="00324BB3">
      <w:pPr>
        <w:jc w:val="both"/>
        <w:rPr>
          <w:rFonts w:cs="Arial"/>
          <w:sz w:val="20"/>
          <w:szCs w:val="20"/>
        </w:rPr>
      </w:pPr>
      <w:r>
        <w:rPr>
          <w:rFonts w:cs="Arial"/>
          <w:sz w:val="20"/>
          <w:szCs w:val="20"/>
        </w:rPr>
        <w:t>Comisiones de personal docente y administrativo.</w:t>
      </w:r>
    </w:p>
    <w:p w:rsidR="00324BB3" w:rsidRDefault="00324BB3" w:rsidP="00324BB3">
      <w:pPr>
        <w:jc w:val="both"/>
        <w:rPr>
          <w:rFonts w:cs="Arial"/>
          <w:sz w:val="20"/>
          <w:szCs w:val="20"/>
        </w:rPr>
      </w:pPr>
      <w:r>
        <w:rPr>
          <w:rFonts w:cs="Arial"/>
          <w:sz w:val="20"/>
          <w:szCs w:val="20"/>
        </w:rPr>
        <w:t xml:space="preserve">Para el registro de las comisiones se requiere el oficio de solicitud de viáticos firmada de autorización por el Rector de esta Universidad, en donde se especifique la ciudad destino de la comisión y el objetivo de la misma así como el período de la comisión, de acuerdo a esos datos, el departamento de control presupuestal procederá a elaborar la comisión correspondiente en donde se asignará el monto por hospedaje, alimentos y transportación de acuerdo al tabulador de viáticos y al puesto del personal comisionado, de igual manera  se tramitará la transportación aérea a la ciudad destino en viaje redondo, cuidando el itinerario de la comisión. </w:t>
      </w:r>
    </w:p>
    <w:p w:rsidR="00324BB3" w:rsidRDefault="00324BB3" w:rsidP="00324BB3">
      <w:pPr>
        <w:jc w:val="both"/>
        <w:rPr>
          <w:rFonts w:cs="Arial"/>
          <w:sz w:val="20"/>
          <w:szCs w:val="20"/>
        </w:rPr>
      </w:pPr>
      <w:r>
        <w:rPr>
          <w:rFonts w:cs="Arial"/>
          <w:sz w:val="20"/>
          <w:szCs w:val="20"/>
        </w:rPr>
        <w:lastRenderedPageBreak/>
        <w:t>Una vez que se tiene el formato de comisión se solicita al departamento de contabilidad el cheque a favor del personal comisionado, dando origen con esto al registro de la cuenta por cobrar.</w:t>
      </w:r>
    </w:p>
    <w:p w:rsidR="00324BB3" w:rsidRDefault="00324BB3" w:rsidP="00324BB3">
      <w:pPr>
        <w:jc w:val="both"/>
        <w:rPr>
          <w:rFonts w:cs="Arial"/>
          <w:sz w:val="20"/>
          <w:szCs w:val="20"/>
        </w:rPr>
      </w:pPr>
      <w:r>
        <w:rPr>
          <w:rFonts w:cs="Arial"/>
          <w:sz w:val="20"/>
          <w:szCs w:val="20"/>
        </w:rPr>
        <w:t>Para la cancelación de la cuenta por cobrar se requiere en un plazo no mayor a tres días hábiles posteriores al término de la comisión la comprobación mediante:</w:t>
      </w:r>
    </w:p>
    <w:p w:rsidR="00324BB3" w:rsidRDefault="00324BB3" w:rsidP="00324BB3">
      <w:pPr>
        <w:jc w:val="both"/>
        <w:rPr>
          <w:rFonts w:cs="Arial"/>
          <w:sz w:val="20"/>
          <w:szCs w:val="20"/>
        </w:rPr>
      </w:pPr>
      <w:r>
        <w:rPr>
          <w:rFonts w:cs="Arial"/>
          <w:sz w:val="20"/>
          <w:szCs w:val="20"/>
        </w:rPr>
        <w:t>Formato F-SGC-003, en donde se especifique el monto recibido para viáticos y los montos por hospedaje, alimentación, transporte y gastos no comprobables.</w:t>
      </w:r>
    </w:p>
    <w:p w:rsidR="00324BB3" w:rsidRDefault="00324BB3" w:rsidP="00324BB3">
      <w:pPr>
        <w:jc w:val="both"/>
        <w:rPr>
          <w:rFonts w:cs="Arial"/>
          <w:sz w:val="20"/>
          <w:szCs w:val="20"/>
        </w:rPr>
      </w:pPr>
      <w:r>
        <w:rPr>
          <w:rFonts w:cs="Arial"/>
          <w:sz w:val="20"/>
          <w:szCs w:val="20"/>
        </w:rPr>
        <w:t>Facturas firmadas por el personal comisionado que cumplan con los requisitos fiscales para su registro.</w:t>
      </w:r>
    </w:p>
    <w:p w:rsidR="00324BB3" w:rsidRDefault="00324BB3" w:rsidP="00324BB3">
      <w:pPr>
        <w:jc w:val="both"/>
        <w:rPr>
          <w:rFonts w:cs="Arial"/>
          <w:sz w:val="20"/>
          <w:szCs w:val="20"/>
        </w:rPr>
      </w:pPr>
      <w:r>
        <w:rPr>
          <w:rFonts w:cs="Arial"/>
          <w:sz w:val="20"/>
          <w:szCs w:val="20"/>
        </w:rPr>
        <w:t>En caso de existir transportación aérea, se requiere anexar a la conclusión los pases de abordar del vuelo en cuestión.</w:t>
      </w:r>
    </w:p>
    <w:p w:rsidR="00324BB3" w:rsidRDefault="00324BB3" w:rsidP="00324BB3">
      <w:pPr>
        <w:jc w:val="both"/>
        <w:rPr>
          <w:rFonts w:cs="Arial"/>
          <w:sz w:val="20"/>
          <w:szCs w:val="20"/>
        </w:rPr>
      </w:pPr>
      <w:r>
        <w:rPr>
          <w:rFonts w:cs="Arial"/>
          <w:sz w:val="20"/>
          <w:szCs w:val="20"/>
        </w:rPr>
        <w:t>Comisiones Bancarias.</w:t>
      </w:r>
    </w:p>
    <w:p w:rsidR="00324BB3" w:rsidRDefault="00324BB3" w:rsidP="00324BB3">
      <w:pPr>
        <w:jc w:val="both"/>
        <w:rPr>
          <w:rFonts w:cs="Arial"/>
          <w:sz w:val="20"/>
          <w:szCs w:val="20"/>
        </w:rPr>
      </w:pPr>
      <w:r>
        <w:rPr>
          <w:rFonts w:cs="Arial"/>
          <w:sz w:val="20"/>
          <w:szCs w:val="20"/>
        </w:rPr>
        <w:t xml:space="preserve">Para el registro de las comisiones bancarias será necesario el cotejo en estado de cuenta; dicho registro se hará en la fecha de la aplicación de la comisión bancaria en una póliza de egresos </w:t>
      </w:r>
    </w:p>
    <w:p w:rsidR="00324BB3" w:rsidRDefault="00324BB3" w:rsidP="00324BB3">
      <w:pPr>
        <w:jc w:val="both"/>
        <w:rPr>
          <w:rFonts w:cs="Arial"/>
          <w:sz w:val="20"/>
          <w:szCs w:val="20"/>
        </w:rPr>
      </w:pPr>
      <w:r>
        <w:rPr>
          <w:rFonts w:cs="Arial"/>
          <w:sz w:val="20"/>
          <w:szCs w:val="20"/>
        </w:rPr>
        <w:t>Adquisición de Bienes Muebles, Inmuebles y Activos Intangibles.</w:t>
      </w:r>
    </w:p>
    <w:p w:rsidR="00324BB3" w:rsidRDefault="00324BB3" w:rsidP="00324BB3">
      <w:pPr>
        <w:jc w:val="both"/>
        <w:rPr>
          <w:rFonts w:cs="Arial"/>
          <w:sz w:val="20"/>
          <w:szCs w:val="20"/>
        </w:rPr>
      </w:pPr>
      <w:r>
        <w:rPr>
          <w:rFonts w:cs="Arial"/>
          <w:sz w:val="20"/>
          <w:szCs w:val="20"/>
        </w:rPr>
        <w:t>Será registrado en activo fijo todo bien mueble cuyo valor de adquisición sea igual o superior a $1,500.00 pesos de acuerdo a los lineamientos emitidos por el Consejo Nacional de Armonización Contable  para el registro y control de bienes muebles y previo cotejo con el departamento de activos fijos.</w:t>
      </w:r>
    </w:p>
    <w:p w:rsidR="00324BB3" w:rsidRDefault="00324BB3" w:rsidP="00324BB3">
      <w:pPr>
        <w:jc w:val="both"/>
        <w:rPr>
          <w:rFonts w:cs="Arial"/>
          <w:sz w:val="20"/>
          <w:szCs w:val="20"/>
        </w:rPr>
      </w:pPr>
      <w:r>
        <w:rPr>
          <w:rFonts w:cs="Arial"/>
          <w:sz w:val="20"/>
          <w:szCs w:val="20"/>
        </w:rPr>
        <w:t>Registro de Nómina a personal docente y administrativo.</w:t>
      </w:r>
    </w:p>
    <w:p w:rsidR="00324BB3" w:rsidRDefault="00324BB3" w:rsidP="00324BB3">
      <w:pPr>
        <w:jc w:val="both"/>
        <w:rPr>
          <w:rFonts w:cs="Arial"/>
          <w:sz w:val="20"/>
          <w:szCs w:val="20"/>
        </w:rPr>
      </w:pPr>
      <w:r>
        <w:rPr>
          <w:rFonts w:cs="Arial"/>
          <w:sz w:val="20"/>
          <w:szCs w:val="20"/>
        </w:rPr>
        <w:t>El departamento de Recursos Humanos es el encargado de entregar al departamento de Contabilidad la nómina quincenal calculada de acuerdo al reporte de incidencias que elabora cada departamento. Una vez recepcionada se procede a la provisión en sistema para su pago a través del departamento de control presupuestal.</w:t>
      </w:r>
    </w:p>
    <w:p w:rsidR="00B6657A" w:rsidRDefault="00B6657A" w:rsidP="00324BB3">
      <w:pPr>
        <w:jc w:val="both"/>
        <w:rPr>
          <w:rFonts w:cs="Arial"/>
          <w:sz w:val="20"/>
          <w:szCs w:val="20"/>
        </w:rPr>
      </w:pPr>
    </w:p>
    <w:p w:rsidR="00324BB3" w:rsidRDefault="00324BB3" w:rsidP="00324BB3">
      <w:pPr>
        <w:spacing w:after="0" w:line="240" w:lineRule="auto"/>
        <w:ind w:left="851"/>
        <w:jc w:val="both"/>
        <w:rPr>
          <w:rFonts w:cs="Arial"/>
          <w:b/>
          <w:sz w:val="20"/>
          <w:szCs w:val="20"/>
        </w:rPr>
      </w:pP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lastRenderedPageBreak/>
        <w:t xml:space="preserve">Información Por Segmentos </w:t>
      </w:r>
    </w:p>
    <w:p w:rsidR="00324BB3" w:rsidRDefault="00324BB3" w:rsidP="00324BB3">
      <w:pPr>
        <w:ind w:left="1040"/>
        <w:jc w:val="both"/>
        <w:rPr>
          <w:rFonts w:cs="Arial"/>
          <w:b/>
          <w:sz w:val="20"/>
          <w:szCs w:val="20"/>
        </w:rPr>
      </w:pPr>
      <w:r>
        <w:rPr>
          <w:rFonts w:cs="Arial"/>
          <w:b/>
          <w:sz w:val="20"/>
          <w:szCs w:val="20"/>
        </w:rPr>
        <w:t>NO APLICA</w:t>
      </w: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t>Eventos Posteriores al Cierre</w:t>
      </w:r>
    </w:p>
    <w:p w:rsidR="00324BB3" w:rsidRDefault="00324BB3" w:rsidP="00324BB3">
      <w:pPr>
        <w:ind w:left="1040"/>
        <w:jc w:val="both"/>
        <w:rPr>
          <w:rFonts w:cs="Arial"/>
          <w:b/>
          <w:sz w:val="20"/>
          <w:szCs w:val="20"/>
        </w:rPr>
      </w:pPr>
      <w:r>
        <w:rPr>
          <w:rFonts w:cs="Arial"/>
          <w:b/>
          <w:sz w:val="20"/>
          <w:szCs w:val="20"/>
        </w:rPr>
        <w:t>NO APLICA</w:t>
      </w: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t>Partes Relacionadas</w:t>
      </w:r>
    </w:p>
    <w:p w:rsidR="00324BB3" w:rsidRDefault="00324BB3" w:rsidP="00324BB3">
      <w:pPr>
        <w:ind w:firstLine="284"/>
        <w:jc w:val="both"/>
        <w:rPr>
          <w:rFonts w:cs="Arial"/>
          <w:sz w:val="20"/>
          <w:szCs w:val="20"/>
        </w:rPr>
      </w:pPr>
      <w:r>
        <w:rPr>
          <w:rFonts w:cs="Arial"/>
          <w:sz w:val="20"/>
          <w:szCs w:val="20"/>
        </w:rPr>
        <w:t>No existen partes relacionadas que pudieran ejercer influencia significativa sobre la toma de decisiones financieras y operativas.</w:t>
      </w:r>
    </w:p>
    <w:p w:rsidR="00324BB3" w:rsidRDefault="00324BB3" w:rsidP="00324BB3">
      <w:pPr>
        <w:numPr>
          <w:ilvl w:val="0"/>
          <w:numId w:val="18"/>
        </w:numPr>
        <w:spacing w:after="0" w:line="240" w:lineRule="auto"/>
        <w:ind w:left="851" w:hanging="567"/>
        <w:jc w:val="both"/>
        <w:rPr>
          <w:rFonts w:cs="Arial"/>
          <w:b/>
          <w:sz w:val="20"/>
          <w:szCs w:val="20"/>
        </w:rPr>
      </w:pPr>
      <w:r>
        <w:rPr>
          <w:rFonts w:cs="Arial"/>
          <w:b/>
          <w:sz w:val="20"/>
          <w:szCs w:val="20"/>
        </w:rPr>
        <w:t>Responsabilidad Sobre la Presentación Razonable de los Estados Financieros.</w:t>
      </w:r>
    </w:p>
    <w:p w:rsidR="00324BB3" w:rsidRDefault="00324BB3" w:rsidP="00324BB3">
      <w:pPr>
        <w:ind w:firstLine="284"/>
        <w:jc w:val="both"/>
        <w:rPr>
          <w:rFonts w:cs="Arial"/>
          <w:b/>
          <w:sz w:val="20"/>
          <w:szCs w:val="20"/>
        </w:rPr>
      </w:pPr>
      <w:r>
        <w:rPr>
          <w:rFonts w:cs="Arial"/>
          <w:sz w:val="20"/>
          <w:szCs w:val="20"/>
        </w:rPr>
        <w:t xml:space="preserve">Los Estados Financieros deberán estar rubricados en cada página de los mismos e incluir al final la siguiente leyenda: </w:t>
      </w:r>
      <w:r>
        <w:rPr>
          <w:rFonts w:cs="Arial"/>
          <w:b/>
          <w:sz w:val="20"/>
          <w:szCs w:val="20"/>
        </w:rPr>
        <w:t>“Bajo protesta de decir verdad declaramos que los Estados Financieros y sus notas, son razonablemente correctos y son responsabilidad del emisor”.</w:t>
      </w:r>
    </w:p>
    <w:p w:rsidR="00324BB3" w:rsidRDefault="00324BB3" w:rsidP="00324BB3">
      <w:pPr>
        <w:spacing w:line="240" w:lineRule="auto"/>
        <w:rPr>
          <w:rFonts w:cs="Arial"/>
          <w:b/>
          <w:sz w:val="20"/>
          <w:szCs w:val="20"/>
        </w:rPr>
      </w:pPr>
    </w:p>
    <w:p w:rsidR="00324BB3" w:rsidRDefault="00324BB3" w:rsidP="00324BB3">
      <w:pPr>
        <w:spacing w:line="240" w:lineRule="auto"/>
        <w:rPr>
          <w:rFonts w:cs="Arial"/>
          <w:b/>
          <w:sz w:val="20"/>
          <w:szCs w:val="20"/>
        </w:rPr>
      </w:pPr>
      <w:r>
        <w:rPr>
          <w:rFonts w:cs="Arial"/>
          <w:b/>
          <w:sz w:val="20"/>
          <w:szCs w:val="20"/>
        </w:rPr>
        <w:t>NOTAS DE DESGLOSE</w:t>
      </w:r>
    </w:p>
    <w:p w:rsidR="00324BB3" w:rsidRDefault="00324BB3" w:rsidP="00324BB3">
      <w:pPr>
        <w:numPr>
          <w:ilvl w:val="0"/>
          <w:numId w:val="25"/>
        </w:numPr>
        <w:spacing w:after="0" w:line="240" w:lineRule="auto"/>
        <w:ind w:left="284" w:hanging="284"/>
        <w:jc w:val="both"/>
        <w:rPr>
          <w:rFonts w:cs="Arial"/>
          <w:b/>
          <w:sz w:val="20"/>
          <w:szCs w:val="20"/>
        </w:rPr>
      </w:pPr>
      <w:r>
        <w:rPr>
          <w:rFonts w:cs="Arial"/>
          <w:b/>
          <w:sz w:val="20"/>
          <w:szCs w:val="20"/>
        </w:rPr>
        <w:t>NOTAS AL ESTADO DE SITUACION FINANCIERA</w:t>
      </w:r>
    </w:p>
    <w:p w:rsidR="00324BB3" w:rsidRDefault="00324BB3" w:rsidP="00324BB3">
      <w:pPr>
        <w:jc w:val="both"/>
        <w:rPr>
          <w:rFonts w:cs="Arial"/>
          <w:b/>
          <w:sz w:val="20"/>
          <w:szCs w:val="20"/>
        </w:rPr>
      </w:pPr>
      <w:r>
        <w:rPr>
          <w:rFonts w:cs="Arial"/>
          <w:b/>
          <w:sz w:val="20"/>
          <w:szCs w:val="20"/>
        </w:rPr>
        <w:t>ACTIVO</w:t>
      </w:r>
    </w:p>
    <w:p w:rsidR="00324BB3" w:rsidRDefault="00324BB3" w:rsidP="00324BB3">
      <w:pPr>
        <w:ind w:left="540"/>
        <w:jc w:val="both"/>
        <w:rPr>
          <w:rFonts w:cs="Arial"/>
          <w:b/>
          <w:sz w:val="20"/>
          <w:szCs w:val="20"/>
        </w:rPr>
      </w:pPr>
      <w:r>
        <w:rPr>
          <w:rFonts w:cs="Arial"/>
          <w:b/>
          <w:sz w:val="20"/>
          <w:szCs w:val="20"/>
        </w:rPr>
        <w:t>EFECTIVO Y EQUIVALENTES</w:t>
      </w:r>
    </w:p>
    <w:p w:rsidR="00324BB3" w:rsidRDefault="00324BB3" w:rsidP="00324BB3">
      <w:pPr>
        <w:ind w:firstLine="540"/>
        <w:jc w:val="both"/>
        <w:rPr>
          <w:rFonts w:cs="Arial"/>
          <w:sz w:val="20"/>
          <w:szCs w:val="20"/>
        </w:rPr>
      </w:pPr>
      <w:r>
        <w:rPr>
          <w:rFonts w:cs="Arial"/>
          <w:sz w:val="20"/>
          <w:szCs w:val="20"/>
        </w:rPr>
        <w:t xml:space="preserve">Las cuentas bancarias se encuentran integradas al 31 de Marzo de 2017 de la siguiente manera: </w:t>
      </w:r>
    </w:p>
    <w:tbl>
      <w:tblPr>
        <w:tblW w:w="5660" w:type="dxa"/>
        <w:jc w:val="center"/>
        <w:tblInd w:w="55" w:type="dxa"/>
        <w:tblCellMar>
          <w:left w:w="70" w:type="dxa"/>
          <w:right w:w="70" w:type="dxa"/>
        </w:tblCellMar>
        <w:tblLook w:val="04A0" w:firstRow="1" w:lastRow="0" w:firstColumn="1" w:lastColumn="0" w:noHBand="0" w:noVBand="1"/>
      </w:tblPr>
      <w:tblGrid>
        <w:gridCol w:w="2540"/>
        <w:gridCol w:w="1880"/>
        <w:gridCol w:w="1240"/>
      </w:tblGrid>
      <w:tr w:rsidR="00324BB3" w:rsidTr="00324BB3">
        <w:trPr>
          <w:trHeight w:val="255"/>
          <w:jc w:val="center"/>
        </w:trPr>
        <w:tc>
          <w:tcPr>
            <w:tcW w:w="2540" w:type="dxa"/>
            <w:tcBorders>
              <w:top w:val="single" w:sz="12" w:space="0" w:color="76923C"/>
              <w:left w:val="nil"/>
              <w:bottom w:val="single" w:sz="12" w:space="0" w:color="76923C"/>
              <w:right w:val="nil"/>
            </w:tcBorders>
            <w:hideMark/>
          </w:tcPr>
          <w:p w:rsidR="00324BB3" w:rsidRDefault="00324BB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BANCO</w:t>
            </w:r>
          </w:p>
        </w:tc>
        <w:tc>
          <w:tcPr>
            <w:tcW w:w="1880" w:type="dxa"/>
            <w:tcBorders>
              <w:top w:val="single" w:sz="12" w:space="0" w:color="76923C"/>
              <w:left w:val="nil"/>
              <w:bottom w:val="single" w:sz="12" w:space="0" w:color="76923C"/>
              <w:right w:val="nil"/>
            </w:tcBorders>
            <w:hideMark/>
          </w:tcPr>
          <w:p w:rsidR="00324BB3" w:rsidRDefault="00324BB3">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CUENTA</w:t>
            </w:r>
          </w:p>
        </w:tc>
        <w:tc>
          <w:tcPr>
            <w:tcW w:w="1240" w:type="dxa"/>
            <w:tcBorders>
              <w:top w:val="single" w:sz="12" w:space="0" w:color="76923C"/>
              <w:left w:val="nil"/>
              <w:bottom w:val="single" w:sz="12" w:space="0" w:color="76923C"/>
              <w:right w:val="nil"/>
            </w:tcBorders>
            <w:hideMark/>
          </w:tcPr>
          <w:p w:rsidR="00324BB3" w:rsidRDefault="00324BB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   IMPORTE   </w:t>
            </w:r>
          </w:p>
        </w:tc>
      </w:tr>
      <w:tr w:rsidR="00324BB3" w:rsidTr="00324BB3">
        <w:trPr>
          <w:trHeight w:val="240"/>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Federal</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84,853.52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SANTANDER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Federal</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31,013.02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CAU</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23,427.19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SANTANDER SERFIN</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Cuenta Estatal</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23,500.24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ING. PROP. EC</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27,748.39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Ing. Propios</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266,542.35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INOVAPYME</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121,494.25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SCOTIABANK</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Remanentes</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55,751.48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SCOTIABANK INVERLAT</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Estatal</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11,950.15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Tarjetas Estatal</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7,249.73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NAFIN. Ing, Propios</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204,179.00 </w:t>
            </w:r>
          </w:p>
        </w:tc>
      </w:tr>
      <w:tr w:rsidR="00324BB3" w:rsidTr="00324BB3">
        <w:trPr>
          <w:trHeight w:val="225"/>
          <w:jc w:val="center"/>
        </w:trPr>
        <w:tc>
          <w:tcPr>
            <w:tcW w:w="254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Fomix-Conacyt Gob Edo </w:t>
            </w:r>
          </w:p>
        </w:tc>
        <w:tc>
          <w:tcPr>
            <w:tcW w:w="1240" w:type="dxa"/>
            <w:hideMark/>
          </w:tcPr>
          <w:p w:rsidR="00324BB3" w:rsidRDefault="00324BB3">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0.37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PADES 2013</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3.02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FADOES 2013</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201.69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PROMEP 2013</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810,806.00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PYME 2013</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47.00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PYME Estatal 2013</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13,311.86 </w:t>
            </w:r>
          </w:p>
        </w:tc>
      </w:tr>
      <w:tr w:rsidR="00324BB3" w:rsidTr="00324BB3">
        <w:trPr>
          <w:trHeight w:val="225"/>
          <w:jc w:val="center"/>
        </w:trPr>
        <w:tc>
          <w:tcPr>
            <w:tcW w:w="2540" w:type="dxa"/>
            <w:tcBorders>
              <w:top w:val="nil"/>
              <w:left w:val="single" w:sz="4" w:space="0" w:color="C0C0C0"/>
              <w:bottom w:val="nil"/>
              <w:right w:val="nil"/>
            </w:tcBorders>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FAC Estatal</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0.82 </w:t>
            </w:r>
          </w:p>
        </w:tc>
      </w:tr>
      <w:tr w:rsidR="00324BB3" w:rsidTr="00324BB3">
        <w:trPr>
          <w:trHeight w:val="225"/>
          <w:jc w:val="center"/>
        </w:trPr>
        <w:tc>
          <w:tcPr>
            <w:tcW w:w="2540" w:type="dxa"/>
            <w:tcBorders>
              <w:top w:val="nil"/>
              <w:left w:val="single" w:sz="4" w:space="0" w:color="C0C0C0"/>
              <w:bottom w:val="nil"/>
              <w:right w:val="nil"/>
            </w:tcBorders>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FNE </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0.15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Proyecta 100,000</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47.38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SEDESOL</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369,045.92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Mexprotec 2015</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12,663,239.70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Amestur</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3.44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Inadem 2015 Fed</w:t>
            </w:r>
          </w:p>
        </w:tc>
        <w:tc>
          <w:tcPr>
            <w:tcW w:w="1240" w:type="dxa"/>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4.20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noWrap/>
            <w:vAlign w:val="bottom"/>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Inadem Fed</w:t>
            </w:r>
          </w:p>
        </w:tc>
        <w:tc>
          <w:tcPr>
            <w:tcW w:w="1240" w:type="dxa"/>
            <w:noWrap/>
            <w:vAlign w:val="bottom"/>
            <w:hideMark/>
          </w:tcPr>
          <w:p w:rsidR="00324BB3" w:rsidRDefault="00324BB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0.45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noWrap/>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Inadem Estatal</w:t>
            </w:r>
          </w:p>
        </w:tc>
        <w:tc>
          <w:tcPr>
            <w:tcW w:w="1240" w:type="dxa"/>
            <w:noWrap/>
            <w:hideMark/>
          </w:tcPr>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                 0.52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noWrap/>
            <w:hideMark/>
          </w:tcPr>
          <w:p w:rsidR="00324BB3" w:rsidRDefault="00324BB3">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Inadem Estatal </w:t>
            </w:r>
          </w:p>
        </w:tc>
        <w:tc>
          <w:tcPr>
            <w:tcW w:w="1240" w:type="dxa"/>
            <w:noWrap/>
            <w:hideMark/>
          </w:tcPr>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                 0.18 </w:t>
            </w:r>
          </w:p>
        </w:tc>
      </w:tr>
      <w:tr w:rsidR="00324BB3" w:rsidTr="00324BB3">
        <w:trPr>
          <w:trHeight w:val="225"/>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MEXPROTEC 2016</w:t>
            </w:r>
          </w:p>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Subsidio Federal</w:t>
            </w:r>
          </w:p>
        </w:tc>
        <w:tc>
          <w:tcPr>
            <w:tcW w:w="1240" w:type="dxa"/>
            <w:noWrap/>
            <w:hideMark/>
          </w:tcPr>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   2,125,127.35</w:t>
            </w:r>
          </w:p>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19,125.54 </w:t>
            </w:r>
          </w:p>
        </w:tc>
      </w:tr>
      <w:tr w:rsidR="00324BB3" w:rsidTr="00324BB3">
        <w:trPr>
          <w:trHeight w:val="240"/>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Congresos</w:t>
            </w:r>
          </w:p>
        </w:tc>
        <w:tc>
          <w:tcPr>
            <w:tcW w:w="1240" w:type="dxa"/>
            <w:noWrap/>
            <w:hideMark/>
          </w:tcPr>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15,411.87 </w:t>
            </w:r>
          </w:p>
        </w:tc>
      </w:tr>
      <w:tr w:rsidR="00324BB3" w:rsidTr="00324BB3">
        <w:trPr>
          <w:trHeight w:val="240"/>
          <w:jc w:val="center"/>
        </w:trPr>
        <w:tc>
          <w:tcPr>
            <w:tcW w:w="254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SANTANDER</w:t>
            </w:r>
          </w:p>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BANCOMER</w:t>
            </w:r>
          </w:p>
        </w:tc>
        <w:tc>
          <w:tcPr>
            <w:tcW w:w="1880" w:type="dxa"/>
            <w:noWrap/>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PFCE 2016</w:t>
            </w:r>
          </w:p>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ESTATAL 2017</w:t>
            </w:r>
          </w:p>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SUBSIDIO FED 2017</w:t>
            </w:r>
          </w:p>
        </w:tc>
        <w:tc>
          <w:tcPr>
            <w:tcW w:w="1240" w:type="dxa"/>
            <w:noWrap/>
            <w:hideMark/>
          </w:tcPr>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   1,459,607.82</w:t>
            </w:r>
          </w:p>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(152,146.27)</w:t>
            </w:r>
          </w:p>
          <w:p w:rsidR="00324BB3" w:rsidRDefault="00324BB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397,168.28 </w:t>
            </w:r>
          </w:p>
        </w:tc>
      </w:tr>
      <w:tr w:rsidR="00324BB3" w:rsidTr="00324BB3">
        <w:trPr>
          <w:trHeight w:val="255"/>
          <w:jc w:val="center"/>
        </w:trPr>
        <w:tc>
          <w:tcPr>
            <w:tcW w:w="2540" w:type="dxa"/>
            <w:tcBorders>
              <w:top w:val="single" w:sz="12" w:space="0" w:color="76923C"/>
              <w:left w:val="nil"/>
              <w:bottom w:val="single" w:sz="12" w:space="0" w:color="76923C"/>
              <w:right w:val="nil"/>
            </w:tcBorders>
            <w:hideMark/>
          </w:tcPr>
          <w:p w:rsidR="00324BB3" w:rsidRDefault="00324BB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w:t>
            </w:r>
          </w:p>
        </w:tc>
        <w:tc>
          <w:tcPr>
            <w:tcW w:w="1880" w:type="dxa"/>
            <w:tcBorders>
              <w:top w:val="single" w:sz="12" w:space="0" w:color="76923C"/>
              <w:left w:val="nil"/>
              <w:bottom w:val="single" w:sz="12" w:space="0" w:color="76923C"/>
              <w:right w:val="nil"/>
            </w:tcBorders>
            <w:hideMark/>
          </w:tcPr>
          <w:p w:rsidR="00324BB3" w:rsidRDefault="00324BB3">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 </w:t>
            </w:r>
          </w:p>
        </w:tc>
        <w:tc>
          <w:tcPr>
            <w:tcW w:w="1240" w:type="dxa"/>
            <w:tcBorders>
              <w:top w:val="single" w:sz="12" w:space="0" w:color="76923C"/>
              <w:left w:val="nil"/>
              <w:bottom w:val="single" w:sz="12" w:space="0" w:color="76923C"/>
              <w:right w:val="nil"/>
            </w:tcBorders>
            <w:hideMark/>
          </w:tcPr>
          <w:p w:rsidR="00324BB3" w:rsidRDefault="00324BB3">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 18,578,716.61 </w:t>
            </w:r>
          </w:p>
        </w:tc>
      </w:tr>
    </w:tbl>
    <w:p w:rsidR="00324BB3" w:rsidRDefault="00324BB3" w:rsidP="00324BB3">
      <w:pPr>
        <w:ind w:firstLine="540"/>
        <w:jc w:val="both"/>
        <w:rPr>
          <w:rFonts w:ascii="Calibri" w:hAnsi="Calibri" w:cs="Arial"/>
          <w:sz w:val="20"/>
          <w:szCs w:val="20"/>
        </w:rPr>
      </w:pPr>
    </w:p>
    <w:p w:rsidR="00B6657A" w:rsidRDefault="00B6657A" w:rsidP="00324BB3">
      <w:pPr>
        <w:ind w:firstLine="540"/>
        <w:jc w:val="both"/>
        <w:rPr>
          <w:rFonts w:ascii="Calibri" w:hAnsi="Calibri" w:cs="Arial"/>
          <w:sz w:val="20"/>
          <w:szCs w:val="20"/>
        </w:rPr>
      </w:pPr>
    </w:p>
    <w:p w:rsidR="00324BB3" w:rsidRDefault="00324BB3" w:rsidP="00324BB3">
      <w:pPr>
        <w:ind w:firstLine="540"/>
        <w:jc w:val="both"/>
        <w:rPr>
          <w:rFonts w:cs="Arial"/>
          <w:sz w:val="20"/>
          <w:szCs w:val="20"/>
        </w:rPr>
      </w:pPr>
    </w:p>
    <w:p w:rsidR="00324BB3" w:rsidRDefault="00324BB3" w:rsidP="00324BB3">
      <w:pPr>
        <w:jc w:val="both"/>
        <w:rPr>
          <w:rFonts w:cs="Arial"/>
          <w:b/>
          <w:sz w:val="20"/>
          <w:szCs w:val="20"/>
        </w:rPr>
      </w:pPr>
      <w:bookmarkStart w:id="1" w:name="OLE_LINK2"/>
      <w:bookmarkStart w:id="2" w:name="OLE_LINK1"/>
      <w:r>
        <w:rPr>
          <w:rFonts w:cs="Arial"/>
          <w:b/>
          <w:sz w:val="20"/>
          <w:szCs w:val="20"/>
        </w:rPr>
        <w:lastRenderedPageBreak/>
        <w:t>DERECHOS A RECIBIR EFECTIVO Y EQUIVALENTES Y BIENES O SERVICIOS A RECIBIR</w:t>
      </w:r>
    </w:p>
    <w:p w:rsidR="00324BB3" w:rsidRDefault="00324BB3" w:rsidP="00324BB3">
      <w:pPr>
        <w:jc w:val="both"/>
        <w:rPr>
          <w:rFonts w:cs="Arial"/>
          <w:sz w:val="20"/>
          <w:szCs w:val="20"/>
        </w:rPr>
      </w:pPr>
      <w:r>
        <w:rPr>
          <w:rFonts w:cs="Arial"/>
          <w:sz w:val="20"/>
          <w:szCs w:val="20"/>
        </w:rPr>
        <w:t>Esta cuenta se encuentra integrada por cuentas pendientes de pago y  gastos sujetos a comprobación  al 31 de Marzo de 2017 la cuenta tiene un saldo de $29, 915,693.65 conformada por:</w:t>
      </w:r>
    </w:p>
    <w:tbl>
      <w:tblPr>
        <w:tblW w:w="8720" w:type="dxa"/>
        <w:tblInd w:w="55" w:type="dxa"/>
        <w:tblCellMar>
          <w:left w:w="70" w:type="dxa"/>
          <w:right w:w="70" w:type="dxa"/>
        </w:tblCellMar>
        <w:tblLook w:val="04A0" w:firstRow="1" w:lastRow="0" w:firstColumn="1" w:lastColumn="0" w:noHBand="0" w:noVBand="1"/>
      </w:tblPr>
      <w:tblGrid>
        <w:gridCol w:w="1900"/>
        <w:gridCol w:w="5400"/>
        <w:gridCol w:w="1420"/>
      </w:tblGrid>
      <w:tr w:rsidR="00324BB3" w:rsidTr="00324BB3">
        <w:trPr>
          <w:trHeight w:val="285"/>
        </w:trPr>
        <w:tc>
          <w:tcPr>
            <w:tcW w:w="1900" w:type="dxa"/>
            <w:tcBorders>
              <w:top w:val="single" w:sz="12" w:space="0" w:color="76923C"/>
              <w:left w:val="single" w:sz="12" w:space="0" w:color="76923C"/>
              <w:bottom w:val="single" w:sz="12" w:space="0" w:color="76923C"/>
              <w:right w:val="single" w:sz="12" w:space="0" w:color="76923C"/>
            </w:tcBorders>
            <w:hideMark/>
          </w:tcPr>
          <w:p w:rsidR="00324BB3" w:rsidRDefault="00324BB3">
            <w:pPr>
              <w:spacing w:after="0" w:line="240" w:lineRule="auto"/>
              <w:jc w:val="both"/>
              <w:rPr>
                <w:rFonts w:eastAsia="Times New Roman" w:cs="Arial"/>
                <w:b/>
                <w:bCs/>
                <w:sz w:val="20"/>
                <w:szCs w:val="20"/>
                <w:lang w:eastAsia="es-MX"/>
              </w:rPr>
            </w:pPr>
            <w:r>
              <w:rPr>
                <w:rFonts w:eastAsia="Times New Roman" w:cs="Arial"/>
                <w:b/>
                <w:bCs/>
                <w:sz w:val="20"/>
                <w:szCs w:val="20"/>
                <w:lang w:eastAsia="es-MX"/>
              </w:rPr>
              <w:t>CUENTA</w:t>
            </w:r>
          </w:p>
        </w:tc>
        <w:tc>
          <w:tcPr>
            <w:tcW w:w="5400" w:type="dxa"/>
            <w:tcBorders>
              <w:top w:val="single" w:sz="12" w:space="0" w:color="76923C"/>
              <w:left w:val="nil"/>
              <w:bottom w:val="single" w:sz="12" w:space="0" w:color="76923C"/>
              <w:right w:val="single" w:sz="12" w:space="0" w:color="76923C"/>
            </w:tcBorders>
            <w:hideMark/>
          </w:tcPr>
          <w:p w:rsidR="00324BB3" w:rsidRDefault="00324BB3">
            <w:pPr>
              <w:spacing w:after="0" w:line="240" w:lineRule="auto"/>
              <w:jc w:val="both"/>
              <w:rPr>
                <w:rFonts w:eastAsia="Times New Roman" w:cs="Arial"/>
                <w:b/>
                <w:bCs/>
                <w:sz w:val="20"/>
                <w:szCs w:val="20"/>
                <w:lang w:eastAsia="es-MX"/>
              </w:rPr>
            </w:pPr>
            <w:r>
              <w:rPr>
                <w:rFonts w:eastAsia="Times New Roman" w:cs="Arial"/>
                <w:b/>
                <w:bCs/>
                <w:sz w:val="20"/>
                <w:szCs w:val="20"/>
                <w:lang w:eastAsia="es-MX"/>
              </w:rPr>
              <w:t>CONCEPTO</w:t>
            </w:r>
          </w:p>
        </w:tc>
        <w:tc>
          <w:tcPr>
            <w:tcW w:w="1420" w:type="dxa"/>
            <w:tcBorders>
              <w:top w:val="single" w:sz="12" w:space="0" w:color="76923C"/>
              <w:left w:val="nil"/>
              <w:bottom w:val="single" w:sz="12" w:space="0" w:color="76923C"/>
              <w:right w:val="single" w:sz="12" w:space="0" w:color="76923C"/>
            </w:tcBorders>
            <w:hideMark/>
          </w:tcPr>
          <w:p w:rsidR="00324BB3" w:rsidRDefault="00324BB3">
            <w:pPr>
              <w:spacing w:after="0" w:line="240" w:lineRule="auto"/>
              <w:jc w:val="both"/>
              <w:rPr>
                <w:rFonts w:eastAsia="Times New Roman" w:cs="Arial"/>
                <w:b/>
                <w:bCs/>
                <w:sz w:val="20"/>
                <w:szCs w:val="20"/>
                <w:lang w:eastAsia="es-MX"/>
              </w:rPr>
            </w:pPr>
            <w:r>
              <w:rPr>
                <w:rFonts w:eastAsia="Times New Roman" w:cs="Arial"/>
                <w:b/>
                <w:bCs/>
                <w:sz w:val="20"/>
                <w:szCs w:val="20"/>
                <w:lang w:eastAsia="es-MX"/>
              </w:rPr>
              <w:t>IMPORTE</w:t>
            </w:r>
          </w:p>
        </w:tc>
      </w:tr>
      <w:tr w:rsidR="00324BB3" w:rsidTr="00324BB3">
        <w:trPr>
          <w:trHeight w:val="285"/>
        </w:trPr>
        <w:tc>
          <w:tcPr>
            <w:tcW w:w="1900" w:type="dxa"/>
            <w:tcBorders>
              <w:top w:val="nil"/>
              <w:left w:val="single" w:sz="12" w:space="0" w:color="76923C"/>
              <w:bottom w:val="single" w:sz="12" w:space="0" w:color="76923C"/>
              <w:right w:val="single" w:sz="12" w:space="0" w:color="76923C"/>
            </w:tcBorders>
            <w:hideMark/>
          </w:tcPr>
          <w:p w:rsidR="00324BB3" w:rsidRDefault="00324BB3">
            <w:pPr>
              <w:spacing w:after="0" w:line="240" w:lineRule="auto"/>
              <w:jc w:val="both"/>
              <w:rPr>
                <w:rFonts w:eastAsia="Times New Roman" w:cs="Arial"/>
                <w:sz w:val="20"/>
                <w:szCs w:val="20"/>
                <w:lang w:eastAsia="es-MX"/>
              </w:rPr>
            </w:pPr>
            <w:r>
              <w:rPr>
                <w:rFonts w:eastAsia="Times New Roman" w:cs="Arial"/>
                <w:sz w:val="20"/>
                <w:szCs w:val="20"/>
                <w:lang w:eastAsia="es-MX"/>
              </w:rPr>
              <w:t>1-1-2-2</w:t>
            </w:r>
          </w:p>
        </w:tc>
        <w:tc>
          <w:tcPr>
            <w:tcW w:w="5400" w:type="dxa"/>
            <w:tcBorders>
              <w:top w:val="nil"/>
              <w:left w:val="nil"/>
              <w:bottom w:val="single" w:sz="12" w:space="0" w:color="76923C"/>
              <w:right w:val="single" w:sz="12" w:space="0" w:color="76923C"/>
            </w:tcBorders>
            <w:hideMark/>
          </w:tcPr>
          <w:p w:rsidR="00324BB3" w:rsidRDefault="00324BB3">
            <w:pPr>
              <w:spacing w:after="0" w:line="240" w:lineRule="auto"/>
              <w:jc w:val="both"/>
              <w:rPr>
                <w:rFonts w:eastAsia="Times New Roman" w:cs="Arial"/>
                <w:sz w:val="20"/>
                <w:szCs w:val="20"/>
                <w:lang w:eastAsia="es-MX"/>
              </w:rPr>
            </w:pPr>
            <w:r>
              <w:rPr>
                <w:rFonts w:eastAsia="Times New Roman" w:cs="Arial"/>
                <w:sz w:val="20"/>
                <w:szCs w:val="20"/>
                <w:lang w:eastAsia="es-MX"/>
              </w:rPr>
              <w:t>Cuentas por Cobrar a Corto Plazo</w:t>
            </w:r>
          </w:p>
        </w:tc>
        <w:tc>
          <w:tcPr>
            <w:tcW w:w="1420" w:type="dxa"/>
            <w:tcBorders>
              <w:top w:val="nil"/>
              <w:left w:val="nil"/>
              <w:bottom w:val="single" w:sz="12" w:space="0" w:color="76923C"/>
              <w:right w:val="single" w:sz="12" w:space="0" w:color="76923C"/>
            </w:tcBorders>
            <w:hideMark/>
          </w:tcPr>
          <w:p w:rsidR="00324BB3" w:rsidRDefault="00324BB3">
            <w:pPr>
              <w:spacing w:after="0" w:line="240" w:lineRule="auto"/>
              <w:jc w:val="right"/>
              <w:rPr>
                <w:rFonts w:eastAsia="Times New Roman" w:cs="Arial"/>
                <w:sz w:val="20"/>
                <w:szCs w:val="20"/>
                <w:lang w:eastAsia="es-MX"/>
              </w:rPr>
            </w:pPr>
            <w:r>
              <w:rPr>
                <w:rFonts w:eastAsia="Times New Roman" w:cs="Arial"/>
                <w:sz w:val="20"/>
                <w:szCs w:val="20"/>
                <w:lang w:eastAsia="es-MX"/>
              </w:rPr>
              <w:t>5,851,833.01</w:t>
            </w:r>
          </w:p>
        </w:tc>
      </w:tr>
      <w:tr w:rsidR="00324BB3" w:rsidTr="00324BB3">
        <w:trPr>
          <w:trHeight w:val="285"/>
        </w:trPr>
        <w:tc>
          <w:tcPr>
            <w:tcW w:w="1900" w:type="dxa"/>
            <w:tcBorders>
              <w:top w:val="nil"/>
              <w:left w:val="single" w:sz="12" w:space="0" w:color="76923C"/>
              <w:bottom w:val="single" w:sz="12" w:space="0" w:color="76923C"/>
              <w:right w:val="single" w:sz="12" w:space="0" w:color="76923C"/>
            </w:tcBorders>
            <w:hideMark/>
          </w:tcPr>
          <w:p w:rsidR="00324BB3" w:rsidRDefault="00324BB3">
            <w:pPr>
              <w:spacing w:after="0" w:line="240" w:lineRule="auto"/>
              <w:jc w:val="both"/>
              <w:rPr>
                <w:rFonts w:eastAsia="Times New Roman" w:cs="Arial"/>
                <w:sz w:val="20"/>
                <w:szCs w:val="20"/>
                <w:lang w:eastAsia="es-MX"/>
              </w:rPr>
            </w:pPr>
            <w:r>
              <w:rPr>
                <w:rFonts w:eastAsia="Times New Roman" w:cs="Arial"/>
                <w:sz w:val="20"/>
                <w:szCs w:val="20"/>
                <w:lang w:eastAsia="es-MX"/>
              </w:rPr>
              <w:t>1-1-2-3</w:t>
            </w:r>
          </w:p>
        </w:tc>
        <w:tc>
          <w:tcPr>
            <w:tcW w:w="5400" w:type="dxa"/>
            <w:tcBorders>
              <w:top w:val="nil"/>
              <w:left w:val="nil"/>
              <w:bottom w:val="single" w:sz="12" w:space="0" w:color="76923C"/>
              <w:right w:val="single" w:sz="12" w:space="0" w:color="76923C"/>
            </w:tcBorders>
            <w:hideMark/>
          </w:tcPr>
          <w:p w:rsidR="00324BB3" w:rsidRDefault="00324BB3">
            <w:pPr>
              <w:spacing w:after="0" w:line="240" w:lineRule="auto"/>
              <w:jc w:val="both"/>
              <w:rPr>
                <w:rFonts w:eastAsia="Times New Roman" w:cs="Arial"/>
                <w:sz w:val="20"/>
                <w:szCs w:val="20"/>
                <w:lang w:eastAsia="es-MX"/>
              </w:rPr>
            </w:pPr>
            <w:r>
              <w:rPr>
                <w:rFonts w:eastAsia="Times New Roman" w:cs="Arial"/>
                <w:sz w:val="20"/>
                <w:szCs w:val="20"/>
                <w:lang w:eastAsia="es-MX"/>
              </w:rPr>
              <w:t>Deudores Diversos por Cobrar a Corto Plazo</w:t>
            </w:r>
          </w:p>
        </w:tc>
        <w:tc>
          <w:tcPr>
            <w:tcW w:w="1420" w:type="dxa"/>
            <w:tcBorders>
              <w:top w:val="nil"/>
              <w:left w:val="nil"/>
              <w:bottom w:val="single" w:sz="12" w:space="0" w:color="76923C"/>
              <w:right w:val="single" w:sz="12" w:space="0" w:color="76923C"/>
            </w:tcBorders>
            <w:hideMark/>
          </w:tcPr>
          <w:p w:rsidR="00324BB3" w:rsidRDefault="00324BB3">
            <w:pPr>
              <w:spacing w:after="0" w:line="240" w:lineRule="auto"/>
              <w:jc w:val="right"/>
              <w:rPr>
                <w:rFonts w:eastAsia="Times New Roman" w:cs="Arial"/>
                <w:sz w:val="20"/>
                <w:szCs w:val="20"/>
                <w:lang w:eastAsia="es-MX"/>
              </w:rPr>
            </w:pPr>
            <w:r>
              <w:rPr>
                <w:rFonts w:eastAsia="Times New Roman" w:cs="Arial"/>
                <w:sz w:val="20"/>
                <w:szCs w:val="20"/>
                <w:lang w:eastAsia="es-MX"/>
              </w:rPr>
              <w:t>22,741,347.54</w:t>
            </w:r>
          </w:p>
        </w:tc>
      </w:tr>
      <w:tr w:rsidR="00324BB3" w:rsidTr="00324BB3">
        <w:trPr>
          <w:trHeight w:val="285"/>
        </w:trPr>
        <w:tc>
          <w:tcPr>
            <w:tcW w:w="1900" w:type="dxa"/>
            <w:tcBorders>
              <w:top w:val="nil"/>
              <w:left w:val="single" w:sz="12" w:space="0" w:color="76923C"/>
              <w:bottom w:val="single" w:sz="12" w:space="0" w:color="76923C"/>
              <w:right w:val="single" w:sz="12" w:space="0" w:color="76923C"/>
            </w:tcBorders>
            <w:hideMark/>
          </w:tcPr>
          <w:p w:rsidR="00324BB3" w:rsidRDefault="00324BB3">
            <w:pPr>
              <w:spacing w:after="0" w:line="240" w:lineRule="auto"/>
              <w:jc w:val="both"/>
              <w:rPr>
                <w:rFonts w:eastAsia="Times New Roman" w:cs="Arial"/>
                <w:sz w:val="20"/>
                <w:szCs w:val="20"/>
                <w:lang w:eastAsia="es-MX"/>
              </w:rPr>
            </w:pPr>
            <w:r>
              <w:rPr>
                <w:rFonts w:eastAsia="Times New Roman" w:cs="Arial"/>
                <w:sz w:val="20"/>
                <w:szCs w:val="20"/>
                <w:lang w:eastAsia="es-MX"/>
              </w:rPr>
              <w:t>1-1-2-9</w:t>
            </w:r>
          </w:p>
        </w:tc>
        <w:tc>
          <w:tcPr>
            <w:tcW w:w="5400" w:type="dxa"/>
            <w:tcBorders>
              <w:top w:val="nil"/>
              <w:left w:val="nil"/>
              <w:bottom w:val="single" w:sz="12" w:space="0" w:color="76923C"/>
              <w:right w:val="single" w:sz="12" w:space="0" w:color="76923C"/>
            </w:tcBorders>
            <w:hideMark/>
          </w:tcPr>
          <w:p w:rsidR="00324BB3" w:rsidRDefault="00324BB3">
            <w:pPr>
              <w:spacing w:after="0" w:line="240" w:lineRule="auto"/>
              <w:jc w:val="both"/>
              <w:rPr>
                <w:rFonts w:eastAsia="Times New Roman" w:cs="Arial"/>
                <w:sz w:val="20"/>
                <w:szCs w:val="20"/>
                <w:lang w:eastAsia="es-MX"/>
              </w:rPr>
            </w:pPr>
            <w:r>
              <w:rPr>
                <w:rFonts w:eastAsia="Times New Roman" w:cs="Arial"/>
                <w:sz w:val="20"/>
                <w:szCs w:val="20"/>
                <w:lang w:eastAsia="es-MX"/>
              </w:rPr>
              <w:t>Otros derechos a recibir efectivo o equivalente a CP</w:t>
            </w:r>
          </w:p>
        </w:tc>
        <w:tc>
          <w:tcPr>
            <w:tcW w:w="1420" w:type="dxa"/>
            <w:tcBorders>
              <w:top w:val="nil"/>
              <w:left w:val="nil"/>
              <w:bottom w:val="single" w:sz="12" w:space="0" w:color="76923C"/>
              <w:right w:val="single" w:sz="12" w:space="0" w:color="76923C"/>
            </w:tcBorders>
            <w:hideMark/>
          </w:tcPr>
          <w:p w:rsidR="00324BB3" w:rsidRDefault="00324BB3">
            <w:pPr>
              <w:spacing w:after="0" w:line="240" w:lineRule="auto"/>
              <w:jc w:val="right"/>
              <w:rPr>
                <w:rFonts w:eastAsia="Times New Roman" w:cs="Arial"/>
                <w:sz w:val="20"/>
                <w:szCs w:val="20"/>
                <w:lang w:eastAsia="es-MX"/>
              </w:rPr>
            </w:pPr>
            <w:r>
              <w:rPr>
                <w:rFonts w:eastAsia="Times New Roman" w:cs="Arial"/>
                <w:sz w:val="20"/>
                <w:szCs w:val="20"/>
                <w:lang w:eastAsia="es-MX"/>
              </w:rPr>
              <w:t>1,322,513.10</w:t>
            </w:r>
          </w:p>
        </w:tc>
      </w:tr>
    </w:tbl>
    <w:p w:rsidR="00324BB3" w:rsidRDefault="00324BB3" w:rsidP="00324BB3">
      <w:pPr>
        <w:spacing w:after="0"/>
        <w:ind w:firstLine="708"/>
        <w:jc w:val="both"/>
        <w:rPr>
          <w:rFonts w:ascii="Calibri" w:hAnsi="Calibri" w:cs="Arial"/>
          <w:sz w:val="20"/>
          <w:szCs w:val="20"/>
        </w:rPr>
      </w:pPr>
    </w:p>
    <w:p w:rsidR="00324BB3" w:rsidRDefault="00324BB3" w:rsidP="00324BB3">
      <w:pPr>
        <w:spacing w:after="0"/>
        <w:ind w:firstLine="708"/>
        <w:jc w:val="both"/>
        <w:rPr>
          <w:rFonts w:cs="Arial"/>
          <w:sz w:val="20"/>
          <w:szCs w:val="20"/>
        </w:rPr>
      </w:pPr>
      <w:r>
        <w:rPr>
          <w:rFonts w:cs="Arial"/>
          <w:sz w:val="20"/>
          <w:szCs w:val="20"/>
        </w:rPr>
        <w:t xml:space="preserve">Al 31 de Marzo de 2017 la Cuenta 1-1-3-1 Anticipo a Proveedores por Adquisición de Bienes y Prestación de Servicios a Corto Plazo tiene un saldo de $207,742.81 </w:t>
      </w:r>
    </w:p>
    <w:p w:rsidR="00324BB3" w:rsidRDefault="00324BB3" w:rsidP="00324BB3">
      <w:pPr>
        <w:spacing w:after="0"/>
        <w:ind w:firstLine="708"/>
        <w:jc w:val="both"/>
        <w:rPr>
          <w:rFonts w:cs="Arial"/>
          <w:sz w:val="20"/>
          <w:szCs w:val="20"/>
        </w:rPr>
      </w:pPr>
    </w:p>
    <w:p w:rsidR="00324BB3" w:rsidRDefault="00324BB3" w:rsidP="00324BB3">
      <w:pPr>
        <w:ind w:firstLine="708"/>
        <w:jc w:val="both"/>
        <w:rPr>
          <w:rFonts w:cs="Arial"/>
          <w:b/>
          <w:color w:val="000000"/>
          <w:sz w:val="20"/>
          <w:szCs w:val="20"/>
          <w:lang w:eastAsia="es-MX"/>
        </w:rPr>
      </w:pPr>
      <w:r>
        <w:rPr>
          <w:rFonts w:cs="Arial"/>
          <w:b/>
          <w:color w:val="000000"/>
          <w:sz w:val="20"/>
          <w:szCs w:val="20"/>
          <w:lang w:eastAsia="es-MX"/>
        </w:rPr>
        <w:t>BIENES DISPONIBLES PARA SU TRANSFORMACIÓN O CONSUMO (INVENTARIOS)</w:t>
      </w:r>
    </w:p>
    <w:p w:rsidR="00324BB3" w:rsidRDefault="00324BB3" w:rsidP="00324BB3">
      <w:pPr>
        <w:jc w:val="both"/>
        <w:rPr>
          <w:rFonts w:cs="Arial"/>
          <w:b/>
          <w:color w:val="000000"/>
          <w:sz w:val="20"/>
          <w:szCs w:val="20"/>
          <w:lang w:eastAsia="es-MX"/>
        </w:rPr>
      </w:pPr>
      <w:r>
        <w:rPr>
          <w:rFonts w:cs="Arial"/>
          <w:b/>
          <w:color w:val="000000"/>
          <w:sz w:val="20"/>
          <w:szCs w:val="20"/>
          <w:lang w:eastAsia="es-MX"/>
        </w:rPr>
        <w:t>NO APLICA</w:t>
      </w:r>
    </w:p>
    <w:p w:rsidR="00324BB3" w:rsidRDefault="00324BB3" w:rsidP="00324BB3">
      <w:pPr>
        <w:jc w:val="both"/>
        <w:rPr>
          <w:rFonts w:cs="Arial"/>
          <w:b/>
          <w:sz w:val="20"/>
          <w:szCs w:val="20"/>
        </w:rPr>
      </w:pPr>
      <w:r>
        <w:rPr>
          <w:rFonts w:cs="Arial"/>
          <w:b/>
          <w:sz w:val="20"/>
          <w:szCs w:val="20"/>
        </w:rPr>
        <w:t>INVERSIONES FINANCIERAS</w:t>
      </w:r>
    </w:p>
    <w:p w:rsidR="00324BB3" w:rsidRDefault="00324BB3" w:rsidP="00324BB3">
      <w:pPr>
        <w:jc w:val="both"/>
        <w:rPr>
          <w:rFonts w:cs="Arial"/>
          <w:sz w:val="20"/>
          <w:szCs w:val="20"/>
        </w:rPr>
      </w:pPr>
      <w:r>
        <w:rPr>
          <w:rFonts w:cs="Arial"/>
          <w:sz w:val="20"/>
          <w:szCs w:val="20"/>
        </w:rPr>
        <w:t xml:space="preserve">La cuenta 1-2-1-4-000-0000 Participaciones Y Aportaciones de capital </w:t>
      </w:r>
      <w:r>
        <w:rPr>
          <w:rFonts w:cs="Arial"/>
          <w:color w:val="000000"/>
          <w:sz w:val="20"/>
          <w:szCs w:val="20"/>
          <w:lang w:eastAsia="es-MX"/>
        </w:rPr>
        <w:t xml:space="preserve">UNID.DE VINC.Y TRANSF.DE CONOCIMIENTO DEL STE. </w:t>
      </w:r>
      <w:r>
        <w:rPr>
          <w:rFonts w:cs="Arial"/>
          <w:sz w:val="20"/>
          <w:szCs w:val="20"/>
        </w:rPr>
        <w:t xml:space="preserve">El 16 de Julio de 2012 y el 19 de diciembre de 2012 se realizaron aportaciones por un importe de $6,000.00 en cada fecha haciendo un importe de $12,000.00 que representan 12 acciones por un valor de $1,000.00 c/u por parte de la Universidad Tecnológica Metropolitana para la conformación de la Unidad de Vinculación y Transferencia de Conocimiento del Sureste. </w:t>
      </w:r>
    </w:p>
    <w:p w:rsidR="00324BB3" w:rsidRDefault="00324BB3" w:rsidP="00324BB3">
      <w:pPr>
        <w:jc w:val="both"/>
        <w:rPr>
          <w:rFonts w:cs="Arial"/>
          <w:b/>
          <w:sz w:val="20"/>
          <w:szCs w:val="20"/>
        </w:rPr>
      </w:pPr>
    </w:p>
    <w:p w:rsidR="00B6657A" w:rsidRDefault="00B6657A" w:rsidP="00324BB3">
      <w:pPr>
        <w:jc w:val="both"/>
        <w:rPr>
          <w:rFonts w:cs="Arial"/>
          <w:b/>
          <w:sz w:val="20"/>
          <w:szCs w:val="20"/>
        </w:rPr>
      </w:pPr>
    </w:p>
    <w:p w:rsidR="00324BB3" w:rsidRDefault="00324BB3" w:rsidP="00324BB3">
      <w:pPr>
        <w:jc w:val="both"/>
        <w:rPr>
          <w:rFonts w:cs="Arial"/>
          <w:b/>
          <w:sz w:val="20"/>
          <w:szCs w:val="20"/>
        </w:rPr>
      </w:pPr>
    </w:p>
    <w:p w:rsidR="00324BB3" w:rsidRDefault="00324BB3" w:rsidP="00324BB3">
      <w:pPr>
        <w:jc w:val="both"/>
        <w:rPr>
          <w:rFonts w:cs="Arial"/>
          <w:b/>
          <w:sz w:val="20"/>
          <w:szCs w:val="20"/>
        </w:rPr>
      </w:pPr>
      <w:r>
        <w:rPr>
          <w:rFonts w:cs="Arial"/>
          <w:b/>
          <w:sz w:val="20"/>
          <w:szCs w:val="20"/>
        </w:rPr>
        <w:lastRenderedPageBreak/>
        <w:t>BIENES MUEBLES, INMUEBLES E INTANGIBLES</w:t>
      </w:r>
    </w:p>
    <w:bookmarkEnd w:id="1"/>
    <w:bookmarkEnd w:id="2"/>
    <w:p w:rsidR="00324BB3" w:rsidRDefault="00324BB3" w:rsidP="00324BB3">
      <w:pPr>
        <w:jc w:val="both"/>
        <w:rPr>
          <w:rFonts w:cs="Arial"/>
          <w:sz w:val="20"/>
          <w:szCs w:val="20"/>
        </w:rPr>
      </w:pPr>
      <w:r>
        <w:rPr>
          <w:rFonts w:cs="Arial"/>
          <w:sz w:val="20"/>
          <w:szCs w:val="20"/>
        </w:rPr>
        <w:t xml:space="preserve">Los Activos Fijos cuando son adquiridos con recursos del presupuesto del ejercicio se registran en las partidas 1-2-3-0 y 1-2-4-0 Bienes Inmuebles y Bienes Muebles respectivamente como lo establece la normatividad vigente, adicionalmente, se registran en las Cuentas Presupuestales en el Capítulo 5000. Cuando son adquiridos por algún programa específico se descuentan del programa al que pertenecen y se registran en la partida específica del Activo contra el Patrimonio. En ambos casos incluyendo el Impuesto al valor Agregado como parte de su costo. </w:t>
      </w:r>
    </w:p>
    <w:p w:rsidR="00324BB3" w:rsidRDefault="00324BB3" w:rsidP="00324BB3">
      <w:pPr>
        <w:jc w:val="both"/>
        <w:rPr>
          <w:rFonts w:cs="Arial"/>
          <w:sz w:val="20"/>
          <w:szCs w:val="20"/>
        </w:rPr>
      </w:pPr>
      <w:r>
        <w:rPr>
          <w:rFonts w:cs="Arial"/>
          <w:sz w:val="20"/>
          <w:szCs w:val="20"/>
        </w:rPr>
        <w:t>Existen registros contables  por ajuste de auditoría 2004 en el activo fijo de los Fondos de Aportación Múltiple (FAM) por los ejercicios 2001,2002, 2003 y 2004 por la cantidad de $52, 991,706 que a la fecha el IDEFEY (antes ICEMAREY) no ha realizado la entrega de la documentación fiscal, comprobatorias para su registro en forma analítica en el activo que le corresponda.</w:t>
      </w:r>
    </w:p>
    <w:p w:rsidR="00324BB3" w:rsidRDefault="00324BB3" w:rsidP="00324BB3">
      <w:pPr>
        <w:jc w:val="both"/>
        <w:rPr>
          <w:rFonts w:cs="Arial"/>
          <w:sz w:val="20"/>
          <w:szCs w:val="20"/>
        </w:rPr>
      </w:pPr>
    </w:p>
    <w:tbl>
      <w:tblPr>
        <w:tblW w:w="0" w:type="auto"/>
        <w:jc w:val="center"/>
        <w:tblInd w:w="55" w:type="dxa"/>
        <w:tblCellMar>
          <w:left w:w="70" w:type="dxa"/>
          <w:right w:w="70" w:type="dxa"/>
        </w:tblCellMar>
        <w:tblLook w:val="04A0" w:firstRow="1" w:lastRow="0" w:firstColumn="1" w:lastColumn="0" w:noHBand="0" w:noVBand="1"/>
      </w:tblPr>
      <w:tblGrid>
        <w:gridCol w:w="626"/>
        <w:gridCol w:w="2086"/>
      </w:tblGrid>
      <w:tr w:rsidR="00324BB3" w:rsidTr="00324BB3">
        <w:trPr>
          <w:trHeight w:val="198"/>
          <w:jc w:val="center"/>
        </w:trPr>
        <w:tc>
          <w:tcPr>
            <w:tcW w:w="0" w:type="auto"/>
            <w:tcBorders>
              <w:top w:val="single" w:sz="12" w:space="0" w:color="76923C"/>
              <w:left w:val="nil"/>
              <w:bottom w:val="single" w:sz="12" w:space="0" w:color="76923C"/>
              <w:right w:val="nil"/>
            </w:tcBorders>
            <w:hideMark/>
          </w:tcPr>
          <w:p w:rsidR="00324BB3" w:rsidRDefault="00324BB3">
            <w:pPr>
              <w:spacing w:after="0"/>
              <w:jc w:val="center"/>
              <w:rPr>
                <w:rFonts w:cs="Arial"/>
                <w:b/>
                <w:bCs/>
                <w:sz w:val="18"/>
                <w:szCs w:val="18"/>
                <w:lang w:eastAsia="es-MX"/>
              </w:rPr>
            </w:pPr>
            <w:r>
              <w:rPr>
                <w:rFonts w:cs="Arial"/>
                <w:b/>
                <w:bCs/>
                <w:sz w:val="18"/>
                <w:szCs w:val="18"/>
                <w:lang w:eastAsia="es-MX"/>
              </w:rPr>
              <w:t>AÑO</w:t>
            </w:r>
          </w:p>
        </w:tc>
        <w:tc>
          <w:tcPr>
            <w:tcW w:w="0" w:type="auto"/>
            <w:tcBorders>
              <w:top w:val="single" w:sz="12" w:space="0" w:color="76923C"/>
              <w:left w:val="nil"/>
              <w:bottom w:val="single" w:sz="12" w:space="0" w:color="76923C"/>
              <w:right w:val="nil"/>
            </w:tcBorders>
            <w:hideMark/>
          </w:tcPr>
          <w:p w:rsidR="00324BB3" w:rsidRDefault="00324BB3">
            <w:pPr>
              <w:spacing w:after="0"/>
              <w:jc w:val="center"/>
              <w:rPr>
                <w:rFonts w:cs="Arial"/>
                <w:b/>
                <w:bCs/>
                <w:sz w:val="18"/>
                <w:szCs w:val="18"/>
                <w:lang w:eastAsia="es-MX"/>
              </w:rPr>
            </w:pPr>
            <w:r>
              <w:rPr>
                <w:rFonts w:cs="Arial"/>
                <w:b/>
                <w:bCs/>
                <w:sz w:val="18"/>
                <w:szCs w:val="18"/>
                <w:lang w:eastAsia="es-MX"/>
              </w:rPr>
              <w:t>ACTIVOS POR  CLASIFICAR</w:t>
            </w:r>
          </w:p>
        </w:tc>
      </w:tr>
      <w:tr w:rsidR="00324BB3" w:rsidTr="00324BB3">
        <w:trPr>
          <w:trHeight w:val="180"/>
          <w:jc w:val="center"/>
        </w:trPr>
        <w:tc>
          <w:tcPr>
            <w:tcW w:w="0" w:type="auto"/>
            <w:tcBorders>
              <w:top w:val="single" w:sz="12" w:space="0" w:color="76923C"/>
              <w:left w:val="nil"/>
              <w:bottom w:val="nil"/>
              <w:right w:val="nil"/>
            </w:tcBorders>
            <w:hideMark/>
          </w:tcPr>
          <w:p w:rsidR="00324BB3" w:rsidRDefault="00324BB3">
            <w:pPr>
              <w:spacing w:after="0"/>
              <w:jc w:val="center"/>
              <w:rPr>
                <w:rFonts w:cs="Arial"/>
                <w:sz w:val="18"/>
                <w:szCs w:val="18"/>
                <w:lang w:eastAsia="es-MX"/>
              </w:rPr>
            </w:pPr>
            <w:r>
              <w:rPr>
                <w:rFonts w:cs="Arial"/>
                <w:sz w:val="18"/>
                <w:szCs w:val="18"/>
                <w:lang w:eastAsia="es-MX"/>
              </w:rPr>
              <w:t>2001</w:t>
            </w:r>
          </w:p>
        </w:tc>
        <w:tc>
          <w:tcPr>
            <w:tcW w:w="0" w:type="auto"/>
            <w:tcBorders>
              <w:top w:val="single" w:sz="12" w:space="0" w:color="76923C"/>
              <w:left w:val="nil"/>
              <w:bottom w:val="nil"/>
              <w:right w:val="nil"/>
            </w:tcBorders>
            <w:hideMark/>
          </w:tcPr>
          <w:p w:rsidR="00324BB3" w:rsidRDefault="00324BB3">
            <w:pPr>
              <w:spacing w:after="0"/>
              <w:jc w:val="right"/>
              <w:rPr>
                <w:rFonts w:cs="Arial"/>
                <w:sz w:val="18"/>
                <w:szCs w:val="18"/>
                <w:lang w:eastAsia="es-MX"/>
              </w:rPr>
            </w:pPr>
            <w:r>
              <w:rPr>
                <w:rFonts w:cs="Arial"/>
                <w:sz w:val="18"/>
                <w:szCs w:val="18"/>
                <w:lang w:eastAsia="es-MX"/>
              </w:rPr>
              <w:t>17,440,640</w:t>
            </w:r>
          </w:p>
        </w:tc>
      </w:tr>
      <w:tr w:rsidR="00324BB3" w:rsidTr="00324BB3">
        <w:trPr>
          <w:trHeight w:val="287"/>
          <w:jc w:val="center"/>
        </w:trPr>
        <w:tc>
          <w:tcPr>
            <w:tcW w:w="0" w:type="auto"/>
            <w:hideMark/>
          </w:tcPr>
          <w:p w:rsidR="00324BB3" w:rsidRDefault="00324BB3">
            <w:pPr>
              <w:spacing w:after="0"/>
              <w:jc w:val="center"/>
              <w:rPr>
                <w:rFonts w:cs="Arial"/>
                <w:sz w:val="18"/>
                <w:szCs w:val="18"/>
                <w:lang w:eastAsia="es-MX"/>
              </w:rPr>
            </w:pPr>
            <w:r>
              <w:rPr>
                <w:rFonts w:cs="Arial"/>
                <w:sz w:val="18"/>
                <w:szCs w:val="18"/>
                <w:lang w:eastAsia="es-MX"/>
              </w:rPr>
              <w:t>2002</w:t>
            </w:r>
          </w:p>
        </w:tc>
        <w:tc>
          <w:tcPr>
            <w:tcW w:w="0" w:type="auto"/>
            <w:hideMark/>
          </w:tcPr>
          <w:p w:rsidR="00324BB3" w:rsidRDefault="00324BB3">
            <w:pPr>
              <w:spacing w:after="0"/>
              <w:jc w:val="right"/>
              <w:rPr>
                <w:rFonts w:cs="Arial"/>
                <w:sz w:val="18"/>
                <w:szCs w:val="18"/>
                <w:lang w:eastAsia="es-MX"/>
              </w:rPr>
            </w:pPr>
            <w:r>
              <w:rPr>
                <w:rFonts w:cs="Arial"/>
                <w:sz w:val="18"/>
                <w:szCs w:val="18"/>
                <w:lang w:eastAsia="es-MX"/>
              </w:rPr>
              <w:t>9,630,703</w:t>
            </w:r>
          </w:p>
        </w:tc>
      </w:tr>
      <w:tr w:rsidR="00324BB3" w:rsidTr="00324BB3">
        <w:trPr>
          <w:trHeight w:val="203"/>
          <w:jc w:val="center"/>
        </w:trPr>
        <w:tc>
          <w:tcPr>
            <w:tcW w:w="0" w:type="auto"/>
            <w:hideMark/>
          </w:tcPr>
          <w:p w:rsidR="00324BB3" w:rsidRDefault="00324BB3">
            <w:pPr>
              <w:spacing w:after="0"/>
              <w:jc w:val="center"/>
              <w:rPr>
                <w:rFonts w:cs="Arial"/>
                <w:sz w:val="18"/>
                <w:szCs w:val="18"/>
                <w:lang w:eastAsia="es-MX"/>
              </w:rPr>
            </w:pPr>
            <w:r>
              <w:rPr>
                <w:rFonts w:cs="Arial"/>
                <w:sz w:val="18"/>
                <w:szCs w:val="18"/>
                <w:lang w:eastAsia="es-MX"/>
              </w:rPr>
              <w:t>2003</w:t>
            </w:r>
          </w:p>
        </w:tc>
        <w:tc>
          <w:tcPr>
            <w:tcW w:w="0" w:type="auto"/>
            <w:hideMark/>
          </w:tcPr>
          <w:p w:rsidR="00324BB3" w:rsidRDefault="00324BB3">
            <w:pPr>
              <w:spacing w:after="0"/>
              <w:jc w:val="right"/>
              <w:rPr>
                <w:rFonts w:cs="Arial"/>
                <w:sz w:val="18"/>
                <w:szCs w:val="18"/>
                <w:lang w:eastAsia="es-MX"/>
              </w:rPr>
            </w:pPr>
            <w:r>
              <w:rPr>
                <w:rFonts w:cs="Arial"/>
                <w:sz w:val="18"/>
                <w:szCs w:val="18"/>
                <w:lang w:eastAsia="es-MX"/>
              </w:rPr>
              <w:t>11,391,547</w:t>
            </w:r>
          </w:p>
        </w:tc>
      </w:tr>
      <w:tr w:rsidR="00324BB3" w:rsidTr="00324BB3">
        <w:trPr>
          <w:trHeight w:val="244"/>
          <w:jc w:val="center"/>
        </w:trPr>
        <w:tc>
          <w:tcPr>
            <w:tcW w:w="0" w:type="auto"/>
            <w:tcBorders>
              <w:top w:val="nil"/>
              <w:left w:val="nil"/>
              <w:bottom w:val="single" w:sz="12" w:space="0" w:color="76923C"/>
              <w:right w:val="nil"/>
            </w:tcBorders>
            <w:hideMark/>
          </w:tcPr>
          <w:p w:rsidR="00324BB3" w:rsidRDefault="00324BB3">
            <w:pPr>
              <w:spacing w:after="0"/>
              <w:jc w:val="center"/>
              <w:rPr>
                <w:rFonts w:cs="Arial"/>
                <w:color w:val="000000"/>
                <w:sz w:val="18"/>
                <w:szCs w:val="18"/>
                <w:lang w:eastAsia="es-MX"/>
              </w:rPr>
            </w:pPr>
            <w:r>
              <w:rPr>
                <w:rFonts w:cs="Arial"/>
                <w:color w:val="000000"/>
                <w:sz w:val="18"/>
                <w:szCs w:val="18"/>
                <w:lang w:eastAsia="es-MX"/>
              </w:rPr>
              <w:t>2004</w:t>
            </w:r>
          </w:p>
        </w:tc>
        <w:tc>
          <w:tcPr>
            <w:tcW w:w="0" w:type="auto"/>
            <w:tcBorders>
              <w:top w:val="nil"/>
              <w:left w:val="nil"/>
              <w:bottom w:val="single" w:sz="12" w:space="0" w:color="76923C"/>
              <w:right w:val="nil"/>
            </w:tcBorders>
            <w:hideMark/>
          </w:tcPr>
          <w:p w:rsidR="00324BB3" w:rsidRDefault="00324BB3">
            <w:pPr>
              <w:spacing w:after="0"/>
              <w:jc w:val="right"/>
              <w:rPr>
                <w:rFonts w:cs="Arial"/>
                <w:color w:val="000000"/>
                <w:sz w:val="18"/>
                <w:szCs w:val="18"/>
                <w:lang w:eastAsia="es-MX"/>
              </w:rPr>
            </w:pPr>
            <w:r>
              <w:rPr>
                <w:rFonts w:cs="Arial"/>
                <w:color w:val="000000"/>
                <w:sz w:val="18"/>
                <w:szCs w:val="18"/>
                <w:lang w:eastAsia="es-MX"/>
              </w:rPr>
              <w:t>14,528,816</w:t>
            </w:r>
          </w:p>
        </w:tc>
      </w:tr>
      <w:tr w:rsidR="00324BB3" w:rsidTr="00324BB3">
        <w:trPr>
          <w:trHeight w:val="318"/>
          <w:jc w:val="center"/>
        </w:trPr>
        <w:tc>
          <w:tcPr>
            <w:tcW w:w="0" w:type="auto"/>
            <w:tcBorders>
              <w:top w:val="single" w:sz="12" w:space="0" w:color="76923C"/>
              <w:left w:val="nil"/>
              <w:bottom w:val="single" w:sz="12" w:space="0" w:color="76923C"/>
              <w:right w:val="nil"/>
            </w:tcBorders>
            <w:hideMark/>
          </w:tcPr>
          <w:p w:rsidR="00324BB3" w:rsidRDefault="00324BB3">
            <w:pPr>
              <w:spacing w:after="0"/>
              <w:jc w:val="center"/>
              <w:rPr>
                <w:rFonts w:cs="Arial"/>
                <w:b/>
                <w:bCs/>
                <w:color w:val="000000"/>
                <w:sz w:val="18"/>
                <w:szCs w:val="18"/>
                <w:lang w:eastAsia="es-MX"/>
              </w:rPr>
            </w:pPr>
            <w:r>
              <w:rPr>
                <w:rFonts w:cs="Arial"/>
                <w:b/>
                <w:bCs/>
                <w:color w:val="000000"/>
                <w:sz w:val="18"/>
                <w:szCs w:val="18"/>
                <w:lang w:eastAsia="es-MX"/>
              </w:rPr>
              <w:t>TOTAL</w:t>
            </w:r>
          </w:p>
        </w:tc>
        <w:tc>
          <w:tcPr>
            <w:tcW w:w="0" w:type="auto"/>
            <w:tcBorders>
              <w:top w:val="single" w:sz="12" w:space="0" w:color="76923C"/>
              <w:left w:val="nil"/>
              <w:bottom w:val="single" w:sz="12" w:space="0" w:color="76923C"/>
              <w:right w:val="nil"/>
            </w:tcBorders>
            <w:hideMark/>
          </w:tcPr>
          <w:p w:rsidR="00324BB3" w:rsidRDefault="00324BB3">
            <w:pPr>
              <w:spacing w:after="0"/>
              <w:jc w:val="right"/>
              <w:rPr>
                <w:rFonts w:cs="Arial"/>
                <w:b/>
                <w:bCs/>
                <w:color w:val="000000"/>
                <w:sz w:val="18"/>
                <w:szCs w:val="18"/>
                <w:lang w:eastAsia="es-MX"/>
              </w:rPr>
            </w:pPr>
            <w:r>
              <w:rPr>
                <w:rFonts w:cs="Arial"/>
                <w:b/>
                <w:bCs/>
                <w:color w:val="000000"/>
                <w:sz w:val="18"/>
                <w:szCs w:val="18"/>
                <w:lang w:eastAsia="es-MX"/>
              </w:rPr>
              <w:t>52,991,706</w:t>
            </w:r>
          </w:p>
        </w:tc>
      </w:tr>
    </w:tbl>
    <w:p w:rsidR="00324BB3" w:rsidRDefault="00324BB3" w:rsidP="00324BB3">
      <w:pPr>
        <w:jc w:val="both"/>
        <w:rPr>
          <w:rFonts w:ascii="Calibri" w:hAnsi="Calibri" w:cs="Arial"/>
          <w:sz w:val="20"/>
          <w:szCs w:val="20"/>
        </w:rPr>
      </w:pPr>
      <w:r>
        <w:rPr>
          <w:rFonts w:cs="Arial"/>
          <w:sz w:val="20"/>
          <w:szCs w:val="20"/>
        </w:rPr>
        <w:t>Los activos adquiridos con recursos del FAM 2005, 2006, 2007 y 2008, así como la regularización de los  activos del presupuesto del 2007 no se encuentran revelados en los Estados financieros debido a que el IDEFEY (antes ICEMAREY) ejerció dichos recursos sin haber realizado la transferencia de la propiedad de los activos a la institución y la documentación comprobatoria se encuentra a nombre de este organismo. Se encuentra integrado de los siguientes importes:</w:t>
      </w:r>
    </w:p>
    <w:tbl>
      <w:tblPr>
        <w:tblW w:w="0" w:type="auto"/>
        <w:jc w:val="center"/>
        <w:tblCellMar>
          <w:left w:w="70" w:type="dxa"/>
          <w:right w:w="70" w:type="dxa"/>
        </w:tblCellMar>
        <w:tblLook w:val="04A0" w:firstRow="1" w:lastRow="0" w:firstColumn="1" w:lastColumn="0" w:noHBand="0" w:noVBand="1"/>
      </w:tblPr>
      <w:tblGrid>
        <w:gridCol w:w="626"/>
        <w:gridCol w:w="1155"/>
      </w:tblGrid>
      <w:tr w:rsidR="00324BB3" w:rsidTr="00324BB3">
        <w:trPr>
          <w:trHeight w:val="284"/>
          <w:jc w:val="center"/>
        </w:trPr>
        <w:tc>
          <w:tcPr>
            <w:tcW w:w="0" w:type="auto"/>
            <w:tcBorders>
              <w:top w:val="single" w:sz="12" w:space="0" w:color="008000"/>
              <w:left w:val="nil"/>
              <w:bottom w:val="single" w:sz="8" w:space="0" w:color="008000"/>
              <w:right w:val="nil"/>
            </w:tcBorders>
            <w:vAlign w:val="center"/>
            <w:hideMark/>
          </w:tcPr>
          <w:p w:rsidR="00324BB3" w:rsidRDefault="00324BB3">
            <w:pPr>
              <w:spacing w:after="0" w:line="240" w:lineRule="auto"/>
              <w:jc w:val="center"/>
              <w:rPr>
                <w:rFonts w:cs="Arial"/>
                <w:b/>
                <w:bCs/>
                <w:color w:val="000000"/>
                <w:sz w:val="18"/>
                <w:szCs w:val="18"/>
              </w:rPr>
            </w:pPr>
            <w:r>
              <w:rPr>
                <w:rFonts w:cs="Arial"/>
                <w:b/>
                <w:bCs/>
                <w:sz w:val="18"/>
                <w:szCs w:val="18"/>
                <w:lang w:eastAsia="es-MX"/>
              </w:rPr>
              <w:t>AÑO</w:t>
            </w:r>
          </w:p>
        </w:tc>
        <w:tc>
          <w:tcPr>
            <w:tcW w:w="0" w:type="auto"/>
            <w:tcBorders>
              <w:top w:val="single" w:sz="12" w:space="0" w:color="008000"/>
              <w:left w:val="nil"/>
              <w:bottom w:val="single" w:sz="8" w:space="0" w:color="008000"/>
              <w:right w:val="nil"/>
            </w:tcBorders>
            <w:vAlign w:val="center"/>
            <w:hideMark/>
          </w:tcPr>
          <w:p w:rsidR="00324BB3" w:rsidRDefault="00324BB3">
            <w:pPr>
              <w:spacing w:after="0" w:line="240" w:lineRule="auto"/>
              <w:jc w:val="center"/>
              <w:rPr>
                <w:rFonts w:cs="Arial"/>
                <w:b/>
                <w:bCs/>
                <w:color w:val="000000"/>
                <w:sz w:val="18"/>
                <w:szCs w:val="18"/>
              </w:rPr>
            </w:pPr>
            <w:r>
              <w:rPr>
                <w:rFonts w:cs="Arial"/>
                <w:b/>
                <w:bCs/>
                <w:color w:val="000000"/>
                <w:sz w:val="18"/>
                <w:szCs w:val="18"/>
              </w:rPr>
              <w:t>ACTIVOS POR</w:t>
            </w:r>
          </w:p>
          <w:p w:rsidR="00324BB3" w:rsidRDefault="00324BB3">
            <w:pPr>
              <w:spacing w:after="0" w:line="240" w:lineRule="auto"/>
              <w:jc w:val="center"/>
              <w:rPr>
                <w:rFonts w:cs="Arial"/>
                <w:b/>
                <w:bCs/>
                <w:color w:val="000000"/>
                <w:sz w:val="18"/>
                <w:szCs w:val="18"/>
              </w:rPr>
            </w:pPr>
            <w:r>
              <w:rPr>
                <w:rFonts w:cs="Arial"/>
                <w:b/>
                <w:bCs/>
                <w:color w:val="000000"/>
                <w:sz w:val="18"/>
                <w:szCs w:val="18"/>
              </w:rPr>
              <w:t>REGISTRAR</w:t>
            </w:r>
          </w:p>
        </w:tc>
      </w:tr>
      <w:tr w:rsidR="00324BB3" w:rsidTr="00324BB3">
        <w:trPr>
          <w:trHeight w:val="284"/>
          <w:jc w:val="center"/>
        </w:trPr>
        <w:tc>
          <w:tcPr>
            <w:tcW w:w="0" w:type="auto"/>
            <w:hideMark/>
          </w:tcPr>
          <w:p w:rsidR="00324BB3" w:rsidRDefault="00324BB3">
            <w:pPr>
              <w:spacing w:after="0" w:line="240" w:lineRule="auto"/>
              <w:jc w:val="both"/>
              <w:rPr>
                <w:rFonts w:cs="Arial"/>
                <w:color w:val="000000"/>
                <w:sz w:val="18"/>
                <w:szCs w:val="18"/>
              </w:rPr>
            </w:pPr>
            <w:r>
              <w:rPr>
                <w:rFonts w:cs="Arial"/>
                <w:color w:val="000000"/>
                <w:sz w:val="18"/>
                <w:szCs w:val="18"/>
              </w:rPr>
              <w:t>2005</w:t>
            </w:r>
          </w:p>
        </w:tc>
        <w:tc>
          <w:tcPr>
            <w:tcW w:w="0" w:type="auto"/>
            <w:hideMark/>
          </w:tcPr>
          <w:p w:rsidR="00324BB3" w:rsidRDefault="00324BB3">
            <w:pPr>
              <w:spacing w:after="0" w:line="240" w:lineRule="auto"/>
              <w:jc w:val="right"/>
              <w:rPr>
                <w:rFonts w:cs="Arial"/>
                <w:color w:val="000000"/>
                <w:sz w:val="18"/>
                <w:szCs w:val="18"/>
              </w:rPr>
            </w:pPr>
            <w:r>
              <w:rPr>
                <w:rFonts w:cs="Arial"/>
                <w:color w:val="000000"/>
                <w:sz w:val="18"/>
                <w:szCs w:val="18"/>
              </w:rPr>
              <w:t>18,516,300</w:t>
            </w:r>
          </w:p>
        </w:tc>
      </w:tr>
      <w:tr w:rsidR="00324BB3" w:rsidTr="00324BB3">
        <w:trPr>
          <w:trHeight w:val="284"/>
          <w:jc w:val="center"/>
        </w:trPr>
        <w:tc>
          <w:tcPr>
            <w:tcW w:w="0" w:type="auto"/>
            <w:hideMark/>
          </w:tcPr>
          <w:p w:rsidR="00324BB3" w:rsidRDefault="00324BB3">
            <w:pPr>
              <w:spacing w:after="0" w:line="240" w:lineRule="auto"/>
              <w:jc w:val="both"/>
              <w:rPr>
                <w:rFonts w:cs="Arial"/>
                <w:color w:val="000000"/>
                <w:sz w:val="18"/>
                <w:szCs w:val="18"/>
              </w:rPr>
            </w:pPr>
            <w:r>
              <w:rPr>
                <w:rFonts w:cs="Arial"/>
                <w:color w:val="000000"/>
                <w:sz w:val="18"/>
                <w:szCs w:val="18"/>
              </w:rPr>
              <w:t>2006</w:t>
            </w:r>
          </w:p>
        </w:tc>
        <w:tc>
          <w:tcPr>
            <w:tcW w:w="0" w:type="auto"/>
            <w:hideMark/>
          </w:tcPr>
          <w:p w:rsidR="00324BB3" w:rsidRDefault="00324BB3">
            <w:pPr>
              <w:spacing w:after="0" w:line="240" w:lineRule="auto"/>
              <w:jc w:val="right"/>
              <w:rPr>
                <w:rFonts w:cs="Arial"/>
                <w:color w:val="000000"/>
                <w:sz w:val="18"/>
                <w:szCs w:val="18"/>
              </w:rPr>
            </w:pPr>
            <w:r>
              <w:rPr>
                <w:rFonts w:cs="Arial"/>
                <w:color w:val="000000"/>
                <w:sz w:val="18"/>
                <w:szCs w:val="18"/>
              </w:rPr>
              <w:t>23,072,000</w:t>
            </w:r>
          </w:p>
        </w:tc>
      </w:tr>
      <w:tr w:rsidR="00324BB3" w:rsidTr="00324BB3">
        <w:trPr>
          <w:trHeight w:val="284"/>
          <w:jc w:val="center"/>
        </w:trPr>
        <w:tc>
          <w:tcPr>
            <w:tcW w:w="0" w:type="auto"/>
            <w:hideMark/>
          </w:tcPr>
          <w:p w:rsidR="00324BB3" w:rsidRDefault="00324BB3">
            <w:pPr>
              <w:spacing w:after="0" w:line="240" w:lineRule="auto"/>
              <w:jc w:val="both"/>
              <w:rPr>
                <w:rFonts w:cs="Arial"/>
                <w:color w:val="000000"/>
                <w:sz w:val="18"/>
                <w:szCs w:val="18"/>
              </w:rPr>
            </w:pPr>
            <w:r>
              <w:rPr>
                <w:rFonts w:cs="Arial"/>
                <w:color w:val="000000"/>
                <w:sz w:val="18"/>
                <w:szCs w:val="18"/>
              </w:rPr>
              <w:t>2007</w:t>
            </w:r>
          </w:p>
        </w:tc>
        <w:tc>
          <w:tcPr>
            <w:tcW w:w="0" w:type="auto"/>
            <w:hideMark/>
          </w:tcPr>
          <w:p w:rsidR="00324BB3" w:rsidRDefault="00324BB3">
            <w:pPr>
              <w:spacing w:after="0" w:line="240" w:lineRule="auto"/>
              <w:jc w:val="right"/>
              <w:rPr>
                <w:rFonts w:cs="Arial"/>
                <w:color w:val="000000"/>
                <w:sz w:val="18"/>
                <w:szCs w:val="18"/>
              </w:rPr>
            </w:pPr>
            <w:r>
              <w:rPr>
                <w:rFonts w:cs="Arial"/>
                <w:color w:val="000000"/>
                <w:sz w:val="18"/>
                <w:szCs w:val="18"/>
              </w:rPr>
              <w:t>3,000,000</w:t>
            </w:r>
          </w:p>
        </w:tc>
      </w:tr>
      <w:tr w:rsidR="00324BB3" w:rsidTr="00324BB3">
        <w:trPr>
          <w:trHeight w:val="284"/>
          <w:jc w:val="center"/>
        </w:trPr>
        <w:tc>
          <w:tcPr>
            <w:tcW w:w="0" w:type="auto"/>
            <w:hideMark/>
          </w:tcPr>
          <w:p w:rsidR="00324BB3" w:rsidRDefault="00324BB3">
            <w:pPr>
              <w:spacing w:after="0" w:line="240" w:lineRule="auto"/>
              <w:jc w:val="both"/>
              <w:rPr>
                <w:rFonts w:cs="Arial"/>
                <w:color w:val="000000"/>
                <w:sz w:val="18"/>
                <w:szCs w:val="18"/>
              </w:rPr>
            </w:pPr>
            <w:r>
              <w:rPr>
                <w:rFonts w:cs="Arial"/>
                <w:color w:val="000000"/>
                <w:sz w:val="18"/>
                <w:szCs w:val="18"/>
              </w:rPr>
              <w:lastRenderedPageBreak/>
              <w:t>2008</w:t>
            </w:r>
          </w:p>
        </w:tc>
        <w:tc>
          <w:tcPr>
            <w:tcW w:w="0" w:type="auto"/>
            <w:hideMark/>
          </w:tcPr>
          <w:p w:rsidR="00324BB3" w:rsidRDefault="00324BB3">
            <w:pPr>
              <w:spacing w:after="0" w:line="240" w:lineRule="auto"/>
              <w:jc w:val="right"/>
              <w:rPr>
                <w:rFonts w:cs="Arial"/>
                <w:color w:val="000000"/>
                <w:sz w:val="18"/>
                <w:szCs w:val="18"/>
              </w:rPr>
            </w:pPr>
            <w:r>
              <w:rPr>
                <w:rFonts w:cs="Arial"/>
                <w:color w:val="000000"/>
                <w:sz w:val="18"/>
                <w:szCs w:val="18"/>
              </w:rPr>
              <w:t>19,000,000</w:t>
            </w:r>
          </w:p>
        </w:tc>
      </w:tr>
      <w:tr w:rsidR="00324BB3" w:rsidTr="00324BB3">
        <w:trPr>
          <w:trHeight w:val="284"/>
          <w:jc w:val="center"/>
        </w:trPr>
        <w:tc>
          <w:tcPr>
            <w:tcW w:w="0" w:type="auto"/>
            <w:tcBorders>
              <w:top w:val="single" w:sz="8" w:space="0" w:color="008000"/>
              <w:left w:val="nil"/>
              <w:bottom w:val="single" w:sz="12" w:space="0" w:color="008000"/>
              <w:right w:val="nil"/>
            </w:tcBorders>
            <w:hideMark/>
          </w:tcPr>
          <w:p w:rsidR="00324BB3" w:rsidRDefault="00324BB3">
            <w:pPr>
              <w:spacing w:after="0" w:line="240" w:lineRule="auto"/>
              <w:jc w:val="both"/>
              <w:rPr>
                <w:rFonts w:cs="Arial"/>
                <w:b/>
                <w:bCs/>
                <w:color w:val="000000"/>
                <w:sz w:val="18"/>
                <w:szCs w:val="18"/>
              </w:rPr>
            </w:pPr>
            <w:r>
              <w:rPr>
                <w:rFonts w:cs="Arial"/>
                <w:b/>
                <w:bCs/>
                <w:color w:val="000000"/>
                <w:sz w:val="18"/>
                <w:szCs w:val="18"/>
              </w:rPr>
              <w:t>TOTAL</w:t>
            </w:r>
          </w:p>
        </w:tc>
        <w:tc>
          <w:tcPr>
            <w:tcW w:w="0" w:type="auto"/>
            <w:tcBorders>
              <w:top w:val="single" w:sz="8" w:space="0" w:color="008000"/>
              <w:left w:val="nil"/>
              <w:bottom w:val="single" w:sz="12" w:space="0" w:color="008000"/>
              <w:right w:val="nil"/>
            </w:tcBorders>
            <w:hideMark/>
          </w:tcPr>
          <w:p w:rsidR="00324BB3" w:rsidRDefault="00324BB3">
            <w:pPr>
              <w:spacing w:after="0" w:line="240" w:lineRule="auto"/>
              <w:jc w:val="right"/>
              <w:rPr>
                <w:rFonts w:cs="Arial"/>
                <w:b/>
                <w:bCs/>
                <w:color w:val="000000"/>
                <w:sz w:val="18"/>
                <w:szCs w:val="18"/>
              </w:rPr>
            </w:pPr>
            <w:r>
              <w:rPr>
                <w:rFonts w:cs="Arial"/>
                <w:b/>
                <w:bCs/>
                <w:color w:val="000000"/>
                <w:sz w:val="18"/>
                <w:szCs w:val="18"/>
              </w:rPr>
              <w:t>63,588,300</w:t>
            </w:r>
          </w:p>
        </w:tc>
      </w:tr>
    </w:tbl>
    <w:p w:rsidR="00324BB3" w:rsidRDefault="00324BB3" w:rsidP="00324BB3">
      <w:pPr>
        <w:spacing w:after="0"/>
        <w:jc w:val="both"/>
        <w:rPr>
          <w:rFonts w:ascii="Calibri" w:hAnsi="Calibri" w:cs="Arial"/>
          <w:sz w:val="18"/>
          <w:szCs w:val="18"/>
        </w:rPr>
      </w:pPr>
    </w:p>
    <w:p w:rsidR="00324BB3" w:rsidRDefault="00324BB3" w:rsidP="00324BB3">
      <w:pPr>
        <w:pStyle w:val="Piedepgina"/>
        <w:jc w:val="both"/>
        <w:rPr>
          <w:rFonts w:ascii="Calibri" w:hAnsi="Calibri" w:cs="Arial"/>
          <w:sz w:val="20"/>
          <w:szCs w:val="20"/>
        </w:rPr>
      </w:pPr>
      <w:r>
        <w:rPr>
          <w:rFonts w:ascii="Calibri" w:hAnsi="Calibri" w:cs="Arial"/>
          <w:sz w:val="20"/>
          <w:szCs w:val="20"/>
        </w:rPr>
        <w:tab/>
      </w:r>
    </w:p>
    <w:p w:rsidR="00324BB3" w:rsidRDefault="00324BB3" w:rsidP="00324BB3">
      <w:pPr>
        <w:jc w:val="both"/>
        <w:rPr>
          <w:rFonts w:ascii="Calibri" w:hAnsi="Calibri" w:cs="Arial"/>
          <w:sz w:val="20"/>
          <w:szCs w:val="20"/>
        </w:rPr>
      </w:pPr>
      <w:r>
        <w:rPr>
          <w:rFonts w:cs="Arial"/>
          <w:sz w:val="20"/>
          <w:szCs w:val="20"/>
        </w:rPr>
        <w:t>La depreciación correspondiente al mes de Marzo es por la cantidad de $ 558,884.67 y el monto acumulado a Marzo de 2017 es $ 107,611,374.76  esta se realiza de manera mensual utilizando las siguientes tasas de depreciación para los bienes adquiridos del 2012 y años anteriores, de acuerdo con la Ley del Impuesto Sobre la Renta y para los bienes adquiridos a partir del año 2013 se utiliza la “Guía de vida útil estimada y porcentajes de depreciación” emitida por el CONAC y publicada en el Diario Oficial de la Federación el 15 de Agosto de 2012.</w:t>
      </w:r>
    </w:p>
    <w:tbl>
      <w:tblPr>
        <w:tblW w:w="0" w:type="auto"/>
        <w:jc w:val="center"/>
        <w:tblBorders>
          <w:top w:val="single" w:sz="12" w:space="0" w:color="008000"/>
          <w:bottom w:val="single" w:sz="12" w:space="0" w:color="008000"/>
        </w:tblBorders>
        <w:tblLook w:val="01E0" w:firstRow="1" w:lastRow="1" w:firstColumn="1" w:lastColumn="1" w:noHBand="0" w:noVBand="0"/>
      </w:tblPr>
      <w:tblGrid>
        <w:gridCol w:w="2827"/>
        <w:gridCol w:w="609"/>
      </w:tblGrid>
      <w:tr w:rsidR="00324BB3" w:rsidTr="00324BB3">
        <w:trPr>
          <w:jc w:val="center"/>
        </w:trPr>
        <w:tc>
          <w:tcPr>
            <w:tcW w:w="0" w:type="auto"/>
            <w:tcBorders>
              <w:top w:val="single" w:sz="12" w:space="0" w:color="008000"/>
              <w:left w:val="nil"/>
              <w:bottom w:val="single" w:sz="6" w:space="0" w:color="008000"/>
              <w:right w:val="nil"/>
            </w:tcBorders>
            <w:hideMark/>
          </w:tcPr>
          <w:p w:rsidR="00324BB3" w:rsidRDefault="00324BB3">
            <w:pPr>
              <w:spacing w:after="0"/>
              <w:jc w:val="both"/>
              <w:rPr>
                <w:rFonts w:cs="Arial"/>
                <w:b/>
                <w:sz w:val="18"/>
                <w:szCs w:val="18"/>
              </w:rPr>
            </w:pPr>
            <w:r>
              <w:rPr>
                <w:rFonts w:cs="Arial"/>
                <w:b/>
                <w:sz w:val="18"/>
                <w:szCs w:val="18"/>
              </w:rPr>
              <w:t>ACTIVO</w:t>
            </w:r>
          </w:p>
        </w:tc>
        <w:tc>
          <w:tcPr>
            <w:tcW w:w="0" w:type="auto"/>
            <w:tcBorders>
              <w:top w:val="single" w:sz="12" w:space="0" w:color="008000"/>
              <w:left w:val="nil"/>
              <w:bottom w:val="single" w:sz="6" w:space="0" w:color="008000"/>
              <w:right w:val="nil"/>
            </w:tcBorders>
            <w:hideMark/>
          </w:tcPr>
          <w:p w:rsidR="00324BB3" w:rsidRDefault="00324BB3">
            <w:pPr>
              <w:spacing w:after="0"/>
              <w:jc w:val="both"/>
              <w:rPr>
                <w:rFonts w:cs="Arial"/>
                <w:b/>
                <w:sz w:val="18"/>
                <w:szCs w:val="18"/>
              </w:rPr>
            </w:pPr>
            <w:r>
              <w:rPr>
                <w:rFonts w:cs="Arial"/>
                <w:b/>
                <w:sz w:val="18"/>
                <w:szCs w:val="18"/>
              </w:rPr>
              <w:t>TASA</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Edificios</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5%</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Maquinaria y Equipo Diverso</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Equipo Educacional y Recreativo</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color w:val="000000"/>
                <w:sz w:val="18"/>
                <w:szCs w:val="18"/>
              </w:rPr>
            </w:pPr>
            <w:r>
              <w:rPr>
                <w:rFonts w:cs="Arial"/>
                <w:color w:val="000000"/>
                <w:sz w:val="18"/>
                <w:szCs w:val="18"/>
              </w:rPr>
              <w:t>Mobiliario y Equipo de oficina</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Equipo de administración</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Herramientas y maquinaria</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Equipo y Aparatos de comunicación</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Maquinaria y equipo eléctrico</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Maquinaria y equipo de seguridad</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10%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Bienes Informáticos</w:t>
            </w:r>
          </w:p>
        </w:tc>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30%</w:t>
            </w:r>
          </w:p>
        </w:tc>
      </w:tr>
      <w:tr w:rsidR="00324BB3" w:rsidTr="00324BB3">
        <w:trPr>
          <w:jc w:val="center"/>
        </w:trPr>
        <w:tc>
          <w:tcPr>
            <w:tcW w:w="0" w:type="auto"/>
            <w:tcBorders>
              <w:top w:val="nil"/>
              <w:left w:val="nil"/>
              <w:bottom w:val="nil"/>
              <w:right w:val="nil"/>
            </w:tcBorders>
            <w:hideMark/>
          </w:tcPr>
          <w:p w:rsidR="00324BB3" w:rsidRDefault="00324BB3">
            <w:pPr>
              <w:spacing w:after="0"/>
              <w:jc w:val="both"/>
              <w:rPr>
                <w:rFonts w:cs="Arial"/>
                <w:sz w:val="18"/>
                <w:szCs w:val="18"/>
              </w:rPr>
            </w:pPr>
            <w:r>
              <w:rPr>
                <w:rFonts w:cs="Arial"/>
                <w:sz w:val="18"/>
                <w:szCs w:val="18"/>
              </w:rPr>
              <w:t>Vehículos y equipo terrestre</w:t>
            </w:r>
          </w:p>
        </w:tc>
        <w:tc>
          <w:tcPr>
            <w:tcW w:w="0" w:type="auto"/>
            <w:tcBorders>
              <w:top w:val="nil"/>
              <w:left w:val="nil"/>
              <w:bottom w:val="nil"/>
              <w:right w:val="nil"/>
            </w:tcBorders>
            <w:hideMark/>
          </w:tcPr>
          <w:p w:rsidR="00324BB3" w:rsidRDefault="00324BB3">
            <w:pPr>
              <w:spacing w:after="0"/>
              <w:jc w:val="both"/>
              <w:rPr>
                <w:rFonts w:cs="Arial"/>
                <w:color w:val="000000"/>
                <w:sz w:val="18"/>
                <w:szCs w:val="18"/>
              </w:rPr>
            </w:pPr>
            <w:r>
              <w:rPr>
                <w:rFonts w:cs="Arial"/>
                <w:color w:val="000000"/>
                <w:sz w:val="18"/>
                <w:szCs w:val="18"/>
              </w:rPr>
              <w:t>25%</w:t>
            </w:r>
          </w:p>
        </w:tc>
      </w:tr>
      <w:tr w:rsidR="00324BB3" w:rsidTr="00324BB3">
        <w:trPr>
          <w:jc w:val="center"/>
        </w:trPr>
        <w:tc>
          <w:tcPr>
            <w:tcW w:w="0" w:type="auto"/>
            <w:tcBorders>
              <w:top w:val="nil"/>
              <w:left w:val="nil"/>
              <w:bottom w:val="single" w:sz="12" w:space="0" w:color="008000"/>
              <w:right w:val="nil"/>
            </w:tcBorders>
          </w:tcPr>
          <w:p w:rsidR="00324BB3" w:rsidRDefault="00324BB3">
            <w:pPr>
              <w:spacing w:after="0"/>
              <w:jc w:val="both"/>
              <w:rPr>
                <w:rFonts w:cs="Arial"/>
                <w:sz w:val="18"/>
                <w:szCs w:val="18"/>
              </w:rPr>
            </w:pPr>
          </w:p>
        </w:tc>
        <w:tc>
          <w:tcPr>
            <w:tcW w:w="0" w:type="auto"/>
            <w:tcBorders>
              <w:top w:val="nil"/>
              <w:left w:val="nil"/>
              <w:bottom w:val="single" w:sz="12" w:space="0" w:color="008000"/>
              <w:right w:val="nil"/>
            </w:tcBorders>
          </w:tcPr>
          <w:p w:rsidR="00324BB3" w:rsidRDefault="00324BB3">
            <w:pPr>
              <w:spacing w:after="0"/>
              <w:jc w:val="both"/>
              <w:rPr>
                <w:rFonts w:cs="Arial"/>
                <w:color w:val="000000"/>
                <w:sz w:val="18"/>
                <w:szCs w:val="18"/>
              </w:rPr>
            </w:pPr>
          </w:p>
        </w:tc>
      </w:tr>
    </w:tbl>
    <w:p w:rsidR="00324BB3" w:rsidRDefault="00324BB3" w:rsidP="00324BB3">
      <w:pPr>
        <w:ind w:firstLine="708"/>
        <w:jc w:val="both"/>
        <w:rPr>
          <w:rFonts w:ascii="Calibri" w:hAnsi="Calibri" w:cs="Arial"/>
          <w:sz w:val="20"/>
          <w:szCs w:val="20"/>
        </w:rPr>
      </w:pPr>
      <w:r>
        <w:rPr>
          <w:rFonts w:cs="Arial"/>
          <w:sz w:val="20"/>
          <w:szCs w:val="20"/>
        </w:rPr>
        <w:t>La amortización acumulada de activos intangibles al mes de Marzo de 2017 es por la cantidad de $ 464,352.52 esta se realiza de manera mensual utilizado las siguientes tasas de amortización de acuerdo a la “Guía de vida útil estimada y porcentajes de depreciación” emitida por el CONAC y publicada en el Diario Oficial de la Federación el 15 de Agosto de 2012.</w:t>
      </w:r>
    </w:p>
    <w:p w:rsidR="00324BB3" w:rsidRDefault="00324BB3" w:rsidP="00324BB3">
      <w:pPr>
        <w:ind w:firstLine="708"/>
        <w:jc w:val="both"/>
        <w:rPr>
          <w:rFonts w:cs="Arial"/>
          <w:sz w:val="20"/>
          <w:szCs w:val="20"/>
        </w:rPr>
      </w:pPr>
    </w:p>
    <w:tbl>
      <w:tblPr>
        <w:tblW w:w="3264" w:type="dxa"/>
        <w:jc w:val="center"/>
        <w:tblInd w:w="628" w:type="dxa"/>
        <w:tblCellMar>
          <w:left w:w="70" w:type="dxa"/>
          <w:right w:w="70" w:type="dxa"/>
        </w:tblCellMar>
        <w:tblLook w:val="04A0" w:firstRow="1" w:lastRow="0" w:firstColumn="1" w:lastColumn="0" w:noHBand="0" w:noVBand="1"/>
      </w:tblPr>
      <w:tblGrid>
        <w:gridCol w:w="2447"/>
        <w:gridCol w:w="817"/>
      </w:tblGrid>
      <w:tr w:rsidR="00324BB3" w:rsidTr="00324BB3">
        <w:trPr>
          <w:trHeight w:val="346"/>
          <w:jc w:val="center"/>
        </w:trPr>
        <w:tc>
          <w:tcPr>
            <w:tcW w:w="2447" w:type="dxa"/>
            <w:tcBorders>
              <w:top w:val="single" w:sz="12" w:space="0" w:color="008000"/>
              <w:left w:val="nil"/>
              <w:bottom w:val="single" w:sz="8" w:space="0" w:color="008000"/>
              <w:right w:val="nil"/>
            </w:tcBorders>
            <w:hideMark/>
          </w:tcPr>
          <w:p w:rsidR="00324BB3" w:rsidRDefault="00324BB3">
            <w:pPr>
              <w:spacing w:after="0"/>
              <w:jc w:val="both"/>
              <w:rPr>
                <w:rFonts w:cs="Arial"/>
                <w:b/>
                <w:bCs/>
                <w:sz w:val="18"/>
                <w:szCs w:val="18"/>
                <w:lang w:eastAsia="es-MX"/>
              </w:rPr>
            </w:pPr>
            <w:r>
              <w:rPr>
                <w:rFonts w:cs="Arial"/>
                <w:b/>
                <w:bCs/>
                <w:sz w:val="18"/>
                <w:szCs w:val="18"/>
                <w:lang w:eastAsia="es-MX"/>
              </w:rPr>
              <w:lastRenderedPageBreak/>
              <w:t>ACTIVOS INTANGIBLES</w:t>
            </w:r>
          </w:p>
        </w:tc>
        <w:tc>
          <w:tcPr>
            <w:tcW w:w="817" w:type="dxa"/>
            <w:tcBorders>
              <w:top w:val="single" w:sz="12" w:space="0" w:color="008000"/>
              <w:left w:val="nil"/>
              <w:bottom w:val="single" w:sz="8" w:space="0" w:color="008000"/>
              <w:right w:val="nil"/>
            </w:tcBorders>
            <w:hideMark/>
          </w:tcPr>
          <w:p w:rsidR="00324BB3" w:rsidRDefault="00324BB3">
            <w:pPr>
              <w:spacing w:after="0"/>
              <w:jc w:val="both"/>
              <w:rPr>
                <w:rFonts w:cs="Arial"/>
                <w:b/>
                <w:bCs/>
                <w:sz w:val="18"/>
                <w:szCs w:val="18"/>
                <w:lang w:eastAsia="es-MX"/>
              </w:rPr>
            </w:pPr>
            <w:r>
              <w:rPr>
                <w:rFonts w:cs="Arial"/>
                <w:b/>
                <w:bCs/>
                <w:sz w:val="18"/>
                <w:szCs w:val="18"/>
                <w:lang w:eastAsia="es-MX"/>
              </w:rPr>
              <w:t>TASA</w:t>
            </w:r>
          </w:p>
        </w:tc>
      </w:tr>
      <w:tr w:rsidR="00324BB3" w:rsidTr="00324BB3">
        <w:trPr>
          <w:trHeight w:val="262"/>
          <w:jc w:val="center"/>
        </w:trPr>
        <w:tc>
          <w:tcPr>
            <w:tcW w:w="2447" w:type="dxa"/>
            <w:tcBorders>
              <w:top w:val="nil"/>
              <w:left w:val="nil"/>
              <w:bottom w:val="single" w:sz="12" w:space="0" w:color="008000"/>
              <w:right w:val="nil"/>
            </w:tcBorders>
            <w:hideMark/>
          </w:tcPr>
          <w:p w:rsidR="00324BB3" w:rsidRDefault="00324BB3">
            <w:pPr>
              <w:spacing w:after="0"/>
              <w:jc w:val="both"/>
              <w:rPr>
                <w:rFonts w:cs="Arial"/>
                <w:sz w:val="18"/>
                <w:szCs w:val="18"/>
                <w:lang w:eastAsia="es-MX"/>
              </w:rPr>
            </w:pPr>
            <w:r>
              <w:rPr>
                <w:rFonts w:cs="Arial"/>
                <w:sz w:val="18"/>
                <w:szCs w:val="18"/>
                <w:lang w:eastAsia="es-MX"/>
              </w:rPr>
              <w:t>Software</w:t>
            </w:r>
          </w:p>
        </w:tc>
        <w:tc>
          <w:tcPr>
            <w:tcW w:w="817" w:type="dxa"/>
            <w:tcBorders>
              <w:top w:val="nil"/>
              <w:left w:val="nil"/>
              <w:bottom w:val="single" w:sz="12" w:space="0" w:color="008000"/>
              <w:right w:val="nil"/>
            </w:tcBorders>
            <w:hideMark/>
          </w:tcPr>
          <w:p w:rsidR="00324BB3" w:rsidRDefault="00324BB3">
            <w:pPr>
              <w:spacing w:after="0"/>
              <w:jc w:val="both"/>
              <w:rPr>
                <w:rFonts w:cs="Arial"/>
                <w:sz w:val="18"/>
                <w:szCs w:val="18"/>
                <w:lang w:eastAsia="es-MX"/>
              </w:rPr>
            </w:pPr>
            <w:r>
              <w:rPr>
                <w:rFonts w:cs="Arial"/>
                <w:sz w:val="18"/>
                <w:szCs w:val="18"/>
                <w:lang w:eastAsia="es-MX"/>
              </w:rPr>
              <w:t>50%</w:t>
            </w:r>
          </w:p>
        </w:tc>
      </w:tr>
    </w:tbl>
    <w:p w:rsidR="00324BB3" w:rsidRDefault="00324BB3" w:rsidP="00324BB3">
      <w:pPr>
        <w:jc w:val="both"/>
        <w:rPr>
          <w:rFonts w:ascii="Calibri" w:hAnsi="Calibri" w:cs="Arial"/>
          <w:b/>
          <w:sz w:val="20"/>
          <w:szCs w:val="20"/>
        </w:rPr>
      </w:pPr>
      <w:r>
        <w:rPr>
          <w:rFonts w:cs="Arial"/>
          <w:b/>
          <w:sz w:val="20"/>
          <w:szCs w:val="20"/>
        </w:rPr>
        <w:t>ESTIMACIONES Y DETERIOROS.</w:t>
      </w:r>
    </w:p>
    <w:p w:rsidR="00324BB3" w:rsidRDefault="00324BB3" w:rsidP="00324BB3">
      <w:pPr>
        <w:ind w:left="720"/>
        <w:jc w:val="both"/>
        <w:rPr>
          <w:rFonts w:cs="Arial"/>
          <w:b/>
          <w:sz w:val="20"/>
          <w:szCs w:val="20"/>
        </w:rPr>
      </w:pPr>
      <w:r>
        <w:rPr>
          <w:rFonts w:cs="Arial"/>
          <w:b/>
          <w:sz w:val="20"/>
          <w:szCs w:val="20"/>
        </w:rPr>
        <w:t>NO APLICA</w:t>
      </w:r>
    </w:p>
    <w:p w:rsidR="00324BB3" w:rsidRDefault="00324BB3" w:rsidP="00324BB3">
      <w:pPr>
        <w:jc w:val="both"/>
        <w:rPr>
          <w:rFonts w:cs="Arial"/>
          <w:b/>
          <w:sz w:val="20"/>
          <w:szCs w:val="20"/>
        </w:rPr>
      </w:pPr>
      <w:r>
        <w:rPr>
          <w:rFonts w:cs="Arial"/>
          <w:b/>
          <w:sz w:val="20"/>
          <w:szCs w:val="20"/>
        </w:rPr>
        <w:t xml:space="preserve">OTROS ACTIVOS. </w:t>
      </w:r>
    </w:p>
    <w:p w:rsidR="00324BB3" w:rsidRDefault="00324BB3" w:rsidP="00324BB3">
      <w:pPr>
        <w:jc w:val="both"/>
        <w:rPr>
          <w:rFonts w:cs="Arial"/>
          <w:b/>
          <w:sz w:val="20"/>
          <w:szCs w:val="20"/>
        </w:rPr>
      </w:pPr>
      <w:r>
        <w:rPr>
          <w:rFonts w:cs="Arial"/>
          <w:b/>
          <w:sz w:val="20"/>
          <w:szCs w:val="20"/>
        </w:rPr>
        <w:t>NO APLICA</w:t>
      </w:r>
    </w:p>
    <w:p w:rsidR="00324BB3" w:rsidRDefault="00324BB3" w:rsidP="00324BB3">
      <w:pPr>
        <w:jc w:val="both"/>
        <w:rPr>
          <w:rFonts w:cs="Arial"/>
          <w:b/>
          <w:sz w:val="20"/>
          <w:szCs w:val="20"/>
        </w:rPr>
      </w:pPr>
      <w:r>
        <w:rPr>
          <w:rFonts w:cs="Arial"/>
          <w:b/>
          <w:sz w:val="20"/>
          <w:szCs w:val="20"/>
        </w:rPr>
        <w:t>PASIVO</w:t>
      </w:r>
    </w:p>
    <w:p w:rsidR="00324BB3" w:rsidRDefault="00324BB3" w:rsidP="00324BB3">
      <w:pPr>
        <w:jc w:val="both"/>
        <w:rPr>
          <w:rFonts w:cs="Arial"/>
          <w:b/>
          <w:sz w:val="20"/>
          <w:szCs w:val="20"/>
        </w:rPr>
      </w:pPr>
      <w:bookmarkStart w:id="3" w:name="OLE_LINK6"/>
      <w:bookmarkStart w:id="4" w:name="OLE_LINK5"/>
      <w:r>
        <w:rPr>
          <w:rFonts w:cs="Arial"/>
          <w:b/>
          <w:sz w:val="20"/>
          <w:szCs w:val="20"/>
        </w:rPr>
        <w:t>Cuentas por Pagar a Corto Plazo</w:t>
      </w:r>
    </w:p>
    <w:p w:rsidR="00324BB3" w:rsidRDefault="00324BB3" w:rsidP="00324BB3">
      <w:pPr>
        <w:jc w:val="both"/>
        <w:rPr>
          <w:rFonts w:cs="Arial"/>
          <w:b/>
          <w:sz w:val="20"/>
          <w:szCs w:val="20"/>
        </w:rPr>
      </w:pPr>
      <w:r>
        <w:rPr>
          <w:rFonts w:cs="Arial"/>
          <w:sz w:val="20"/>
          <w:szCs w:val="20"/>
        </w:rPr>
        <w:t>Esta cuenta se encuentra integrada por los siguientes saldos:</w:t>
      </w:r>
    </w:p>
    <w:p w:rsidR="00324BB3" w:rsidRDefault="00324BB3" w:rsidP="00324BB3">
      <w:pPr>
        <w:jc w:val="both"/>
        <w:rPr>
          <w:rFonts w:cs="Arial"/>
          <w:color w:val="000000"/>
          <w:sz w:val="20"/>
          <w:szCs w:val="20"/>
          <w:lang w:eastAsia="es-MX"/>
        </w:rPr>
      </w:pPr>
      <w:r>
        <w:rPr>
          <w:rFonts w:cs="Arial"/>
          <w:b/>
          <w:bCs/>
          <w:color w:val="000000"/>
          <w:sz w:val="20"/>
          <w:szCs w:val="20"/>
          <w:lang w:eastAsia="es-MX"/>
        </w:rPr>
        <w:t xml:space="preserve">Proveedores Por Pagar A Corto Plazo  </w:t>
      </w:r>
      <w:r>
        <w:rPr>
          <w:rFonts w:cs="Arial"/>
          <w:color w:val="000000"/>
          <w:sz w:val="20"/>
          <w:szCs w:val="20"/>
          <w:lang w:eastAsia="es-MX"/>
        </w:rPr>
        <w:t xml:space="preserve">   $ 3</w:t>
      </w:r>
      <w:proofErr w:type="gramStart"/>
      <w:r>
        <w:rPr>
          <w:rFonts w:cs="Arial"/>
          <w:color w:val="000000"/>
          <w:sz w:val="20"/>
          <w:szCs w:val="20"/>
          <w:lang w:eastAsia="es-MX"/>
        </w:rPr>
        <w:t>,758,457.51</w:t>
      </w:r>
      <w:proofErr w:type="gramEnd"/>
      <w:r>
        <w:rPr>
          <w:rFonts w:cs="Arial"/>
          <w:color w:val="000000"/>
          <w:sz w:val="20"/>
          <w:szCs w:val="20"/>
          <w:lang w:eastAsia="es-MX"/>
        </w:rPr>
        <w:tab/>
      </w:r>
    </w:p>
    <w:p w:rsidR="00324BB3" w:rsidRDefault="00324BB3" w:rsidP="00324BB3">
      <w:pPr>
        <w:jc w:val="both"/>
        <w:rPr>
          <w:rFonts w:cs="Arial"/>
          <w:bCs/>
          <w:color w:val="000000"/>
          <w:sz w:val="20"/>
          <w:szCs w:val="20"/>
          <w:lang w:eastAsia="es-MX"/>
        </w:rPr>
      </w:pPr>
      <w:r>
        <w:rPr>
          <w:rFonts w:cs="Arial"/>
          <w:b/>
          <w:bCs/>
          <w:color w:val="000000"/>
          <w:sz w:val="20"/>
          <w:szCs w:val="20"/>
          <w:lang w:eastAsia="es-MX"/>
        </w:rPr>
        <w:t xml:space="preserve">Transferencias Otorgadas por Pagar a Corto Plazo </w:t>
      </w:r>
      <w:r>
        <w:rPr>
          <w:rFonts w:cs="Arial"/>
          <w:bCs/>
          <w:color w:val="000000"/>
          <w:sz w:val="20"/>
          <w:szCs w:val="20"/>
          <w:lang w:eastAsia="es-MX"/>
        </w:rPr>
        <w:t>$ 63</w:t>
      </w:r>
      <w:proofErr w:type="gramStart"/>
      <w:r>
        <w:rPr>
          <w:rFonts w:cs="Arial"/>
          <w:bCs/>
          <w:color w:val="000000"/>
          <w:sz w:val="20"/>
          <w:szCs w:val="20"/>
          <w:lang w:eastAsia="es-MX"/>
        </w:rPr>
        <w:t>,296,586.72</w:t>
      </w:r>
      <w:proofErr w:type="gramEnd"/>
    </w:p>
    <w:p w:rsidR="00324BB3" w:rsidRDefault="00324BB3" w:rsidP="00324BB3">
      <w:pPr>
        <w:jc w:val="both"/>
        <w:rPr>
          <w:rFonts w:cs="Arial"/>
          <w:sz w:val="20"/>
          <w:szCs w:val="20"/>
        </w:rPr>
      </w:pPr>
      <w:r>
        <w:rPr>
          <w:rFonts w:cs="Arial"/>
          <w:sz w:val="20"/>
          <w:szCs w:val="20"/>
        </w:rPr>
        <w:t>Se refleja en el Estado de Situación Financiera en la cuenta de Transferencias Otorgadas por Pagar a Corto Plazo un saldo pendiente de ejercer del IDEFEY (antes ICEMAREY) por $34,110 del programa UR-514-2000.</w:t>
      </w:r>
    </w:p>
    <w:p w:rsidR="00324BB3" w:rsidRDefault="00324BB3" w:rsidP="00324BB3">
      <w:pPr>
        <w:jc w:val="both"/>
        <w:rPr>
          <w:rFonts w:cs="Arial"/>
          <w:sz w:val="20"/>
          <w:szCs w:val="20"/>
        </w:rPr>
      </w:pPr>
      <w:r>
        <w:rPr>
          <w:rFonts w:cs="Arial"/>
          <w:sz w:val="20"/>
          <w:szCs w:val="20"/>
        </w:rPr>
        <w:t>En lo que respecta a la cuenta del ISSTEY correspondiente al Servicio médico y otras prestaciones de los empleados se encuentra integrado como sigue:</w:t>
      </w:r>
    </w:p>
    <w:tbl>
      <w:tblPr>
        <w:tblW w:w="2400" w:type="dxa"/>
        <w:jc w:val="center"/>
        <w:tblInd w:w="55" w:type="dxa"/>
        <w:tblCellMar>
          <w:left w:w="70" w:type="dxa"/>
          <w:right w:w="70" w:type="dxa"/>
        </w:tblCellMar>
        <w:tblLook w:val="04A0" w:firstRow="1" w:lastRow="0" w:firstColumn="1" w:lastColumn="0" w:noHBand="0" w:noVBand="1"/>
      </w:tblPr>
      <w:tblGrid>
        <w:gridCol w:w="1200"/>
        <w:gridCol w:w="1200"/>
      </w:tblGrid>
      <w:tr w:rsidR="00324BB3" w:rsidTr="00324BB3">
        <w:trPr>
          <w:trHeight w:val="285"/>
          <w:jc w:val="center"/>
        </w:trPr>
        <w:tc>
          <w:tcPr>
            <w:tcW w:w="1200" w:type="dxa"/>
            <w:tcBorders>
              <w:top w:val="single" w:sz="12" w:space="0" w:color="008000"/>
              <w:left w:val="nil"/>
              <w:bottom w:val="single" w:sz="8" w:space="0" w:color="008000"/>
              <w:right w:val="nil"/>
            </w:tcBorders>
            <w:hideMark/>
          </w:tcPr>
          <w:p w:rsidR="00324BB3" w:rsidRDefault="00324BB3">
            <w:pPr>
              <w:spacing w:after="0" w:line="240" w:lineRule="auto"/>
              <w:jc w:val="both"/>
              <w:rPr>
                <w:rFonts w:eastAsia="Times New Roman" w:cs="Arial"/>
                <w:b/>
                <w:bCs/>
                <w:sz w:val="18"/>
                <w:szCs w:val="18"/>
                <w:lang w:eastAsia="es-MX"/>
              </w:rPr>
            </w:pPr>
            <w:r>
              <w:rPr>
                <w:rFonts w:eastAsia="Times New Roman" w:cs="Arial"/>
                <w:b/>
                <w:bCs/>
                <w:sz w:val="18"/>
                <w:szCs w:val="18"/>
                <w:lang w:eastAsia="es-MX"/>
              </w:rPr>
              <w:t>AÑO</w:t>
            </w:r>
          </w:p>
        </w:tc>
        <w:tc>
          <w:tcPr>
            <w:tcW w:w="1200" w:type="dxa"/>
            <w:tcBorders>
              <w:top w:val="single" w:sz="12" w:space="0" w:color="008000"/>
              <w:left w:val="nil"/>
              <w:bottom w:val="single" w:sz="8"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IMPORTE</w:t>
            </w:r>
          </w:p>
        </w:tc>
      </w:tr>
      <w:tr w:rsidR="00324BB3" w:rsidTr="00324BB3">
        <w:trPr>
          <w:trHeight w:val="255"/>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2009</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3,332,521</w:t>
            </w:r>
          </w:p>
        </w:tc>
      </w:tr>
      <w:tr w:rsidR="00324BB3" w:rsidTr="00324BB3">
        <w:trPr>
          <w:trHeight w:val="255"/>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2010</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4,500,977</w:t>
            </w:r>
          </w:p>
        </w:tc>
      </w:tr>
      <w:tr w:rsidR="00324BB3" w:rsidTr="00324BB3">
        <w:trPr>
          <w:trHeight w:val="255"/>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2011</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5,181,232</w:t>
            </w:r>
          </w:p>
        </w:tc>
      </w:tr>
      <w:tr w:rsidR="00324BB3" w:rsidTr="00324BB3">
        <w:trPr>
          <w:trHeight w:val="255"/>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2012</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5,626,853</w:t>
            </w:r>
          </w:p>
        </w:tc>
      </w:tr>
      <w:tr w:rsidR="00324BB3" w:rsidTr="00324BB3">
        <w:trPr>
          <w:trHeight w:val="255"/>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lastRenderedPageBreak/>
              <w:t>2013</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4,898,195</w:t>
            </w:r>
          </w:p>
        </w:tc>
      </w:tr>
      <w:tr w:rsidR="00324BB3" w:rsidTr="00324BB3">
        <w:trPr>
          <w:trHeight w:val="255"/>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2014</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1,928,081</w:t>
            </w:r>
          </w:p>
        </w:tc>
      </w:tr>
      <w:tr w:rsidR="00324BB3" w:rsidTr="00324BB3">
        <w:trPr>
          <w:trHeight w:val="255"/>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2015</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4,076,244</w:t>
            </w:r>
          </w:p>
        </w:tc>
      </w:tr>
      <w:tr w:rsidR="00324BB3" w:rsidTr="00324BB3">
        <w:trPr>
          <w:trHeight w:val="270"/>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2016</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7,064,407</w:t>
            </w:r>
          </w:p>
        </w:tc>
      </w:tr>
      <w:tr w:rsidR="00324BB3" w:rsidTr="00324BB3">
        <w:trPr>
          <w:trHeight w:val="270"/>
          <w:jc w:val="center"/>
        </w:trPr>
        <w:tc>
          <w:tcPr>
            <w:tcW w:w="120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2017</w:t>
            </w:r>
          </w:p>
        </w:tc>
        <w:tc>
          <w:tcPr>
            <w:tcW w:w="120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2,772,445</w:t>
            </w:r>
          </w:p>
        </w:tc>
      </w:tr>
      <w:tr w:rsidR="00324BB3" w:rsidTr="00324BB3">
        <w:trPr>
          <w:trHeight w:val="270"/>
          <w:jc w:val="center"/>
        </w:trPr>
        <w:tc>
          <w:tcPr>
            <w:tcW w:w="1200" w:type="dxa"/>
            <w:tcBorders>
              <w:top w:val="single" w:sz="8" w:space="0" w:color="008000"/>
              <w:left w:val="nil"/>
              <w:bottom w:val="single" w:sz="8" w:space="0" w:color="008000"/>
              <w:right w:val="nil"/>
            </w:tcBorders>
            <w:vAlign w:val="bottom"/>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TOTAL</w:t>
            </w:r>
          </w:p>
        </w:tc>
        <w:tc>
          <w:tcPr>
            <w:tcW w:w="1200" w:type="dxa"/>
            <w:tcBorders>
              <w:top w:val="single" w:sz="8" w:space="0" w:color="008000"/>
              <w:left w:val="nil"/>
              <w:bottom w:val="single" w:sz="8" w:space="0" w:color="008000"/>
              <w:right w:val="nil"/>
            </w:tcBorders>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39,380,955</w:t>
            </w:r>
          </w:p>
        </w:tc>
      </w:tr>
    </w:tbl>
    <w:p w:rsidR="00324BB3" w:rsidRDefault="00324BB3" w:rsidP="00324BB3">
      <w:pPr>
        <w:jc w:val="both"/>
        <w:rPr>
          <w:rFonts w:ascii="Calibri" w:hAnsi="Calibri" w:cs="Arial"/>
          <w:sz w:val="20"/>
          <w:szCs w:val="20"/>
        </w:rPr>
      </w:pPr>
    </w:p>
    <w:p w:rsidR="00324BB3" w:rsidRDefault="00324BB3" w:rsidP="00324BB3">
      <w:pPr>
        <w:jc w:val="both"/>
        <w:rPr>
          <w:rFonts w:cs="Arial"/>
          <w:b/>
          <w:sz w:val="20"/>
          <w:szCs w:val="20"/>
        </w:rPr>
      </w:pPr>
      <w:r>
        <w:rPr>
          <w:rFonts w:cs="Arial"/>
          <w:b/>
          <w:sz w:val="20"/>
          <w:szCs w:val="20"/>
        </w:rPr>
        <w:t>Retenciones y Contribuciones por Pagar Corto Plazo</w:t>
      </w:r>
    </w:p>
    <w:p w:rsidR="00324BB3" w:rsidRDefault="00324BB3" w:rsidP="00324BB3">
      <w:pPr>
        <w:pStyle w:val="Prrafodelista"/>
        <w:numPr>
          <w:ilvl w:val="0"/>
          <w:numId w:val="26"/>
        </w:numPr>
        <w:jc w:val="both"/>
        <w:rPr>
          <w:rFonts w:ascii="Calibri" w:hAnsi="Calibri" w:cs="Arial"/>
          <w:sz w:val="20"/>
          <w:szCs w:val="20"/>
        </w:rPr>
      </w:pPr>
      <w:r>
        <w:rPr>
          <w:rFonts w:ascii="Calibri" w:hAnsi="Calibri" w:cs="Arial"/>
          <w:sz w:val="20"/>
          <w:szCs w:val="20"/>
        </w:rPr>
        <w:t xml:space="preserve">Las retenciones pendientes por enterar en el mes de Marzo de 2017 se encuentran integradas  de la siguiente manera: </w:t>
      </w:r>
    </w:p>
    <w:tbl>
      <w:tblPr>
        <w:tblW w:w="4940" w:type="dxa"/>
        <w:jc w:val="center"/>
        <w:tblInd w:w="55" w:type="dxa"/>
        <w:tblCellMar>
          <w:left w:w="70" w:type="dxa"/>
          <w:right w:w="70" w:type="dxa"/>
        </w:tblCellMar>
        <w:tblLook w:val="04A0" w:firstRow="1" w:lastRow="0" w:firstColumn="1" w:lastColumn="0" w:noHBand="0" w:noVBand="1"/>
      </w:tblPr>
      <w:tblGrid>
        <w:gridCol w:w="3980"/>
        <w:gridCol w:w="960"/>
      </w:tblGrid>
      <w:tr w:rsidR="00324BB3" w:rsidTr="00324BB3">
        <w:trPr>
          <w:trHeight w:val="285"/>
          <w:jc w:val="center"/>
        </w:trPr>
        <w:tc>
          <w:tcPr>
            <w:tcW w:w="3980" w:type="dxa"/>
            <w:tcBorders>
              <w:top w:val="single" w:sz="12" w:space="0" w:color="008000"/>
              <w:left w:val="nil"/>
              <w:bottom w:val="single" w:sz="12" w:space="0" w:color="008000"/>
              <w:right w:val="nil"/>
            </w:tcBorders>
            <w:vAlign w:val="bottom"/>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IMPUESTO POR ENTERAR</w:t>
            </w:r>
          </w:p>
        </w:tc>
        <w:tc>
          <w:tcPr>
            <w:tcW w:w="960" w:type="dxa"/>
            <w:tcBorders>
              <w:top w:val="single" w:sz="12" w:space="0" w:color="008000"/>
              <w:left w:val="nil"/>
              <w:bottom w:val="single" w:sz="12" w:space="0" w:color="008000"/>
              <w:right w:val="nil"/>
            </w:tcBorders>
            <w:vAlign w:val="bottom"/>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IMPORTE</w:t>
            </w:r>
          </w:p>
        </w:tc>
      </w:tr>
      <w:tr w:rsidR="00324BB3" w:rsidTr="00324BB3">
        <w:trPr>
          <w:trHeight w:val="270"/>
          <w:jc w:val="center"/>
        </w:trPr>
        <w:tc>
          <w:tcPr>
            <w:tcW w:w="3980" w:type="dxa"/>
            <w:noWrap/>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ISPT</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2,834,671</w:t>
            </w:r>
          </w:p>
        </w:tc>
      </w:tr>
      <w:tr w:rsidR="00324BB3" w:rsidTr="00324BB3">
        <w:trPr>
          <w:trHeight w:val="255"/>
          <w:jc w:val="center"/>
        </w:trPr>
        <w:tc>
          <w:tcPr>
            <w:tcW w:w="3980" w:type="dxa"/>
            <w:noWrap/>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ISR Retenido a Asimilados</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1,409</w:t>
            </w:r>
          </w:p>
        </w:tc>
      </w:tr>
      <w:tr w:rsidR="00324BB3" w:rsidTr="00324BB3">
        <w:trPr>
          <w:trHeight w:val="255"/>
          <w:jc w:val="center"/>
        </w:trPr>
        <w:tc>
          <w:tcPr>
            <w:tcW w:w="3980" w:type="dxa"/>
            <w:noWrap/>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ISR Honorarios</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70,787</w:t>
            </w:r>
          </w:p>
        </w:tc>
      </w:tr>
      <w:tr w:rsidR="00324BB3" w:rsidTr="00324BB3">
        <w:trPr>
          <w:trHeight w:val="255"/>
          <w:jc w:val="center"/>
        </w:trPr>
        <w:tc>
          <w:tcPr>
            <w:tcW w:w="3980" w:type="dxa"/>
            <w:noWrap/>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IVA Trasladado</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87,073</w:t>
            </w:r>
          </w:p>
        </w:tc>
      </w:tr>
      <w:tr w:rsidR="00324BB3" w:rsidTr="00324BB3">
        <w:trPr>
          <w:trHeight w:val="255"/>
          <w:jc w:val="center"/>
        </w:trPr>
        <w:tc>
          <w:tcPr>
            <w:tcW w:w="3980" w:type="dxa"/>
            <w:noWrap/>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IVA Pendiente por Pagar</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73,364</w:t>
            </w:r>
          </w:p>
        </w:tc>
      </w:tr>
      <w:tr w:rsidR="00324BB3" w:rsidTr="00324BB3">
        <w:trPr>
          <w:trHeight w:val="255"/>
          <w:jc w:val="center"/>
        </w:trPr>
        <w:tc>
          <w:tcPr>
            <w:tcW w:w="3980" w:type="dxa"/>
            <w:noWrap/>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 Sobre Nómina 2008</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704,346</w:t>
            </w:r>
          </w:p>
        </w:tc>
      </w:tr>
      <w:tr w:rsidR="00324BB3" w:rsidTr="00324BB3">
        <w:trPr>
          <w:trHeight w:val="255"/>
          <w:jc w:val="center"/>
        </w:trPr>
        <w:tc>
          <w:tcPr>
            <w:tcW w:w="3980" w:type="dxa"/>
            <w:noWrap/>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 Sobre Nómina 2009</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792,889</w:t>
            </w:r>
          </w:p>
        </w:tc>
      </w:tr>
      <w:tr w:rsidR="00324BB3" w:rsidTr="00324BB3">
        <w:trPr>
          <w:trHeight w:val="270"/>
          <w:jc w:val="center"/>
        </w:trPr>
        <w:tc>
          <w:tcPr>
            <w:tcW w:w="3980" w:type="dxa"/>
            <w:noWrap/>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4% Sobre Nómina 2016</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654,426</w:t>
            </w:r>
          </w:p>
        </w:tc>
      </w:tr>
      <w:tr w:rsidR="00324BB3" w:rsidTr="00324BB3">
        <w:trPr>
          <w:trHeight w:val="270"/>
          <w:jc w:val="center"/>
        </w:trPr>
        <w:tc>
          <w:tcPr>
            <w:tcW w:w="3980" w:type="dxa"/>
            <w:noWrap/>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4% Sobre Nómina 2017</w:t>
            </w:r>
          </w:p>
        </w:tc>
        <w:tc>
          <w:tcPr>
            <w:tcW w:w="960"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758,689</w:t>
            </w:r>
          </w:p>
        </w:tc>
      </w:tr>
      <w:tr w:rsidR="00324BB3" w:rsidTr="00324BB3">
        <w:trPr>
          <w:trHeight w:val="285"/>
          <w:jc w:val="center"/>
        </w:trPr>
        <w:tc>
          <w:tcPr>
            <w:tcW w:w="398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TOTAL</w:t>
            </w:r>
          </w:p>
        </w:tc>
        <w:tc>
          <w:tcPr>
            <w:tcW w:w="960" w:type="dxa"/>
            <w:tcBorders>
              <w:top w:val="single" w:sz="12" w:space="0" w:color="008000"/>
              <w:left w:val="nil"/>
              <w:bottom w:val="single" w:sz="12" w:space="0" w:color="008000"/>
              <w:right w:val="nil"/>
            </w:tcBorders>
            <w:hideMark/>
          </w:tcPr>
          <w:p w:rsidR="00324BB3" w:rsidRDefault="00324BB3">
            <w:pPr>
              <w:spacing w:after="0" w:line="240" w:lineRule="auto"/>
              <w:jc w:val="right"/>
              <w:rPr>
                <w:rFonts w:eastAsia="Times New Roman" w:cs="Arial"/>
                <w:b/>
                <w:bCs/>
                <w:sz w:val="18"/>
                <w:szCs w:val="18"/>
                <w:lang w:eastAsia="es-MX"/>
              </w:rPr>
            </w:pPr>
            <w:r>
              <w:rPr>
                <w:rFonts w:eastAsia="Times New Roman" w:cs="Arial"/>
                <w:b/>
                <w:bCs/>
                <w:sz w:val="18"/>
                <w:szCs w:val="18"/>
                <w:lang w:eastAsia="es-MX"/>
              </w:rPr>
              <w:t>5,977,654</w:t>
            </w:r>
          </w:p>
        </w:tc>
      </w:tr>
      <w:bookmarkEnd w:id="3"/>
      <w:bookmarkEnd w:id="4"/>
    </w:tbl>
    <w:p w:rsidR="00324BB3" w:rsidRDefault="00324BB3" w:rsidP="00324BB3">
      <w:pPr>
        <w:jc w:val="both"/>
        <w:rPr>
          <w:rFonts w:ascii="Calibri" w:hAnsi="Calibri" w:cs="Arial"/>
          <w:b/>
          <w:sz w:val="20"/>
          <w:szCs w:val="20"/>
        </w:rPr>
      </w:pPr>
    </w:p>
    <w:p w:rsidR="00324BB3" w:rsidRDefault="00324BB3" w:rsidP="00324BB3">
      <w:pPr>
        <w:jc w:val="both"/>
        <w:rPr>
          <w:rFonts w:cs="Arial"/>
          <w:b/>
          <w:sz w:val="20"/>
          <w:szCs w:val="20"/>
        </w:rPr>
      </w:pPr>
      <w:r>
        <w:rPr>
          <w:rFonts w:cs="Arial"/>
          <w:b/>
          <w:sz w:val="20"/>
          <w:szCs w:val="20"/>
        </w:rPr>
        <w:t>Fondos y bienes de terceros en garantía y/o administración a corto plazo.</w:t>
      </w:r>
    </w:p>
    <w:p w:rsidR="00324BB3" w:rsidRDefault="00324BB3" w:rsidP="00324BB3">
      <w:pPr>
        <w:numPr>
          <w:ilvl w:val="0"/>
          <w:numId w:val="27"/>
        </w:numPr>
        <w:spacing w:after="0" w:line="240" w:lineRule="auto"/>
        <w:jc w:val="both"/>
        <w:rPr>
          <w:rFonts w:cs="Arial"/>
          <w:sz w:val="20"/>
          <w:szCs w:val="20"/>
        </w:rPr>
      </w:pPr>
      <w:r>
        <w:rPr>
          <w:rFonts w:cs="Arial"/>
          <w:sz w:val="20"/>
          <w:szCs w:val="20"/>
        </w:rPr>
        <w:t>Fondos en Administración a Corto Plazo</w:t>
      </w:r>
    </w:p>
    <w:p w:rsidR="00324BB3" w:rsidRDefault="00324BB3" w:rsidP="00324BB3">
      <w:pPr>
        <w:pStyle w:val="Textosinformato"/>
        <w:jc w:val="both"/>
        <w:rPr>
          <w:rFonts w:ascii="Calibri" w:hAnsi="Calibri" w:cs="Arial"/>
          <w:lang w:eastAsia="es-ES"/>
        </w:rPr>
      </w:pPr>
      <w:r>
        <w:rPr>
          <w:rFonts w:ascii="Calibri" w:hAnsi="Calibri" w:cs="Arial"/>
          <w:lang w:eastAsia="es-ES"/>
        </w:rPr>
        <w:t>Esta cuenta se encuentra integrada por los fondos creados con aportaciones para programas específicos como son:</w:t>
      </w:r>
    </w:p>
    <w:p w:rsidR="00324BB3" w:rsidRDefault="00324BB3" w:rsidP="00324BB3">
      <w:pPr>
        <w:pStyle w:val="Textosinformato"/>
        <w:jc w:val="both"/>
        <w:rPr>
          <w:rFonts w:ascii="Calibri" w:hAnsi="Calibri" w:cs="Arial"/>
          <w:lang w:eastAsia="es-ES"/>
        </w:rPr>
      </w:pPr>
    </w:p>
    <w:p w:rsidR="00324BB3" w:rsidRDefault="00324BB3" w:rsidP="00324BB3">
      <w:pPr>
        <w:pStyle w:val="Textosinformato"/>
        <w:numPr>
          <w:ilvl w:val="0"/>
          <w:numId w:val="28"/>
        </w:numPr>
        <w:jc w:val="both"/>
        <w:rPr>
          <w:rFonts w:ascii="Calibri" w:hAnsi="Calibri" w:cs="Arial"/>
          <w:lang w:eastAsia="es-ES"/>
        </w:rPr>
      </w:pPr>
      <w:r>
        <w:rPr>
          <w:rFonts w:ascii="Calibri" w:hAnsi="Calibri" w:cs="Arial"/>
          <w:b/>
        </w:rPr>
        <w:lastRenderedPageBreak/>
        <w:t>Programa de Mejoramiento al Profesorado.-</w:t>
      </w:r>
      <w:r>
        <w:rPr>
          <w:rFonts w:ascii="Calibri" w:hAnsi="Calibri" w:cs="Arial"/>
        </w:rPr>
        <w:t xml:space="preserve"> Importe recibido con el propósito de impulsar la superación sustancial en la formación, dedicación y desempeño de los cuerpos académicos de las Universidades.</w:t>
      </w:r>
    </w:p>
    <w:p w:rsidR="00324BB3" w:rsidRDefault="00324BB3" w:rsidP="00324BB3">
      <w:pPr>
        <w:pStyle w:val="Textosinformato"/>
        <w:jc w:val="both"/>
        <w:rPr>
          <w:rFonts w:ascii="Calibri" w:hAnsi="Calibri" w:cs="Arial"/>
          <w:lang w:eastAsia="es-ES"/>
        </w:rPr>
      </w:pPr>
    </w:p>
    <w:p w:rsidR="00324BB3" w:rsidRDefault="00324BB3" w:rsidP="00324BB3">
      <w:pPr>
        <w:pStyle w:val="Textosinformato"/>
        <w:numPr>
          <w:ilvl w:val="0"/>
          <w:numId w:val="28"/>
        </w:numPr>
        <w:jc w:val="both"/>
        <w:rPr>
          <w:rFonts w:ascii="Calibri" w:hAnsi="Calibri" w:cs="Arial"/>
          <w:lang w:eastAsia="es-ES"/>
        </w:rPr>
      </w:pPr>
      <w:r>
        <w:rPr>
          <w:rFonts w:ascii="Calibri" w:hAnsi="Calibri" w:cs="Arial"/>
          <w:b/>
        </w:rPr>
        <w:t>Centro de Apoyo Universitario.</w:t>
      </w:r>
      <w:r>
        <w:rPr>
          <w:rFonts w:ascii="Calibri" w:hAnsi="Calibri" w:cs="Arial"/>
          <w:lang w:eastAsia="es-ES"/>
        </w:rPr>
        <w:t>-Importe asignado por la SEP para poner en operación y funcionamiento en las instalaciones de la Universidad y se puedan ofrecer estudios de educación abierta y a distancia en el tipo superior, mediante el uso de las tecnologías de la información y la comunicación.</w:t>
      </w:r>
    </w:p>
    <w:p w:rsidR="00324BB3" w:rsidRDefault="00324BB3" w:rsidP="00324BB3">
      <w:pPr>
        <w:pStyle w:val="Textosinformato"/>
        <w:ind w:left="863"/>
        <w:jc w:val="both"/>
        <w:rPr>
          <w:rFonts w:ascii="Calibri" w:hAnsi="Calibri" w:cs="Arial"/>
          <w:lang w:eastAsia="es-ES"/>
        </w:rPr>
      </w:pPr>
    </w:p>
    <w:p w:rsidR="00324BB3" w:rsidRDefault="00324BB3" w:rsidP="00324BB3">
      <w:pPr>
        <w:pStyle w:val="Textosinformato"/>
        <w:numPr>
          <w:ilvl w:val="0"/>
          <w:numId w:val="28"/>
        </w:numPr>
        <w:jc w:val="both"/>
        <w:rPr>
          <w:rFonts w:ascii="Calibri" w:hAnsi="Calibri" w:cs="Arial"/>
          <w:lang w:eastAsia="es-ES"/>
        </w:rPr>
      </w:pPr>
      <w:r>
        <w:rPr>
          <w:rFonts w:ascii="Calibri" w:hAnsi="Calibri" w:cs="Arial"/>
          <w:b/>
        </w:rPr>
        <w:t>Fondo Nacional para el Fomento de las Artesanías (FONART).</w:t>
      </w:r>
      <w:r>
        <w:rPr>
          <w:rFonts w:ascii="Calibri" w:hAnsi="Calibri" w:cs="Arial"/>
          <w:lang w:eastAsia="es-ES"/>
        </w:rPr>
        <w:t>- Recurso para implementar programas de capacitación para el sector artesanal, promover mecanismos de difusión de la cultura artesanal del Estado y sus municipios a través de concursos de arte popular.</w:t>
      </w:r>
    </w:p>
    <w:p w:rsidR="00324BB3" w:rsidRDefault="00324BB3" w:rsidP="00324BB3">
      <w:pPr>
        <w:pStyle w:val="Textosinformato"/>
        <w:ind w:left="863"/>
        <w:jc w:val="both"/>
        <w:rPr>
          <w:rFonts w:ascii="Calibri" w:hAnsi="Calibri" w:cs="Arial"/>
          <w:lang w:eastAsia="es-ES"/>
        </w:rPr>
      </w:pPr>
    </w:p>
    <w:p w:rsidR="00324BB3" w:rsidRDefault="00324BB3" w:rsidP="00324BB3">
      <w:pPr>
        <w:pStyle w:val="Textosinformato"/>
        <w:numPr>
          <w:ilvl w:val="0"/>
          <w:numId w:val="28"/>
        </w:numPr>
        <w:jc w:val="both"/>
        <w:rPr>
          <w:rFonts w:ascii="Calibri" w:hAnsi="Calibri" w:cs="Arial"/>
          <w:lang w:eastAsia="es-ES"/>
        </w:rPr>
      </w:pPr>
      <w:r>
        <w:rPr>
          <w:rFonts w:ascii="Calibri" w:hAnsi="Calibri" w:cs="Arial"/>
          <w:b/>
        </w:rPr>
        <w:t>Fundación Kellogs.</w:t>
      </w:r>
      <w:r>
        <w:rPr>
          <w:rFonts w:ascii="Calibri" w:hAnsi="Calibri" w:cs="Arial"/>
          <w:lang w:eastAsia="es-ES"/>
        </w:rPr>
        <w:t>- Recurso destinado para promover la organización social del municipio seleccionado del Estado de Yucatán a través de la vinculación comunidad-universitaria mediante un análisis de las necesidades y retos por los que atraviesan, de tal manera que se identifiquen las tecnología aplicables y procesos de mejora que con lleven la implementación de negocios sustentables potenciando así la economía y el desarrollo del estado.</w:t>
      </w:r>
    </w:p>
    <w:p w:rsidR="00324BB3" w:rsidRDefault="00324BB3" w:rsidP="00324BB3">
      <w:pPr>
        <w:pStyle w:val="Prrafodelista"/>
        <w:rPr>
          <w:rFonts w:ascii="Calibri" w:hAnsi="Calibri" w:cs="Arial"/>
        </w:rPr>
      </w:pPr>
    </w:p>
    <w:p w:rsidR="00324BB3" w:rsidRDefault="00324BB3" w:rsidP="00324BB3">
      <w:pPr>
        <w:pStyle w:val="Textosinformato"/>
        <w:numPr>
          <w:ilvl w:val="0"/>
          <w:numId w:val="28"/>
        </w:numPr>
        <w:jc w:val="both"/>
        <w:rPr>
          <w:rFonts w:ascii="Calibri" w:hAnsi="Calibri" w:cs="Arial"/>
          <w:lang w:eastAsia="es-ES"/>
        </w:rPr>
      </w:pPr>
      <w:r>
        <w:rPr>
          <w:rFonts w:ascii="Calibri" w:hAnsi="Calibri" w:cs="Arial"/>
          <w:b/>
          <w:lang w:eastAsia="es-ES"/>
        </w:rPr>
        <w:t>Programa de Fortalecimiento de la Calidad Educativa (PFCE 2016).-</w:t>
      </w:r>
      <w:r>
        <w:rPr>
          <w:rFonts w:ascii="Calibri" w:hAnsi="Calibri" w:cs="Arial"/>
          <w:lang w:eastAsia="es-ES"/>
        </w:rPr>
        <w:t xml:space="preserve"> Recursos financieros extraordinarios destinados para la mejora y el aseguramiento integral de la calidad de la oferta educativa, así como de los servicios que ofrecen las instituciones de Educación Superior (IES).</w:t>
      </w:r>
    </w:p>
    <w:p w:rsidR="00324BB3" w:rsidRDefault="00324BB3" w:rsidP="00324BB3">
      <w:pPr>
        <w:pStyle w:val="Textosinformato"/>
        <w:ind w:left="863"/>
        <w:jc w:val="both"/>
        <w:rPr>
          <w:rFonts w:ascii="Calibri" w:hAnsi="Calibri" w:cs="Arial"/>
          <w:lang w:eastAsia="es-ES"/>
        </w:rPr>
      </w:pPr>
    </w:p>
    <w:p w:rsidR="00324BB3" w:rsidRDefault="00324BB3" w:rsidP="00324BB3">
      <w:pPr>
        <w:pStyle w:val="Piedepgina"/>
        <w:numPr>
          <w:ilvl w:val="0"/>
          <w:numId w:val="28"/>
        </w:numPr>
        <w:jc w:val="both"/>
        <w:rPr>
          <w:rFonts w:ascii="Calibri" w:hAnsi="Calibri" w:cs="Arial"/>
        </w:rPr>
      </w:pPr>
      <w:r>
        <w:rPr>
          <w:rFonts w:ascii="Calibri" w:hAnsi="Calibri" w:cs="Arial"/>
          <w:b/>
          <w:sz w:val="20"/>
          <w:szCs w:val="20"/>
        </w:rPr>
        <w:t xml:space="preserve">Programa de Formación De Técnicos Superiores MEXPROTEC-SEP-UTM 2015 y 2016.- </w:t>
      </w:r>
      <w:r>
        <w:rPr>
          <w:rFonts w:ascii="Calibri" w:hAnsi="Calibri" w:cs="Arial"/>
          <w:sz w:val="20"/>
          <w:szCs w:val="20"/>
          <w:lang w:val="es-ES"/>
        </w:rPr>
        <w:t>Recurso destinado para otorgar hasta 200 (Doscientas) becas de movilidad internacional a técnicos superiores universitarios mexicanos para realizar estudios tendientes a obtener una licencia profesional en Francia: Mediante la formación basada en proyectos de coparticipación bilateral entre instituciones o redes de instituciones de enseñanza superior y fortalecer la movilidad de los jóvenes técnicos superiores universitarios mexicanos durante sus estudios para obtener dicha licencia profesional</w:t>
      </w:r>
      <w:r>
        <w:rPr>
          <w:rFonts w:ascii="Calibri" w:hAnsi="Calibri" w:cs="Arial"/>
          <w:color w:val="000000"/>
          <w:sz w:val="20"/>
          <w:szCs w:val="20"/>
        </w:rPr>
        <w:t>.</w:t>
      </w:r>
    </w:p>
    <w:p w:rsidR="00324BB3" w:rsidRDefault="00324BB3" w:rsidP="00324BB3">
      <w:pPr>
        <w:pStyle w:val="Prrafodelista"/>
        <w:rPr>
          <w:rFonts w:ascii="Calibri" w:hAnsi="Calibri" w:cs="Arial"/>
        </w:rPr>
      </w:pPr>
    </w:p>
    <w:p w:rsidR="00324BB3" w:rsidRDefault="00324BB3" w:rsidP="00324BB3">
      <w:pPr>
        <w:pStyle w:val="Piedepgina"/>
        <w:numPr>
          <w:ilvl w:val="0"/>
          <w:numId w:val="28"/>
        </w:numPr>
        <w:jc w:val="both"/>
        <w:rPr>
          <w:rFonts w:ascii="Calibri" w:hAnsi="Calibri" w:cs="Arial"/>
          <w:sz w:val="20"/>
          <w:szCs w:val="20"/>
          <w:lang w:val="es-ES"/>
        </w:rPr>
      </w:pPr>
      <w:r>
        <w:rPr>
          <w:rFonts w:ascii="Calibri" w:hAnsi="Calibri" w:cs="Arial"/>
          <w:b/>
          <w:sz w:val="20"/>
          <w:szCs w:val="20"/>
          <w:lang w:val="es-ES"/>
        </w:rPr>
        <w:t xml:space="preserve">Jóvenes Ecosol.- </w:t>
      </w:r>
      <w:r>
        <w:rPr>
          <w:rFonts w:ascii="Calibri" w:hAnsi="Calibri" w:cs="Arial"/>
          <w:sz w:val="20"/>
          <w:szCs w:val="20"/>
          <w:lang w:val="es-ES"/>
        </w:rPr>
        <w:t>Incubación de proyectos productivos para emprendedores sociales.</w:t>
      </w:r>
    </w:p>
    <w:p w:rsidR="00324BB3" w:rsidRDefault="00324BB3" w:rsidP="00324BB3">
      <w:pPr>
        <w:pStyle w:val="Prrafodelista"/>
        <w:rPr>
          <w:rFonts w:ascii="Calibri" w:hAnsi="Calibri" w:cs="Arial"/>
          <w:b/>
          <w:sz w:val="20"/>
          <w:szCs w:val="20"/>
          <w:lang w:val="es-ES"/>
        </w:rPr>
      </w:pPr>
    </w:p>
    <w:p w:rsidR="00324BB3" w:rsidRDefault="00324BB3" w:rsidP="00324BB3">
      <w:pPr>
        <w:pStyle w:val="Piedepgina"/>
        <w:numPr>
          <w:ilvl w:val="0"/>
          <w:numId w:val="28"/>
        </w:numPr>
        <w:jc w:val="both"/>
        <w:rPr>
          <w:rFonts w:ascii="Calibri" w:hAnsi="Calibri" w:cs="Arial"/>
          <w:b/>
          <w:sz w:val="20"/>
          <w:szCs w:val="20"/>
          <w:lang w:val="es-ES"/>
        </w:rPr>
      </w:pPr>
      <w:r>
        <w:rPr>
          <w:rFonts w:ascii="Calibri" w:hAnsi="Calibri" w:cs="Arial"/>
          <w:b/>
          <w:sz w:val="20"/>
          <w:szCs w:val="20"/>
          <w:lang w:val="es-ES"/>
        </w:rPr>
        <w:t>Comisión Nacional para el Desarrollo de Pueblos Indígenas (CDI).-</w:t>
      </w:r>
      <w:r>
        <w:rPr>
          <w:rFonts w:ascii="Calibri" w:hAnsi="Calibri" w:cs="Arial"/>
          <w:sz w:val="20"/>
          <w:szCs w:val="20"/>
          <w:lang w:val="es-ES"/>
        </w:rPr>
        <w:t xml:space="preserve">  Programa para Mejoramiento de la Producción y de la Productividad Indígena.</w:t>
      </w:r>
    </w:p>
    <w:p w:rsidR="00324BB3" w:rsidRDefault="00324BB3" w:rsidP="00324BB3">
      <w:pPr>
        <w:pStyle w:val="Prrafodelista"/>
        <w:rPr>
          <w:rFonts w:ascii="Calibri" w:hAnsi="Calibri" w:cs="Arial"/>
          <w:b/>
          <w:sz w:val="20"/>
          <w:szCs w:val="20"/>
          <w:lang w:val="es-ES"/>
        </w:rPr>
      </w:pPr>
    </w:p>
    <w:p w:rsidR="00324BB3" w:rsidRDefault="00324BB3" w:rsidP="00324BB3">
      <w:pPr>
        <w:pStyle w:val="Piedepgina"/>
        <w:numPr>
          <w:ilvl w:val="0"/>
          <w:numId w:val="28"/>
        </w:numPr>
        <w:jc w:val="both"/>
        <w:rPr>
          <w:rFonts w:ascii="Calibri" w:hAnsi="Calibri" w:cs="Arial"/>
          <w:sz w:val="20"/>
          <w:szCs w:val="20"/>
          <w:lang w:val="es-ES"/>
        </w:rPr>
      </w:pPr>
      <w:r>
        <w:rPr>
          <w:rFonts w:ascii="Calibri" w:hAnsi="Calibri" w:cs="Arial"/>
          <w:b/>
          <w:sz w:val="20"/>
          <w:szCs w:val="20"/>
          <w:lang w:val="es-ES"/>
        </w:rPr>
        <w:t>Convenio SEDESOL.-</w:t>
      </w:r>
      <w:r>
        <w:rPr>
          <w:color w:val="515151"/>
          <w:sz w:val="36"/>
          <w:szCs w:val="36"/>
          <w:lang w:val="es-ES"/>
        </w:rPr>
        <w:t xml:space="preserve"> </w:t>
      </w:r>
      <w:r>
        <w:rPr>
          <w:rFonts w:ascii="Calibri" w:hAnsi="Calibri" w:cs="Arial"/>
          <w:sz w:val="20"/>
          <w:szCs w:val="20"/>
          <w:lang w:val="es-ES"/>
        </w:rPr>
        <w:t>Fondo para el</w:t>
      </w:r>
      <w:r>
        <w:rPr>
          <w:color w:val="515151"/>
          <w:sz w:val="36"/>
          <w:szCs w:val="36"/>
          <w:lang w:val="es-ES"/>
        </w:rPr>
        <w:t xml:space="preserve"> </w:t>
      </w:r>
      <w:r>
        <w:rPr>
          <w:rFonts w:ascii="Calibri" w:hAnsi="Calibri" w:cs="Arial"/>
          <w:sz w:val="20"/>
          <w:szCs w:val="20"/>
          <w:lang w:val="es-ES"/>
        </w:rPr>
        <w:t>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w:t>
      </w:r>
    </w:p>
    <w:p w:rsidR="00324BB3" w:rsidRDefault="00324BB3" w:rsidP="00324BB3">
      <w:pPr>
        <w:pStyle w:val="Prrafodelista"/>
        <w:rPr>
          <w:rFonts w:ascii="Calibri" w:hAnsi="Calibri" w:cs="Arial"/>
          <w:b/>
          <w:sz w:val="20"/>
          <w:szCs w:val="20"/>
          <w:lang w:val="es-ES"/>
        </w:rPr>
      </w:pPr>
    </w:p>
    <w:p w:rsidR="00324BB3" w:rsidRDefault="00324BB3" w:rsidP="00324BB3">
      <w:pPr>
        <w:pStyle w:val="Piedepgina"/>
        <w:numPr>
          <w:ilvl w:val="0"/>
          <w:numId w:val="28"/>
        </w:numPr>
        <w:jc w:val="both"/>
        <w:rPr>
          <w:rFonts w:ascii="Calibri" w:hAnsi="Calibri" w:cs="Arial"/>
          <w:sz w:val="20"/>
          <w:szCs w:val="20"/>
          <w:lang w:val="es-ES"/>
        </w:rPr>
      </w:pPr>
      <w:r>
        <w:rPr>
          <w:rFonts w:ascii="Calibri" w:hAnsi="Calibri" w:cs="Arial"/>
          <w:b/>
          <w:sz w:val="20"/>
          <w:szCs w:val="20"/>
          <w:lang w:val="es-ES"/>
        </w:rPr>
        <w:t xml:space="preserve">Instituto Yucateco de Emprendedores (IYEM).- </w:t>
      </w:r>
      <w:r>
        <w:rPr>
          <w:rFonts w:ascii="Calibri" w:hAnsi="Calibri" w:cs="Arial"/>
          <w:sz w:val="20"/>
          <w:szCs w:val="20"/>
          <w:lang w:val="es-ES"/>
        </w:rPr>
        <w:t>Fondo dirigido a personas comprometidas en desarrollar un proyecto de alto impacto, con potencial de crecimiento escalable, innovador y con altas posibilidades de internacionalización.</w:t>
      </w:r>
    </w:p>
    <w:p w:rsidR="00324BB3" w:rsidRDefault="00324BB3" w:rsidP="00324BB3">
      <w:pPr>
        <w:pStyle w:val="Prrafodelista"/>
        <w:rPr>
          <w:rFonts w:ascii="Calibri" w:hAnsi="Calibri" w:cs="Arial"/>
          <w:sz w:val="20"/>
          <w:szCs w:val="20"/>
          <w:lang w:val="es-ES"/>
        </w:rPr>
      </w:pPr>
    </w:p>
    <w:p w:rsidR="00324BB3" w:rsidRDefault="00324BB3" w:rsidP="00324BB3">
      <w:pPr>
        <w:pStyle w:val="Piedepgina"/>
        <w:numPr>
          <w:ilvl w:val="0"/>
          <w:numId w:val="28"/>
        </w:numPr>
        <w:jc w:val="both"/>
        <w:rPr>
          <w:rFonts w:ascii="Calibri" w:hAnsi="Calibri" w:cs="Arial"/>
          <w:sz w:val="20"/>
          <w:szCs w:val="20"/>
          <w:lang w:val="es-ES"/>
        </w:rPr>
      </w:pPr>
      <w:r>
        <w:rPr>
          <w:rFonts w:ascii="Calibri" w:hAnsi="Calibri" w:cs="Arial"/>
          <w:b/>
          <w:sz w:val="20"/>
          <w:szCs w:val="20"/>
          <w:lang w:val="es-ES"/>
        </w:rPr>
        <w:t xml:space="preserve">Fondo PYME 2013.- </w:t>
      </w:r>
      <w:r>
        <w:rPr>
          <w:rFonts w:ascii="Calibri" w:hAnsi="Calibri" w:cs="Arial"/>
          <w:sz w:val="20"/>
          <w:szCs w:val="20"/>
          <w:lang w:val="es-ES"/>
        </w:rPr>
        <w:t>Es un instrumento que busca apoyar a las empresas en particular a las de menor tamaño y a los emprendedores con el propósito de promover el desarrollo económico nacional, a través del otorgamiento de apoyos de carácter temporal a programas y proyectos que fomenten la creación, desarrollo, viabilidad, productividad, competitividad y sustentabilidad de las micro, pequeñas y medianas empresas.</w:t>
      </w:r>
    </w:p>
    <w:p w:rsidR="00324BB3" w:rsidRDefault="00324BB3" w:rsidP="00324BB3">
      <w:pPr>
        <w:pStyle w:val="Prrafodelista"/>
        <w:rPr>
          <w:rFonts w:ascii="Calibri" w:hAnsi="Calibri" w:cs="Arial"/>
          <w:sz w:val="20"/>
          <w:szCs w:val="20"/>
          <w:lang w:val="es-ES"/>
        </w:rPr>
      </w:pPr>
    </w:p>
    <w:p w:rsidR="00324BB3" w:rsidRDefault="00324BB3" w:rsidP="00324BB3">
      <w:pPr>
        <w:pStyle w:val="Piedepgina"/>
        <w:numPr>
          <w:ilvl w:val="0"/>
          <w:numId w:val="28"/>
        </w:numPr>
        <w:jc w:val="both"/>
        <w:rPr>
          <w:rFonts w:ascii="Calibri" w:hAnsi="Calibri" w:cs="Arial"/>
          <w:sz w:val="20"/>
          <w:szCs w:val="20"/>
          <w:lang w:val="es-ES"/>
        </w:rPr>
      </w:pPr>
      <w:r>
        <w:rPr>
          <w:rFonts w:ascii="Calibri" w:hAnsi="Calibri" w:cs="Arial"/>
          <w:b/>
          <w:sz w:val="20"/>
          <w:szCs w:val="20"/>
          <w:lang w:val="es-ES"/>
        </w:rPr>
        <w:t xml:space="preserve">Fondo Proyecta 100,000.- </w:t>
      </w:r>
      <w:r>
        <w:rPr>
          <w:rFonts w:ascii="Calibri" w:hAnsi="Calibri" w:cs="Arial"/>
          <w:sz w:val="20"/>
          <w:szCs w:val="20"/>
          <w:lang w:val="es-ES"/>
        </w:rPr>
        <w:t>Fondo para becas de capacitación para cursar estudios intensivos del idioma inglés como segunda lengua en centros certificados y pertenecientes a una institución de educación superior de los Estados Unidos de América.</w:t>
      </w:r>
    </w:p>
    <w:p w:rsidR="00324BB3" w:rsidRDefault="00324BB3" w:rsidP="00324BB3">
      <w:pPr>
        <w:pStyle w:val="Prrafodelista"/>
        <w:rPr>
          <w:rFonts w:ascii="Calibri" w:hAnsi="Calibri" w:cs="Arial"/>
          <w:sz w:val="20"/>
          <w:szCs w:val="20"/>
          <w:lang w:val="es-ES"/>
        </w:rPr>
      </w:pPr>
    </w:p>
    <w:p w:rsidR="00324BB3" w:rsidRDefault="00324BB3" w:rsidP="00324BB3">
      <w:pPr>
        <w:pStyle w:val="Piedepgina"/>
        <w:numPr>
          <w:ilvl w:val="0"/>
          <w:numId w:val="28"/>
        </w:numPr>
        <w:jc w:val="both"/>
        <w:rPr>
          <w:rFonts w:ascii="Calibri" w:hAnsi="Calibri" w:cs="Arial"/>
          <w:sz w:val="20"/>
          <w:szCs w:val="20"/>
          <w:lang w:val="es-ES"/>
        </w:rPr>
      </w:pPr>
      <w:r>
        <w:rPr>
          <w:rFonts w:ascii="Calibri" w:hAnsi="Calibri" w:cs="Arial"/>
          <w:b/>
          <w:sz w:val="20"/>
          <w:szCs w:val="20"/>
          <w:lang w:val="es-ES"/>
        </w:rPr>
        <w:t xml:space="preserve">Programa de Fomento a la Economía Social.- </w:t>
      </w:r>
      <w:r>
        <w:rPr>
          <w:rFonts w:ascii="Calibri" w:hAnsi="Calibri" w:cs="Arial"/>
          <w:sz w:val="20"/>
          <w:szCs w:val="20"/>
          <w:lang w:val="es-ES"/>
        </w:rPr>
        <w:t>Otorga apoyos a las personas con ingresos por debajo de la línea de bienestar, organizadas dentro del sector social de la economía, para el desarrollo de iniciativas productivas y el fortalecimiento de la organización</w:t>
      </w:r>
    </w:p>
    <w:p w:rsidR="00324BB3" w:rsidRDefault="00324BB3" w:rsidP="00324BB3">
      <w:pPr>
        <w:pStyle w:val="Prrafodelista"/>
        <w:rPr>
          <w:rFonts w:ascii="Calibri" w:hAnsi="Calibri" w:cs="Arial"/>
          <w:sz w:val="20"/>
          <w:szCs w:val="20"/>
          <w:lang w:val="es-ES"/>
        </w:rPr>
      </w:pPr>
    </w:p>
    <w:p w:rsidR="00324BB3" w:rsidRDefault="00324BB3" w:rsidP="00324BB3">
      <w:pPr>
        <w:pStyle w:val="Piedepgina"/>
        <w:numPr>
          <w:ilvl w:val="0"/>
          <w:numId w:val="28"/>
        </w:numPr>
        <w:jc w:val="both"/>
        <w:rPr>
          <w:rFonts w:ascii="Calibri" w:hAnsi="Calibri" w:cs="Arial"/>
          <w:sz w:val="20"/>
          <w:szCs w:val="20"/>
          <w:lang w:val="es-ES"/>
        </w:rPr>
      </w:pPr>
      <w:r>
        <w:rPr>
          <w:rFonts w:ascii="Calibri" w:hAnsi="Calibri" w:cs="Arial"/>
          <w:b/>
          <w:sz w:val="20"/>
          <w:szCs w:val="20"/>
          <w:lang w:val="es-ES"/>
        </w:rPr>
        <w:t>Programa Universidad Marista.-</w:t>
      </w:r>
      <w:r>
        <w:rPr>
          <w:rFonts w:ascii="Calibri" w:hAnsi="Calibri" w:cs="Arial"/>
          <w:sz w:val="20"/>
          <w:szCs w:val="20"/>
          <w:lang w:val="es-ES"/>
        </w:rPr>
        <w:t xml:space="preserve"> Alianza estratégica entre la Universidad Tecnológica Metropolitana (UTM) y la Universidad Marista para la realización de los modelos de negocios de emprendedores y la  incubación en la Aceleradora e Incubadora de Negocios NEOS, de la Unidad Empresarial de la UTM.</w:t>
      </w:r>
    </w:p>
    <w:p w:rsidR="00324BB3" w:rsidRDefault="00324BB3" w:rsidP="00324BB3">
      <w:pPr>
        <w:pStyle w:val="Piedepgina"/>
        <w:ind w:left="863"/>
        <w:jc w:val="both"/>
        <w:rPr>
          <w:rFonts w:ascii="Calibri" w:hAnsi="Calibri" w:cs="Arial"/>
        </w:rPr>
      </w:pPr>
    </w:p>
    <w:p w:rsidR="00324BB3" w:rsidRDefault="00324BB3" w:rsidP="00324BB3">
      <w:pPr>
        <w:ind w:firstLine="503"/>
        <w:jc w:val="both"/>
        <w:rPr>
          <w:rFonts w:ascii="Calibri" w:hAnsi="Calibri" w:cs="Arial"/>
          <w:sz w:val="20"/>
          <w:szCs w:val="20"/>
        </w:rPr>
      </w:pPr>
      <w:r>
        <w:rPr>
          <w:rFonts w:cs="Arial"/>
          <w:sz w:val="20"/>
          <w:szCs w:val="20"/>
        </w:rPr>
        <w:t>Los saldos al 31 de Marzo de 2017 son los siguientes:</w:t>
      </w:r>
    </w:p>
    <w:tbl>
      <w:tblPr>
        <w:tblW w:w="6339" w:type="dxa"/>
        <w:jc w:val="center"/>
        <w:tblInd w:w="-1471" w:type="dxa"/>
        <w:tblCellMar>
          <w:left w:w="70" w:type="dxa"/>
          <w:right w:w="70" w:type="dxa"/>
        </w:tblCellMar>
        <w:tblLook w:val="04A0" w:firstRow="1" w:lastRow="0" w:firstColumn="1" w:lastColumn="0" w:noHBand="0" w:noVBand="1"/>
      </w:tblPr>
      <w:tblGrid>
        <w:gridCol w:w="3719"/>
        <w:gridCol w:w="2620"/>
      </w:tblGrid>
      <w:tr w:rsidR="00324BB3" w:rsidTr="00324BB3">
        <w:trPr>
          <w:trHeight w:val="285"/>
          <w:jc w:val="center"/>
        </w:trPr>
        <w:tc>
          <w:tcPr>
            <w:tcW w:w="3719" w:type="dxa"/>
            <w:tcBorders>
              <w:top w:val="single" w:sz="12" w:space="0" w:color="008000"/>
              <w:left w:val="nil"/>
              <w:bottom w:val="single" w:sz="12" w:space="0" w:color="008000"/>
              <w:right w:val="nil"/>
            </w:tcBorders>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CONCEPTO</w:t>
            </w:r>
          </w:p>
        </w:tc>
        <w:tc>
          <w:tcPr>
            <w:tcW w:w="2620" w:type="dxa"/>
            <w:tcBorders>
              <w:top w:val="single" w:sz="12" w:space="0" w:color="008000"/>
              <w:left w:val="nil"/>
              <w:bottom w:val="single" w:sz="12" w:space="0" w:color="008000"/>
              <w:right w:val="nil"/>
            </w:tcBorders>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SALDO</w:t>
            </w:r>
          </w:p>
        </w:tc>
      </w:tr>
      <w:tr w:rsidR="00324BB3" w:rsidTr="00324BB3">
        <w:trPr>
          <w:trHeight w:val="202"/>
          <w:jc w:val="center"/>
        </w:trPr>
        <w:tc>
          <w:tcPr>
            <w:tcW w:w="3719"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Programa de Mejoramiento al Profesorado</w:t>
            </w:r>
          </w:p>
        </w:tc>
        <w:tc>
          <w:tcPr>
            <w:tcW w:w="2620"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863,754.96</w:t>
            </w:r>
          </w:p>
        </w:tc>
      </w:tr>
      <w:tr w:rsidR="00324BB3" w:rsidTr="00324BB3">
        <w:trPr>
          <w:trHeight w:val="255"/>
          <w:jc w:val="center"/>
        </w:trPr>
        <w:tc>
          <w:tcPr>
            <w:tcW w:w="3719"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Centro de Apoyo Universitario</w:t>
            </w:r>
          </w:p>
        </w:tc>
        <w:tc>
          <w:tcPr>
            <w:tcW w:w="2620"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24,071.87</w:t>
            </w:r>
          </w:p>
        </w:tc>
      </w:tr>
      <w:tr w:rsidR="00324BB3" w:rsidTr="00324BB3">
        <w:trPr>
          <w:trHeight w:val="480"/>
          <w:jc w:val="center"/>
        </w:trPr>
        <w:tc>
          <w:tcPr>
            <w:tcW w:w="3719"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Fondo Nacional para el Fomento de las Artesanías, Tahdziú, Tekanto</w:t>
            </w:r>
          </w:p>
        </w:tc>
        <w:tc>
          <w:tcPr>
            <w:tcW w:w="2620"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99,936.98</w:t>
            </w:r>
          </w:p>
        </w:tc>
      </w:tr>
      <w:tr w:rsidR="00324BB3" w:rsidTr="00324BB3">
        <w:trPr>
          <w:trHeight w:val="255"/>
          <w:jc w:val="center"/>
        </w:trPr>
        <w:tc>
          <w:tcPr>
            <w:tcW w:w="3719"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 xml:space="preserve">Convenio SEDESOL </w:t>
            </w:r>
          </w:p>
        </w:tc>
        <w:tc>
          <w:tcPr>
            <w:tcW w:w="2620"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369,045.92</w:t>
            </w:r>
          </w:p>
        </w:tc>
      </w:tr>
      <w:tr w:rsidR="00324BB3" w:rsidTr="00324BB3">
        <w:trPr>
          <w:trHeight w:val="255"/>
          <w:jc w:val="center"/>
        </w:trPr>
        <w:tc>
          <w:tcPr>
            <w:tcW w:w="3719"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Programa MEXPROTEC 2015</w:t>
            </w:r>
          </w:p>
        </w:tc>
        <w:tc>
          <w:tcPr>
            <w:tcW w:w="2620"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12,663,239.70</w:t>
            </w:r>
          </w:p>
        </w:tc>
      </w:tr>
      <w:tr w:rsidR="00324BB3" w:rsidTr="00324BB3">
        <w:trPr>
          <w:trHeight w:val="480"/>
          <w:jc w:val="center"/>
        </w:trPr>
        <w:tc>
          <w:tcPr>
            <w:tcW w:w="3719" w:type="dxa"/>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Comisión Nacional P/Desarrollo D/Pueblos Indígenas</w:t>
            </w:r>
          </w:p>
        </w:tc>
        <w:tc>
          <w:tcPr>
            <w:tcW w:w="2620"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203,125.70</w:t>
            </w:r>
          </w:p>
        </w:tc>
      </w:tr>
      <w:tr w:rsidR="00324BB3" w:rsidTr="00324BB3">
        <w:trPr>
          <w:trHeight w:val="255"/>
          <w:jc w:val="center"/>
        </w:trPr>
        <w:tc>
          <w:tcPr>
            <w:tcW w:w="3719" w:type="dxa"/>
            <w:noWrap/>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Jóvenes Ecosol</w:t>
            </w:r>
          </w:p>
        </w:tc>
        <w:tc>
          <w:tcPr>
            <w:tcW w:w="2620"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26,303.29</w:t>
            </w:r>
          </w:p>
        </w:tc>
      </w:tr>
      <w:tr w:rsidR="00324BB3" w:rsidTr="00324BB3">
        <w:trPr>
          <w:trHeight w:val="255"/>
          <w:jc w:val="center"/>
        </w:trPr>
        <w:tc>
          <w:tcPr>
            <w:tcW w:w="3719" w:type="dxa"/>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lastRenderedPageBreak/>
              <w:t xml:space="preserve">Instituto Yucateco de Emprendedores </w:t>
            </w:r>
          </w:p>
        </w:tc>
        <w:tc>
          <w:tcPr>
            <w:tcW w:w="2620" w:type="dxa"/>
            <w:noWrap/>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326,531.40</w:t>
            </w:r>
          </w:p>
        </w:tc>
      </w:tr>
      <w:tr w:rsidR="00324BB3" w:rsidTr="00324BB3">
        <w:trPr>
          <w:trHeight w:val="270"/>
          <w:jc w:val="center"/>
        </w:trPr>
        <w:tc>
          <w:tcPr>
            <w:tcW w:w="3719" w:type="dxa"/>
            <w:noWrap/>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xml:space="preserve"> Programa MEXPROTEC 2016</w:t>
            </w:r>
          </w:p>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xml:space="preserve">PFCE 2016 </w:t>
            </w:r>
          </w:p>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Fondo PYME 2013</w:t>
            </w:r>
          </w:p>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Programa de Fomento a la Econom.Social</w:t>
            </w:r>
          </w:p>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Programa Universidad Marista</w:t>
            </w:r>
          </w:p>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Fondo Proyecta 100,0000</w:t>
            </w:r>
          </w:p>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Fondo Fundación Kellogg</w:t>
            </w:r>
          </w:p>
        </w:tc>
        <w:tc>
          <w:tcPr>
            <w:tcW w:w="2620" w:type="dxa"/>
            <w:noWrap/>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2,125,127.67</w:t>
            </w:r>
          </w:p>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1,459,607.82</w:t>
            </w:r>
          </w:p>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395,638.98</w:t>
            </w:r>
          </w:p>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169,473.00</w:t>
            </w:r>
          </w:p>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100,000.00</w:t>
            </w:r>
          </w:p>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46,055.21</w:t>
            </w:r>
          </w:p>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20,444.40</w:t>
            </w:r>
          </w:p>
        </w:tc>
      </w:tr>
      <w:tr w:rsidR="00324BB3" w:rsidTr="00324BB3">
        <w:trPr>
          <w:trHeight w:val="285"/>
          <w:jc w:val="center"/>
        </w:trPr>
        <w:tc>
          <w:tcPr>
            <w:tcW w:w="3719"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TOTAL</w:t>
            </w:r>
          </w:p>
        </w:tc>
        <w:tc>
          <w:tcPr>
            <w:tcW w:w="2620" w:type="dxa"/>
            <w:tcBorders>
              <w:top w:val="single" w:sz="12" w:space="0" w:color="008000"/>
              <w:left w:val="nil"/>
              <w:bottom w:val="single" w:sz="12" w:space="0" w:color="008000"/>
              <w:right w:val="nil"/>
            </w:tcBorders>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 xml:space="preserve">                                18,892,356.90 </w:t>
            </w:r>
          </w:p>
        </w:tc>
      </w:tr>
    </w:tbl>
    <w:p w:rsidR="00B6657A" w:rsidRDefault="00B6657A" w:rsidP="00324BB3">
      <w:pPr>
        <w:ind w:firstLine="708"/>
        <w:jc w:val="both"/>
        <w:rPr>
          <w:rFonts w:cs="Arial"/>
          <w:sz w:val="20"/>
          <w:szCs w:val="20"/>
        </w:rPr>
      </w:pPr>
    </w:p>
    <w:p w:rsidR="00B6657A" w:rsidRDefault="00B6657A" w:rsidP="00324BB3">
      <w:pPr>
        <w:ind w:firstLine="708"/>
        <w:jc w:val="both"/>
        <w:rPr>
          <w:rFonts w:cs="Arial"/>
          <w:sz w:val="20"/>
          <w:szCs w:val="20"/>
        </w:rPr>
      </w:pPr>
    </w:p>
    <w:p w:rsidR="00324BB3" w:rsidRDefault="00324BB3" w:rsidP="00324BB3">
      <w:pPr>
        <w:ind w:firstLine="708"/>
        <w:jc w:val="both"/>
        <w:rPr>
          <w:rFonts w:ascii="Calibri" w:hAnsi="Calibri" w:cs="Arial"/>
          <w:sz w:val="20"/>
          <w:szCs w:val="20"/>
        </w:rPr>
      </w:pPr>
      <w:r>
        <w:rPr>
          <w:rFonts w:cs="Arial"/>
          <w:sz w:val="20"/>
          <w:szCs w:val="20"/>
        </w:rPr>
        <w:t>En esta cuenta se integran los intereses netos que generan las aportaciones realizadas para programas específicos de tal manera que se tenga un control de ellos para su aplicación e informe, está formado por las siguientes cuentas:</w:t>
      </w:r>
    </w:p>
    <w:tbl>
      <w:tblPr>
        <w:tblW w:w="5700" w:type="dxa"/>
        <w:jc w:val="center"/>
        <w:tblInd w:w="55" w:type="dxa"/>
        <w:tblCellMar>
          <w:left w:w="70" w:type="dxa"/>
          <w:right w:w="70" w:type="dxa"/>
        </w:tblCellMar>
        <w:tblLook w:val="04A0" w:firstRow="1" w:lastRow="0" w:firstColumn="1" w:lastColumn="0" w:noHBand="0" w:noVBand="1"/>
      </w:tblPr>
      <w:tblGrid>
        <w:gridCol w:w="3080"/>
        <w:gridCol w:w="2620"/>
      </w:tblGrid>
      <w:tr w:rsidR="00324BB3" w:rsidTr="00324BB3">
        <w:trPr>
          <w:trHeight w:val="285"/>
          <w:jc w:val="center"/>
        </w:trPr>
        <w:tc>
          <w:tcPr>
            <w:tcW w:w="308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INTERES DE:</w:t>
            </w:r>
          </w:p>
        </w:tc>
        <w:tc>
          <w:tcPr>
            <w:tcW w:w="262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 xml:space="preserve">  IMPORTE  </w:t>
            </w:r>
          </w:p>
        </w:tc>
      </w:tr>
      <w:tr w:rsidR="00324BB3" w:rsidTr="00324BB3">
        <w:trPr>
          <w:trHeight w:val="270"/>
          <w:jc w:val="center"/>
        </w:trPr>
        <w:tc>
          <w:tcPr>
            <w:tcW w:w="3080" w:type="dxa"/>
            <w:vAlign w:val="bottom"/>
            <w:hideMark/>
          </w:tcPr>
          <w:p w:rsidR="00324BB3" w:rsidRDefault="00324BB3">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Inversión Stergob Estatal</w:t>
            </w:r>
          </w:p>
        </w:tc>
        <w:tc>
          <w:tcPr>
            <w:tcW w:w="2620" w:type="dxa"/>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993.40</w:t>
            </w:r>
          </w:p>
        </w:tc>
      </w:tr>
      <w:tr w:rsidR="00324BB3" w:rsidTr="00324BB3">
        <w:trPr>
          <w:trHeight w:val="270"/>
          <w:jc w:val="center"/>
        </w:trPr>
        <w:tc>
          <w:tcPr>
            <w:tcW w:w="3080" w:type="dxa"/>
            <w:vAlign w:val="bottom"/>
            <w:hideMark/>
          </w:tcPr>
          <w:p w:rsidR="00324BB3" w:rsidRDefault="00324BB3">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Intereses FADOEES </w:t>
            </w:r>
          </w:p>
        </w:tc>
        <w:tc>
          <w:tcPr>
            <w:tcW w:w="2620" w:type="dxa"/>
            <w:vAlign w:val="bottom"/>
            <w:hideMark/>
          </w:tcPr>
          <w:p w:rsidR="00324BB3" w:rsidRDefault="00324BB3">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201.66</w:t>
            </w:r>
          </w:p>
        </w:tc>
      </w:tr>
      <w:tr w:rsidR="00324BB3" w:rsidTr="00324BB3">
        <w:trPr>
          <w:trHeight w:val="285"/>
          <w:jc w:val="center"/>
        </w:trPr>
        <w:tc>
          <w:tcPr>
            <w:tcW w:w="308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TOTAL</w:t>
            </w:r>
          </w:p>
        </w:tc>
        <w:tc>
          <w:tcPr>
            <w:tcW w:w="2620" w:type="dxa"/>
            <w:tcBorders>
              <w:top w:val="single" w:sz="12" w:space="0" w:color="008000"/>
              <w:left w:val="nil"/>
              <w:bottom w:val="single" w:sz="12" w:space="0" w:color="008000"/>
              <w:right w:val="nil"/>
            </w:tcBorders>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 xml:space="preserve">                                         1,195.06 </w:t>
            </w:r>
          </w:p>
        </w:tc>
      </w:tr>
    </w:tbl>
    <w:p w:rsidR="00324BB3" w:rsidRDefault="00324BB3" w:rsidP="00324BB3">
      <w:pPr>
        <w:ind w:firstLine="708"/>
        <w:jc w:val="both"/>
        <w:rPr>
          <w:rFonts w:ascii="Calibri" w:hAnsi="Calibri" w:cs="Arial"/>
          <w:sz w:val="20"/>
          <w:szCs w:val="20"/>
        </w:rPr>
      </w:pPr>
    </w:p>
    <w:p w:rsidR="00324BB3" w:rsidRDefault="00324BB3" w:rsidP="00324BB3">
      <w:pPr>
        <w:numPr>
          <w:ilvl w:val="0"/>
          <w:numId w:val="27"/>
        </w:numPr>
        <w:spacing w:after="0" w:line="240" w:lineRule="auto"/>
        <w:jc w:val="both"/>
        <w:rPr>
          <w:rFonts w:cs="Arial"/>
          <w:sz w:val="20"/>
          <w:szCs w:val="20"/>
        </w:rPr>
      </w:pPr>
      <w:r>
        <w:rPr>
          <w:rFonts w:cs="Arial"/>
          <w:sz w:val="20"/>
          <w:szCs w:val="20"/>
        </w:rPr>
        <w:t>Fondos Contingentes a Corto Plazo</w:t>
      </w:r>
    </w:p>
    <w:p w:rsidR="00324BB3" w:rsidRDefault="00324BB3" w:rsidP="00324BB3">
      <w:pPr>
        <w:ind w:firstLine="503"/>
        <w:jc w:val="both"/>
        <w:rPr>
          <w:rFonts w:cs="Arial"/>
          <w:sz w:val="20"/>
          <w:szCs w:val="20"/>
        </w:rPr>
      </w:pPr>
      <w:r>
        <w:rPr>
          <w:rFonts w:cs="Arial"/>
          <w:sz w:val="20"/>
          <w:szCs w:val="20"/>
        </w:rPr>
        <w:t>La Junta de Gobierno de la Universidad Tecnológica Metropolitana en asambleas ordinarias y extraordinarias  y conforme a estatutos, autorizó a la administración el 14 de Junio de 2004 según acta de Sesión Ordinaria DC-UTM/140604/O, la creación de los siguientes fondos:</w:t>
      </w:r>
    </w:p>
    <w:p w:rsidR="00324BB3" w:rsidRDefault="00324BB3" w:rsidP="00324BB3">
      <w:pPr>
        <w:pStyle w:val="Textosinformato"/>
        <w:numPr>
          <w:ilvl w:val="0"/>
          <w:numId w:val="29"/>
        </w:numPr>
        <w:jc w:val="both"/>
        <w:rPr>
          <w:rFonts w:ascii="Calibri" w:hAnsi="Calibri" w:cs="Arial"/>
          <w:lang w:eastAsia="es-ES"/>
        </w:rPr>
      </w:pPr>
      <w:r>
        <w:rPr>
          <w:rFonts w:ascii="Calibri" w:hAnsi="Calibri" w:cs="Arial"/>
          <w:b/>
          <w:lang w:eastAsia="es-ES"/>
        </w:rPr>
        <w:t>Fondo de Desarrollo Institucional.-</w:t>
      </w:r>
      <w:r>
        <w:rPr>
          <w:rFonts w:ascii="Calibri" w:hAnsi="Calibri" w:cs="Arial"/>
          <w:lang w:eastAsia="es-ES"/>
        </w:rPr>
        <w:t xml:space="preserve"> Se podrá aplicar en mantenimiento preventivo y correctivo de equipos de laboratorios, talleres, sustitución de equipo de laboratorio por obsolescencia y daño irreparable; mantenimiento y modificación o adecuación de instalaciones físicas; apoyo para la consolidación de acciones académicas, de vinculación y de servicios y excepcionalmente y solo en casos plenamente justificados, para logros o estímulos económicos al personal de tiempo completo.</w:t>
      </w:r>
    </w:p>
    <w:p w:rsidR="00324BB3" w:rsidRDefault="00324BB3" w:rsidP="00324BB3">
      <w:pPr>
        <w:pStyle w:val="Textosinformato"/>
        <w:jc w:val="both"/>
        <w:rPr>
          <w:rFonts w:ascii="Calibri" w:hAnsi="Calibri" w:cs="Arial"/>
          <w:lang w:eastAsia="es-ES"/>
        </w:rPr>
      </w:pPr>
    </w:p>
    <w:p w:rsidR="00B6657A" w:rsidRDefault="00B6657A" w:rsidP="00324BB3">
      <w:pPr>
        <w:pStyle w:val="Textosinformato"/>
        <w:jc w:val="both"/>
        <w:rPr>
          <w:rFonts w:ascii="Calibri" w:hAnsi="Calibri" w:cs="Arial"/>
          <w:lang w:eastAsia="es-ES"/>
        </w:rPr>
      </w:pPr>
    </w:p>
    <w:p w:rsidR="00B6657A" w:rsidRDefault="00B6657A" w:rsidP="00324BB3">
      <w:pPr>
        <w:pStyle w:val="Textosinformato"/>
        <w:jc w:val="both"/>
        <w:rPr>
          <w:rFonts w:ascii="Calibri" w:hAnsi="Calibri" w:cs="Arial"/>
          <w:lang w:eastAsia="es-ES"/>
        </w:rPr>
      </w:pPr>
    </w:p>
    <w:p w:rsidR="00324BB3" w:rsidRDefault="00324BB3" w:rsidP="00324BB3">
      <w:pPr>
        <w:pStyle w:val="Textosinformato"/>
        <w:numPr>
          <w:ilvl w:val="0"/>
          <w:numId w:val="29"/>
        </w:numPr>
        <w:ind w:left="1416" w:hanging="913"/>
        <w:jc w:val="both"/>
        <w:rPr>
          <w:rFonts w:ascii="Calibri" w:hAnsi="Calibri" w:cs="Arial"/>
          <w:lang w:eastAsia="es-ES"/>
        </w:rPr>
      </w:pPr>
      <w:r>
        <w:rPr>
          <w:rFonts w:ascii="Calibri" w:hAnsi="Calibri" w:cs="Arial"/>
          <w:b/>
          <w:lang w:eastAsia="es-ES"/>
        </w:rPr>
        <w:t>Fondo de Contingencias.-</w:t>
      </w:r>
      <w:r>
        <w:rPr>
          <w:rFonts w:ascii="Calibri" w:hAnsi="Calibri" w:cs="Arial"/>
          <w:lang w:eastAsia="es-ES"/>
        </w:rPr>
        <w:t xml:space="preserve"> Se podrá aplicar en eventos de emergencia para subsanar eventualmente deficiencias temporales del gasto de la institución. Este fondo será revolvente. </w:t>
      </w:r>
    </w:p>
    <w:p w:rsidR="00324BB3" w:rsidRDefault="00324BB3" w:rsidP="00324BB3">
      <w:pPr>
        <w:pStyle w:val="Prrafodelista"/>
        <w:rPr>
          <w:rFonts w:ascii="Calibri" w:hAnsi="Calibri" w:cs="Arial"/>
        </w:rPr>
      </w:pPr>
    </w:p>
    <w:p w:rsidR="00324BB3" w:rsidRDefault="00324BB3" w:rsidP="00324BB3">
      <w:pPr>
        <w:jc w:val="both"/>
        <w:rPr>
          <w:rFonts w:ascii="Calibri" w:hAnsi="Calibri" w:cs="Arial"/>
          <w:sz w:val="20"/>
          <w:szCs w:val="20"/>
        </w:rPr>
      </w:pPr>
      <w:r>
        <w:rPr>
          <w:rFonts w:cs="Arial"/>
          <w:sz w:val="20"/>
          <w:szCs w:val="20"/>
        </w:rPr>
        <w:t>Los saldos al 31 de Marzo de 2017 son los siguientes:</w:t>
      </w:r>
    </w:p>
    <w:tbl>
      <w:tblPr>
        <w:tblW w:w="8680" w:type="dxa"/>
        <w:jc w:val="center"/>
        <w:tblInd w:w="55" w:type="dxa"/>
        <w:tblCellMar>
          <w:left w:w="70" w:type="dxa"/>
          <w:right w:w="70" w:type="dxa"/>
        </w:tblCellMar>
        <w:tblLook w:val="04A0" w:firstRow="1" w:lastRow="0" w:firstColumn="1" w:lastColumn="0" w:noHBand="0" w:noVBand="1"/>
      </w:tblPr>
      <w:tblGrid>
        <w:gridCol w:w="3080"/>
        <w:gridCol w:w="2620"/>
        <w:gridCol w:w="1600"/>
        <w:gridCol w:w="1380"/>
      </w:tblGrid>
      <w:tr w:rsidR="00324BB3" w:rsidTr="00324BB3">
        <w:trPr>
          <w:trHeight w:val="510"/>
          <w:jc w:val="center"/>
        </w:trPr>
        <w:tc>
          <w:tcPr>
            <w:tcW w:w="3080" w:type="dxa"/>
            <w:tcBorders>
              <w:top w:val="single" w:sz="12" w:space="0" w:color="008000"/>
              <w:left w:val="nil"/>
              <w:bottom w:val="single" w:sz="12" w:space="0" w:color="008000"/>
              <w:right w:val="nil"/>
            </w:tcBorders>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CONCEPTO</w:t>
            </w:r>
          </w:p>
        </w:tc>
        <w:tc>
          <w:tcPr>
            <w:tcW w:w="2620" w:type="dxa"/>
            <w:tcBorders>
              <w:top w:val="single" w:sz="12" w:space="0" w:color="008000"/>
              <w:left w:val="nil"/>
              <w:bottom w:val="single" w:sz="12" w:space="0" w:color="008000"/>
              <w:right w:val="nil"/>
            </w:tcBorders>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AUTORIZADO</w:t>
            </w:r>
          </w:p>
        </w:tc>
        <w:tc>
          <w:tcPr>
            <w:tcW w:w="1600" w:type="dxa"/>
            <w:tcBorders>
              <w:top w:val="single" w:sz="12" w:space="0" w:color="008000"/>
              <w:left w:val="nil"/>
              <w:bottom w:val="single" w:sz="12" w:space="0" w:color="008000"/>
              <w:right w:val="nil"/>
            </w:tcBorders>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EJERCIDO AL 31-MZO-17</w:t>
            </w:r>
          </w:p>
        </w:tc>
        <w:tc>
          <w:tcPr>
            <w:tcW w:w="1380" w:type="dxa"/>
            <w:tcBorders>
              <w:top w:val="single" w:sz="12" w:space="0" w:color="008000"/>
              <w:left w:val="nil"/>
              <w:bottom w:val="single" w:sz="12" w:space="0" w:color="008000"/>
              <w:right w:val="nil"/>
            </w:tcBorders>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SALDO</w:t>
            </w:r>
          </w:p>
        </w:tc>
      </w:tr>
      <w:tr w:rsidR="00324BB3" w:rsidTr="00324BB3">
        <w:trPr>
          <w:trHeight w:val="270"/>
          <w:jc w:val="center"/>
        </w:trPr>
        <w:tc>
          <w:tcPr>
            <w:tcW w:w="3080" w:type="dxa"/>
            <w:vAlign w:val="bottom"/>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Fondo de Contingencia</w:t>
            </w:r>
          </w:p>
        </w:tc>
        <w:tc>
          <w:tcPr>
            <w:tcW w:w="2620"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4,000,000 </w:t>
            </w:r>
          </w:p>
        </w:tc>
        <w:tc>
          <w:tcPr>
            <w:tcW w:w="1600"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   </w:t>
            </w:r>
          </w:p>
        </w:tc>
        <w:tc>
          <w:tcPr>
            <w:tcW w:w="1380"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4,000,000 </w:t>
            </w:r>
          </w:p>
        </w:tc>
      </w:tr>
      <w:tr w:rsidR="00324BB3" w:rsidTr="00324BB3">
        <w:trPr>
          <w:trHeight w:val="270"/>
          <w:jc w:val="center"/>
        </w:trPr>
        <w:tc>
          <w:tcPr>
            <w:tcW w:w="3080" w:type="dxa"/>
            <w:tcBorders>
              <w:top w:val="nil"/>
              <w:left w:val="nil"/>
              <w:bottom w:val="single" w:sz="12" w:space="0" w:color="76923C"/>
              <w:right w:val="nil"/>
            </w:tcBorders>
            <w:vAlign w:val="bottom"/>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Fondo de Desarrollo</w:t>
            </w:r>
          </w:p>
        </w:tc>
        <w:tc>
          <w:tcPr>
            <w:tcW w:w="2620" w:type="dxa"/>
            <w:tcBorders>
              <w:top w:val="nil"/>
              <w:left w:val="nil"/>
              <w:bottom w:val="single" w:sz="12" w:space="0" w:color="76923C"/>
              <w:right w:val="nil"/>
            </w:tcBorders>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4,858,994 </w:t>
            </w:r>
          </w:p>
        </w:tc>
        <w:tc>
          <w:tcPr>
            <w:tcW w:w="1600" w:type="dxa"/>
            <w:tcBorders>
              <w:top w:val="nil"/>
              <w:left w:val="nil"/>
              <w:bottom w:val="single" w:sz="12" w:space="0" w:color="76923C"/>
              <w:right w:val="nil"/>
            </w:tcBorders>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4,277,475 </w:t>
            </w:r>
          </w:p>
        </w:tc>
        <w:tc>
          <w:tcPr>
            <w:tcW w:w="1380"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581,519 </w:t>
            </w:r>
          </w:p>
        </w:tc>
      </w:tr>
      <w:tr w:rsidR="00324BB3" w:rsidTr="00324BB3">
        <w:trPr>
          <w:trHeight w:val="285"/>
          <w:jc w:val="center"/>
        </w:trPr>
        <w:tc>
          <w:tcPr>
            <w:tcW w:w="308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TOTALES</w:t>
            </w:r>
          </w:p>
        </w:tc>
        <w:tc>
          <w:tcPr>
            <w:tcW w:w="262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 </w:t>
            </w:r>
          </w:p>
        </w:tc>
        <w:tc>
          <w:tcPr>
            <w:tcW w:w="160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 </w:t>
            </w:r>
          </w:p>
        </w:tc>
        <w:tc>
          <w:tcPr>
            <w:tcW w:w="1380" w:type="dxa"/>
            <w:tcBorders>
              <w:top w:val="single" w:sz="12" w:space="0" w:color="008000"/>
              <w:left w:val="nil"/>
              <w:bottom w:val="single" w:sz="12" w:space="0" w:color="008000"/>
              <w:right w:val="nil"/>
            </w:tcBorders>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 xml:space="preserve">            4,581,519 </w:t>
            </w:r>
          </w:p>
        </w:tc>
      </w:tr>
    </w:tbl>
    <w:p w:rsidR="00324BB3" w:rsidRDefault="00324BB3" w:rsidP="00324BB3">
      <w:pPr>
        <w:jc w:val="both"/>
        <w:rPr>
          <w:rFonts w:ascii="Calibri" w:hAnsi="Calibri" w:cs="Arial"/>
          <w:sz w:val="20"/>
          <w:szCs w:val="20"/>
        </w:rPr>
      </w:pPr>
    </w:p>
    <w:p w:rsidR="00324BB3" w:rsidRDefault="00324BB3" w:rsidP="00324BB3">
      <w:pPr>
        <w:jc w:val="both"/>
        <w:rPr>
          <w:rFonts w:cs="Arial"/>
          <w:sz w:val="20"/>
          <w:szCs w:val="20"/>
        </w:rPr>
      </w:pPr>
      <w:r>
        <w:rPr>
          <w:rFonts w:cs="Arial"/>
          <w:sz w:val="20"/>
          <w:szCs w:val="20"/>
        </w:rPr>
        <w:t>En esta cuenta se integran los intereses netos que generan dichos fondos, de tal manera que se tenga un control de ellos para su aplicación e informe, está formado por las siguientes cuentas:</w:t>
      </w:r>
    </w:p>
    <w:tbl>
      <w:tblPr>
        <w:tblW w:w="4940" w:type="dxa"/>
        <w:jc w:val="center"/>
        <w:tblInd w:w="55" w:type="dxa"/>
        <w:tblCellMar>
          <w:left w:w="70" w:type="dxa"/>
          <w:right w:w="70" w:type="dxa"/>
        </w:tblCellMar>
        <w:tblLook w:val="04A0" w:firstRow="1" w:lastRow="0" w:firstColumn="1" w:lastColumn="0" w:noHBand="0" w:noVBand="1"/>
      </w:tblPr>
      <w:tblGrid>
        <w:gridCol w:w="3975"/>
        <w:gridCol w:w="965"/>
      </w:tblGrid>
      <w:tr w:rsidR="00324BB3" w:rsidTr="00324BB3">
        <w:trPr>
          <w:trHeight w:val="285"/>
          <w:jc w:val="center"/>
        </w:trPr>
        <w:tc>
          <w:tcPr>
            <w:tcW w:w="398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INTERES DE:</w:t>
            </w:r>
          </w:p>
        </w:tc>
        <w:tc>
          <w:tcPr>
            <w:tcW w:w="96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 xml:space="preserve"> IMPORTE </w:t>
            </w:r>
          </w:p>
        </w:tc>
      </w:tr>
      <w:tr w:rsidR="00324BB3" w:rsidTr="00324BB3">
        <w:trPr>
          <w:trHeight w:val="270"/>
          <w:jc w:val="center"/>
        </w:trPr>
        <w:tc>
          <w:tcPr>
            <w:tcW w:w="3980" w:type="dxa"/>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Fondo de Desarrollo</w:t>
            </w:r>
          </w:p>
        </w:tc>
        <w:tc>
          <w:tcPr>
            <w:tcW w:w="96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543,378.15</w:t>
            </w:r>
          </w:p>
        </w:tc>
      </w:tr>
      <w:tr w:rsidR="00324BB3" w:rsidTr="00324BB3">
        <w:trPr>
          <w:trHeight w:val="270"/>
          <w:jc w:val="center"/>
        </w:trPr>
        <w:tc>
          <w:tcPr>
            <w:tcW w:w="3980" w:type="dxa"/>
            <w:tcBorders>
              <w:top w:val="nil"/>
              <w:left w:val="nil"/>
              <w:bottom w:val="single" w:sz="12" w:space="0" w:color="76923C"/>
              <w:right w:val="nil"/>
            </w:tcBorders>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Fondo de Contingencia</w:t>
            </w:r>
          </w:p>
        </w:tc>
        <w:tc>
          <w:tcPr>
            <w:tcW w:w="960" w:type="dxa"/>
            <w:tcBorders>
              <w:top w:val="nil"/>
              <w:left w:val="nil"/>
              <w:bottom w:val="single" w:sz="12" w:space="0" w:color="76923C"/>
              <w:right w:val="nil"/>
            </w:tcBorders>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337,806.59</w:t>
            </w:r>
          </w:p>
        </w:tc>
      </w:tr>
      <w:tr w:rsidR="00324BB3" w:rsidTr="00324BB3">
        <w:trPr>
          <w:trHeight w:val="285"/>
          <w:jc w:val="center"/>
        </w:trPr>
        <w:tc>
          <w:tcPr>
            <w:tcW w:w="3980" w:type="dxa"/>
            <w:tcBorders>
              <w:top w:val="nil"/>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TOTAL</w:t>
            </w:r>
          </w:p>
        </w:tc>
        <w:tc>
          <w:tcPr>
            <w:tcW w:w="960" w:type="dxa"/>
            <w:tcBorders>
              <w:top w:val="nil"/>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881,184.74</w:t>
            </w:r>
          </w:p>
        </w:tc>
      </w:tr>
    </w:tbl>
    <w:p w:rsidR="00324BB3" w:rsidRDefault="00324BB3" w:rsidP="00324BB3">
      <w:pPr>
        <w:jc w:val="both"/>
        <w:rPr>
          <w:rFonts w:ascii="Calibri" w:hAnsi="Calibri" w:cs="Arial"/>
          <w:sz w:val="20"/>
          <w:szCs w:val="20"/>
        </w:rPr>
      </w:pPr>
    </w:p>
    <w:p w:rsidR="00324BB3" w:rsidRDefault="00324BB3" w:rsidP="00324BB3">
      <w:pPr>
        <w:jc w:val="both"/>
        <w:rPr>
          <w:rFonts w:cs="Arial"/>
          <w:sz w:val="20"/>
          <w:szCs w:val="20"/>
        </w:rPr>
      </w:pPr>
      <w:r>
        <w:rPr>
          <w:rFonts w:cs="Arial"/>
          <w:sz w:val="20"/>
          <w:szCs w:val="20"/>
        </w:rPr>
        <w:t>Con los importes del Fondo de Contingencia y Desarrollo se solventaron parte de las erogaciones del 2008, el cual será depositado al recibirse las diferencias en el subsidio por incumplimiento a los Convenios de Coordinación en los ejercicios del 2009 y 2010.</w:t>
      </w:r>
    </w:p>
    <w:p w:rsidR="00B6657A" w:rsidRDefault="00B6657A" w:rsidP="00324BB3">
      <w:pPr>
        <w:jc w:val="both"/>
        <w:rPr>
          <w:rFonts w:cs="Arial"/>
          <w:sz w:val="20"/>
          <w:szCs w:val="20"/>
        </w:rPr>
      </w:pPr>
    </w:p>
    <w:p w:rsidR="00324BB3" w:rsidRDefault="00324BB3" w:rsidP="00324BB3">
      <w:pPr>
        <w:numPr>
          <w:ilvl w:val="0"/>
          <w:numId w:val="25"/>
        </w:numPr>
        <w:spacing w:after="0" w:line="240" w:lineRule="auto"/>
        <w:ind w:left="426" w:hanging="426"/>
        <w:jc w:val="both"/>
        <w:rPr>
          <w:rFonts w:cs="Arial"/>
          <w:b/>
          <w:sz w:val="20"/>
          <w:szCs w:val="20"/>
        </w:rPr>
      </w:pPr>
      <w:r>
        <w:rPr>
          <w:rFonts w:cs="Arial"/>
          <w:b/>
          <w:sz w:val="20"/>
          <w:szCs w:val="20"/>
        </w:rPr>
        <w:lastRenderedPageBreak/>
        <w:t>NOTAS AL ESTADO DE ACTIVIDADES</w:t>
      </w:r>
    </w:p>
    <w:p w:rsidR="00324BB3" w:rsidRDefault="00324BB3" w:rsidP="00324BB3">
      <w:pPr>
        <w:pStyle w:val="Encabezado"/>
        <w:tabs>
          <w:tab w:val="left" w:pos="1080"/>
        </w:tabs>
        <w:ind w:left="720"/>
        <w:jc w:val="both"/>
        <w:rPr>
          <w:rFonts w:ascii="Calibri" w:hAnsi="Calibri" w:cs="Arial"/>
          <w:b/>
          <w:sz w:val="20"/>
          <w:szCs w:val="20"/>
        </w:rPr>
      </w:pPr>
      <w:r>
        <w:rPr>
          <w:rFonts w:ascii="Calibri" w:hAnsi="Calibri" w:cs="Arial"/>
          <w:b/>
          <w:sz w:val="20"/>
          <w:szCs w:val="20"/>
        </w:rPr>
        <w:t>INGRESOS DE GESTIÓN</w:t>
      </w:r>
    </w:p>
    <w:p w:rsidR="00324BB3" w:rsidRDefault="00324BB3" w:rsidP="00324BB3">
      <w:pPr>
        <w:pStyle w:val="Encabezado"/>
        <w:tabs>
          <w:tab w:val="left" w:pos="1080"/>
        </w:tabs>
        <w:ind w:left="720"/>
        <w:jc w:val="both"/>
        <w:rPr>
          <w:rFonts w:ascii="Calibri" w:hAnsi="Calibri" w:cs="Arial"/>
          <w:b/>
          <w:sz w:val="20"/>
          <w:szCs w:val="20"/>
        </w:rPr>
      </w:pPr>
    </w:p>
    <w:p w:rsidR="00324BB3" w:rsidRDefault="00324BB3" w:rsidP="00324BB3">
      <w:pPr>
        <w:pStyle w:val="Encabezado"/>
        <w:tabs>
          <w:tab w:val="left" w:pos="1080"/>
        </w:tabs>
        <w:jc w:val="both"/>
        <w:rPr>
          <w:rFonts w:ascii="Calibri" w:hAnsi="Calibri" w:cs="Arial"/>
          <w:b/>
          <w:sz w:val="20"/>
          <w:szCs w:val="20"/>
        </w:rPr>
      </w:pPr>
      <w:r>
        <w:rPr>
          <w:rFonts w:ascii="Calibri" w:hAnsi="Calibri" w:cs="Arial"/>
          <w:b/>
          <w:sz w:val="20"/>
          <w:szCs w:val="20"/>
        </w:rPr>
        <w:t>Ingresos y Otros Beneficios</w:t>
      </w:r>
    </w:p>
    <w:p w:rsidR="00324BB3" w:rsidRDefault="00324BB3" w:rsidP="00324BB3">
      <w:pPr>
        <w:pStyle w:val="Encabezado"/>
        <w:tabs>
          <w:tab w:val="left" w:pos="1080"/>
        </w:tabs>
        <w:jc w:val="both"/>
        <w:rPr>
          <w:rFonts w:ascii="Calibri" w:hAnsi="Calibri" w:cs="Arial"/>
          <w:sz w:val="20"/>
          <w:szCs w:val="20"/>
        </w:rPr>
      </w:pPr>
    </w:p>
    <w:p w:rsidR="00324BB3" w:rsidRDefault="00324BB3" w:rsidP="00324BB3">
      <w:pPr>
        <w:pStyle w:val="Encabezado"/>
        <w:tabs>
          <w:tab w:val="left" w:pos="1080"/>
        </w:tabs>
        <w:jc w:val="both"/>
        <w:rPr>
          <w:rFonts w:ascii="Calibri" w:hAnsi="Calibri" w:cs="Arial"/>
          <w:sz w:val="20"/>
          <w:szCs w:val="20"/>
        </w:rPr>
      </w:pPr>
      <w:r>
        <w:rPr>
          <w:rFonts w:ascii="Calibri" w:hAnsi="Calibri" w:cs="Arial"/>
          <w:sz w:val="20"/>
          <w:szCs w:val="20"/>
        </w:rPr>
        <w:t>Los ingresos del período se registran como se menciona a continuación:</w:t>
      </w:r>
    </w:p>
    <w:p w:rsidR="00324BB3" w:rsidRDefault="00324BB3" w:rsidP="00324BB3">
      <w:pPr>
        <w:pStyle w:val="Encabezado"/>
        <w:tabs>
          <w:tab w:val="left" w:pos="1080"/>
        </w:tabs>
        <w:jc w:val="both"/>
        <w:rPr>
          <w:rFonts w:ascii="Calibri" w:hAnsi="Calibri" w:cs="Arial"/>
          <w:sz w:val="20"/>
          <w:szCs w:val="20"/>
        </w:rPr>
      </w:pPr>
    </w:p>
    <w:p w:rsidR="00324BB3" w:rsidRDefault="00324BB3" w:rsidP="00324BB3">
      <w:pPr>
        <w:pStyle w:val="Encabezado"/>
        <w:tabs>
          <w:tab w:val="left" w:pos="1080"/>
        </w:tabs>
        <w:jc w:val="both"/>
        <w:rPr>
          <w:rFonts w:ascii="Calibri" w:hAnsi="Calibri" w:cs="Arial"/>
          <w:b/>
          <w:sz w:val="20"/>
          <w:szCs w:val="20"/>
        </w:rPr>
      </w:pPr>
      <w:r>
        <w:rPr>
          <w:rFonts w:ascii="Calibri" w:hAnsi="Calibri" w:cs="Arial"/>
          <w:b/>
          <w:sz w:val="20"/>
          <w:szCs w:val="20"/>
        </w:rPr>
        <w:t>Participaciones, Aportaciones, Transferencias, Asignaciones, Subsidios y Otras Ayudas.</w:t>
      </w:r>
    </w:p>
    <w:p w:rsidR="00324BB3" w:rsidRDefault="00324BB3" w:rsidP="00324BB3">
      <w:pPr>
        <w:pStyle w:val="Encabezado"/>
        <w:tabs>
          <w:tab w:val="left" w:pos="1080"/>
        </w:tabs>
        <w:jc w:val="both"/>
        <w:rPr>
          <w:rFonts w:ascii="Calibri" w:hAnsi="Calibri" w:cs="Arial"/>
          <w:b/>
          <w:sz w:val="20"/>
          <w:szCs w:val="20"/>
        </w:rPr>
      </w:pPr>
    </w:p>
    <w:p w:rsidR="00324BB3" w:rsidRDefault="00324BB3" w:rsidP="00324BB3">
      <w:pPr>
        <w:pStyle w:val="Encabezado"/>
        <w:tabs>
          <w:tab w:val="left" w:pos="1080"/>
        </w:tabs>
        <w:jc w:val="both"/>
        <w:rPr>
          <w:rFonts w:ascii="Calibri" w:hAnsi="Calibri" w:cs="Arial"/>
          <w:b/>
          <w:sz w:val="20"/>
          <w:szCs w:val="20"/>
        </w:rPr>
      </w:pPr>
      <w:r>
        <w:rPr>
          <w:rFonts w:ascii="Calibri" w:hAnsi="Calibri" w:cs="Arial"/>
          <w:b/>
          <w:sz w:val="20"/>
          <w:szCs w:val="20"/>
        </w:rPr>
        <w:t>Subsidios Del Gobierno Federal:</w:t>
      </w:r>
    </w:p>
    <w:p w:rsidR="00324BB3" w:rsidRDefault="00324BB3" w:rsidP="00324BB3">
      <w:pPr>
        <w:pStyle w:val="Encabezado"/>
        <w:jc w:val="both"/>
        <w:rPr>
          <w:rFonts w:ascii="Calibri" w:hAnsi="Calibri" w:cs="Arial"/>
          <w:sz w:val="20"/>
          <w:szCs w:val="20"/>
        </w:rPr>
      </w:pPr>
      <w:r>
        <w:rPr>
          <w:rFonts w:ascii="Calibri" w:hAnsi="Calibri" w:cs="Arial"/>
          <w:sz w:val="20"/>
          <w:szCs w:val="20"/>
        </w:rPr>
        <w:tab/>
        <w:t>Son los ingresos por subsidio provenientes del presupuesto asignado por el Gobierno Federal de acuerdo al Presupuestos de egresos de la Federación vigente para 2017 y se registran conforme se transfieren los recursos.</w:t>
      </w:r>
    </w:p>
    <w:p w:rsidR="00324BB3" w:rsidRDefault="00324BB3" w:rsidP="00324BB3">
      <w:pPr>
        <w:pStyle w:val="Encabezado"/>
        <w:jc w:val="both"/>
        <w:rPr>
          <w:rFonts w:ascii="Calibri" w:hAnsi="Calibri" w:cs="Arial"/>
          <w:sz w:val="20"/>
          <w:szCs w:val="20"/>
        </w:rPr>
      </w:pPr>
    </w:p>
    <w:tbl>
      <w:tblPr>
        <w:tblW w:w="3260" w:type="dxa"/>
        <w:jc w:val="center"/>
        <w:tblInd w:w="55" w:type="dxa"/>
        <w:tblCellMar>
          <w:left w:w="70" w:type="dxa"/>
          <w:right w:w="70" w:type="dxa"/>
        </w:tblCellMar>
        <w:tblLook w:val="04A0" w:firstRow="1" w:lastRow="0" w:firstColumn="1" w:lastColumn="0" w:noHBand="0" w:noVBand="1"/>
      </w:tblPr>
      <w:tblGrid>
        <w:gridCol w:w="1900"/>
        <w:gridCol w:w="1360"/>
      </w:tblGrid>
      <w:tr w:rsidR="00324BB3" w:rsidTr="00324BB3">
        <w:trPr>
          <w:trHeight w:val="510"/>
          <w:jc w:val="center"/>
        </w:trPr>
        <w:tc>
          <w:tcPr>
            <w:tcW w:w="1900" w:type="dxa"/>
            <w:tcBorders>
              <w:top w:val="single" w:sz="12" w:space="0" w:color="008000"/>
              <w:left w:val="nil"/>
              <w:bottom w:val="single" w:sz="12" w:space="0" w:color="008000"/>
              <w:right w:val="nil"/>
            </w:tcBorders>
            <w:vAlign w:val="center"/>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4-2-2-3-0001-0000</w:t>
            </w:r>
          </w:p>
        </w:tc>
        <w:tc>
          <w:tcPr>
            <w:tcW w:w="1360" w:type="dxa"/>
            <w:tcBorders>
              <w:top w:val="single" w:sz="12" w:space="0" w:color="008000"/>
              <w:left w:val="nil"/>
              <w:bottom w:val="single" w:sz="12" w:space="0" w:color="008000"/>
              <w:right w:val="nil"/>
            </w:tcBorders>
            <w:vAlign w:val="center"/>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 xml:space="preserve"> Subsidio Federal </w:t>
            </w:r>
          </w:p>
        </w:tc>
      </w:tr>
      <w:tr w:rsidR="00324BB3" w:rsidTr="00324BB3">
        <w:trPr>
          <w:trHeight w:val="270"/>
          <w:jc w:val="center"/>
        </w:trPr>
        <w:tc>
          <w:tcPr>
            <w:tcW w:w="1900" w:type="dxa"/>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 xml:space="preserve"> ENERO </w:t>
            </w:r>
          </w:p>
        </w:tc>
        <w:tc>
          <w:tcPr>
            <w:tcW w:w="1360"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0.00 </w:t>
            </w:r>
          </w:p>
        </w:tc>
      </w:tr>
      <w:tr w:rsidR="00324BB3" w:rsidTr="00324BB3">
        <w:trPr>
          <w:trHeight w:val="270"/>
          <w:jc w:val="center"/>
        </w:trPr>
        <w:tc>
          <w:tcPr>
            <w:tcW w:w="1900" w:type="dxa"/>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FEBRERO</w:t>
            </w:r>
          </w:p>
        </w:tc>
        <w:tc>
          <w:tcPr>
            <w:tcW w:w="1360"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2,404,152.00</w:t>
            </w:r>
          </w:p>
        </w:tc>
      </w:tr>
      <w:tr w:rsidR="00324BB3" w:rsidTr="00324BB3">
        <w:trPr>
          <w:trHeight w:val="270"/>
          <w:jc w:val="center"/>
        </w:trPr>
        <w:tc>
          <w:tcPr>
            <w:tcW w:w="1900" w:type="dxa"/>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MARZO</w:t>
            </w:r>
          </w:p>
        </w:tc>
        <w:tc>
          <w:tcPr>
            <w:tcW w:w="1360"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4,808,304.00</w:t>
            </w:r>
          </w:p>
        </w:tc>
      </w:tr>
      <w:tr w:rsidR="00324BB3" w:rsidTr="00324BB3">
        <w:trPr>
          <w:trHeight w:val="285"/>
          <w:jc w:val="center"/>
        </w:trPr>
        <w:tc>
          <w:tcPr>
            <w:tcW w:w="1900" w:type="dxa"/>
            <w:tcBorders>
              <w:top w:val="single" w:sz="12" w:space="0" w:color="008000"/>
              <w:left w:val="nil"/>
              <w:bottom w:val="single" w:sz="12" w:space="0" w:color="008000"/>
              <w:right w:val="nil"/>
            </w:tcBorders>
            <w:vAlign w:val="bottom"/>
            <w:hideMark/>
          </w:tcPr>
          <w:p w:rsidR="00324BB3" w:rsidRDefault="00324BB3">
            <w:pPr>
              <w:spacing w:after="0" w:line="240" w:lineRule="auto"/>
              <w:rPr>
                <w:rFonts w:eastAsia="Times New Roman" w:cs="Arial"/>
                <w:b/>
                <w:bCs/>
                <w:sz w:val="18"/>
                <w:szCs w:val="18"/>
                <w:lang w:eastAsia="es-MX"/>
              </w:rPr>
            </w:pPr>
            <w:r>
              <w:rPr>
                <w:rFonts w:eastAsia="Times New Roman" w:cs="Arial"/>
                <w:b/>
                <w:bCs/>
                <w:sz w:val="18"/>
                <w:szCs w:val="18"/>
                <w:lang w:eastAsia="es-MX"/>
              </w:rPr>
              <w:t xml:space="preserve"> ACUMULADO </w:t>
            </w:r>
          </w:p>
        </w:tc>
        <w:tc>
          <w:tcPr>
            <w:tcW w:w="1360" w:type="dxa"/>
            <w:tcBorders>
              <w:top w:val="single" w:sz="12" w:space="0" w:color="008000"/>
              <w:left w:val="nil"/>
              <w:bottom w:val="single" w:sz="12" w:space="0" w:color="008000"/>
              <w:right w:val="nil"/>
            </w:tcBorders>
            <w:vAlign w:val="bottom"/>
            <w:hideMark/>
          </w:tcPr>
          <w:p w:rsidR="00324BB3" w:rsidRDefault="00324BB3">
            <w:pPr>
              <w:spacing w:after="0" w:line="240" w:lineRule="auto"/>
              <w:jc w:val="right"/>
              <w:rPr>
                <w:rFonts w:eastAsia="Times New Roman" w:cs="Arial"/>
                <w:b/>
                <w:bCs/>
                <w:sz w:val="18"/>
                <w:szCs w:val="18"/>
                <w:lang w:eastAsia="es-MX"/>
              </w:rPr>
            </w:pPr>
            <w:r>
              <w:rPr>
                <w:rFonts w:eastAsia="Times New Roman" w:cs="Arial"/>
                <w:b/>
                <w:bCs/>
                <w:sz w:val="18"/>
                <w:szCs w:val="18"/>
                <w:lang w:eastAsia="es-MX"/>
              </w:rPr>
              <w:t xml:space="preserve">    7,212,456.00 </w:t>
            </w:r>
          </w:p>
        </w:tc>
      </w:tr>
    </w:tbl>
    <w:p w:rsidR="00324BB3" w:rsidRDefault="00324BB3" w:rsidP="00324BB3">
      <w:pPr>
        <w:pStyle w:val="Encabezado"/>
        <w:jc w:val="both"/>
        <w:rPr>
          <w:rFonts w:ascii="Calibri" w:hAnsi="Calibri" w:cs="Arial"/>
          <w:sz w:val="20"/>
          <w:szCs w:val="20"/>
        </w:rPr>
      </w:pPr>
    </w:p>
    <w:p w:rsidR="00324BB3" w:rsidRDefault="00324BB3" w:rsidP="00324BB3">
      <w:pPr>
        <w:pStyle w:val="Encabezado"/>
        <w:tabs>
          <w:tab w:val="left" w:pos="1080"/>
        </w:tabs>
        <w:jc w:val="both"/>
        <w:rPr>
          <w:rFonts w:ascii="Calibri" w:hAnsi="Calibri" w:cs="Arial"/>
          <w:b/>
          <w:sz w:val="20"/>
          <w:szCs w:val="20"/>
        </w:rPr>
      </w:pPr>
      <w:r>
        <w:rPr>
          <w:rFonts w:ascii="Calibri" w:hAnsi="Calibri" w:cs="Arial"/>
          <w:b/>
          <w:sz w:val="20"/>
          <w:szCs w:val="20"/>
        </w:rPr>
        <w:t>Subsidios Del Gobierno Del Estado:</w:t>
      </w:r>
    </w:p>
    <w:p w:rsidR="00324BB3" w:rsidRDefault="00324BB3" w:rsidP="00324BB3">
      <w:pPr>
        <w:pStyle w:val="Encabezado"/>
        <w:jc w:val="both"/>
        <w:rPr>
          <w:rFonts w:ascii="Calibri" w:hAnsi="Calibri" w:cs="Arial"/>
          <w:sz w:val="20"/>
          <w:szCs w:val="20"/>
        </w:rPr>
      </w:pPr>
      <w:r>
        <w:rPr>
          <w:rFonts w:ascii="Calibri" w:hAnsi="Calibri" w:cs="Arial"/>
          <w:sz w:val="20"/>
          <w:szCs w:val="20"/>
        </w:rPr>
        <w:tab/>
        <w:t>Son los ingresos por subsidio provenientes del presupuesto asignado por el Gobierno Estatal de acuerdo al Presupuesto de egresos del Estado vigente para el año 2017 y se registran conforme se elabora la factura.</w:t>
      </w:r>
    </w:p>
    <w:tbl>
      <w:tblPr>
        <w:tblW w:w="3434" w:type="dxa"/>
        <w:jc w:val="center"/>
        <w:tblInd w:w="55" w:type="dxa"/>
        <w:tblCellMar>
          <w:left w:w="70" w:type="dxa"/>
          <w:right w:w="70" w:type="dxa"/>
        </w:tblCellMar>
        <w:tblLook w:val="04A0" w:firstRow="1" w:lastRow="0" w:firstColumn="1" w:lastColumn="0" w:noHBand="0" w:noVBand="1"/>
      </w:tblPr>
      <w:tblGrid>
        <w:gridCol w:w="1780"/>
        <w:gridCol w:w="1654"/>
      </w:tblGrid>
      <w:tr w:rsidR="00324BB3" w:rsidTr="00324BB3">
        <w:trPr>
          <w:trHeight w:val="510"/>
          <w:jc w:val="center"/>
        </w:trPr>
        <w:tc>
          <w:tcPr>
            <w:tcW w:w="1780" w:type="dxa"/>
            <w:tcBorders>
              <w:top w:val="single" w:sz="12" w:space="0" w:color="008000"/>
              <w:left w:val="nil"/>
              <w:bottom w:val="single" w:sz="12" w:space="0" w:color="008000"/>
              <w:right w:val="nil"/>
            </w:tcBorders>
            <w:vAlign w:val="center"/>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4-2-2-3-0002-0000</w:t>
            </w:r>
          </w:p>
        </w:tc>
        <w:tc>
          <w:tcPr>
            <w:tcW w:w="1654" w:type="dxa"/>
            <w:tcBorders>
              <w:top w:val="single" w:sz="12" w:space="0" w:color="008000"/>
              <w:left w:val="nil"/>
              <w:bottom w:val="single" w:sz="12" w:space="0" w:color="008000"/>
              <w:right w:val="nil"/>
            </w:tcBorders>
            <w:vAlign w:val="center"/>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 xml:space="preserve"> Subsidio Gobierno del Estado </w:t>
            </w:r>
          </w:p>
        </w:tc>
      </w:tr>
      <w:tr w:rsidR="00324BB3" w:rsidTr="00324BB3">
        <w:trPr>
          <w:trHeight w:val="270"/>
          <w:jc w:val="center"/>
        </w:trPr>
        <w:tc>
          <w:tcPr>
            <w:tcW w:w="1780" w:type="dxa"/>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 xml:space="preserve"> ENERO </w:t>
            </w:r>
          </w:p>
        </w:tc>
        <w:tc>
          <w:tcPr>
            <w:tcW w:w="1654"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3,712,372.00 </w:t>
            </w:r>
          </w:p>
        </w:tc>
      </w:tr>
      <w:tr w:rsidR="00324BB3" w:rsidTr="00324BB3">
        <w:trPr>
          <w:trHeight w:val="270"/>
          <w:jc w:val="center"/>
        </w:trPr>
        <w:tc>
          <w:tcPr>
            <w:tcW w:w="1780" w:type="dxa"/>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FEBRERO</w:t>
            </w:r>
          </w:p>
        </w:tc>
        <w:tc>
          <w:tcPr>
            <w:tcW w:w="1654"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695,387.00</w:t>
            </w:r>
          </w:p>
        </w:tc>
      </w:tr>
      <w:tr w:rsidR="00324BB3" w:rsidTr="00324BB3">
        <w:trPr>
          <w:trHeight w:val="270"/>
          <w:jc w:val="center"/>
        </w:trPr>
        <w:tc>
          <w:tcPr>
            <w:tcW w:w="1780" w:type="dxa"/>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MARZO</w:t>
            </w:r>
          </w:p>
        </w:tc>
        <w:tc>
          <w:tcPr>
            <w:tcW w:w="1654" w:type="dxa"/>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7,170,295.00</w:t>
            </w:r>
          </w:p>
        </w:tc>
      </w:tr>
      <w:tr w:rsidR="00324BB3" w:rsidTr="00324BB3">
        <w:trPr>
          <w:trHeight w:val="285"/>
          <w:jc w:val="center"/>
        </w:trPr>
        <w:tc>
          <w:tcPr>
            <w:tcW w:w="178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 xml:space="preserve"> ACUMULADO </w:t>
            </w:r>
          </w:p>
        </w:tc>
        <w:tc>
          <w:tcPr>
            <w:tcW w:w="1654" w:type="dxa"/>
            <w:tcBorders>
              <w:top w:val="single" w:sz="12" w:space="0" w:color="008000"/>
              <w:left w:val="nil"/>
              <w:bottom w:val="single" w:sz="12" w:space="0" w:color="008000"/>
              <w:right w:val="nil"/>
            </w:tcBorders>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 xml:space="preserve">          11,578,054.00 </w:t>
            </w:r>
          </w:p>
        </w:tc>
      </w:tr>
    </w:tbl>
    <w:p w:rsidR="00324BB3" w:rsidRDefault="00324BB3" w:rsidP="00324BB3">
      <w:pPr>
        <w:pStyle w:val="Encabezado"/>
        <w:jc w:val="both"/>
        <w:rPr>
          <w:rFonts w:ascii="Calibri" w:hAnsi="Calibri" w:cs="Arial"/>
          <w:sz w:val="20"/>
          <w:szCs w:val="20"/>
        </w:rPr>
      </w:pPr>
    </w:p>
    <w:p w:rsidR="00324BB3" w:rsidRDefault="00324BB3" w:rsidP="00324BB3">
      <w:pPr>
        <w:pStyle w:val="Encabezado"/>
        <w:jc w:val="both"/>
        <w:rPr>
          <w:rFonts w:ascii="Calibri" w:hAnsi="Calibri" w:cs="Arial"/>
          <w:sz w:val="20"/>
          <w:szCs w:val="20"/>
        </w:rPr>
      </w:pPr>
    </w:p>
    <w:p w:rsidR="00324BB3" w:rsidRDefault="00324BB3" w:rsidP="00324BB3">
      <w:pPr>
        <w:pStyle w:val="Encabezado"/>
        <w:jc w:val="both"/>
        <w:rPr>
          <w:rFonts w:ascii="Calibri" w:hAnsi="Calibri" w:cs="Arial"/>
          <w:b/>
          <w:sz w:val="20"/>
          <w:szCs w:val="20"/>
        </w:rPr>
      </w:pPr>
      <w:r>
        <w:rPr>
          <w:rFonts w:ascii="Calibri" w:hAnsi="Calibri" w:cs="Arial"/>
          <w:b/>
          <w:sz w:val="20"/>
          <w:szCs w:val="20"/>
        </w:rPr>
        <w:t>Ingresos por Venta de Bienes y Servicios de Organismos Descentralizados</w:t>
      </w:r>
    </w:p>
    <w:p w:rsidR="00324BB3" w:rsidRDefault="00324BB3" w:rsidP="00324BB3">
      <w:pPr>
        <w:pStyle w:val="Encabezado"/>
        <w:jc w:val="both"/>
        <w:rPr>
          <w:rFonts w:ascii="Calibri" w:hAnsi="Calibri" w:cs="Arial"/>
          <w:sz w:val="20"/>
          <w:szCs w:val="20"/>
        </w:rPr>
      </w:pPr>
      <w:r>
        <w:rPr>
          <w:rFonts w:ascii="Calibri" w:hAnsi="Calibri" w:cs="Arial"/>
          <w:sz w:val="20"/>
          <w:szCs w:val="20"/>
        </w:rPr>
        <w:t>Son las cuotas mensuales de recuperación, las inscripciones y otros ingresos relativos con la actividad.</w:t>
      </w:r>
    </w:p>
    <w:p w:rsidR="00324BB3" w:rsidRDefault="00324BB3" w:rsidP="00324BB3">
      <w:pPr>
        <w:pStyle w:val="Encabezado"/>
        <w:jc w:val="both"/>
        <w:rPr>
          <w:rFonts w:ascii="Calibri" w:hAnsi="Calibri" w:cs="Arial"/>
          <w:sz w:val="20"/>
          <w:szCs w:val="20"/>
        </w:rPr>
      </w:pPr>
    </w:p>
    <w:tbl>
      <w:tblPr>
        <w:tblW w:w="4400" w:type="dxa"/>
        <w:jc w:val="center"/>
        <w:tblInd w:w="55" w:type="dxa"/>
        <w:tblCellMar>
          <w:left w:w="70" w:type="dxa"/>
          <w:right w:w="70" w:type="dxa"/>
        </w:tblCellMar>
        <w:tblLook w:val="04A0" w:firstRow="1" w:lastRow="0" w:firstColumn="1" w:lastColumn="0" w:noHBand="0" w:noVBand="1"/>
      </w:tblPr>
      <w:tblGrid>
        <w:gridCol w:w="2260"/>
        <w:gridCol w:w="2140"/>
      </w:tblGrid>
      <w:tr w:rsidR="00324BB3" w:rsidTr="00324BB3">
        <w:trPr>
          <w:trHeight w:val="510"/>
          <w:jc w:val="center"/>
        </w:trPr>
        <w:tc>
          <w:tcPr>
            <w:tcW w:w="2260" w:type="dxa"/>
            <w:tcBorders>
              <w:top w:val="single" w:sz="12" w:space="0" w:color="008000"/>
              <w:left w:val="nil"/>
              <w:bottom w:val="single" w:sz="12" w:space="0" w:color="008000"/>
              <w:right w:val="nil"/>
            </w:tcBorders>
            <w:vAlign w:val="center"/>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4-1-7-3-0000-0000</w:t>
            </w:r>
          </w:p>
        </w:tc>
        <w:tc>
          <w:tcPr>
            <w:tcW w:w="2140" w:type="dxa"/>
            <w:tcBorders>
              <w:top w:val="single" w:sz="12" w:space="0" w:color="008000"/>
              <w:left w:val="nil"/>
              <w:bottom w:val="single" w:sz="12" w:space="0" w:color="008000"/>
              <w:right w:val="nil"/>
            </w:tcBorders>
            <w:vAlign w:val="center"/>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Ingresos x Venta de Bienes Y Servicios</w:t>
            </w:r>
          </w:p>
        </w:tc>
      </w:tr>
      <w:tr w:rsidR="00324BB3" w:rsidTr="00324BB3">
        <w:trPr>
          <w:trHeight w:val="270"/>
          <w:jc w:val="center"/>
        </w:trPr>
        <w:tc>
          <w:tcPr>
            <w:tcW w:w="2260" w:type="dxa"/>
            <w:noWrap/>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 xml:space="preserve">  ENERO  </w:t>
            </w:r>
          </w:p>
        </w:tc>
        <w:tc>
          <w:tcPr>
            <w:tcW w:w="214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1,571,011.07 </w:t>
            </w:r>
          </w:p>
        </w:tc>
      </w:tr>
      <w:tr w:rsidR="00324BB3" w:rsidTr="00324BB3">
        <w:trPr>
          <w:trHeight w:val="270"/>
          <w:jc w:val="center"/>
        </w:trPr>
        <w:tc>
          <w:tcPr>
            <w:tcW w:w="2260" w:type="dxa"/>
            <w:noWrap/>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FEBRERO</w:t>
            </w:r>
          </w:p>
        </w:tc>
        <w:tc>
          <w:tcPr>
            <w:tcW w:w="214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708,433.07</w:t>
            </w:r>
          </w:p>
        </w:tc>
      </w:tr>
      <w:tr w:rsidR="00324BB3" w:rsidTr="00324BB3">
        <w:trPr>
          <w:trHeight w:val="270"/>
          <w:jc w:val="center"/>
        </w:trPr>
        <w:tc>
          <w:tcPr>
            <w:tcW w:w="2260" w:type="dxa"/>
            <w:noWrap/>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MARZO</w:t>
            </w:r>
          </w:p>
        </w:tc>
        <w:tc>
          <w:tcPr>
            <w:tcW w:w="2140" w:type="dxa"/>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1,110,934.97</w:t>
            </w:r>
          </w:p>
        </w:tc>
      </w:tr>
      <w:tr w:rsidR="00324BB3" w:rsidTr="00324BB3">
        <w:trPr>
          <w:trHeight w:val="285"/>
          <w:jc w:val="center"/>
        </w:trPr>
        <w:tc>
          <w:tcPr>
            <w:tcW w:w="2260" w:type="dxa"/>
            <w:tcBorders>
              <w:top w:val="single" w:sz="12" w:space="0" w:color="008000"/>
              <w:left w:val="nil"/>
              <w:bottom w:val="single" w:sz="12" w:space="0" w:color="008000"/>
              <w:right w:val="nil"/>
            </w:tcBorders>
            <w:hideMark/>
          </w:tcPr>
          <w:p w:rsidR="00324BB3" w:rsidRDefault="00324BB3">
            <w:pPr>
              <w:spacing w:after="0" w:line="240" w:lineRule="auto"/>
              <w:jc w:val="both"/>
              <w:rPr>
                <w:rFonts w:eastAsia="Times New Roman" w:cs="Arial"/>
                <w:b/>
                <w:bCs/>
                <w:color w:val="000000"/>
                <w:sz w:val="18"/>
                <w:szCs w:val="18"/>
                <w:lang w:eastAsia="es-MX"/>
              </w:rPr>
            </w:pPr>
            <w:r>
              <w:rPr>
                <w:rFonts w:eastAsia="Times New Roman" w:cs="Arial"/>
                <w:b/>
                <w:bCs/>
                <w:color w:val="000000"/>
                <w:sz w:val="18"/>
                <w:szCs w:val="18"/>
                <w:lang w:eastAsia="es-MX"/>
              </w:rPr>
              <w:t xml:space="preserve">  ACUMULADO  </w:t>
            </w:r>
          </w:p>
        </w:tc>
        <w:tc>
          <w:tcPr>
            <w:tcW w:w="2140" w:type="dxa"/>
            <w:tcBorders>
              <w:top w:val="single" w:sz="12" w:space="0" w:color="008000"/>
              <w:left w:val="nil"/>
              <w:bottom w:val="single" w:sz="12" w:space="0" w:color="008000"/>
              <w:right w:val="nil"/>
            </w:tcBorders>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 xml:space="preserve">                     3,390,379.11 </w:t>
            </w:r>
          </w:p>
        </w:tc>
      </w:tr>
    </w:tbl>
    <w:p w:rsidR="00324BB3" w:rsidRDefault="00324BB3" w:rsidP="00324BB3">
      <w:pPr>
        <w:pStyle w:val="Encabezado"/>
        <w:numPr>
          <w:ilvl w:val="0"/>
          <w:numId w:val="30"/>
        </w:numPr>
        <w:tabs>
          <w:tab w:val="left" w:pos="1080"/>
        </w:tabs>
        <w:jc w:val="both"/>
        <w:rPr>
          <w:rFonts w:ascii="Calibri" w:hAnsi="Calibri" w:cs="Arial"/>
          <w:b/>
          <w:sz w:val="20"/>
          <w:szCs w:val="20"/>
        </w:rPr>
      </w:pPr>
      <w:r>
        <w:rPr>
          <w:rFonts w:ascii="Calibri" w:hAnsi="Calibri" w:cs="Arial"/>
          <w:b/>
          <w:sz w:val="20"/>
          <w:szCs w:val="20"/>
        </w:rPr>
        <w:t>Otros Ingresos y Beneficios</w:t>
      </w:r>
    </w:p>
    <w:p w:rsidR="00324BB3" w:rsidRDefault="00324BB3" w:rsidP="00324BB3">
      <w:pPr>
        <w:pStyle w:val="Encabezado"/>
        <w:tabs>
          <w:tab w:val="left" w:pos="1080"/>
        </w:tabs>
        <w:ind w:left="720"/>
        <w:jc w:val="both"/>
        <w:rPr>
          <w:rFonts w:ascii="Calibri" w:hAnsi="Calibri" w:cs="Arial"/>
          <w:b/>
          <w:sz w:val="20"/>
          <w:szCs w:val="20"/>
        </w:rPr>
      </w:pPr>
    </w:p>
    <w:p w:rsidR="00324BB3" w:rsidRDefault="00324BB3" w:rsidP="00324BB3">
      <w:pPr>
        <w:pStyle w:val="Encabezado"/>
        <w:ind w:firstLine="540"/>
        <w:jc w:val="both"/>
        <w:rPr>
          <w:rFonts w:ascii="Calibri" w:hAnsi="Calibri" w:cs="Arial"/>
          <w:b/>
          <w:sz w:val="20"/>
          <w:szCs w:val="20"/>
        </w:rPr>
      </w:pPr>
      <w:r>
        <w:rPr>
          <w:rFonts w:ascii="Calibri" w:hAnsi="Calibri" w:cs="Arial"/>
          <w:b/>
          <w:sz w:val="20"/>
          <w:szCs w:val="20"/>
        </w:rPr>
        <w:t>N/A</w:t>
      </w:r>
    </w:p>
    <w:p w:rsidR="00324BB3" w:rsidRDefault="00324BB3" w:rsidP="00324BB3">
      <w:pPr>
        <w:pStyle w:val="Encabezado"/>
        <w:ind w:firstLine="540"/>
        <w:jc w:val="both"/>
        <w:rPr>
          <w:rFonts w:ascii="Calibri" w:hAnsi="Calibri" w:cs="Arial"/>
          <w:b/>
          <w:sz w:val="20"/>
          <w:szCs w:val="20"/>
        </w:rPr>
      </w:pPr>
    </w:p>
    <w:p w:rsidR="00324BB3" w:rsidRDefault="00324BB3" w:rsidP="00324BB3">
      <w:pPr>
        <w:pStyle w:val="Encabezado"/>
        <w:tabs>
          <w:tab w:val="left" w:pos="1080"/>
        </w:tabs>
        <w:jc w:val="both"/>
        <w:rPr>
          <w:rFonts w:ascii="Calibri" w:hAnsi="Calibri" w:cs="Arial"/>
          <w:b/>
          <w:sz w:val="20"/>
          <w:szCs w:val="20"/>
        </w:rPr>
      </w:pPr>
      <w:r>
        <w:rPr>
          <w:rFonts w:ascii="Calibri" w:hAnsi="Calibri" w:cs="Arial"/>
          <w:b/>
          <w:sz w:val="20"/>
          <w:szCs w:val="20"/>
        </w:rPr>
        <w:t>GASTOS Y OTRAS PÉRDIDAS.</w:t>
      </w:r>
    </w:p>
    <w:p w:rsidR="00324BB3" w:rsidRDefault="00324BB3" w:rsidP="00324BB3">
      <w:pPr>
        <w:pStyle w:val="Encabezado"/>
        <w:tabs>
          <w:tab w:val="left" w:pos="1080"/>
        </w:tabs>
        <w:jc w:val="both"/>
        <w:rPr>
          <w:rFonts w:ascii="Calibri" w:hAnsi="Calibri" w:cs="Arial"/>
          <w:sz w:val="20"/>
          <w:szCs w:val="20"/>
        </w:rPr>
      </w:pPr>
    </w:p>
    <w:p w:rsidR="00324BB3" w:rsidRDefault="00324BB3" w:rsidP="00324BB3">
      <w:pPr>
        <w:pStyle w:val="Encabezado"/>
        <w:jc w:val="both"/>
        <w:rPr>
          <w:rFonts w:ascii="Calibri" w:hAnsi="Calibri" w:cs="Arial"/>
          <w:sz w:val="20"/>
          <w:szCs w:val="20"/>
        </w:rPr>
      </w:pPr>
      <w:r>
        <w:rPr>
          <w:rFonts w:ascii="Calibri" w:hAnsi="Calibri" w:cs="Arial"/>
          <w:sz w:val="20"/>
          <w:szCs w:val="20"/>
        </w:rPr>
        <w:t>Los gastos del período se registran como se menciona a continuación:</w:t>
      </w:r>
    </w:p>
    <w:p w:rsidR="00324BB3" w:rsidRDefault="00324BB3" w:rsidP="00324BB3">
      <w:pPr>
        <w:jc w:val="both"/>
        <w:rPr>
          <w:rFonts w:ascii="Calibri" w:hAnsi="Calibri" w:cs="Arial"/>
          <w:sz w:val="20"/>
          <w:szCs w:val="20"/>
        </w:rPr>
      </w:pPr>
      <w:r>
        <w:rPr>
          <w:rFonts w:cs="Arial"/>
          <w:sz w:val="20"/>
          <w:szCs w:val="20"/>
        </w:rPr>
        <w:t>CLASIFICACIÓN DE CUENTAS POR TIPO DE GASTO:</w:t>
      </w:r>
    </w:p>
    <w:p w:rsidR="00324BB3" w:rsidRDefault="00324BB3" w:rsidP="00324BB3">
      <w:pPr>
        <w:jc w:val="both"/>
        <w:rPr>
          <w:rFonts w:cs="Arial"/>
          <w:sz w:val="20"/>
          <w:szCs w:val="20"/>
        </w:rPr>
      </w:pPr>
      <w:r>
        <w:rPr>
          <w:rFonts w:cs="Arial"/>
          <w:sz w:val="20"/>
          <w:szCs w:val="20"/>
        </w:rPr>
        <w:t>Son los gastos que efectúa la Universidad para poder realizar sus actividades, las cuales se contabilizan de acuerdo a los reglamentos a los que estamos sujetos como a continuación se menciona:</w:t>
      </w:r>
    </w:p>
    <w:p w:rsidR="00324BB3" w:rsidRDefault="00324BB3" w:rsidP="00324BB3">
      <w:pPr>
        <w:jc w:val="both"/>
        <w:rPr>
          <w:rFonts w:cs="Arial"/>
          <w:sz w:val="20"/>
          <w:szCs w:val="20"/>
        </w:rPr>
      </w:pPr>
      <w:r>
        <w:rPr>
          <w:rFonts w:cs="Arial"/>
          <w:sz w:val="20"/>
          <w:szCs w:val="20"/>
        </w:rPr>
        <w:t>Para los Gastos Federales y Estatales se utiliza el clasificador por objeto de gasto ESTATAL.</w:t>
      </w:r>
    </w:p>
    <w:p w:rsidR="00324BB3" w:rsidRDefault="00324BB3" w:rsidP="00324BB3">
      <w:pPr>
        <w:jc w:val="both"/>
        <w:rPr>
          <w:rFonts w:cs="Arial"/>
          <w:sz w:val="20"/>
          <w:szCs w:val="20"/>
        </w:rPr>
      </w:pPr>
      <w:r>
        <w:rPr>
          <w:rFonts w:cs="Arial"/>
          <w:sz w:val="20"/>
          <w:szCs w:val="20"/>
        </w:rPr>
        <w:t>Fundamentado en el artículo 26 de la Ley de adquisiciones, arrendamientos y servicios del sector público podrán contratar mediante los procedimientos de:</w:t>
      </w:r>
    </w:p>
    <w:p w:rsidR="00324BB3" w:rsidRDefault="00324BB3" w:rsidP="00324BB3">
      <w:pPr>
        <w:numPr>
          <w:ilvl w:val="0"/>
          <w:numId w:val="39"/>
        </w:numPr>
        <w:spacing w:after="0" w:line="240" w:lineRule="auto"/>
        <w:jc w:val="both"/>
        <w:rPr>
          <w:rFonts w:cs="Arial"/>
          <w:sz w:val="20"/>
          <w:szCs w:val="20"/>
        </w:rPr>
      </w:pPr>
      <w:r>
        <w:rPr>
          <w:rFonts w:cs="Arial"/>
          <w:sz w:val="20"/>
          <w:szCs w:val="20"/>
        </w:rPr>
        <w:t>Licitación pública</w:t>
      </w:r>
    </w:p>
    <w:p w:rsidR="00324BB3" w:rsidRDefault="00324BB3" w:rsidP="00324BB3">
      <w:pPr>
        <w:numPr>
          <w:ilvl w:val="0"/>
          <w:numId w:val="39"/>
        </w:numPr>
        <w:spacing w:after="0" w:line="240" w:lineRule="auto"/>
        <w:jc w:val="both"/>
        <w:rPr>
          <w:rFonts w:cs="Arial"/>
          <w:sz w:val="20"/>
          <w:szCs w:val="20"/>
        </w:rPr>
      </w:pPr>
      <w:r>
        <w:rPr>
          <w:rFonts w:cs="Arial"/>
          <w:sz w:val="20"/>
          <w:szCs w:val="20"/>
        </w:rPr>
        <w:t>Invitación a cuando menos 3 personas, o</w:t>
      </w:r>
    </w:p>
    <w:p w:rsidR="00324BB3" w:rsidRDefault="00324BB3" w:rsidP="00324BB3">
      <w:pPr>
        <w:numPr>
          <w:ilvl w:val="0"/>
          <w:numId w:val="39"/>
        </w:numPr>
        <w:spacing w:after="0" w:line="240" w:lineRule="auto"/>
        <w:jc w:val="both"/>
        <w:rPr>
          <w:rFonts w:cs="Arial"/>
          <w:sz w:val="20"/>
          <w:szCs w:val="20"/>
        </w:rPr>
      </w:pPr>
      <w:r>
        <w:rPr>
          <w:rFonts w:cs="Arial"/>
          <w:sz w:val="20"/>
          <w:szCs w:val="20"/>
        </w:rPr>
        <w:t>Adjudicación directa.</w:t>
      </w:r>
    </w:p>
    <w:p w:rsidR="00324BB3" w:rsidRDefault="00324BB3" w:rsidP="00324BB3">
      <w:pPr>
        <w:spacing w:after="0" w:line="240" w:lineRule="auto"/>
        <w:jc w:val="both"/>
        <w:rPr>
          <w:rFonts w:cs="Arial"/>
          <w:sz w:val="20"/>
          <w:szCs w:val="20"/>
        </w:rPr>
      </w:pPr>
    </w:p>
    <w:p w:rsidR="00324BB3" w:rsidRDefault="00324BB3" w:rsidP="00324BB3">
      <w:pPr>
        <w:spacing w:after="0" w:line="240" w:lineRule="auto"/>
        <w:jc w:val="both"/>
        <w:rPr>
          <w:rFonts w:cs="Arial"/>
          <w:sz w:val="20"/>
          <w:szCs w:val="20"/>
        </w:rPr>
      </w:pPr>
    </w:p>
    <w:p w:rsidR="00324BB3" w:rsidRDefault="00324BB3" w:rsidP="00324BB3">
      <w:pPr>
        <w:numPr>
          <w:ilvl w:val="0"/>
          <w:numId w:val="25"/>
        </w:numPr>
        <w:spacing w:after="0" w:line="240" w:lineRule="auto"/>
        <w:ind w:left="426" w:hanging="426"/>
        <w:jc w:val="both"/>
        <w:rPr>
          <w:rFonts w:cs="Arial"/>
          <w:b/>
          <w:sz w:val="20"/>
          <w:szCs w:val="20"/>
        </w:rPr>
      </w:pPr>
      <w:r>
        <w:rPr>
          <w:rFonts w:cs="Arial"/>
          <w:b/>
          <w:sz w:val="20"/>
          <w:szCs w:val="20"/>
        </w:rPr>
        <w:t>NOTAS AL ESTADO DE VARIACION EN LA HACIENDA PUBLICA/PATRIMONIO</w:t>
      </w:r>
    </w:p>
    <w:p w:rsidR="00324BB3" w:rsidRDefault="00324BB3" w:rsidP="00324BB3">
      <w:pPr>
        <w:numPr>
          <w:ilvl w:val="0"/>
          <w:numId w:val="31"/>
        </w:numPr>
        <w:spacing w:after="0" w:line="240" w:lineRule="auto"/>
        <w:jc w:val="both"/>
        <w:rPr>
          <w:rFonts w:cs="Arial"/>
          <w:b/>
          <w:sz w:val="20"/>
          <w:szCs w:val="20"/>
        </w:rPr>
      </w:pPr>
      <w:r>
        <w:rPr>
          <w:rFonts w:cs="Arial"/>
          <w:b/>
          <w:sz w:val="20"/>
          <w:szCs w:val="20"/>
        </w:rPr>
        <w:t>Hacienda Pública/Patrimonio</w:t>
      </w:r>
    </w:p>
    <w:p w:rsidR="00324BB3" w:rsidRDefault="00324BB3" w:rsidP="00324BB3">
      <w:pPr>
        <w:jc w:val="both"/>
        <w:rPr>
          <w:rFonts w:cs="Arial"/>
          <w:sz w:val="20"/>
          <w:szCs w:val="20"/>
        </w:rPr>
      </w:pPr>
      <w:r>
        <w:rPr>
          <w:rFonts w:cs="Arial"/>
          <w:sz w:val="20"/>
          <w:szCs w:val="20"/>
        </w:rPr>
        <w:t>El patrimonio de la Universidad está constituido por los bienes y recursos siguientes:</w:t>
      </w:r>
    </w:p>
    <w:p w:rsidR="00324BB3" w:rsidRDefault="00324BB3" w:rsidP="00324BB3">
      <w:pPr>
        <w:numPr>
          <w:ilvl w:val="0"/>
          <w:numId w:val="34"/>
        </w:numPr>
        <w:spacing w:after="0" w:line="240" w:lineRule="auto"/>
        <w:jc w:val="both"/>
        <w:rPr>
          <w:rFonts w:cs="Arial"/>
          <w:sz w:val="20"/>
          <w:szCs w:val="20"/>
        </w:rPr>
      </w:pPr>
      <w:r>
        <w:rPr>
          <w:rFonts w:cs="Arial"/>
          <w:sz w:val="20"/>
          <w:szCs w:val="20"/>
        </w:rPr>
        <w:t>Aportaciones, participaciones, subsidios y apoyos que nos otorguen los gobiernos federales, estatales y municipales.</w:t>
      </w:r>
    </w:p>
    <w:p w:rsidR="00324BB3" w:rsidRDefault="00324BB3" w:rsidP="00324BB3">
      <w:pPr>
        <w:numPr>
          <w:ilvl w:val="0"/>
          <w:numId w:val="34"/>
        </w:numPr>
        <w:spacing w:after="0" w:line="240" w:lineRule="auto"/>
        <w:jc w:val="both"/>
        <w:rPr>
          <w:rFonts w:cs="Arial"/>
          <w:sz w:val="20"/>
          <w:szCs w:val="20"/>
        </w:rPr>
      </w:pPr>
      <w:r>
        <w:rPr>
          <w:rFonts w:cs="Arial"/>
          <w:sz w:val="20"/>
          <w:szCs w:val="20"/>
        </w:rPr>
        <w:t>Los legados y las donaciones otorgadas en nuestro favor.</w:t>
      </w:r>
    </w:p>
    <w:p w:rsidR="00324BB3" w:rsidRDefault="00324BB3" w:rsidP="00324BB3">
      <w:pPr>
        <w:numPr>
          <w:ilvl w:val="0"/>
          <w:numId w:val="34"/>
        </w:numPr>
        <w:spacing w:after="0" w:line="240" w:lineRule="auto"/>
        <w:jc w:val="both"/>
        <w:rPr>
          <w:rFonts w:cs="Arial"/>
          <w:sz w:val="20"/>
          <w:szCs w:val="20"/>
        </w:rPr>
      </w:pPr>
      <w:r>
        <w:rPr>
          <w:rFonts w:cs="Arial"/>
          <w:sz w:val="20"/>
          <w:szCs w:val="20"/>
        </w:rPr>
        <w:t>Los bienes muebles e inmuebles que se adquieran por cualquier titulo.</w:t>
      </w:r>
    </w:p>
    <w:p w:rsidR="00324BB3" w:rsidRDefault="00324BB3" w:rsidP="00324BB3">
      <w:pPr>
        <w:numPr>
          <w:ilvl w:val="0"/>
          <w:numId w:val="34"/>
        </w:numPr>
        <w:spacing w:after="0" w:line="240" w:lineRule="auto"/>
        <w:jc w:val="both"/>
        <w:rPr>
          <w:rFonts w:cs="Arial"/>
          <w:sz w:val="20"/>
          <w:szCs w:val="20"/>
        </w:rPr>
      </w:pPr>
      <w:r>
        <w:rPr>
          <w:rFonts w:cs="Arial"/>
          <w:sz w:val="20"/>
          <w:szCs w:val="20"/>
        </w:rPr>
        <w:t>Las utilidades, intereses, dividendos, rendimientos y en general los bienes derechos y demás ingresos que se adquieran por cualquier titulo legal.</w:t>
      </w:r>
    </w:p>
    <w:p w:rsidR="00324BB3" w:rsidRDefault="00324BB3" w:rsidP="00324BB3">
      <w:pPr>
        <w:numPr>
          <w:ilvl w:val="0"/>
          <w:numId w:val="34"/>
        </w:numPr>
        <w:spacing w:after="0" w:line="240" w:lineRule="auto"/>
        <w:jc w:val="both"/>
        <w:rPr>
          <w:rFonts w:cs="Arial"/>
          <w:sz w:val="20"/>
          <w:szCs w:val="20"/>
        </w:rPr>
      </w:pPr>
      <w:r>
        <w:rPr>
          <w:rFonts w:cs="Arial"/>
          <w:sz w:val="20"/>
          <w:szCs w:val="20"/>
        </w:rPr>
        <w:t>Los derechos y cuotas que se recauden por servicios.</w:t>
      </w:r>
    </w:p>
    <w:p w:rsidR="00324BB3" w:rsidRDefault="00324BB3" w:rsidP="00324BB3">
      <w:pPr>
        <w:jc w:val="both"/>
        <w:rPr>
          <w:rFonts w:cs="Arial"/>
          <w:sz w:val="20"/>
          <w:szCs w:val="20"/>
        </w:rPr>
      </w:pPr>
    </w:p>
    <w:p w:rsidR="00324BB3" w:rsidRDefault="00324BB3" w:rsidP="00324BB3">
      <w:pPr>
        <w:jc w:val="both"/>
        <w:rPr>
          <w:rFonts w:cs="Arial"/>
          <w:sz w:val="20"/>
          <w:szCs w:val="20"/>
        </w:rPr>
      </w:pPr>
      <w:r>
        <w:rPr>
          <w:rFonts w:cs="Arial"/>
          <w:sz w:val="20"/>
          <w:szCs w:val="20"/>
        </w:rPr>
        <w:t>El saldo de estas cuentas al 31 de Marzo de 2017, se integra como sigue:</w:t>
      </w:r>
    </w:p>
    <w:tbl>
      <w:tblPr>
        <w:tblW w:w="5857" w:type="dxa"/>
        <w:jc w:val="center"/>
        <w:tblInd w:w="55" w:type="dxa"/>
        <w:tblCellMar>
          <w:left w:w="70" w:type="dxa"/>
          <w:right w:w="70" w:type="dxa"/>
        </w:tblCellMar>
        <w:tblLook w:val="04A0" w:firstRow="1" w:lastRow="0" w:firstColumn="1" w:lastColumn="0" w:noHBand="0" w:noVBand="1"/>
      </w:tblPr>
      <w:tblGrid>
        <w:gridCol w:w="4240"/>
        <w:gridCol w:w="1617"/>
      </w:tblGrid>
      <w:tr w:rsidR="00324BB3" w:rsidTr="00324BB3">
        <w:trPr>
          <w:trHeight w:val="270"/>
          <w:jc w:val="center"/>
        </w:trPr>
        <w:tc>
          <w:tcPr>
            <w:tcW w:w="4240" w:type="dxa"/>
            <w:tcBorders>
              <w:top w:val="nil"/>
              <w:left w:val="nil"/>
              <w:bottom w:val="single" w:sz="12" w:space="0" w:color="76923C"/>
              <w:right w:val="nil"/>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Hacienda Publica / Patrimonio Contribuido</w:t>
            </w:r>
          </w:p>
        </w:tc>
        <w:tc>
          <w:tcPr>
            <w:tcW w:w="1617" w:type="dxa"/>
            <w:tcBorders>
              <w:top w:val="nil"/>
              <w:left w:val="nil"/>
              <w:bottom w:val="single" w:sz="12" w:space="0" w:color="76923C"/>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62,641,092.21</w:t>
            </w:r>
          </w:p>
        </w:tc>
      </w:tr>
      <w:tr w:rsidR="00324BB3" w:rsidTr="00324BB3">
        <w:trPr>
          <w:trHeight w:val="270"/>
          <w:jc w:val="center"/>
        </w:trPr>
        <w:tc>
          <w:tcPr>
            <w:tcW w:w="4240" w:type="dxa"/>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Aportaciones</w:t>
            </w:r>
          </w:p>
        </w:tc>
        <w:tc>
          <w:tcPr>
            <w:tcW w:w="1617"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62,641,092.21</w:t>
            </w:r>
          </w:p>
        </w:tc>
      </w:tr>
      <w:tr w:rsidR="00324BB3" w:rsidTr="00324BB3">
        <w:trPr>
          <w:trHeight w:val="300"/>
          <w:jc w:val="center"/>
        </w:trPr>
        <w:tc>
          <w:tcPr>
            <w:tcW w:w="4240" w:type="dxa"/>
            <w:noWrap/>
            <w:vAlign w:val="bottom"/>
            <w:hideMark/>
          </w:tcPr>
          <w:p w:rsidR="00324BB3" w:rsidRDefault="00324BB3">
            <w:pPr>
              <w:spacing w:after="0" w:line="240" w:lineRule="auto"/>
              <w:rPr>
                <w:sz w:val="20"/>
                <w:szCs w:val="20"/>
                <w:lang w:eastAsia="es-MX"/>
              </w:rPr>
            </w:pPr>
          </w:p>
        </w:tc>
        <w:tc>
          <w:tcPr>
            <w:tcW w:w="1617" w:type="dxa"/>
            <w:noWrap/>
            <w:vAlign w:val="bottom"/>
            <w:hideMark/>
          </w:tcPr>
          <w:p w:rsidR="00324BB3" w:rsidRDefault="00324BB3">
            <w:pPr>
              <w:spacing w:after="0" w:line="240" w:lineRule="auto"/>
              <w:rPr>
                <w:sz w:val="20"/>
                <w:szCs w:val="20"/>
                <w:lang w:eastAsia="es-MX"/>
              </w:rPr>
            </w:pPr>
          </w:p>
        </w:tc>
      </w:tr>
      <w:tr w:rsidR="00324BB3" w:rsidTr="00324BB3">
        <w:trPr>
          <w:trHeight w:val="270"/>
          <w:jc w:val="center"/>
        </w:trPr>
        <w:tc>
          <w:tcPr>
            <w:tcW w:w="4240" w:type="dxa"/>
            <w:tcBorders>
              <w:top w:val="nil"/>
              <w:left w:val="nil"/>
              <w:bottom w:val="single" w:sz="12" w:space="0" w:color="76923C"/>
              <w:right w:val="nil"/>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Hacienda Publica/Patrimonio Generado</w:t>
            </w:r>
          </w:p>
        </w:tc>
        <w:tc>
          <w:tcPr>
            <w:tcW w:w="1617" w:type="dxa"/>
            <w:tcBorders>
              <w:top w:val="nil"/>
              <w:left w:val="nil"/>
              <w:bottom w:val="single" w:sz="12" w:space="0" w:color="76923C"/>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-32,959,796.56</w:t>
            </w:r>
          </w:p>
        </w:tc>
      </w:tr>
      <w:tr w:rsidR="00324BB3" w:rsidTr="00324BB3">
        <w:trPr>
          <w:trHeight w:val="270"/>
          <w:jc w:val="center"/>
        </w:trPr>
        <w:tc>
          <w:tcPr>
            <w:tcW w:w="4240" w:type="dxa"/>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Resultado del Ejercicio (Ahorro/Desahorro)</w:t>
            </w:r>
          </w:p>
        </w:tc>
        <w:tc>
          <w:tcPr>
            <w:tcW w:w="1617"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-5,578,573.89</w:t>
            </w:r>
          </w:p>
        </w:tc>
      </w:tr>
      <w:tr w:rsidR="00324BB3" w:rsidTr="00324BB3">
        <w:trPr>
          <w:trHeight w:val="255"/>
          <w:jc w:val="center"/>
        </w:trPr>
        <w:tc>
          <w:tcPr>
            <w:tcW w:w="4240" w:type="dxa"/>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Resultado de Ejercicio Anteriores</w:t>
            </w:r>
          </w:p>
        </w:tc>
        <w:tc>
          <w:tcPr>
            <w:tcW w:w="1617" w:type="dxa"/>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-80,337,514.08</w:t>
            </w:r>
          </w:p>
        </w:tc>
      </w:tr>
      <w:tr w:rsidR="00324BB3" w:rsidTr="00324BB3">
        <w:trPr>
          <w:trHeight w:val="270"/>
          <w:jc w:val="center"/>
        </w:trPr>
        <w:tc>
          <w:tcPr>
            <w:tcW w:w="4240" w:type="dxa"/>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Rectificaciones de Resultados de Ejerc Anteriores</w:t>
            </w:r>
          </w:p>
        </w:tc>
        <w:tc>
          <w:tcPr>
            <w:tcW w:w="1617" w:type="dxa"/>
            <w:tcBorders>
              <w:top w:val="nil"/>
              <w:left w:val="nil"/>
              <w:bottom w:val="single" w:sz="12" w:space="0" w:color="76923C"/>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52,956,291.41</w:t>
            </w:r>
          </w:p>
        </w:tc>
      </w:tr>
      <w:tr w:rsidR="00324BB3" w:rsidTr="00324BB3">
        <w:trPr>
          <w:trHeight w:val="285"/>
          <w:jc w:val="center"/>
        </w:trPr>
        <w:tc>
          <w:tcPr>
            <w:tcW w:w="4240" w:type="dxa"/>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Total Hacienda Publica/Patrimonio</w:t>
            </w:r>
          </w:p>
        </w:tc>
        <w:tc>
          <w:tcPr>
            <w:tcW w:w="1617" w:type="dxa"/>
            <w:tcBorders>
              <w:top w:val="nil"/>
              <w:left w:val="nil"/>
              <w:bottom w:val="double" w:sz="6" w:space="0" w:color="75923C"/>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29,681,295.65</w:t>
            </w:r>
          </w:p>
        </w:tc>
      </w:tr>
    </w:tbl>
    <w:p w:rsidR="00324BB3" w:rsidRDefault="00324BB3" w:rsidP="00324BB3">
      <w:pPr>
        <w:jc w:val="both"/>
        <w:rPr>
          <w:rFonts w:ascii="Calibri" w:hAnsi="Calibri" w:cs="Arial"/>
          <w:sz w:val="20"/>
          <w:szCs w:val="20"/>
        </w:rPr>
      </w:pPr>
    </w:p>
    <w:p w:rsidR="00324BB3" w:rsidRDefault="00324BB3" w:rsidP="00324BB3">
      <w:pPr>
        <w:numPr>
          <w:ilvl w:val="0"/>
          <w:numId w:val="25"/>
        </w:numPr>
        <w:spacing w:after="0" w:line="240" w:lineRule="auto"/>
        <w:ind w:left="426" w:hanging="426"/>
        <w:jc w:val="both"/>
        <w:rPr>
          <w:rFonts w:cs="Arial"/>
          <w:b/>
          <w:sz w:val="20"/>
          <w:szCs w:val="20"/>
        </w:rPr>
      </w:pPr>
      <w:r>
        <w:rPr>
          <w:rFonts w:cs="Arial"/>
          <w:b/>
          <w:sz w:val="20"/>
          <w:szCs w:val="20"/>
        </w:rPr>
        <w:t>NOTAS AL ESTADO DE FLUJOS DE EFECTIVO.</w:t>
      </w:r>
    </w:p>
    <w:p w:rsidR="00324BB3" w:rsidRDefault="00324BB3" w:rsidP="00324BB3">
      <w:pPr>
        <w:numPr>
          <w:ilvl w:val="0"/>
          <w:numId w:val="32"/>
        </w:numPr>
        <w:spacing w:after="0" w:line="240" w:lineRule="auto"/>
        <w:ind w:left="567" w:hanging="283"/>
        <w:jc w:val="both"/>
        <w:rPr>
          <w:rFonts w:cs="Arial"/>
          <w:b/>
          <w:sz w:val="20"/>
          <w:szCs w:val="20"/>
        </w:rPr>
      </w:pPr>
      <w:r>
        <w:rPr>
          <w:rFonts w:cs="Arial"/>
          <w:b/>
          <w:sz w:val="20"/>
          <w:szCs w:val="20"/>
        </w:rPr>
        <w:t>Efectivo y equivalentes</w:t>
      </w:r>
    </w:p>
    <w:tbl>
      <w:tblPr>
        <w:tblW w:w="7482" w:type="dxa"/>
        <w:jc w:val="center"/>
        <w:tblInd w:w="55" w:type="dxa"/>
        <w:tblCellMar>
          <w:left w:w="70" w:type="dxa"/>
          <w:right w:w="70" w:type="dxa"/>
        </w:tblCellMar>
        <w:tblLook w:val="04A0" w:firstRow="1" w:lastRow="0" w:firstColumn="1" w:lastColumn="0" w:noHBand="0" w:noVBand="1"/>
      </w:tblPr>
      <w:tblGrid>
        <w:gridCol w:w="4860"/>
        <w:gridCol w:w="1311"/>
        <w:gridCol w:w="1311"/>
      </w:tblGrid>
      <w:tr w:rsidR="00324BB3" w:rsidTr="00324BB3">
        <w:trPr>
          <w:trHeight w:val="270"/>
          <w:jc w:val="center"/>
        </w:trPr>
        <w:tc>
          <w:tcPr>
            <w:tcW w:w="4860" w:type="dxa"/>
            <w:tcBorders>
              <w:top w:val="nil"/>
              <w:left w:val="nil"/>
              <w:bottom w:val="single" w:sz="12" w:space="0" w:color="76923C"/>
              <w:right w:val="nil"/>
            </w:tcBorders>
            <w:noWrap/>
            <w:vAlign w:val="bottom"/>
            <w:hideMark/>
          </w:tcPr>
          <w:p w:rsidR="00324BB3" w:rsidRDefault="00324BB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w:t>
            </w:r>
          </w:p>
        </w:tc>
        <w:tc>
          <w:tcPr>
            <w:tcW w:w="1311" w:type="dxa"/>
            <w:tcBorders>
              <w:top w:val="nil"/>
              <w:left w:val="nil"/>
              <w:bottom w:val="single" w:sz="12" w:space="0" w:color="76923C"/>
              <w:right w:val="nil"/>
            </w:tcBorders>
            <w:noWrap/>
            <w:vAlign w:val="bottom"/>
            <w:hideMark/>
          </w:tcPr>
          <w:p w:rsidR="00324BB3" w:rsidRDefault="00324BB3">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MZO-17</w:t>
            </w:r>
          </w:p>
        </w:tc>
        <w:tc>
          <w:tcPr>
            <w:tcW w:w="1311" w:type="dxa"/>
            <w:tcBorders>
              <w:top w:val="nil"/>
              <w:left w:val="nil"/>
              <w:bottom w:val="single" w:sz="12" w:space="0" w:color="76923C"/>
              <w:right w:val="nil"/>
            </w:tcBorders>
            <w:noWrap/>
            <w:vAlign w:val="bottom"/>
            <w:hideMark/>
          </w:tcPr>
          <w:p w:rsidR="00324BB3" w:rsidRDefault="00324BB3">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MZO-16</w:t>
            </w:r>
          </w:p>
        </w:tc>
      </w:tr>
      <w:tr w:rsidR="00324BB3" w:rsidTr="00324BB3">
        <w:trPr>
          <w:trHeight w:val="270"/>
          <w:jc w:val="center"/>
        </w:trPr>
        <w:tc>
          <w:tcPr>
            <w:tcW w:w="4860" w:type="dxa"/>
            <w:noWrap/>
            <w:vAlign w:val="bottom"/>
            <w:hideMark/>
          </w:tcPr>
          <w:p w:rsidR="00324BB3" w:rsidRDefault="00324BB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 Efectivo y Equivalentes al Efectivo al inicio del Ejercicio </w:t>
            </w:r>
          </w:p>
        </w:tc>
        <w:tc>
          <w:tcPr>
            <w:tcW w:w="1311" w:type="dxa"/>
            <w:noWrap/>
            <w:vAlign w:val="bottom"/>
            <w:hideMark/>
          </w:tcPr>
          <w:p w:rsidR="00324BB3" w:rsidRDefault="00324BB3">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24,887,466.35</w:t>
            </w:r>
          </w:p>
        </w:tc>
        <w:tc>
          <w:tcPr>
            <w:tcW w:w="1311" w:type="dxa"/>
            <w:noWrap/>
            <w:vAlign w:val="bottom"/>
            <w:hideMark/>
          </w:tcPr>
          <w:p w:rsidR="00324BB3" w:rsidRDefault="00324BB3">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19,772,687.88</w:t>
            </w:r>
          </w:p>
        </w:tc>
      </w:tr>
      <w:tr w:rsidR="00324BB3" w:rsidTr="00324BB3">
        <w:trPr>
          <w:trHeight w:val="300"/>
          <w:jc w:val="center"/>
        </w:trPr>
        <w:tc>
          <w:tcPr>
            <w:tcW w:w="4860" w:type="dxa"/>
            <w:noWrap/>
            <w:vAlign w:val="bottom"/>
            <w:hideMark/>
          </w:tcPr>
          <w:p w:rsidR="00324BB3" w:rsidRDefault="00324BB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lastRenderedPageBreak/>
              <w:t xml:space="preserve"> Efectivo y Equivalentes al Efectivo al final del Ejercicio </w:t>
            </w:r>
          </w:p>
        </w:tc>
        <w:tc>
          <w:tcPr>
            <w:tcW w:w="1311" w:type="dxa"/>
            <w:noWrap/>
            <w:vAlign w:val="bottom"/>
            <w:hideMark/>
          </w:tcPr>
          <w:p w:rsidR="00324BB3" w:rsidRDefault="00324BB3">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18,647,185.58</w:t>
            </w:r>
          </w:p>
        </w:tc>
        <w:tc>
          <w:tcPr>
            <w:tcW w:w="1311" w:type="dxa"/>
            <w:noWrap/>
            <w:vAlign w:val="bottom"/>
            <w:hideMark/>
          </w:tcPr>
          <w:p w:rsidR="00324BB3" w:rsidRDefault="00324BB3">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22,275,992.61</w:t>
            </w:r>
          </w:p>
        </w:tc>
      </w:tr>
    </w:tbl>
    <w:p w:rsidR="00324BB3" w:rsidRDefault="00324BB3" w:rsidP="00324BB3">
      <w:pPr>
        <w:pStyle w:val="Piedepgina"/>
        <w:jc w:val="both"/>
        <w:rPr>
          <w:rFonts w:ascii="Calibri" w:hAnsi="Calibri" w:cs="Arial"/>
          <w:sz w:val="20"/>
          <w:szCs w:val="20"/>
        </w:rPr>
      </w:pPr>
      <w:r>
        <w:rPr>
          <w:rFonts w:ascii="Calibri" w:hAnsi="Calibri" w:cs="Arial"/>
          <w:sz w:val="20"/>
          <w:szCs w:val="20"/>
        </w:rPr>
        <w:t>Durante 2017 se han adquirido $15,857.72</w:t>
      </w:r>
      <w:r>
        <w:rPr>
          <w:rFonts w:cs="Arial"/>
          <w:b/>
          <w:bCs/>
          <w:sz w:val="18"/>
          <w:szCs w:val="18"/>
          <w:lang w:eastAsia="es-MX"/>
        </w:rPr>
        <w:t xml:space="preserve"> </w:t>
      </w:r>
      <w:r>
        <w:rPr>
          <w:rFonts w:ascii="Calibri" w:hAnsi="Calibri" w:cs="Arial"/>
          <w:sz w:val="20"/>
          <w:szCs w:val="20"/>
        </w:rPr>
        <w:t xml:space="preserve">en activos con los siguientes fondos y/o programas: </w:t>
      </w:r>
    </w:p>
    <w:p w:rsidR="00324BB3" w:rsidRDefault="00324BB3" w:rsidP="00324BB3">
      <w:pPr>
        <w:pStyle w:val="Piedepgina"/>
        <w:jc w:val="both"/>
        <w:rPr>
          <w:rFonts w:ascii="Calibri" w:hAnsi="Calibri" w:cs="Arial"/>
          <w:sz w:val="20"/>
          <w:szCs w:val="20"/>
        </w:rPr>
      </w:pPr>
    </w:p>
    <w:tbl>
      <w:tblPr>
        <w:tblW w:w="7304" w:type="dxa"/>
        <w:jc w:val="center"/>
        <w:tblInd w:w="55" w:type="dxa"/>
        <w:tblCellMar>
          <w:left w:w="70" w:type="dxa"/>
          <w:right w:w="70" w:type="dxa"/>
        </w:tblCellMar>
        <w:tblLook w:val="04A0" w:firstRow="1" w:lastRow="0" w:firstColumn="1" w:lastColumn="0" w:noHBand="0" w:noVBand="1"/>
      </w:tblPr>
      <w:tblGrid>
        <w:gridCol w:w="3440"/>
        <w:gridCol w:w="1384"/>
        <w:gridCol w:w="2480"/>
      </w:tblGrid>
      <w:tr w:rsidR="00324BB3" w:rsidTr="00324BB3">
        <w:trPr>
          <w:trHeight w:val="285"/>
          <w:jc w:val="center"/>
        </w:trPr>
        <w:tc>
          <w:tcPr>
            <w:tcW w:w="3440" w:type="dxa"/>
            <w:tcBorders>
              <w:top w:val="single" w:sz="12" w:space="0" w:color="008000"/>
              <w:left w:val="nil"/>
              <w:bottom w:val="single" w:sz="8" w:space="0" w:color="008000"/>
              <w:right w:val="nil"/>
            </w:tcBorders>
            <w:vAlign w:val="bottom"/>
            <w:hideMark/>
          </w:tcPr>
          <w:p w:rsidR="00324BB3" w:rsidRDefault="00324BB3">
            <w:pPr>
              <w:spacing w:after="0" w:line="240" w:lineRule="auto"/>
              <w:jc w:val="center"/>
              <w:rPr>
                <w:rFonts w:eastAsia="Times New Roman" w:cs="Arial"/>
                <w:b/>
                <w:bCs/>
                <w:sz w:val="18"/>
                <w:szCs w:val="18"/>
                <w:lang w:eastAsia="es-MX"/>
              </w:rPr>
            </w:pPr>
            <w:r>
              <w:rPr>
                <w:rFonts w:eastAsia="Times New Roman" w:cs="Arial"/>
                <w:b/>
                <w:bCs/>
                <w:sz w:val="18"/>
                <w:szCs w:val="18"/>
                <w:lang w:eastAsia="es-MX"/>
              </w:rPr>
              <w:t>ACTIVO</w:t>
            </w:r>
          </w:p>
        </w:tc>
        <w:tc>
          <w:tcPr>
            <w:tcW w:w="1384" w:type="dxa"/>
            <w:tcBorders>
              <w:top w:val="single" w:sz="12" w:space="0" w:color="008000"/>
              <w:left w:val="nil"/>
              <w:bottom w:val="single" w:sz="8" w:space="0" w:color="008000"/>
              <w:right w:val="nil"/>
            </w:tcBorders>
            <w:vAlign w:val="bottom"/>
            <w:hideMark/>
          </w:tcPr>
          <w:p w:rsidR="00324BB3" w:rsidRDefault="00324BB3">
            <w:pPr>
              <w:spacing w:after="0" w:line="240" w:lineRule="auto"/>
              <w:jc w:val="center"/>
              <w:rPr>
                <w:rFonts w:eastAsia="Times New Roman" w:cs="Arial"/>
                <w:b/>
                <w:bCs/>
                <w:sz w:val="18"/>
                <w:szCs w:val="18"/>
                <w:lang w:eastAsia="es-MX"/>
              </w:rPr>
            </w:pPr>
            <w:r>
              <w:rPr>
                <w:rFonts w:eastAsia="Times New Roman" w:cs="Arial"/>
                <w:b/>
                <w:bCs/>
                <w:sz w:val="18"/>
                <w:szCs w:val="18"/>
                <w:lang w:eastAsia="es-MX"/>
              </w:rPr>
              <w:t xml:space="preserve">       IMPORTE </w:t>
            </w:r>
          </w:p>
        </w:tc>
        <w:tc>
          <w:tcPr>
            <w:tcW w:w="2480" w:type="dxa"/>
            <w:tcBorders>
              <w:top w:val="single" w:sz="12" w:space="0" w:color="008000"/>
              <w:left w:val="nil"/>
              <w:bottom w:val="single" w:sz="8" w:space="0" w:color="008000"/>
              <w:right w:val="nil"/>
            </w:tcBorders>
            <w:vAlign w:val="bottom"/>
            <w:hideMark/>
          </w:tcPr>
          <w:p w:rsidR="00324BB3" w:rsidRDefault="00324BB3">
            <w:pPr>
              <w:spacing w:after="0" w:line="240" w:lineRule="auto"/>
              <w:jc w:val="center"/>
              <w:rPr>
                <w:rFonts w:eastAsia="Times New Roman" w:cs="Arial"/>
                <w:b/>
                <w:bCs/>
                <w:sz w:val="18"/>
                <w:szCs w:val="18"/>
                <w:lang w:eastAsia="es-MX"/>
              </w:rPr>
            </w:pPr>
            <w:r>
              <w:rPr>
                <w:rFonts w:eastAsia="Times New Roman" w:cs="Arial"/>
                <w:b/>
                <w:bCs/>
                <w:sz w:val="18"/>
                <w:szCs w:val="18"/>
                <w:lang w:eastAsia="es-MX"/>
              </w:rPr>
              <w:t>ADQUIRIDO CON:</w:t>
            </w:r>
          </w:p>
        </w:tc>
      </w:tr>
      <w:tr w:rsidR="00324BB3" w:rsidTr="00324BB3">
        <w:trPr>
          <w:trHeight w:val="255"/>
          <w:jc w:val="center"/>
        </w:trPr>
        <w:tc>
          <w:tcPr>
            <w:tcW w:w="3440" w:type="dxa"/>
            <w:noWrap/>
            <w:vAlign w:val="bottom"/>
            <w:hideMark/>
          </w:tcPr>
          <w:p w:rsidR="00324BB3" w:rsidRDefault="00324BB3">
            <w:pPr>
              <w:spacing w:after="0" w:line="240" w:lineRule="auto"/>
              <w:jc w:val="both"/>
              <w:rPr>
                <w:rFonts w:eastAsia="Times New Roman" w:cs="Arial"/>
                <w:sz w:val="18"/>
                <w:szCs w:val="18"/>
                <w:lang w:eastAsia="es-MX"/>
              </w:rPr>
            </w:pPr>
            <w:r>
              <w:rPr>
                <w:rFonts w:eastAsia="Times New Roman" w:cs="Arial"/>
                <w:sz w:val="18"/>
                <w:szCs w:val="18"/>
                <w:lang w:eastAsia="es-MX"/>
              </w:rPr>
              <w:t xml:space="preserve"> Bienes Informáticos</w:t>
            </w:r>
          </w:p>
        </w:tc>
        <w:tc>
          <w:tcPr>
            <w:tcW w:w="1384"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11,605.59   </w:t>
            </w:r>
          </w:p>
        </w:tc>
        <w:tc>
          <w:tcPr>
            <w:tcW w:w="2480" w:type="dxa"/>
            <w:noWrap/>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xml:space="preserve">                     PRODEP </w:t>
            </w:r>
          </w:p>
        </w:tc>
      </w:tr>
      <w:tr w:rsidR="00324BB3" w:rsidTr="00324BB3">
        <w:trPr>
          <w:trHeight w:val="255"/>
          <w:jc w:val="center"/>
        </w:trPr>
        <w:tc>
          <w:tcPr>
            <w:tcW w:w="3440" w:type="dxa"/>
            <w:noWrap/>
            <w:vAlign w:val="bottom"/>
            <w:hideMark/>
          </w:tcPr>
          <w:p w:rsidR="00324BB3" w:rsidRDefault="00324BB3">
            <w:pPr>
              <w:spacing w:after="0" w:line="240" w:lineRule="auto"/>
              <w:jc w:val="both"/>
              <w:rPr>
                <w:rFonts w:eastAsia="Times New Roman" w:cs="Arial"/>
                <w:sz w:val="18"/>
                <w:szCs w:val="18"/>
                <w:lang w:eastAsia="es-MX"/>
              </w:rPr>
            </w:pPr>
            <w:r>
              <w:rPr>
                <w:rFonts w:eastAsia="Times New Roman" w:cs="Arial"/>
                <w:sz w:val="18"/>
                <w:szCs w:val="18"/>
                <w:lang w:eastAsia="es-MX"/>
              </w:rPr>
              <w:t>Otros Bienes Muebles</w:t>
            </w:r>
          </w:p>
        </w:tc>
        <w:tc>
          <w:tcPr>
            <w:tcW w:w="1384" w:type="dxa"/>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4,252.13</w:t>
            </w:r>
          </w:p>
        </w:tc>
        <w:tc>
          <w:tcPr>
            <w:tcW w:w="2480" w:type="dxa"/>
            <w:noWrap/>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xml:space="preserve">                 ING.PROPIOS</w:t>
            </w:r>
          </w:p>
        </w:tc>
      </w:tr>
      <w:tr w:rsidR="00324BB3" w:rsidTr="00324BB3">
        <w:trPr>
          <w:trHeight w:val="270"/>
          <w:jc w:val="center"/>
        </w:trPr>
        <w:tc>
          <w:tcPr>
            <w:tcW w:w="3440" w:type="dxa"/>
            <w:tcBorders>
              <w:top w:val="single" w:sz="8" w:space="0" w:color="008000"/>
              <w:left w:val="nil"/>
              <w:bottom w:val="single" w:sz="12" w:space="0" w:color="008000"/>
              <w:right w:val="nil"/>
            </w:tcBorders>
            <w:hideMark/>
          </w:tcPr>
          <w:p w:rsidR="00324BB3" w:rsidRDefault="00324BB3">
            <w:pPr>
              <w:spacing w:after="0" w:line="240" w:lineRule="auto"/>
              <w:jc w:val="both"/>
              <w:rPr>
                <w:rFonts w:eastAsia="Times New Roman" w:cs="Arial"/>
                <w:b/>
                <w:bCs/>
                <w:sz w:val="18"/>
                <w:szCs w:val="18"/>
                <w:lang w:eastAsia="es-MX"/>
              </w:rPr>
            </w:pPr>
            <w:r>
              <w:rPr>
                <w:rFonts w:eastAsia="Times New Roman" w:cs="Arial"/>
                <w:b/>
                <w:bCs/>
                <w:sz w:val="18"/>
                <w:szCs w:val="18"/>
                <w:lang w:eastAsia="es-MX"/>
              </w:rPr>
              <w:t>TOTALES</w:t>
            </w:r>
          </w:p>
        </w:tc>
        <w:tc>
          <w:tcPr>
            <w:tcW w:w="1384" w:type="dxa"/>
            <w:tcBorders>
              <w:top w:val="single" w:sz="8" w:space="0" w:color="008000"/>
              <w:left w:val="nil"/>
              <w:bottom w:val="single" w:sz="12" w:space="0" w:color="008000"/>
              <w:right w:val="nil"/>
            </w:tcBorders>
            <w:vAlign w:val="bottom"/>
            <w:hideMark/>
          </w:tcPr>
          <w:p w:rsidR="00324BB3" w:rsidRDefault="00324BB3">
            <w:pPr>
              <w:spacing w:after="0" w:line="240" w:lineRule="auto"/>
              <w:jc w:val="right"/>
              <w:rPr>
                <w:rFonts w:eastAsia="Times New Roman" w:cs="Arial"/>
                <w:b/>
                <w:bCs/>
                <w:sz w:val="18"/>
                <w:szCs w:val="18"/>
                <w:lang w:eastAsia="es-MX"/>
              </w:rPr>
            </w:pPr>
            <w:r>
              <w:rPr>
                <w:rFonts w:eastAsia="Times New Roman" w:cs="Arial"/>
                <w:b/>
                <w:bCs/>
                <w:sz w:val="18"/>
                <w:szCs w:val="18"/>
                <w:lang w:eastAsia="es-MX"/>
              </w:rPr>
              <w:t xml:space="preserve">   15,857.72 </w:t>
            </w:r>
          </w:p>
        </w:tc>
        <w:tc>
          <w:tcPr>
            <w:tcW w:w="2480" w:type="dxa"/>
            <w:tcBorders>
              <w:top w:val="single" w:sz="8" w:space="0" w:color="008000"/>
              <w:left w:val="nil"/>
              <w:bottom w:val="single" w:sz="12" w:space="0" w:color="008000"/>
              <w:right w:val="nil"/>
            </w:tcBorders>
            <w:hideMark/>
          </w:tcPr>
          <w:p w:rsidR="00324BB3" w:rsidRDefault="00324BB3">
            <w:pPr>
              <w:spacing w:after="0" w:line="240" w:lineRule="auto"/>
              <w:jc w:val="both"/>
              <w:rPr>
                <w:rFonts w:eastAsia="Times New Roman" w:cs="Arial"/>
                <w:sz w:val="18"/>
                <w:szCs w:val="18"/>
                <w:lang w:eastAsia="es-MX"/>
              </w:rPr>
            </w:pPr>
            <w:r>
              <w:rPr>
                <w:rFonts w:eastAsia="Times New Roman" w:cs="Arial"/>
                <w:sz w:val="18"/>
                <w:szCs w:val="18"/>
                <w:lang w:eastAsia="es-MX"/>
              </w:rPr>
              <w:t> </w:t>
            </w:r>
          </w:p>
        </w:tc>
      </w:tr>
    </w:tbl>
    <w:p w:rsidR="00324BB3" w:rsidRDefault="00324BB3" w:rsidP="00324BB3">
      <w:pPr>
        <w:pStyle w:val="Piedepgina"/>
        <w:jc w:val="both"/>
        <w:rPr>
          <w:rFonts w:ascii="Calibri" w:hAnsi="Calibri" w:cs="Arial"/>
          <w:sz w:val="20"/>
          <w:szCs w:val="20"/>
        </w:rPr>
      </w:pPr>
    </w:p>
    <w:p w:rsidR="00324BB3" w:rsidRDefault="00324BB3" w:rsidP="00324BB3">
      <w:pPr>
        <w:pStyle w:val="Piedepgina"/>
        <w:jc w:val="both"/>
        <w:rPr>
          <w:rFonts w:ascii="Calibri" w:hAnsi="Calibri" w:cs="Arial"/>
          <w:sz w:val="20"/>
          <w:szCs w:val="20"/>
        </w:rPr>
      </w:pPr>
      <w:r>
        <w:rPr>
          <w:rFonts w:ascii="Calibri" w:hAnsi="Calibri" w:cs="Arial"/>
          <w:sz w:val="20"/>
          <w:szCs w:val="20"/>
        </w:rPr>
        <w:t xml:space="preserve">Detalle de adquisiciones de bienes muebles e inmuebles </w:t>
      </w:r>
    </w:p>
    <w:p w:rsidR="00324BB3" w:rsidRDefault="00324BB3" w:rsidP="00324BB3">
      <w:pPr>
        <w:pStyle w:val="Piedepgina"/>
        <w:jc w:val="both"/>
        <w:rPr>
          <w:rFonts w:ascii="Calibri" w:hAnsi="Calibri" w:cs="Arial"/>
          <w:sz w:val="20"/>
          <w:szCs w:val="20"/>
        </w:rPr>
      </w:pPr>
    </w:p>
    <w:p w:rsidR="00324BB3" w:rsidRDefault="00324BB3" w:rsidP="00324BB3">
      <w:pPr>
        <w:pStyle w:val="Piedepgina"/>
        <w:jc w:val="both"/>
        <w:rPr>
          <w:rFonts w:ascii="Calibri" w:hAnsi="Calibri" w:cs="Arial"/>
          <w:sz w:val="20"/>
          <w:szCs w:val="20"/>
        </w:rPr>
      </w:pPr>
    </w:p>
    <w:tbl>
      <w:tblPr>
        <w:tblW w:w="0" w:type="auto"/>
        <w:jc w:val="center"/>
        <w:tblInd w:w="55" w:type="dxa"/>
        <w:tblCellMar>
          <w:left w:w="70" w:type="dxa"/>
          <w:right w:w="70" w:type="dxa"/>
        </w:tblCellMar>
        <w:tblLook w:val="04A0" w:firstRow="1" w:lastRow="0" w:firstColumn="1" w:lastColumn="0" w:noHBand="0" w:noVBand="1"/>
      </w:tblPr>
      <w:tblGrid>
        <w:gridCol w:w="681"/>
        <w:gridCol w:w="3671"/>
        <w:gridCol w:w="1107"/>
        <w:gridCol w:w="815"/>
      </w:tblGrid>
      <w:tr w:rsidR="00324BB3" w:rsidTr="00324BB3">
        <w:trPr>
          <w:trHeight w:val="330"/>
          <w:jc w:val="center"/>
        </w:trPr>
        <w:tc>
          <w:tcPr>
            <w:tcW w:w="0" w:type="auto"/>
            <w:tcBorders>
              <w:top w:val="single" w:sz="12" w:space="0" w:color="009242"/>
              <w:left w:val="single" w:sz="12" w:space="0" w:color="009242"/>
              <w:bottom w:val="nil"/>
              <w:right w:val="nil"/>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Partida</w:t>
            </w: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Objeto del Gasto</w:t>
            </w:r>
          </w:p>
        </w:tc>
        <w:tc>
          <w:tcPr>
            <w:tcW w:w="0" w:type="auto"/>
            <w:tcBorders>
              <w:top w:val="single" w:sz="12" w:space="0" w:color="009242"/>
              <w:left w:val="nil"/>
              <w:bottom w:val="single" w:sz="12" w:space="0" w:color="009242"/>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 xml:space="preserve">   Devengado   </w:t>
            </w:r>
          </w:p>
        </w:tc>
        <w:tc>
          <w:tcPr>
            <w:tcW w:w="0" w:type="auto"/>
            <w:tcBorders>
              <w:top w:val="single" w:sz="12" w:space="0" w:color="009242"/>
              <w:left w:val="nil"/>
              <w:bottom w:val="nil"/>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 xml:space="preserve">   Pagado   </w:t>
            </w:r>
          </w:p>
        </w:tc>
      </w:tr>
      <w:tr w:rsidR="00324BB3" w:rsidTr="00324BB3">
        <w:trPr>
          <w:trHeight w:val="330"/>
          <w:jc w:val="center"/>
        </w:trPr>
        <w:tc>
          <w:tcPr>
            <w:tcW w:w="0" w:type="auto"/>
            <w:tcBorders>
              <w:top w:val="single" w:sz="12" w:space="0" w:color="009242"/>
              <w:left w:val="single" w:sz="12" w:space="0" w:color="009242"/>
              <w:bottom w:val="nil"/>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5000</w:t>
            </w: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Bienes Muebles, Inmuebles e Intangibles</w:t>
            </w:r>
          </w:p>
        </w:tc>
        <w:tc>
          <w:tcPr>
            <w:tcW w:w="0" w:type="auto"/>
            <w:noWrap/>
            <w:vAlign w:val="bottom"/>
            <w:hideMark/>
          </w:tcPr>
          <w:p w:rsidR="00324BB3" w:rsidRDefault="00324BB3">
            <w:pPr>
              <w:spacing w:after="0" w:line="240" w:lineRule="auto"/>
              <w:rPr>
                <w:sz w:val="20"/>
                <w:szCs w:val="20"/>
                <w:lang w:eastAsia="es-MX"/>
              </w:rPr>
            </w:pP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single" w:sz="12" w:space="0" w:color="009242"/>
              <w:left w:val="single" w:sz="12" w:space="0" w:color="009242"/>
              <w:bottom w:val="nil"/>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5100</w:t>
            </w: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Mobiliario y Equipo de Administración</w:t>
            </w:r>
          </w:p>
        </w:tc>
        <w:tc>
          <w:tcPr>
            <w:tcW w:w="0" w:type="auto"/>
            <w:tcBorders>
              <w:top w:val="single" w:sz="12" w:space="0" w:color="009242"/>
              <w:left w:val="nil"/>
              <w:bottom w:val="nil"/>
              <w:right w:val="nil"/>
            </w:tcBorders>
            <w:noWrap/>
            <w:vAlign w:val="bottom"/>
            <w:hideMark/>
          </w:tcPr>
          <w:p w:rsidR="00324BB3" w:rsidRDefault="00324BB3">
            <w:pPr>
              <w:spacing w:after="0" w:line="240" w:lineRule="auto"/>
              <w:rPr>
                <w:sz w:val="20"/>
                <w:szCs w:val="20"/>
                <w:lang w:eastAsia="es-MX"/>
              </w:rPr>
            </w:pP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single" w:sz="12" w:space="0" w:color="009242"/>
              <w:left w:val="single" w:sz="12" w:space="0" w:color="009242"/>
              <w:bottom w:val="nil"/>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5111</w:t>
            </w: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Mobiliario</w:t>
            </w:r>
          </w:p>
        </w:tc>
        <w:tc>
          <w:tcPr>
            <w:tcW w:w="0" w:type="auto"/>
            <w:tcBorders>
              <w:top w:val="single" w:sz="12" w:space="0" w:color="009242"/>
              <w:left w:val="nil"/>
              <w:bottom w:val="nil"/>
              <w:right w:val="nil"/>
            </w:tcBorders>
            <w:noWrap/>
            <w:vAlign w:val="bottom"/>
            <w:hideMark/>
          </w:tcPr>
          <w:p w:rsidR="00324BB3" w:rsidRDefault="00324BB3">
            <w:pPr>
              <w:spacing w:after="0" w:line="240" w:lineRule="auto"/>
              <w:rPr>
                <w:sz w:val="20"/>
                <w:szCs w:val="20"/>
                <w:lang w:eastAsia="es-MX"/>
              </w:rPr>
            </w:pP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single" w:sz="12" w:space="0" w:color="009242"/>
              <w:left w:val="single" w:sz="12" w:space="0" w:color="009242"/>
              <w:bottom w:val="nil"/>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5151</w:t>
            </w: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Bienes Informáticos</w:t>
            </w:r>
          </w:p>
        </w:tc>
        <w:tc>
          <w:tcPr>
            <w:tcW w:w="0" w:type="auto"/>
            <w:tcBorders>
              <w:top w:val="single" w:sz="12" w:space="0" w:color="009242"/>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single" w:sz="12" w:space="0" w:color="009242"/>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single" w:sz="12" w:space="0" w:color="009242"/>
              <w:left w:val="single" w:sz="12" w:space="0" w:color="009242"/>
              <w:bottom w:val="nil"/>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5191</w:t>
            </w:r>
          </w:p>
        </w:tc>
        <w:tc>
          <w:tcPr>
            <w:tcW w:w="0" w:type="auto"/>
            <w:tcBorders>
              <w:top w:val="single" w:sz="12" w:space="0" w:color="009242"/>
              <w:left w:val="single" w:sz="12" w:space="0" w:color="009242"/>
              <w:bottom w:val="nil"/>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Equipo de Administración</w:t>
            </w:r>
          </w:p>
        </w:tc>
        <w:tc>
          <w:tcPr>
            <w:tcW w:w="0" w:type="auto"/>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nil"/>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single" w:sz="12" w:space="0" w:color="009242"/>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5200</w:t>
            </w:r>
          </w:p>
        </w:tc>
        <w:tc>
          <w:tcPr>
            <w:tcW w:w="0" w:type="auto"/>
            <w:tcBorders>
              <w:top w:val="single" w:sz="12" w:space="0" w:color="009242"/>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 xml:space="preserve">Mobiliario Y Equipo Educacional Y Recreativo </w:t>
            </w:r>
          </w:p>
        </w:tc>
        <w:tc>
          <w:tcPr>
            <w:tcW w:w="0" w:type="auto"/>
            <w:tcBorders>
              <w:top w:val="single" w:sz="12" w:space="0" w:color="009242"/>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single" w:sz="12" w:space="0" w:color="009242"/>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5211</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Equipo Educacional Y Recreativo</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5211</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Cámaras Fotográficas y de video</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5300</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Equipo e Instrumental Médico y de Laboratorio</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5311</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Equipo Médico y de Laboratorio</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5600</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Maquinaria, Otros equipos y Herramientas</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5621</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Maquinaria y Equipo Industrial</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lastRenderedPageBreak/>
              <w:t>5691</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color w:val="000000"/>
                <w:sz w:val="18"/>
                <w:szCs w:val="18"/>
                <w:lang w:eastAsia="es-MX"/>
              </w:rPr>
            </w:pPr>
            <w:r>
              <w:rPr>
                <w:rFonts w:eastAsia="Times New Roman" w:cs="Arial"/>
                <w:color w:val="000000"/>
                <w:sz w:val="18"/>
                <w:szCs w:val="18"/>
                <w:lang w:eastAsia="es-MX"/>
              </w:rPr>
              <w:t>Otros Bienes Muebles</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4,252.13</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4,252.13</w:t>
            </w:r>
          </w:p>
        </w:tc>
      </w:tr>
      <w:tr w:rsidR="00324BB3" w:rsidTr="00324BB3">
        <w:trPr>
          <w:trHeight w:val="330"/>
          <w:jc w:val="center"/>
        </w:trPr>
        <w:tc>
          <w:tcPr>
            <w:tcW w:w="0" w:type="auto"/>
            <w:tcBorders>
              <w:top w:val="nil"/>
              <w:left w:val="single" w:sz="12" w:space="0" w:color="009242"/>
              <w:bottom w:val="single" w:sz="12" w:space="0" w:color="009242"/>
              <w:right w:val="nil"/>
            </w:tcBorders>
            <w:noWrap/>
            <w:vAlign w:val="bottom"/>
            <w:hideMark/>
          </w:tcPr>
          <w:p w:rsidR="00324BB3" w:rsidRDefault="00324BB3">
            <w:pPr>
              <w:spacing w:after="0" w:line="240" w:lineRule="auto"/>
              <w:jc w:val="right"/>
              <w:rPr>
                <w:rFonts w:eastAsia="Times New Roman" w:cs="Arial"/>
                <w:b/>
                <w:bCs/>
                <w:color w:val="000000"/>
                <w:sz w:val="18"/>
                <w:szCs w:val="18"/>
                <w:lang w:eastAsia="es-MX"/>
              </w:rPr>
            </w:pPr>
            <w:r>
              <w:rPr>
                <w:rFonts w:eastAsia="Times New Roman" w:cs="Arial"/>
                <w:b/>
                <w:bCs/>
                <w:color w:val="000000"/>
                <w:sz w:val="18"/>
                <w:szCs w:val="18"/>
                <w:lang w:eastAsia="es-MX"/>
              </w:rPr>
              <w:t>5900</w:t>
            </w: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rFonts w:eastAsia="Times New Roman" w:cs="Arial"/>
                <w:b/>
                <w:bCs/>
                <w:color w:val="000000"/>
                <w:sz w:val="18"/>
                <w:szCs w:val="18"/>
                <w:lang w:eastAsia="es-MX"/>
              </w:rPr>
            </w:pPr>
            <w:r>
              <w:rPr>
                <w:rFonts w:eastAsia="Times New Roman" w:cs="Arial"/>
                <w:b/>
                <w:bCs/>
                <w:color w:val="000000"/>
                <w:sz w:val="18"/>
                <w:szCs w:val="18"/>
                <w:lang w:eastAsia="es-MX"/>
              </w:rPr>
              <w:t>Activos Intangibles</w:t>
            </w:r>
          </w:p>
        </w:tc>
        <w:tc>
          <w:tcPr>
            <w:tcW w:w="0" w:type="auto"/>
            <w:tcBorders>
              <w:top w:val="nil"/>
              <w:left w:val="nil"/>
              <w:bottom w:val="single" w:sz="12" w:space="0" w:color="009242"/>
              <w:right w:val="nil"/>
            </w:tcBorders>
            <w:noWrap/>
            <w:vAlign w:val="bottom"/>
            <w:hideMark/>
          </w:tcPr>
          <w:p w:rsidR="00324BB3" w:rsidRDefault="00324BB3">
            <w:pPr>
              <w:spacing w:after="0" w:line="240" w:lineRule="auto"/>
              <w:rPr>
                <w:sz w:val="20"/>
                <w:szCs w:val="20"/>
                <w:lang w:eastAsia="es-MX"/>
              </w:rPr>
            </w:pPr>
          </w:p>
        </w:tc>
        <w:tc>
          <w:tcPr>
            <w:tcW w:w="0" w:type="auto"/>
            <w:tcBorders>
              <w:top w:val="nil"/>
              <w:left w:val="single" w:sz="12" w:space="0" w:color="009242"/>
              <w:bottom w:val="single" w:sz="12" w:space="0" w:color="009242"/>
              <w:right w:val="single" w:sz="12" w:space="0" w:color="009242"/>
            </w:tcBorders>
            <w:noWrap/>
            <w:vAlign w:val="bottom"/>
            <w:hideMark/>
          </w:tcPr>
          <w:p w:rsidR="00324BB3" w:rsidRDefault="00324BB3">
            <w:pPr>
              <w:spacing w:after="0" w:line="240" w:lineRule="auto"/>
              <w:rPr>
                <w:sz w:val="20"/>
                <w:szCs w:val="20"/>
                <w:lang w:eastAsia="es-MX"/>
              </w:rPr>
            </w:pPr>
          </w:p>
        </w:tc>
      </w:tr>
    </w:tbl>
    <w:p w:rsidR="00324BB3" w:rsidRDefault="00324BB3" w:rsidP="00324BB3">
      <w:pPr>
        <w:pStyle w:val="Piedepgina"/>
        <w:jc w:val="both"/>
        <w:rPr>
          <w:rFonts w:ascii="Calibri" w:hAnsi="Calibri" w:cs="Arial"/>
          <w:sz w:val="20"/>
          <w:szCs w:val="20"/>
        </w:rPr>
      </w:pPr>
    </w:p>
    <w:p w:rsidR="00324BB3" w:rsidRDefault="00324BB3" w:rsidP="00324BB3">
      <w:pPr>
        <w:pStyle w:val="Piedepgina"/>
        <w:jc w:val="both"/>
        <w:rPr>
          <w:rFonts w:ascii="Calibri" w:hAnsi="Calibri" w:cs="Arial"/>
          <w:sz w:val="20"/>
          <w:szCs w:val="20"/>
        </w:rPr>
      </w:pPr>
    </w:p>
    <w:p w:rsidR="00324BB3" w:rsidRDefault="00324BB3" w:rsidP="00324BB3">
      <w:pPr>
        <w:pStyle w:val="Piedepgina"/>
        <w:jc w:val="both"/>
        <w:rPr>
          <w:rFonts w:ascii="Calibri" w:hAnsi="Calibri" w:cs="Arial"/>
          <w:sz w:val="20"/>
          <w:szCs w:val="20"/>
        </w:rPr>
      </w:pPr>
    </w:p>
    <w:p w:rsidR="00324BB3" w:rsidRDefault="00324BB3" w:rsidP="00324BB3">
      <w:pPr>
        <w:numPr>
          <w:ilvl w:val="0"/>
          <w:numId w:val="25"/>
        </w:numPr>
        <w:spacing w:after="0" w:line="240" w:lineRule="auto"/>
        <w:ind w:left="709" w:hanging="349"/>
        <w:jc w:val="both"/>
        <w:rPr>
          <w:rFonts w:ascii="Calibri" w:hAnsi="Calibri" w:cs="Arial"/>
          <w:b/>
          <w:sz w:val="20"/>
          <w:szCs w:val="20"/>
        </w:rPr>
      </w:pPr>
      <w:r>
        <w:rPr>
          <w:rFonts w:cs="Arial"/>
          <w:b/>
          <w:sz w:val="20"/>
          <w:szCs w:val="20"/>
        </w:rPr>
        <w:t xml:space="preserve">CONCILIACION ENTRE LOS INGRESOS PRESUPUESTARIOS Y CONTABLES, ASI COMO ENTRE LOS EGRESOS PRESUPUESTARIOS Y LOS GASTOS CONTABLES </w:t>
      </w:r>
    </w:p>
    <w:p w:rsidR="00324BB3" w:rsidRDefault="00324BB3" w:rsidP="00324BB3">
      <w:pPr>
        <w:jc w:val="both"/>
        <w:rPr>
          <w:rFonts w:cs="Arial"/>
          <w:b/>
          <w:sz w:val="20"/>
          <w:szCs w:val="20"/>
        </w:rPr>
      </w:pPr>
    </w:p>
    <w:tbl>
      <w:tblPr>
        <w:tblW w:w="0" w:type="auto"/>
        <w:jc w:val="center"/>
        <w:tblInd w:w="55" w:type="dxa"/>
        <w:tblCellMar>
          <w:left w:w="70" w:type="dxa"/>
          <w:right w:w="70" w:type="dxa"/>
        </w:tblCellMar>
        <w:tblLook w:val="04A0" w:firstRow="1" w:lastRow="0" w:firstColumn="1" w:lastColumn="0" w:noHBand="0" w:noVBand="1"/>
      </w:tblPr>
      <w:tblGrid>
        <w:gridCol w:w="186"/>
        <w:gridCol w:w="7038"/>
        <w:gridCol w:w="970"/>
        <w:gridCol w:w="1209"/>
      </w:tblGrid>
      <w:tr w:rsidR="00324BB3" w:rsidTr="00324BB3">
        <w:trPr>
          <w:trHeight w:val="300"/>
          <w:jc w:val="center"/>
        </w:trPr>
        <w:tc>
          <w:tcPr>
            <w:tcW w:w="0" w:type="auto"/>
            <w:gridSpan w:val="4"/>
            <w:tcBorders>
              <w:top w:val="single" w:sz="8" w:space="0" w:color="auto"/>
              <w:left w:val="single" w:sz="8" w:space="0" w:color="auto"/>
              <w:bottom w:val="nil"/>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lang w:eastAsia="es-MX"/>
              </w:rPr>
            </w:pPr>
            <w:r>
              <w:rPr>
                <w:rFonts w:eastAsia="Times New Roman" w:cs="Calibri"/>
                <w:b/>
                <w:bCs/>
                <w:color w:val="000000"/>
                <w:lang w:eastAsia="es-MX"/>
              </w:rPr>
              <w:t>Universidad Tecnológica Metropolitana</w:t>
            </w:r>
          </w:p>
        </w:tc>
      </w:tr>
      <w:tr w:rsidR="00324BB3" w:rsidTr="00324BB3">
        <w:trPr>
          <w:trHeight w:val="300"/>
          <w:jc w:val="center"/>
        </w:trPr>
        <w:tc>
          <w:tcPr>
            <w:tcW w:w="0" w:type="auto"/>
            <w:gridSpan w:val="4"/>
            <w:tcBorders>
              <w:top w:val="nil"/>
              <w:left w:val="single" w:sz="8" w:space="0" w:color="auto"/>
              <w:bottom w:val="nil"/>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lang w:eastAsia="es-MX"/>
              </w:rPr>
            </w:pPr>
            <w:r>
              <w:rPr>
                <w:rFonts w:eastAsia="Times New Roman" w:cs="Calibri"/>
                <w:b/>
                <w:bCs/>
                <w:color w:val="000000"/>
                <w:lang w:eastAsia="es-MX"/>
              </w:rPr>
              <w:t xml:space="preserve">Conciliación entre los Ingresos Presupuestarios y Contables </w:t>
            </w:r>
          </w:p>
        </w:tc>
      </w:tr>
      <w:tr w:rsidR="00324BB3" w:rsidTr="00324BB3">
        <w:trPr>
          <w:trHeight w:val="300"/>
          <w:jc w:val="center"/>
        </w:trPr>
        <w:tc>
          <w:tcPr>
            <w:tcW w:w="0" w:type="auto"/>
            <w:gridSpan w:val="4"/>
            <w:tcBorders>
              <w:top w:val="nil"/>
              <w:left w:val="single" w:sz="8" w:space="0" w:color="auto"/>
              <w:bottom w:val="nil"/>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lang w:eastAsia="es-MX"/>
              </w:rPr>
            </w:pPr>
            <w:r>
              <w:rPr>
                <w:rFonts w:eastAsia="Times New Roman" w:cs="Calibri"/>
                <w:b/>
                <w:bCs/>
                <w:color w:val="000000"/>
                <w:lang w:eastAsia="es-MX"/>
              </w:rPr>
              <w:t>Correspondiente del 01 de Marzo al 31 de Marzo del 2017</w:t>
            </w:r>
          </w:p>
        </w:tc>
      </w:tr>
      <w:tr w:rsidR="00324BB3" w:rsidTr="00324BB3">
        <w:trPr>
          <w:trHeight w:val="315"/>
          <w:jc w:val="center"/>
        </w:trPr>
        <w:tc>
          <w:tcPr>
            <w:tcW w:w="0" w:type="auto"/>
            <w:gridSpan w:val="4"/>
            <w:tcBorders>
              <w:top w:val="nil"/>
              <w:left w:val="single" w:sz="8" w:space="0" w:color="auto"/>
              <w:bottom w:val="single" w:sz="8" w:space="0" w:color="auto"/>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lang w:eastAsia="es-MX"/>
              </w:rPr>
            </w:pPr>
            <w:r>
              <w:rPr>
                <w:rFonts w:eastAsia="Times New Roman" w:cs="Calibri"/>
                <w:b/>
                <w:bCs/>
                <w:color w:val="000000"/>
                <w:lang w:eastAsia="es-MX"/>
              </w:rPr>
              <w:t>(Cifras en pesos)</w:t>
            </w:r>
          </w:p>
        </w:tc>
      </w:tr>
      <w:tr w:rsidR="00324BB3" w:rsidTr="00324BB3">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D7E4BC"/>
            <w:noWrap/>
            <w:vAlign w:val="bottom"/>
            <w:hideMark/>
          </w:tcPr>
          <w:p w:rsidR="00324BB3" w:rsidRDefault="00324BB3">
            <w:pPr>
              <w:spacing w:after="0" w:line="240" w:lineRule="auto"/>
              <w:rPr>
                <w:rFonts w:eastAsia="Times New Roman" w:cs="Calibri"/>
                <w:b/>
                <w:bCs/>
                <w:color w:val="000000"/>
                <w:lang w:eastAsia="es-MX"/>
              </w:rPr>
            </w:pPr>
            <w:r>
              <w:rPr>
                <w:rFonts w:eastAsia="Times New Roman" w:cs="Calibri"/>
                <w:b/>
                <w:bCs/>
                <w:color w:val="000000"/>
                <w:lang w:eastAsia="es-MX"/>
              </w:rPr>
              <w:t xml:space="preserve">1.Ingresos Presupuestarios </w:t>
            </w:r>
          </w:p>
        </w:tc>
        <w:tc>
          <w:tcPr>
            <w:tcW w:w="0" w:type="auto"/>
            <w:noWrap/>
            <w:vAlign w:val="bottom"/>
            <w:hideMark/>
          </w:tcPr>
          <w:p w:rsidR="00324BB3" w:rsidRDefault="00324BB3">
            <w:pPr>
              <w:spacing w:after="0" w:line="240" w:lineRule="auto"/>
              <w:rPr>
                <w:sz w:val="20"/>
                <w:szCs w:val="20"/>
                <w:lang w:eastAsia="es-MX"/>
              </w:rPr>
            </w:pPr>
          </w:p>
        </w:tc>
        <w:tc>
          <w:tcPr>
            <w:tcW w:w="0" w:type="auto"/>
            <w:tcBorders>
              <w:top w:val="nil"/>
              <w:left w:val="single" w:sz="8" w:space="0" w:color="auto"/>
              <w:bottom w:val="single" w:sz="8" w:space="0" w:color="auto"/>
              <w:right w:val="single" w:sz="8" w:space="0" w:color="auto"/>
            </w:tcBorders>
            <w:shd w:val="clear" w:color="auto" w:fill="D7E4BC"/>
            <w:noWrap/>
            <w:vAlign w:val="bottom"/>
            <w:hideMark/>
          </w:tcPr>
          <w:p w:rsidR="00324BB3" w:rsidRDefault="00324BB3">
            <w:pPr>
              <w:spacing w:after="0" w:line="240" w:lineRule="auto"/>
              <w:jc w:val="right"/>
              <w:rPr>
                <w:rFonts w:eastAsia="Times New Roman" w:cs="Arial"/>
                <w:b/>
                <w:bCs/>
                <w:sz w:val="20"/>
                <w:szCs w:val="20"/>
                <w:lang w:eastAsia="es-MX"/>
              </w:rPr>
            </w:pPr>
            <w:r>
              <w:rPr>
                <w:rFonts w:eastAsia="Times New Roman" w:cs="Arial"/>
                <w:b/>
                <w:bCs/>
                <w:sz w:val="20"/>
                <w:szCs w:val="20"/>
                <w:lang w:eastAsia="es-MX"/>
              </w:rPr>
              <w:t>3,808,032.97</w:t>
            </w:r>
          </w:p>
        </w:tc>
      </w:tr>
      <w:tr w:rsidR="00324BB3" w:rsidTr="00324BB3">
        <w:trPr>
          <w:trHeight w:val="315"/>
          <w:jc w:val="center"/>
        </w:trPr>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315"/>
          <w:jc w:val="center"/>
        </w:trPr>
        <w:tc>
          <w:tcPr>
            <w:tcW w:w="0" w:type="auto"/>
            <w:gridSpan w:val="3"/>
            <w:tcBorders>
              <w:top w:val="single" w:sz="8" w:space="0" w:color="auto"/>
              <w:left w:val="single" w:sz="8" w:space="0" w:color="auto"/>
              <w:bottom w:val="single" w:sz="8" w:space="0" w:color="auto"/>
              <w:right w:val="single" w:sz="8" w:space="0" w:color="000000"/>
            </w:tcBorders>
            <w:noWrap/>
            <w:vAlign w:val="bottom"/>
            <w:hideMark/>
          </w:tcPr>
          <w:p w:rsidR="00324BB3" w:rsidRDefault="00324BB3">
            <w:pPr>
              <w:spacing w:after="0" w:line="240" w:lineRule="auto"/>
              <w:rPr>
                <w:rFonts w:eastAsia="Times New Roman" w:cs="Calibri"/>
                <w:b/>
                <w:bCs/>
                <w:color w:val="000000"/>
                <w:lang w:eastAsia="es-MX"/>
              </w:rPr>
            </w:pPr>
            <w:r>
              <w:rPr>
                <w:rFonts w:eastAsia="Times New Roman" w:cs="Calibri"/>
                <w:b/>
                <w:bCs/>
                <w:color w:val="000000"/>
                <w:lang w:eastAsia="es-MX"/>
              </w:rPr>
              <w:t xml:space="preserve">2. Más ingresos contables no presupuestarios </w:t>
            </w:r>
          </w:p>
        </w:tc>
        <w:tc>
          <w:tcPr>
            <w:tcW w:w="0" w:type="auto"/>
            <w:tcBorders>
              <w:top w:val="single" w:sz="8" w:space="0" w:color="auto"/>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r>
      <w:tr w:rsidR="00324BB3" w:rsidTr="00324BB3">
        <w:trPr>
          <w:trHeight w:val="181"/>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tcBorders>
              <w:top w:val="nil"/>
              <w:left w:val="nil"/>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Incremento por variación de inventarios </w:t>
            </w:r>
          </w:p>
        </w:tc>
        <w:tc>
          <w:tcPr>
            <w:tcW w:w="0" w:type="auto"/>
            <w:tcBorders>
              <w:top w:val="nil"/>
              <w:left w:val="single" w:sz="8" w:space="0" w:color="auto"/>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99"/>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tcBorders>
              <w:top w:val="nil"/>
              <w:left w:val="nil"/>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Disminución del excesos de estimaciones       por pérdida o deterioro u obsolescencia </w:t>
            </w:r>
          </w:p>
        </w:tc>
        <w:tc>
          <w:tcPr>
            <w:tcW w:w="0" w:type="auto"/>
            <w:tcBorders>
              <w:top w:val="nil"/>
              <w:left w:val="single" w:sz="8" w:space="0" w:color="auto"/>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232"/>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tcBorders>
              <w:top w:val="nil"/>
              <w:left w:val="nil"/>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Disminución del exceso de provisiones </w:t>
            </w:r>
          </w:p>
        </w:tc>
        <w:tc>
          <w:tcPr>
            <w:tcW w:w="0" w:type="auto"/>
            <w:tcBorders>
              <w:top w:val="nil"/>
              <w:left w:val="single" w:sz="8" w:space="0" w:color="auto"/>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35"/>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tcBorders>
              <w:top w:val="nil"/>
              <w:left w:val="nil"/>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Otros ingresos y beneficios varios </w:t>
            </w:r>
          </w:p>
        </w:tc>
        <w:tc>
          <w:tcPr>
            <w:tcW w:w="0" w:type="auto"/>
            <w:tcBorders>
              <w:top w:val="nil"/>
              <w:left w:val="single" w:sz="8" w:space="0" w:color="auto"/>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67"/>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Otros ingresos contable no presupuestarios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341"/>
          <w:jc w:val="center"/>
        </w:trPr>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315"/>
          <w:jc w:val="center"/>
        </w:trPr>
        <w:tc>
          <w:tcPr>
            <w:tcW w:w="0" w:type="auto"/>
            <w:gridSpan w:val="3"/>
            <w:tcBorders>
              <w:top w:val="single" w:sz="8" w:space="0" w:color="auto"/>
              <w:left w:val="single" w:sz="8" w:space="0" w:color="auto"/>
              <w:bottom w:val="single" w:sz="8" w:space="0" w:color="auto"/>
              <w:right w:val="single" w:sz="8" w:space="0" w:color="000000"/>
            </w:tcBorders>
            <w:noWrap/>
            <w:vAlign w:val="bottom"/>
            <w:hideMark/>
          </w:tcPr>
          <w:p w:rsidR="00324BB3" w:rsidRDefault="00324BB3">
            <w:pPr>
              <w:spacing w:after="0" w:line="240" w:lineRule="auto"/>
              <w:rPr>
                <w:rFonts w:eastAsia="Times New Roman" w:cs="Calibri"/>
                <w:b/>
                <w:bCs/>
                <w:color w:val="000000"/>
                <w:lang w:eastAsia="es-MX"/>
              </w:rPr>
            </w:pPr>
            <w:r>
              <w:rPr>
                <w:rFonts w:eastAsia="Times New Roman" w:cs="Calibri"/>
                <w:b/>
                <w:bCs/>
                <w:color w:val="000000"/>
                <w:lang w:eastAsia="es-MX"/>
              </w:rPr>
              <w:t xml:space="preserve">3. Menos ingresos presupuestarios no contables </w:t>
            </w:r>
          </w:p>
        </w:tc>
        <w:tc>
          <w:tcPr>
            <w:tcW w:w="0" w:type="auto"/>
            <w:tcBorders>
              <w:top w:val="single" w:sz="8" w:space="0" w:color="auto"/>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r>
      <w:tr w:rsidR="00324BB3" w:rsidTr="00324BB3">
        <w:trPr>
          <w:trHeight w:val="209"/>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tcBorders>
              <w:top w:val="nil"/>
              <w:left w:val="nil"/>
              <w:bottom w:val="single" w:sz="8" w:space="0" w:color="auto"/>
              <w:right w:val="single" w:sz="8" w:space="0" w:color="auto"/>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Productos de capital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315"/>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tcBorders>
              <w:top w:val="nil"/>
              <w:left w:val="nil"/>
              <w:bottom w:val="single" w:sz="8" w:space="0" w:color="auto"/>
              <w:right w:val="single" w:sz="8" w:space="0" w:color="auto"/>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Aprovechamientos de capital</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89"/>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tcBorders>
              <w:top w:val="nil"/>
              <w:left w:val="nil"/>
              <w:bottom w:val="single" w:sz="8" w:space="0" w:color="auto"/>
              <w:right w:val="single" w:sz="8" w:space="0" w:color="auto"/>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Ingresos derivados de financiamientos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                 -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222"/>
          <w:jc w:val="center"/>
        </w:trPr>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lastRenderedPageBreak/>
              <w:t> </w:t>
            </w:r>
          </w:p>
        </w:tc>
        <w:tc>
          <w:tcPr>
            <w:tcW w:w="0" w:type="auto"/>
            <w:tcBorders>
              <w:top w:val="nil"/>
              <w:left w:val="single" w:sz="8" w:space="0" w:color="auto"/>
              <w:bottom w:val="single" w:sz="8" w:space="0" w:color="auto"/>
              <w:right w:val="nil"/>
            </w:tcBorders>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xml:space="preserve">Otros Ingresos presupuestarios no contables </w:t>
            </w:r>
          </w:p>
        </w:tc>
        <w:tc>
          <w:tcPr>
            <w:tcW w:w="0" w:type="auto"/>
            <w:tcBorders>
              <w:top w:val="nil"/>
              <w:left w:val="single" w:sz="8" w:space="0" w:color="auto"/>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20"/>
                <w:szCs w:val="20"/>
                <w:lang w:eastAsia="es-MX"/>
              </w:rPr>
            </w:pPr>
            <w:r>
              <w:rPr>
                <w:rFonts w:eastAsia="Times New Roman" w:cs="Arial"/>
                <w:sz w:val="20"/>
                <w:szCs w:val="20"/>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267"/>
          <w:jc w:val="center"/>
        </w:trPr>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51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D7E4BC"/>
            <w:noWrap/>
            <w:vAlign w:val="bottom"/>
            <w:hideMark/>
          </w:tcPr>
          <w:p w:rsidR="00324BB3" w:rsidRDefault="00324BB3">
            <w:pPr>
              <w:spacing w:after="0" w:line="240" w:lineRule="auto"/>
              <w:rPr>
                <w:rFonts w:eastAsia="Times New Roman" w:cs="Calibri"/>
                <w:b/>
                <w:bCs/>
                <w:color w:val="000000"/>
                <w:lang w:eastAsia="es-MX"/>
              </w:rPr>
            </w:pPr>
            <w:r>
              <w:rPr>
                <w:rFonts w:eastAsia="Times New Roman" w:cs="Calibri"/>
                <w:b/>
                <w:bCs/>
                <w:color w:val="000000"/>
                <w:lang w:eastAsia="es-MX"/>
              </w:rPr>
              <w:t>4. Ingresos Contables (4 = 1 + 2 - 3)</w:t>
            </w:r>
          </w:p>
        </w:tc>
        <w:tc>
          <w:tcPr>
            <w:tcW w:w="0" w:type="auto"/>
            <w:noWrap/>
            <w:vAlign w:val="bottom"/>
            <w:hideMark/>
          </w:tcPr>
          <w:p w:rsidR="00324BB3" w:rsidRDefault="00324BB3">
            <w:pPr>
              <w:spacing w:after="0" w:line="240" w:lineRule="auto"/>
              <w:rPr>
                <w:sz w:val="20"/>
                <w:szCs w:val="20"/>
                <w:lang w:eastAsia="es-MX"/>
              </w:rPr>
            </w:pPr>
          </w:p>
        </w:tc>
        <w:tc>
          <w:tcPr>
            <w:tcW w:w="0" w:type="auto"/>
            <w:tcBorders>
              <w:top w:val="single" w:sz="8" w:space="0" w:color="auto"/>
              <w:left w:val="single" w:sz="8" w:space="0" w:color="auto"/>
              <w:bottom w:val="single" w:sz="8" w:space="0" w:color="auto"/>
              <w:right w:val="single" w:sz="8" w:space="0" w:color="auto"/>
            </w:tcBorders>
            <w:shd w:val="clear" w:color="auto" w:fill="D7E4BC"/>
            <w:noWrap/>
            <w:vAlign w:val="bottom"/>
            <w:hideMark/>
          </w:tcPr>
          <w:p w:rsidR="00324BB3" w:rsidRDefault="00324BB3">
            <w:pPr>
              <w:spacing w:after="0" w:line="240" w:lineRule="auto"/>
              <w:rPr>
                <w:rFonts w:eastAsia="Times New Roman" w:cs="Arial"/>
                <w:b/>
                <w:bCs/>
                <w:sz w:val="20"/>
                <w:szCs w:val="20"/>
                <w:lang w:eastAsia="es-MX"/>
              </w:rPr>
            </w:pPr>
            <w:r>
              <w:rPr>
                <w:rFonts w:eastAsia="Times New Roman" w:cs="Arial"/>
                <w:b/>
                <w:bCs/>
                <w:sz w:val="20"/>
                <w:szCs w:val="20"/>
                <w:lang w:eastAsia="es-MX"/>
              </w:rPr>
              <w:t>3,808,032.97</w:t>
            </w:r>
          </w:p>
        </w:tc>
      </w:tr>
    </w:tbl>
    <w:p w:rsidR="00324BB3" w:rsidRDefault="00324BB3" w:rsidP="00324BB3">
      <w:pPr>
        <w:spacing w:after="0"/>
        <w:jc w:val="both"/>
        <w:rPr>
          <w:rFonts w:ascii="Calibri" w:hAnsi="Calibri" w:cs="Arial"/>
          <w:b/>
          <w:sz w:val="20"/>
          <w:szCs w:val="20"/>
        </w:rPr>
      </w:pPr>
    </w:p>
    <w:p w:rsidR="00324BB3" w:rsidRDefault="00324BB3" w:rsidP="00324BB3">
      <w:pPr>
        <w:spacing w:after="0"/>
        <w:jc w:val="both"/>
        <w:rPr>
          <w:rFonts w:cs="Arial"/>
          <w:b/>
          <w:sz w:val="20"/>
          <w:szCs w:val="20"/>
        </w:rPr>
      </w:pPr>
    </w:p>
    <w:p w:rsidR="00324BB3" w:rsidRDefault="00324BB3" w:rsidP="00324BB3">
      <w:pPr>
        <w:spacing w:after="0"/>
        <w:jc w:val="both"/>
        <w:rPr>
          <w:rFonts w:cs="Arial"/>
          <w:b/>
          <w:sz w:val="20"/>
          <w:szCs w:val="20"/>
        </w:rPr>
      </w:pPr>
    </w:p>
    <w:p w:rsidR="00324BB3" w:rsidRDefault="00324BB3" w:rsidP="00324BB3">
      <w:pPr>
        <w:spacing w:after="0"/>
        <w:jc w:val="both"/>
        <w:rPr>
          <w:rFonts w:cs="Arial"/>
          <w:b/>
          <w:sz w:val="20"/>
          <w:szCs w:val="20"/>
        </w:rPr>
      </w:pPr>
    </w:p>
    <w:p w:rsidR="00324BB3" w:rsidRDefault="00324BB3" w:rsidP="00324BB3">
      <w:pPr>
        <w:spacing w:after="0"/>
        <w:jc w:val="both"/>
        <w:rPr>
          <w:rFonts w:cs="Arial"/>
          <w:b/>
          <w:sz w:val="20"/>
          <w:szCs w:val="20"/>
        </w:rPr>
      </w:pPr>
    </w:p>
    <w:tbl>
      <w:tblPr>
        <w:tblW w:w="0" w:type="auto"/>
        <w:jc w:val="center"/>
        <w:tblInd w:w="55" w:type="dxa"/>
        <w:tblCellMar>
          <w:left w:w="70" w:type="dxa"/>
          <w:right w:w="70" w:type="dxa"/>
        </w:tblCellMar>
        <w:tblLook w:val="04A0" w:firstRow="1" w:lastRow="0" w:firstColumn="1" w:lastColumn="0" w:noHBand="0" w:noVBand="1"/>
      </w:tblPr>
      <w:tblGrid>
        <w:gridCol w:w="3121"/>
        <w:gridCol w:w="3121"/>
        <w:gridCol w:w="2162"/>
        <w:gridCol w:w="2479"/>
      </w:tblGrid>
      <w:tr w:rsidR="00324BB3" w:rsidTr="00324BB3">
        <w:trPr>
          <w:trHeight w:val="122"/>
          <w:jc w:val="center"/>
        </w:trPr>
        <w:tc>
          <w:tcPr>
            <w:tcW w:w="0" w:type="auto"/>
            <w:gridSpan w:val="4"/>
            <w:tcBorders>
              <w:top w:val="single" w:sz="8" w:space="0" w:color="auto"/>
              <w:left w:val="single" w:sz="8" w:space="0" w:color="auto"/>
              <w:bottom w:val="nil"/>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sz w:val="18"/>
                <w:szCs w:val="18"/>
                <w:lang w:eastAsia="es-MX"/>
              </w:rPr>
            </w:pPr>
            <w:r>
              <w:rPr>
                <w:rFonts w:eastAsia="Times New Roman" w:cs="Calibri"/>
                <w:b/>
                <w:bCs/>
                <w:color w:val="000000"/>
                <w:sz w:val="18"/>
                <w:szCs w:val="18"/>
                <w:lang w:eastAsia="es-MX"/>
              </w:rPr>
              <w:t>Universidad Tecnológica Metropolitana</w:t>
            </w:r>
          </w:p>
        </w:tc>
      </w:tr>
      <w:tr w:rsidR="00324BB3" w:rsidTr="00324BB3">
        <w:trPr>
          <w:trHeight w:val="247"/>
          <w:jc w:val="center"/>
        </w:trPr>
        <w:tc>
          <w:tcPr>
            <w:tcW w:w="0" w:type="auto"/>
            <w:gridSpan w:val="4"/>
            <w:tcBorders>
              <w:top w:val="nil"/>
              <w:left w:val="single" w:sz="8" w:space="0" w:color="auto"/>
              <w:bottom w:val="nil"/>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sz w:val="18"/>
                <w:szCs w:val="18"/>
                <w:lang w:eastAsia="es-MX"/>
              </w:rPr>
            </w:pPr>
            <w:r>
              <w:rPr>
                <w:rFonts w:eastAsia="Times New Roman" w:cs="Calibri"/>
                <w:b/>
                <w:bCs/>
                <w:color w:val="000000"/>
                <w:sz w:val="18"/>
                <w:szCs w:val="18"/>
                <w:lang w:eastAsia="es-MX"/>
              </w:rPr>
              <w:t xml:space="preserve">Conciliación entre los Egresos Presupuestarios y los Gastos Contables </w:t>
            </w:r>
          </w:p>
        </w:tc>
      </w:tr>
      <w:tr w:rsidR="00324BB3" w:rsidTr="00324BB3">
        <w:trPr>
          <w:trHeight w:val="108"/>
          <w:jc w:val="center"/>
        </w:trPr>
        <w:tc>
          <w:tcPr>
            <w:tcW w:w="0" w:type="auto"/>
            <w:gridSpan w:val="4"/>
            <w:tcBorders>
              <w:top w:val="nil"/>
              <w:left w:val="single" w:sz="8" w:space="0" w:color="auto"/>
              <w:bottom w:val="nil"/>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sz w:val="18"/>
                <w:szCs w:val="18"/>
                <w:lang w:eastAsia="es-MX"/>
              </w:rPr>
            </w:pPr>
            <w:r>
              <w:rPr>
                <w:rFonts w:eastAsia="Times New Roman" w:cs="Calibri"/>
                <w:b/>
                <w:bCs/>
                <w:color w:val="000000"/>
                <w:sz w:val="18"/>
                <w:szCs w:val="18"/>
                <w:lang w:eastAsia="es-MX"/>
              </w:rPr>
              <w:t>Correspondiente del 01 de Marzo al 31 de Marzo del 2017</w:t>
            </w:r>
          </w:p>
        </w:tc>
      </w:tr>
      <w:tr w:rsidR="00324BB3" w:rsidTr="00324BB3">
        <w:trPr>
          <w:trHeight w:val="80"/>
          <w:jc w:val="center"/>
        </w:trPr>
        <w:tc>
          <w:tcPr>
            <w:tcW w:w="0" w:type="auto"/>
            <w:gridSpan w:val="4"/>
            <w:tcBorders>
              <w:top w:val="nil"/>
              <w:left w:val="single" w:sz="8" w:space="0" w:color="auto"/>
              <w:bottom w:val="single" w:sz="8" w:space="0" w:color="auto"/>
              <w:right w:val="single" w:sz="8" w:space="0" w:color="000000"/>
            </w:tcBorders>
            <w:shd w:val="clear" w:color="auto" w:fill="D7E4BC"/>
            <w:noWrap/>
            <w:vAlign w:val="bottom"/>
            <w:hideMark/>
          </w:tcPr>
          <w:p w:rsidR="00324BB3" w:rsidRDefault="00324BB3">
            <w:pPr>
              <w:spacing w:after="0" w:line="240" w:lineRule="auto"/>
              <w:jc w:val="center"/>
              <w:rPr>
                <w:rFonts w:eastAsia="Times New Roman" w:cs="Calibri"/>
                <w:b/>
                <w:bCs/>
                <w:color w:val="000000"/>
                <w:sz w:val="18"/>
                <w:szCs w:val="18"/>
                <w:lang w:eastAsia="es-MX"/>
              </w:rPr>
            </w:pPr>
            <w:r>
              <w:rPr>
                <w:rFonts w:eastAsia="Times New Roman" w:cs="Calibri"/>
                <w:b/>
                <w:bCs/>
                <w:color w:val="000000"/>
                <w:sz w:val="18"/>
                <w:szCs w:val="18"/>
                <w:lang w:eastAsia="es-MX"/>
              </w:rPr>
              <w:t>(Cifras en pesos)</w:t>
            </w:r>
          </w:p>
        </w:tc>
      </w:tr>
      <w:tr w:rsidR="00324BB3" w:rsidTr="00324BB3">
        <w:trPr>
          <w:trHeight w:val="166"/>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D7E4BC"/>
            <w:noWrap/>
            <w:vAlign w:val="bottom"/>
            <w:hideMark/>
          </w:tcPr>
          <w:p w:rsidR="00324BB3" w:rsidRDefault="00324BB3">
            <w:pPr>
              <w:spacing w:after="0" w:line="240" w:lineRule="auto"/>
              <w:rPr>
                <w:rFonts w:eastAsia="Times New Roman" w:cs="Calibri"/>
                <w:b/>
                <w:bCs/>
                <w:color w:val="000000"/>
                <w:sz w:val="18"/>
                <w:szCs w:val="18"/>
                <w:lang w:eastAsia="es-MX"/>
              </w:rPr>
            </w:pPr>
            <w:r>
              <w:rPr>
                <w:rFonts w:eastAsia="Times New Roman" w:cs="Calibri"/>
                <w:b/>
                <w:bCs/>
                <w:color w:val="000000"/>
                <w:sz w:val="18"/>
                <w:szCs w:val="18"/>
                <w:lang w:eastAsia="es-MX"/>
              </w:rPr>
              <w:t>1.Total de egresos (presupuestarios)</w:t>
            </w:r>
          </w:p>
        </w:tc>
        <w:tc>
          <w:tcPr>
            <w:tcW w:w="0" w:type="auto"/>
            <w:noWrap/>
            <w:vAlign w:val="bottom"/>
            <w:hideMark/>
          </w:tcPr>
          <w:p w:rsidR="00324BB3" w:rsidRDefault="00324BB3">
            <w:pPr>
              <w:spacing w:after="0" w:line="240" w:lineRule="auto"/>
              <w:rPr>
                <w:sz w:val="20"/>
                <w:szCs w:val="20"/>
                <w:lang w:eastAsia="es-MX"/>
              </w:rPr>
            </w:pPr>
          </w:p>
        </w:tc>
        <w:tc>
          <w:tcPr>
            <w:tcW w:w="0" w:type="auto"/>
            <w:tcBorders>
              <w:top w:val="nil"/>
              <w:left w:val="single" w:sz="8" w:space="0" w:color="auto"/>
              <w:bottom w:val="single" w:sz="8" w:space="0" w:color="auto"/>
              <w:right w:val="single" w:sz="8" w:space="0" w:color="auto"/>
            </w:tcBorders>
            <w:shd w:val="clear" w:color="auto" w:fill="D7E4BC"/>
            <w:noWrap/>
            <w:vAlign w:val="bottom"/>
            <w:hideMark/>
          </w:tcPr>
          <w:p w:rsidR="00324BB3" w:rsidRDefault="00324BB3">
            <w:pPr>
              <w:spacing w:after="0" w:line="240" w:lineRule="auto"/>
              <w:jc w:val="right"/>
              <w:rPr>
                <w:rFonts w:eastAsia="Times New Roman" w:cs="Arial"/>
                <w:b/>
                <w:bCs/>
                <w:sz w:val="18"/>
                <w:szCs w:val="18"/>
                <w:lang w:eastAsia="es-MX"/>
              </w:rPr>
            </w:pPr>
            <w:r>
              <w:rPr>
                <w:rFonts w:eastAsia="Times New Roman" w:cs="Arial"/>
                <w:b/>
                <w:bCs/>
                <w:sz w:val="18"/>
                <w:szCs w:val="18"/>
                <w:lang w:eastAsia="es-MX"/>
              </w:rPr>
              <w:t>7,546,782.24</w:t>
            </w:r>
          </w:p>
        </w:tc>
      </w:tr>
      <w:tr w:rsidR="00324BB3" w:rsidTr="00324BB3">
        <w:trPr>
          <w:trHeight w:val="60"/>
          <w:jc w:val="center"/>
        </w:trPr>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23"/>
          <w:jc w:val="center"/>
        </w:trPr>
        <w:tc>
          <w:tcPr>
            <w:tcW w:w="0" w:type="auto"/>
            <w:gridSpan w:val="3"/>
            <w:tcBorders>
              <w:top w:val="single" w:sz="8" w:space="0" w:color="auto"/>
              <w:left w:val="single" w:sz="8" w:space="0" w:color="auto"/>
              <w:bottom w:val="single" w:sz="8" w:space="0" w:color="auto"/>
              <w:right w:val="single" w:sz="8" w:space="0" w:color="000000"/>
            </w:tcBorders>
            <w:noWrap/>
            <w:vAlign w:val="bottom"/>
            <w:hideMark/>
          </w:tcPr>
          <w:p w:rsidR="00324BB3" w:rsidRDefault="00324BB3">
            <w:pPr>
              <w:spacing w:after="0" w:line="240" w:lineRule="auto"/>
              <w:rPr>
                <w:rFonts w:eastAsia="Times New Roman" w:cs="Calibri"/>
                <w:b/>
                <w:bCs/>
                <w:color w:val="000000"/>
                <w:sz w:val="18"/>
                <w:szCs w:val="18"/>
                <w:lang w:eastAsia="es-MX"/>
              </w:rPr>
            </w:pPr>
            <w:r>
              <w:rPr>
                <w:rFonts w:eastAsia="Times New Roman" w:cs="Calibri"/>
                <w:b/>
                <w:bCs/>
                <w:color w:val="000000"/>
                <w:sz w:val="18"/>
                <w:szCs w:val="18"/>
                <w:lang w:eastAsia="es-MX"/>
              </w:rPr>
              <w:t>2. Menos egresos presupuestarios no contables</w:t>
            </w:r>
          </w:p>
        </w:tc>
        <w:tc>
          <w:tcPr>
            <w:tcW w:w="0" w:type="auto"/>
            <w:tcBorders>
              <w:top w:val="single" w:sz="8" w:space="0" w:color="auto"/>
              <w:left w:val="nil"/>
              <w:bottom w:val="single" w:sz="8" w:space="0" w:color="auto"/>
              <w:right w:val="single" w:sz="8" w:space="0" w:color="auto"/>
            </w:tcBorders>
            <w:noWrap/>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0</w:t>
            </w:r>
          </w:p>
        </w:tc>
      </w:tr>
      <w:tr w:rsidR="00324BB3" w:rsidTr="00324BB3">
        <w:trPr>
          <w:trHeight w:val="199"/>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Mobiliario y equipo de administración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245"/>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Mobiliario y equipo educacional y recreativo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60"/>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Equipo e instrumental médico y de laboratorio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53"/>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Vehículos y equipo de transporte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60"/>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Equipo de defensa y seguridad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76"/>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Maquinaria, otros equipos y herramientas</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07"/>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Activos biológicos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53"/>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Bienes inmuebles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71"/>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Otros Bienes inmuebles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61"/>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Activos intangibles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08"/>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Obra pública en bienes propios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39"/>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Acciones y participaciones de capital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60"/>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Compra de títulos y valores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203"/>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Inversiones en fideicomisos, mandatos y otros análogos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94"/>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Provisiones para contingencias y otras erogaciones especiales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25"/>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lastRenderedPageBreak/>
              <w:t xml:space="preserve">Amortización de la deuda pública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71"/>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Adeudos de ejercicios fiscales anteriores (ADEFAS)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89"/>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xml:space="preserve">Otros Egresos Presupuestales No Contables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60"/>
          <w:jc w:val="center"/>
        </w:trPr>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25"/>
          <w:jc w:val="center"/>
        </w:trPr>
        <w:tc>
          <w:tcPr>
            <w:tcW w:w="0" w:type="auto"/>
            <w:gridSpan w:val="3"/>
            <w:tcBorders>
              <w:top w:val="single" w:sz="8" w:space="0" w:color="auto"/>
              <w:left w:val="single" w:sz="8" w:space="0" w:color="auto"/>
              <w:bottom w:val="single" w:sz="8" w:space="0" w:color="auto"/>
              <w:right w:val="single" w:sz="8" w:space="0" w:color="000000"/>
            </w:tcBorders>
            <w:noWrap/>
            <w:vAlign w:val="bottom"/>
            <w:hideMark/>
          </w:tcPr>
          <w:p w:rsidR="00324BB3" w:rsidRDefault="00324BB3">
            <w:pPr>
              <w:spacing w:after="0" w:line="240" w:lineRule="auto"/>
              <w:rPr>
                <w:rFonts w:eastAsia="Times New Roman" w:cs="Calibri"/>
                <w:b/>
                <w:bCs/>
                <w:color w:val="000000"/>
                <w:sz w:val="18"/>
                <w:szCs w:val="18"/>
                <w:lang w:eastAsia="es-MX"/>
              </w:rPr>
            </w:pPr>
            <w:r>
              <w:rPr>
                <w:rFonts w:eastAsia="Times New Roman" w:cs="Calibri"/>
                <w:b/>
                <w:bCs/>
                <w:color w:val="000000"/>
                <w:sz w:val="18"/>
                <w:szCs w:val="18"/>
                <w:lang w:eastAsia="es-MX"/>
              </w:rPr>
              <w:t xml:space="preserve">3. Más gastos contables no presupuestales </w:t>
            </w:r>
          </w:p>
        </w:tc>
        <w:tc>
          <w:tcPr>
            <w:tcW w:w="0" w:type="auto"/>
            <w:tcBorders>
              <w:top w:val="single" w:sz="8" w:space="0" w:color="auto"/>
              <w:left w:val="nil"/>
              <w:bottom w:val="single" w:sz="8" w:space="0" w:color="auto"/>
              <w:right w:val="single" w:sz="8" w:space="0" w:color="auto"/>
            </w:tcBorders>
            <w:noWrap/>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590,362.68</w:t>
            </w:r>
          </w:p>
        </w:tc>
      </w:tr>
      <w:tr w:rsidR="00324BB3" w:rsidTr="00324BB3">
        <w:trPr>
          <w:trHeight w:val="131"/>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Estimaciones, depreciaciones, deterioros, obsolescencia y amortizaciones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590,359.68</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22"/>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Provisiones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71"/>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Disminución de inventarios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86"/>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Aumento por insuficiencia de estimaciones por pérdida o deterioro u obsolescencia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20"/>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Aumento por insuficiencia de provisiones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08"/>
          <w:jc w:val="center"/>
        </w:trPr>
        <w:tc>
          <w:tcPr>
            <w:tcW w:w="0" w:type="auto"/>
            <w:gridSpan w:val="2"/>
            <w:tcBorders>
              <w:top w:val="single" w:sz="8" w:space="0" w:color="auto"/>
              <w:left w:val="single" w:sz="8" w:space="0" w:color="auto"/>
              <w:bottom w:val="single" w:sz="8" w:space="0" w:color="auto"/>
              <w:right w:val="single" w:sz="8" w:space="0" w:color="000000"/>
            </w:tcBorders>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 xml:space="preserve">Otros Gastos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40"/>
          <w:jc w:val="center"/>
        </w:trPr>
        <w:tc>
          <w:tcPr>
            <w:tcW w:w="0" w:type="auto"/>
            <w:gridSpan w:val="2"/>
            <w:tcBorders>
              <w:top w:val="single" w:sz="8" w:space="0" w:color="auto"/>
              <w:left w:val="single" w:sz="8" w:space="0" w:color="auto"/>
              <w:bottom w:val="single" w:sz="8" w:space="0" w:color="auto"/>
              <w:right w:val="single" w:sz="8" w:space="0" w:color="000000"/>
            </w:tcBorders>
            <w:noWrap/>
            <w:vAlign w:val="bottom"/>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 xml:space="preserve">Otros Gastos Contables No Presupuestales </w:t>
            </w:r>
          </w:p>
        </w:tc>
        <w:tc>
          <w:tcPr>
            <w:tcW w:w="0" w:type="auto"/>
            <w:tcBorders>
              <w:top w:val="nil"/>
              <w:left w:val="nil"/>
              <w:bottom w:val="single" w:sz="8" w:space="0" w:color="auto"/>
              <w:right w:val="single" w:sz="8" w:space="0" w:color="auto"/>
            </w:tcBorders>
            <w:noWrap/>
            <w:vAlign w:val="bottom"/>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3.00</w:t>
            </w: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60"/>
          <w:jc w:val="center"/>
        </w:trPr>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c>
          <w:tcPr>
            <w:tcW w:w="0" w:type="auto"/>
            <w:noWrap/>
            <w:vAlign w:val="bottom"/>
            <w:hideMark/>
          </w:tcPr>
          <w:p w:rsidR="00324BB3" w:rsidRDefault="00324BB3">
            <w:pPr>
              <w:spacing w:after="0" w:line="240" w:lineRule="auto"/>
              <w:rPr>
                <w:sz w:val="20"/>
                <w:szCs w:val="20"/>
                <w:lang w:eastAsia="es-MX"/>
              </w:rPr>
            </w:pPr>
          </w:p>
        </w:tc>
      </w:tr>
      <w:tr w:rsidR="00324BB3" w:rsidTr="00324BB3">
        <w:trPr>
          <w:trHeight w:val="126"/>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D7E4BC"/>
            <w:noWrap/>
            <w:vAlign w:val="bottom"/>
            <w:hideMark/>
          </w:tcPr>
          <w:p w:rsidR="00324BB3" w:rsidRDefault="00324BB3">
            <w:pPr>
              <w:spacing w:after="0" w:line="240" w:lineRule="auto"/>
              <w:rPr>
                <w:rFonts w:eastAsia="Times New Roman" w:cs="Calibri"/>
                <w:b/>
                <w:bCs/>
                <w:color w:val="000000"/>
                <w:sz w:val="18"/>
                <w:szCs w:val="18"/>
                <w:lang w:eastAsia="es-MX"/>
              </w:rPr>
            </w:pPr>
            <w:r>
              <w:rPr>
                <w:rFonts w:eastAsia="Times New Roman" w:cs="Calibri"/>
                <w:b/>
                <w:bCs/>
                <w:color w:val="000000"/>
                <w:sz w:val="18"/>
                <w:szCs w:val="18"/>
                <w:lang w:eastAsia="es-MX"/>
              </w:rPr>
              <w:t>4. Total de Gasto Contable (4 = 1- 2 +3)</w:t>
            </w:r>
          </w:p>
        </w:tc>
        <w:tc>
          <w:tcPr>
            <w:tcW w:w="0" w:type="auto"/>
            <w:noWrap/>
            <w:vAlign w:val="bottom"/>
            <w:hideMark/>
          </w:tcPr>
          <w:p w:rsidR="00324BB3" w:rsidRDefault="00324BB3">
            <w:pPr>
              <w:spacing w:after="0" w:line="240" w:lineRule="auto"/>
              <w:rPr>
                <w:sz w:val="20"/>
                <w:szCs w:val="20"/>
                <w:lang w:eastAsia="es-MX"/>
              </w:rPr>
            </w:pPr>
          </w:p>
        </w:tc>
        <w:tc>
          <w:tcPr>
            <w:tcW w:w="0" w:type="auto"/>
            <w:tcBorders>
              <w:top w:val="single" w:sz="8" w:space="0" w:color="auto"/>
              <w:left w:val="single" w:sz="8" w:space="0" w:color="auto"/>
              <w:bottom w:val="single" w:sz="8" w:space="0" w:color="auto"/>
              <w:right w:val="single" w:sz="8" w:space="0" w:color="auto"/>
            </w:tcBorders>
            <w:shd w:val="clear" w:color="auto" w:fill="D7E4BC"/>
            <w:noWrap/>
            <w:vAlign w:val="bottom"/>
            <w:hideMark/>
          </w:tcPr>
          <w:p w:rsidR="00324BB3" w:rsidRDefault="00324BB3">
            <w:pPr>
              <w:spacing w:after="0" w:line="240" w:lineRule="auto"/>
              <w:jc w:val="right"/>
              <w:rPr>
                <w:rFonts w:eastAsia="Times New Roman" w:cs="Arial"/>
                <w:b/>
                <w:bCs/>
                <w:sz w:val="18"/>
                <w:szCs w:val="18"/>
                <w:lang w:eastAsia="es-MX"/>
              </w:rPr>
            </w:pPr>
            <w:r>
              <w:rPr>
                <w:rFonts w:eastAsia="Times New Roman" w:cs="Arial"/>
                <w:b/>
                <w:bCs/>
                <w:sz w:val="18"/>
                <w:szCs w:val="18"/>
                <w:lang w:eastAsia="es-MX"/>
              </w:rPr>
              <w:t>8,137,144.92</w:t>
            </w:r>
          </w:p>
        </w:tc>
      </w:tr>
    </w:tbl>
    <w:p w:rsidR="00B6657A" w:rsidRDefault="00B6657A" w:rsidP="00324BB3">
      <w:pPr>
        <w:spacing w:line="240" w:lineRule="auto"/>
        <w:rPr>
          <w:rFonts w:cs="Arial"/>
          <w:b/>
          <w:sz w:val="20"/>
          <w:szCs w:val="20"/>
        </w:rPr>
      </w:pPr>
    </w:p>
    <w:p w:rsidR="00324BB3" w:rsidRDefault="00324BB3" w:rsidP="00324BB3">
      <w:pPr>
        <w:spacing w:line="240" w:lineRule="auto"/>
        <w:rPr>
          <w:rFonts w:ascii="Calibri" w:hAnsi="Calibri" w:cs="Arial"/>
          <w:b/>
          <w:sz w:val="20"/>
          <w:szCs w:val="20"/>
        </w:rPr>
      </w:pPr>
      <w:r>
        <w:rPr>
          <w:rFonts w:cs="Arial"/>
          <w:b/>
          <w:sz w:val="20"/>
          <w:szCs w:val="20"/>
        </w:rPr>
        <w:t>NOTAS DE MEMORIA</w:t>
      </w:r>
    </w:p>
    <w:p w:rsidR="00324BB3" w:rsidRDefault="00324BB3" w:rsidP="00324BB3">
      <w:pPr>
        <w:pStyle w:val="Encabezado"/>
        <w:numPr>
          <w:ilvl w:val="0"/>
          <w:numId w:val="33"/>
        </w:numPr>
        <w:tabs>
          <w:tab w:val="left" w:pos="1080"/>
        </w:tabs>
        <w:jc w:val="both"/>
        <w:rPr>
          <w:rFonts w:ascii="Calibri" w:hAnsi="Calibri" w:cs="Arial"/>
          <w:b/>
          <w:sz w:val="20"/>
          <w:szCs w:val="20"/>
        </w:rPr>
      </w:pPr>
      <w:r>
        <w:rPr>
          <w:rFonts w:ascii="Calibri" w:hAnsi="Calibri" w:cs="Arial"/>
          <w:b/>
          <w:sz w:val="20"/>
          <w:szCs w:val="20"/>
        </w:rPr>
        <w:t>Cuentas de Orden.</w:t>
      </w:r>
    </w:p>
    <w:p w:rsidR="00324BB3" w:rsidRDefault="00324BB3" w:rsidP="00324BB3">
      <w:pPr>
        <w:jc w:val="both"/>
        <w:rPr>
          <w:rFonts w:ascii="Calibri" w:hAnsi="Calibri" w:cs="Arial"/>
          <w:sz w:val="20"/>
          <w:szCs w:val="20"/>
        </w:rPr>
      </w:pPr>
      <w:r>
        <w:rPr>
          <w:rFonts w:cs="Arial"/>
          <w:sz w:val="20"/>
          <w:szCs w:val="20"/>
        </w:rPr>
        <w:t>Las cuentas de Orden se encuentran integradas por:</w:t>
      </w:r>
    </w:p>
    <w:p w:rsidR="00324BB3" w:rsidRDefault="00324BB3" w:rsidP="00324BB3">
      <w:pPr>
        <w:jc w:val="both"/>
        <w:rPr>
          <w:rFonts w:cs="Arial"/>
          <w:sz w:val="20"/>
          <w:szCs w:val="20"/>
        </w:rPr>
      </w:pPr>
      <w:r>
        <w:rPr>
          <w:rFonts w:cs="Arial"/>
          <w:sz w:val="20"/>
          <w:szCs w:val="20"/>
        </w:rPr>
        <w:t>Cuentas de Orden Contables formadas por las siguientes cuentas:</w:t>
      </w:r>
    </w:p>
    <w:p w:rsidR="00324BB3" w:rsidRDefault="00324BB3" w:rsidP="00324BB3">
      <w:pPr>
        <w:jc w:val="both"/>
        <w:rPr>
          <w:rFonts w:cs="Arial"/>
          <w:sz w:val="20"/>
          <w:szCs w:val="20"/>
        </w:rPr>
      </w:pPr>
      <w:r>
        <w:rPr>
          <w:rFonts w:cs="Arial"/>
          <w:i/>
          <w:sz w:val="20"/>
          <w:szCs w:val="20"/>
        </w:rPr>
        <w:t>Cuotas Estudiantiles</w:t>
      </w:r>
      <w:r>
        <w:rPr>
          <w:rFonts w:cs="Arial"/>
          <w:sz w:val="20"/>
          <w:szCs w:val="20"/>
        </w:rPr>
        <w:t>: El importe correspondiente a la deuda de los alumnos está formado por los siguientes conceptos:</w:t>
      </w:r>
    </w:p>
    <w:tbl>
      <w:tblPr>
        <w:tblW w:w="0" w:type="auto"/>
        <w:jc w:val="center"/>
        <w:tblInd w:w="55" w:type="dxa"/>
        <w:tblCellMar>
          <w:left w:w="70" w:type="dxa"/>
          <w:right w:w="70" w:type="dxa"/>
        </w:tblCellMar>
        <w:tblLook w:val="04A0" w:firstRow="1" w:lastRow="0" w:firstColumn="1" w:lastColumn="0" w:noHBand="0" w:noVBand="1"/>
      </w:tblPr>
      <w:tblGrid>
        <w:gridCol w:w="2276"/>
        <w:gridCol w:w="1194"/>
      </w:tblGrid>
      <w:tr w:rsidR="00324BB3" w:rsidTr="00324BB3">
        <w:trPr>
          <w:trHeight w:val="285"/>
          <w:jc w:val="center"/>
        </w:trPr>
        <w:tc>
          <w:tcPr>
            <w:tcW w:w="0" w:type="auto"/>
            <w:tcBorders>
              <w:top w:val="single" w:sz="12" w:space="0" w:color="76923C"/>
              <w:left w:val="nil"/>
              <w:bottom w:val="single" w:sz="12" w:space="0" w:color="76923C"/>
              <w:right w:val="nil"/>
            </w:tcBorders>
            <w:noWrap/>
            <w:hideMark/>
          </w:tcPr>
          <w:p w:rsidR="00324BB3" w:rsidRDefault="00324BB3">
            <w:pPr>
              <w:spacing w:after="0" w:line="240" w:lineRule="auto"/>
              <w:rPr>
                <w:rFonts w:eastAsia="Times New Roman" w:cs="Arial"/>
                <w:b/>
                <w:bCs/>
                <w:sz w:val="18"/>
                <w:szCs w:val="18"/>
                <w:lang w:eastAsia="es-MX"/>
              </w:rPr>
            </w:pPr>
            <w:r>
              <w:rPr>
                <w:rFonts w:eastAsia="Times New Roman" w:cs="Arial"/>
                <w:b/>
                <w:bCs/>
                <w:sz w:val="18"/>
                <w:szCs w:val="18"/>
                <w:lang w:eastAsia="es-MX"/>
              </w:rPr>
              <w:t>CONCEPTO</w:t>
            </w:r>
          </w:p>
        </w:tc>
        <w:tc>
          <w:tcPr>
            <w:tcW w:w="0" w:type="auto"/>
            <w:tcBorders>
              <w:top w:val="single" w:sz="12" w:space="0" w:color="76923C"/>
              <w:left w:val="nil"/>
              <w:bottom w:val="single" w:sz="12" w:space="0" w:color="76923C"/>
              <w:right w:val="nil"/>
            </w:tcBorders>
            <w:noWrap/>
            <w:hideMark/>
          </w:tcPr>
          <w:p w:rsidR="00324BB3" w:rsidRDefault="00324BB3">
            <w:pPr>
              <w:spacing w:after="0" w:line="240" w:lineRule="auto"/>
              <w:jc w:val="center"/>
              <w:rPr>
                <w:rFonts w:eastAsia="Times New Roman" w:cs="Arial"/>
                <w:b/>
                <w:bCs/>
                <w:sz w:val="18"/>
                <w:szCs w:val="18"/>
                <w:lang w:eastAsia="es-MX"/>
              </w:rPr>
            </w:pPr>
            <w:r>
              <w:rPr>
                <w:rFonts w:eastAsia="Times New Roman" w:cs="Arial"/>
                <w:b/>
                <w:bCs/>
                <w:sz w:val="18"/>
                <w:szCs w:val="18"/>
                <w:lang w:eastAsia="es-MX"/>
              </w:rPr>
              <w:t>IMPORTE</w:t>
            </w:r>
          </w:p>
        </w:tc>
      </w:tr>
      <w:tr w:rsidR="00324BB3" w:rsidTr="00324BB3">
        <w:trPr>
          <w:trHeight w:val="270"/>
          <w:jc w:val="center"/>
        </w:trPr>
        <w:tc>
          <w:tcPr>
            <w:tcW w:w="0" w:type="auto"/>
            <w:noWrap/>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Colegiaturas</w:t>
            </w:r>
          </w:p>
        </w:tc>
        <w:tc>
          <w:tcPr>
            <w:tcW w:w="0" w:type="auto"/>
            <w:noWrap/>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8,689,472.66</w:t>
            </w:r>
          </w:p>
        </w:tc>
      </w:tr>
      <w:tr w:rsidR="00324BB3" w:rsidTr="00324BB3">
        <w:trPr>
          <w:trHeight w:val="255"/>
          <w:jc w:val="center"/>
        </w:trPr>
        <w:tc>
          <w:tcPr>
            <w:tcW w:w="0" w:type="auto"/>
            <w:noWrap/>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Inscripciones</w:t>
            </w:r>
          </w:p>
        </w:tc>
        <w:tc>
          <w:tcPr>
            <w:tcW w:w="0" w:type="auto"/>
            <w:noWrap/>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580,949.00</w:t>
            </w:r>
          </w:p>
        </w:tc>
      </w:tr>
      <w:tr w:rsidR="00324BB3" w:rsidTr="00324BB3">
        <w:trPr>
          <w:trHeight w:val="255"/>
          <w:jc w:val="center"/>
        </w:trPr>
        <w:tc>
          <w:tcPr>
            <w:tcW w:w="0" w:type="auto"/>
            <w:noWrap/>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Laboratorio De Inglés</w:t>
            </w:r>
          </w:p>
        </w:tc>
        <w:tc>
          <w:tcPr>
            <w:tcW w:w="0" w:type="auto"/>
            <w:noWrap/>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184,455.50</w:t>
            </w:r>
          </w:p>
        </w:tc>
      </w:tr>
      <w:tr w:rsidR="00324BB3" w:rsidTr="00324BB3">
        <w:trPr>
          <w:trHeight w:val="270"/>
          <w:jc w:val="center"/>
        </w:trPr>
        <w:tc>
          <w:tcPr>
            <w:tcW w:w="0" w:type="auto"/>
            <w:tcBorders>
              <w:top w:val="nil"/>
              <w:left w:val="nil"/>
              <w:bottom w:val="single" w:sz="12" w:space="0" w:color="76923C"/>
              <w:right w:val="nil"/>
            </w:tcBorders>
            <w:noWrap/>
            <w:hideMark/>
          </w:tcPr>
          <w:p w:rsidR="00324BB3" w:rsidRDefault="00324BB3">
            <w:pPr>
              <w:spacing w:after="0" w:line="240" w:lineRule="auto"/>
              <w:rPr>
                <w:rFonts w:eastAsia="Times New Roman" w:cs="Arial"/>
                <w:sz w:val="18"/>
                <w:szCs w:val="18"/>
                <w:lang w:eastAsia="es-MX"/>
              </w:rPr>
            </w:pPr>
            <w:r>
              <w:rPr>
                <w:rFonts w:eastAsia="Times New Roman" w:cs="Arial"/>
                <w:sz w:val="18"/>
                <w:szCs w:val="18"/>
                <w:lang w:eastAsia="es-MX"/>
              </w:rPr>
              <w:t>Adeudos Periodos Anteriores</w:t>
            </w:r>
          </w:p>
        </w:tc>
        <w:tc>
          <w:tcPr>
            <w:tcW w:w="0" w:type="auto"/>
            <w:noWrap/>
            <w:hideMark/>
          </w:tcPr>
          <w:p w:rsidR="00324BB3" w:rsidRDefault="00324BB3">
            <w:pPr>
              <w:spacing w:after="0" w:line="240" w:lineRule="auto"/>
              <w:jc w:val="right"/>
              <w:rPr>
                <w:rFonts w:eastAsia="Times New Roman" w:cs="Arial"/>
                <w:sz w:val="18"/>
                <w:szCs w:val="18"/>
                <w:lang w:eastAsia="es-MX"/>
              </w:rPr>
            </w:pPr>
            <w:r>
              <w:rPr>
                <w:rFonts w:eastAsia="Times New Roman" w:cs="Arial"/>
                <w:sz w:val="18"/>
                <w:szCs w:val="18"/>
                <w:lang w:eastAsia="es-MX"/>
              </w:rPr>
              <w:t>1,814,590.08</w:t>
            </w:r>
          </w:p>
        </w:tc>
      </w:tr>
      <w:tr w:rsidR="00324BB3" w:rsidTr="00324BB3">
        <w:trPr>
          <w:trHeight w:val="285"/>
          <w:jc w:val="center"/>
        </w:trPr>
        <w:tc>
          <w:tcPr>
            <w:tcW w:w="0" w:type="auto"/>
            <w:tcBorders>
              <w:top w:val="nil"/>
              <w:left w:val="nil"/>
              <w:bottom w:val="single" w:sz="12" w:space="0" w:color="76923C"/>
              <w:right w:val="nil"/>
            </w:tcBorders>
            <w:noWrap/>
            <w:hideMark/>
          </w:tcPr>
          <w:p w:rsidR="00324BB3" w:rsidRDefault="00324BB3">
            <w:pPr>
              <w:spacing w:after="0" w:line="240" w:lineRule="auto"/>
              <w:rPr>
                <w:rFonts w:eastAsia="Times New Roman" w:cs="Arial"/>
                <w:b/>
                <w:bCs/>
                <w:sz w:val="18"/>
                <w:szCs w:val="18"/>
                <w:lang w:eastAsia="es-MX"/>
              </w:rPr>
            </w:pPr>
            <w:r>
              <w:rPr>
                <w:rFonts w:eastAsia="Times New Roman" w:cs="Arial"/>
                <w:b/>
                <w:bCs/>
                <w:sz w:val="18"/>
                <w:szCs w:val="18"/>
                <w:lang w:eastAsia="es-MX"/>
              </w:rPr>
              <w:t>TOTAL</w:t>
            </w:r>
          </w:p>
        </w:tc>
        <w:tc>
          <w:tcPr>
            <w:tcW w:w="0" w:type="auto"/>
            <w:tcBorders>
              <w:top w:val="single" w:sz="12" w:space="0" w:color="76923C"/>
              <w:left w:val="nil"/>
              <w:bottom w:val="single" w:sz="12" w:space="0" w:color="76923C"/>
              <w:right w:val="nil"/>
            </w:tcBorders>
            <w:noWrap/>
            <w:hideMark/>
          </w:tcPr>
          <w:p w:rsidR="00324BB3" w:rsidRDefault="00324BB3">
            <w:pPr>
              <w:spacing w:after="0" w:line="240" w:lineRule="auto"/>
              <w:jc w:val="right"/>
              <w:rPr>
                <w:rFonts w:eastAsia="Times New Roman" w:cs="Arial"/>
                <w:b/>
                <w:bCs/>
                <w:sz w:val="18"/>
                <w:szCs w:val="18"/>
                <w:lang w:eastAsia="es-MX"/>
              </w:rPr>
            </w:pPr>
            <w:r>
              <w:rPr>
                <w:rFonts w:eastAsia="Times New Roman" w:cs="Arial"/>
                <w:b/>
                <w:bCs/>
                <w:sz w:val="18"/>
                <w:szCs w:val="18"/>
                <w:lang w:eastAsia="es-MX"/>
              </w:rPr>
              <w:t>11,269,467.24</w:t>
            </w:r>
          </w:p>
        </w:tc>
      </w:tr>
    </w:tbl>
    <w:p w:rsidR="00324BB3" w:rsidRDefault="00324BB3" w:rsidP="00324BB3">
      <w:pPr>
        <w:jc w:val="both"/>
        <w:rPr>
          <w:rFonts w:ascii="Calibri" w:hAnsi="Calibri" w:cs="Arial"/>
          <w:i/>
          <w:sz w:val="20"/>
          <w:szCs w:val="20"/>
        </w:rPr>
      </w:pPr>
    </w:p>
    <w:p w:rsidR="00324BB3" w:rsidRDefault="00324BB3" w:rsidP="00324BB3">
      <w:pPr>
        <w:jc w:val="both"/>
        <w:rPr>
          <w:rFonts w:cs="Arial"/>
          <w:sz w:val="20"/>
          <w:szCs w:val="20"/>
        </w:rPr>
      </w:pPr>
      <w:r>
        <w:rPr>
          <w:rFonts w:cs="Arial"/>
          <w:i/>
          <w:sz w:val="20"/>
          <w:szCs w:val="20"/>
        </w:rPr>
        <w:lastRenderedPageBreak/>
        <w:t>Adeudo Estatal:</w:t>
      </w:r>
      <w:r>
        <w:rPr>
          <w:rFonts w:cs="Arial"/>
          <w:sz w:val="20"/>
          <w:szCs w:val="20"/>
        </w:rPr>
        <w:t xml:space="preserve"> Se registró en cuentas de orden el adeudo del Gobierno del Estado correspondiente a los incumplimientos a los Convenios de Coordinación cláusula quinta, está integrado de la siguiente manera:</w:t>
      </w:r>
    </w:p>
    <w:tbl>
      <w:tblPr>
        <w:tblW w:w="0" w:type="auto"/>
        <w:jc w:val="center"/>
        <w:tblInd w:w="57" w:type="dxa"/>
        <w:tblCellMar>
          <w:left w:w="70" w:type="dxa"/>
          <w:right w:w="70" w:type="dxa"/>
        </w:tblCellMar>
        <w:tblLook w:val="04A0" w:firstRow="1" w:lastRow="0" w:firstColumn="1" w:lastColumn="0" w:noHBand="0" w:noVBand="1"/>
      </w:tblPr>
      <w:tblGrid>
        <w:gridCol w:w="626"/>
        <w:gridCol w:w="1326"/>
        <w:gridCol w:w="1488"/>
        <w:gridCol w:w="1491"/>
      </w:tblGrid>
      <w:tr w:rsidR="00324BB3" w:rsidTr="00324BB3">
        <w:trPr>
          <w:trHeight w:val="270"/>
          <w:jc w:val="center"/>
        </w:trPr>
        <w:tc>
          <w:tcPr>
            <w:tcW w:w="0" w:type="auto"/>
            <w:vMerge w:val="restart"/>
            <w:tcBorders>
              <w:top w:val="single" w:sz="12" w:space="0" w:color="76923C"/>
              <w:left w:val="nil"/>
              <w:bottom w:val="single" w:sz="12" w:space="0" w:color="76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AÑO</w:t>
            </w:r>
          </w:p>
        </w:tc>
        <w:tc>
          <w:tcPr>
            <w:tcW w:w="0" w:type="auto"/>
            <w:tcBorders>
              <w:top w:val="single" w:sz="12" w:space="0" w:color="76923C"/>
              <w:left w:val="nil"/>
              <w:bottom w:val="nil"/>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 xml:space="preserve">GOBIERNO </w:t>
            </w:r>
          </w:p>
        </w:tc>
        <w:tc>
          <w:tcPr>
            <w:tcW w:w="0" w:type="auto"/>
            <w:tcBorders>
              <w:top w:val="single" w:sz="12" w:space="0" w:color="76923C"/>
              <w:left w:val="nil"/>
              <w:bottom w:val="nil"/>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 xml:space="preserve">GOBIERNO </w:t>
            </w:r>
          </w:p>
        </w:tc>
        <w:tc>
          <w:tcPr>
            <w:tcW w:w="0" w:type="auto"/>
            <w:vMerge w:val="restart"/>
            <w:tcBorders>
              <w:top w:val="single" w:sz="12" w:space="0" w:color="76923C"/>
              <w:left w:val="nil"/>
              <w:bottom w:val="single" w:sz="12" w:space="0" w:color="76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DIFERENCIA</w:t>
            </w:r>
          </w:p>
        </w:tc>
      </w:tr>
      <w:tr w:rsidR="00324BB3" w:rsidTr="00324BB3">
        <w:trPr>
          <w:trHeight w:val="270"/>
          <w:jc w:val="center"/>
        </w:trPr>
        <w:tc>
          <w:tcPr>
            <w:tcW w:w="0" w:type="auto"/>
            <w:vMerge/>
            <w:tcBorders>
              <w:top w:val="single" w:sz="12" w:space="0" w:color="76923C"/>
              <w:left w:val="nil"/>
              <w:bottom w:val="single" w:sz="12" w:space="0" w:color="76923C"/>
              <w:right w:val="nil"/>
            </w:tcBorders>
            <w:vAlign w:val="center"/>
            <w:hideMark/>
          </w:tcPr>
          <w:p w:rsidR="00324BB3" w:rsidRDefault="00324BB3">
            <w:pPr>
              <w:spacing w:after="0" w:line="240" w:lineRule="auto"/>
              <w:rPr>
                <w:rFonts w:eastAsia="Times New Roman" w:cs="Arial"/>
                <w:b/>
                <w:bCs/>
                <w:color w:val="000000"/>
                <w:sz w:val="18"/>
                <w:szCs w:val="18"/>
                <w:lang w:eastAsia="es-MX"/>
              </w:rPr>
            </w:pPr>
          </w:p>
        </w:tc>
        <w:tc>
          <w:tcPr>
            <w:tcW w:w="0" w:type="auto"/>
            <w:tcBorders>
              <w:top w:val="nil"/>
              <w:left w:val="nil"/>
              <w:bottom w:val="single" w:sz="12" w:space="0" w:color="76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FEDERAL</w:t>
            </w:r>
          </w:p>
        </w:tc>
        <w:tc>
          <w:tcPr>
            <w:tcW w:w="0" w:type="auto"/>
            <w:tcBorders>
              <w:top w:val="nil"/>
              <w:left w:val="nil"/>
              <w:bottom w:val="single" w:sz="12" w:space="0" w:color="76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ESTATAL</w:t>
            </w:r>
          </w:p>
        </w:tc>
        <w:tc>
          <w:tcPr>
            <w:tcW w:w="0" w:type="auto"/>
            <w:vMerge/>
            <w:tcBorders>
              <w:top w:val="single" w:sz="12" w:space="0" w:color="76923C"/>
              <w:left w:val="nil"/>
              <w:bottom w:val="single" w:sz="12" w:space="0" w:color="76923C"/>
              <w:right w:val="nil"/>
            </w:tcBorders>
            <w:vAlign w:val="center"/>
            <w:hideMark/>
          </w:tcPr>
          <w:p w:rsidR="00324BB3" w:rsidRDefault="00324BB3">
            <w:pPr>
              <w:spacing w:after="0" w:line="240" w:lineRule="auto"/>
              <w:rPr>
                <w:rFonts w:eastAsia="Times New Roman" w:cs="Arial"/>
                <w:b/>
                <w:bCs/>
                <w:color w:val="000000"/>
                <w:sz w:val="18"/>
                <w:szCs w:val="18"/>
                <w:lang w:eastAsia="es-MX"/>
              </w:rPr>
            </w:pPr>
          </w:p>
        </w:tc>
      </w:tr>
      <w:tr w:rsidR="00324BB3" w:rsidTr="00324BB3">
        <w:trPr>
          <w:trHeight w:val="270"/>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2002</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13,254,014.00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12,336,863.00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917,151.00 </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2003</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12,886,659.00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5,537,800.00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7,348,859.00 </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2004</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13,578,835.00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10,987,001.00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2,591,834.00 </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2005</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18,480,723.00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24,274,407.00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(5,793,684.00)</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2006</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24,425,056.00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19,249,727.00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5,175,329.00 </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2007</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25,462,710.00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26,134,673.00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(671,963.00)</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2011</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35,723,705.00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31,404,344.00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4,319,361.00 </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2012</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36,353,552.00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36,605,784.00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(252,232.00)</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2013</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41,181,889.00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39,773,604.00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1,408,285.00 </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2014</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47,386,806.00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38,880,522.00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8,506,284.00 </w:t>
            </w:r>
          </w:p>
        </w:tc>
      </w:tr>
      <w:tr w:rsidR="00324BB3" w:rsidTr="00324BB3">
        <w:trPr>
          <w:trHeight w:val="255"/>
          <w:jc w:val="center"/>
        </w:trPr>
        <w:tc>
          <w:tcPr>
            <w:tcW w:w="0" w:type="auto"/>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2015</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47,386,806.00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42,686,663.00 </w:t>
            </w:r>
          </w:p>
        </w:tc>
        <w:tc>
          <w:tcPr>
            <w:tcW w:w="0" w:type="auto"/>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4,700,143.00 </w:t>
            </w:r>
          </w:p>
        </w:tc>
      </w:tr>
      <w:tr w:rsidR="00324BB3" w:rsidTr="00324BB3">
        <w:trPr>
          <w:trHeight w:val="270"/>
          <w:jc w:val="center"/>
        </w:trPr>
        <w:tc>
          <w:tcPr>
            <w:tcW w:w="0" w:type="auto"/>
            <w:tcBorders>
              <w:top w:val="nil"/>
              <w:left w:val="nil"/>
              <w:bottom w:val="single" w:sz="12" w:space="0" w:color="75923C"/>
              <w:right w:val="nil"/>
            </w:tcBorders>
            <w:shd w:val="clear" w:color="auto" w:fill="FFFFFF"/>
            <w:hideMark/>
          </w:tcPr>
          <w:p w:rsidR="00324BB3" w:rsidRDefault="00324BB3">
            <w:pPr>
              <w:spacing w:after="0" w:line="240" w:lineRule="auto"/>
              <w:jc w:val="both"/>
              <w:rPr>
                <w:rFonts w:eastAsia="Times New Roman" w:cs="Arial"/>
                <w:color w:val="000000"/>
                <w:sz w:val="18"/>
                <w:szCs w:val="18"/>
                <w:lang w:eastAsia="es-MX"/>
              </w:rPr>
            </w:pPr>
            <w:r>
              <w:rPr>
                <w:rFonts w:eastAsia="Times New Roman" w:cs="Arial"/>
                <w:color w:val="000000"/>
                <w:sz w:val="18"/>
                <w:szCs w:val="18"/>
                <w:lang w:eastAsia="es-MX"/>
              </w:rPr>
              <w:t>2016</w:t>
            </w:r>
          </w:p>
        </w:tc>
        <w:tc>
          <w:tcPr>
            <w:tcW w:w="0" w:type="auto"/>
            <w:tcBorders>
              <w:top w:val="nil"/>
              <w:left w:val="nil"/>
              <w:bottom w:val="single" w:sz="12" w:space="0" w:color="75923C"/>
              <w:right w:val="nil"/>
            </w:tcBorders>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48,616,045.00 </w:t>
            </w:r>
          </w:p>
        </w:tc>
        <w:tc>
          <w:tcPr>
            <w:tcW w:w="0" w:type="auto"/>
            <w:tcBorders>
              <w:top w:val="nil"/>
              <w:left w:val="nil"/>
              <w:bottom w:val="single" w:sz="12" w:space="0" w:color="75923C"/>
              <w:right w:val="nil"/>
            </w:tcBorders>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16,541,265.79 </w:t>
            </w:r>
          </w:p>
        </w:tc>
        <w:tc>
          <w:tcPr>
            <w:tcW w:w="0" w:type="auto"/>
            <w:tcBorders>
              <w:top w:val="nil"/>
              <w:left w:val="nil"/>
              <w:bottom w:val="single" w:sz="12" w:space="0" w:color="75923C"/>
              <w:right w:val="nil"/>
            </w:tcBorders>
            <w:shd w:val="clear" w:color="auto" w:fill="FFFFFF"/>
            <w:noWrap/>
            <w:hideMark/>
          </w:tcPr>
          <w:p w:rsidR="00324BB3" w:rsidRDefault="00324BB3">
            <w:pPr>
              <w:spacing w:after="0" w:line="240" w:lineRule="auto"/>
              <w:jc w:val="right"/>
              <w:rPr>
                <w:rFonts w:eastAsia="Times New Roman" w:cs="Arial"/>
                <w:color w:val="000000"/>
                <w:sz w:val="18"/>
                <w:szCs w:val="18"/>
                <w:lang w:eastAsia="es-MX"/>
              </w:rPr>
            </w:pPr>
            <w:r>
              <w:rPr>
                <w:rFonts w:eastAsia="Times New Roman" w:cs="Arial"/>
                <w:color w:val="000000"/>
                <w:sz w:val="18"/>
                <w:szCs w:val="18"/>
                <w:lang w:eastAsia="es-MX"/>
              </w:rPr>
              <w:t xml:space="preserve">       32,074,779.21 </w:t>
            </w:r>
          </w:p>
        </w:tc>
      </w:tr>
      <w:tr w:rsidR="00324BB3" w:rsidTr="00324BB3">
        <w:trPr>
          <w:trHeight w:val="285"/>
          <w:jc w:val="center"/>
        </w:trPr>
        <w:tc>
          <w:tcPr>
            <w:tcW w:w="0" w:type="auto"/>
            <w:tcBorders>
              <w:top w:val="nil"/>
              <w:left w:val="nil"/>
              <w:bottom w:val="single" w:sz="12" w:space="0" w:color="75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TOTAL</w:t>
            </w:r>
          </w:p>
        </w:tc>
        <w:tc>
          <w:tcPr>
            <w:tcW w:w="0" w:type="auto"/>
            <w:tcBorders>
              <w:top w:val="nil"/>
              <w:left w:val="nil"/>
              <w:bottom w:val="single" w:sz="12" w:space="0" w:color="75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 xml:space="preserve"> 316,120,755.00 </w:t>
            </w:r>
          </w:p>
        </w:tc>
        <w:tc>
          <w:tcPr>
            <w:tcW w:w="0" w:type="auto"/>
            <w:tcBorders>
              <w:top w:val="nil"/>
              <w:left w:val="nil"/>
              <w:bottom w:val="single" w:sz="12" w:space="0" w:color="75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 xml:space="preserve">     261,365,748.00 </w:t>
            </w:r>
          </w:p>
        </w:tc>
        <w:tc>
          <w:tcPr>
            <w:tcW w:w="0" w:type="auto"/>
            <w:tcBorders>
              <w:top w:val="nil"/>
              <w:left w:val="nil"/>
              <w:bottom w:val="single" w:sz="12" w:space="0" w:color="75923C"/>
              <w:right w:val="nil"/>
            </w:tcBorders>
            <w:shd w:val="clear" w:color="auto" w:fill="FFFFFF"/>
            <w:hideMark/>
          </w:tcPr>
          <w:p w:rsidR="00324BB3" w:rsidRDefault="00324BB3">
            <w:pPr>
              <w:spacing w:after="0" w:line="240" w:lineRule="auto"/>
              <w:jc w:val="center"/>
              <w:rPr>
                <w:rFonts w:eastAsia="Times New Roman" w:cs="Arial"/>
                <w:b/>
                <w:bCs/>
                <w:color w:val="000000"/>
                <w:sz w:val="18"/>
                <w:szCs w:val="18"/>
                <w:lang w:eastAsia="es-MX"/>
              </w:rPr>
            </w:pPr>
            <w:r>
              <w:rPr>
                <w:rFonts w:eastAsia="Times New Roman" w:cs="Arial"/>
                <w:b/>
                <w:bCs/>
                <w:color w:val="000000"/>
                <w:sz w:val="18"/>
                <w:szCs w:val="18"/>
                <w:lang w:eastAsia="es-MX"/>
              </w:rPr>
              <w:t xml:space="preserve">       60,324,146.21 </w:t>
            </w:r>
          </w:p>
        </w:tc>
      </w:tr>
    </w:tbl>
    <w:p w:rsidR="00324BB3" w:rsidRDefault="00324BB3" w:rsidP="00324BB3">
      <w:pPr>
        <w:jc w:val="both"/>
        <w:rPr>
          <w:rFonts w:cs="Arial"/>
          <w:sz w:val="20"/>
          <w:szCs w:val="20"/>
        </w:rPr>
      </w:pPr>
    </w:p>
    <w:p w:rsidR="00324BB3" w:rsidRDefault="00324BB3" w:rsidP="00324BB3">
      <w:pPr>
        <w:autoSpaceDE w:val="0"/>
        <w:autoSpaceDN w:val="0"/>
        <w:adjustRightInd w:val="0"/>
        <w:jc w:val="both"/>
        <w:rPr>
          <w:rFonts w:cs="Arial"/>
          <w:sz w:val="20"/>
          <w:szCs w:val="20"/>
          <w:lang w:eastAsia="es-MX"/>
        </w:rPr>
      </w:pPr>
      <w:r>
        <w:rPr>
          <w:rFonts w:cs="Arial"/>
          <w:sz w:val="20"/>
          <w:szCs w:val="20"/>
          <w:lang w:eastAsia="es-MX"/>
        </w:rPr>
        <w:t xml:space="preserve">Se registró en Cuentas de Orden Contable la Factura 7-A a del 23 de Mayo de 2012 de la Secretaria de Hacienda por un importe de $10, 000,000.00 correspondiente al Subsidio para el proyecto " Innovación Comercial en el Sector Mielero de Yucatán" orientado al mercado Internacional,  mismo que a la fecha no se ha recibido. </w:t>
      </w:r>
    </w:p>
    <w:p w:rsidR="00324BB3" w:rsidRDefault="00324BB3" w:rsidP="00324BB3">
      <w:pPr>
        <w:autoSpaceDE w:val="0"/>
        <w:autoSpaceDN w:val="0"/>
        <w:adjustRightInd w:val="0"/>
        <w:jc w:val="both"/>
        <w:rPr>
          <w:rFonts w:cs="Arial"/>
          <w:sz w:val="20"/>
          <w:szCs w:val="20"/>
        </w:rPr>
      </w:pPr>
      <w:r>
        <w:rPr>
          <w:rFonts w:cs="Arial"/>
          <w:sz w:val="20"/>
          <w:szCs w:val="20"/>
        </w:rPr>
        <w:t xml:space="preserve">En el mes de marzo de 2013 se realizó la cancelación del saldo de la cuenta 1-1-2-3-0181 Gobierno del Estado, que representa el Subsidio Estatal pendiente de recibir por un importe de $252,232.50 correspondiente a los meses de Junio y Septiembre 2012, dicho monto se registro en cuentas de orden contables. </w:t>
      </w:r>
    </w:p>
    <w:p w:rsidR="00324BB3" w:rsidRDefault="00324BB3" w:rsidP="00324BB3">
      <w:pPr>
        <w:autoSpaceDE w:val="0"/>
        <w:autoSpaceDN w:val="0"/>
        <w:adjustRightInd w:val="0"/>
        <w:jc w:val="both"/>
        <w:rPr>
          <w:rFonts w:cs="Arial"/>
          <w:sz w:val="20"/>
          <w:szCs w:val="20"/>
        </w:rPr>
      </w:pPr>
      <w:r>
        <w:rPr>
          <w:rFonts w:cs="Arial"/>
          <w:sz w:val="20"/>
          <w:szCs w:val="20"/>
        </w:rPr>
        <w:t xml:space="preserve">En el mes de abril de 2013 se canceló el saldo de la  cuenta 1-1-2-3-0098 CDA Península SA de CV por un importe de $5,000.00 con número de Factura 106877 de fecha 28 de Noviembre de 2011 por Concepto de Patrocinio del Simposium Internacional, dicho importe se registro en cuentas de orden contables. </w:t>
      </w:r>
    </w:p>
    <w:p w:rsidR="00324BB3" w:rsidRDefault="00324BB3" w:rsidP="00324BB3">
      <w:pPr>
        <w:jc w:val="both"/>
        <w:rPr>
          <w:rFonts w:cs="Arial"/>
          <w:sz w:val="20"/>
          <w:szCs w:val="20"/>
        </w:rPr>
      </w:pPr>
      <w:r>
        <w:rPr>
          <w:rFonts w:cs="Arial"/>
          <w:sz w:val="20"/>
          <w:szCs w:val="20"/>
        </w:rPr>
        <w:lastRenderedPageBreak/>
        <w:t>El  Gobierno del Estado otorgó parte del adeudo del Convenio 2009 durante el 2010  depositando la cantidad de $7, 270,000.</w:t>
      </w:r>
    </w:p>
    <w:p w:rsidR="00324BB3" w:rsidRDefault="00324BB3" w:rsidP="00324BB3">
      <w:pPr>
        <w:pStyle w:val="Encabezado"/>
        <w:tabs>
          <w:tab w:val="left" w:pos="1080"/>
        </w:tabs>
        <w:jc w:val="both"/>
        <w:rPr>
          <w:rFonts w:ascii="Calibri" w:hAnsi="Calibri" w:cs="Arial"/>
          <w:b/>
          <w:sz w:val="20"/>
          <w:szCs w:val="20"/>
        </w:rPr>
      </w:pPr>
      <w:r>
        <w:rPr>
          <w:rFonts w:ascii="Calibri" w:hAnsi="Calibri" w:cs="Arial"/>
          <w:b/>
          <w:sz w:val="20"/>
          <w:szCs w:val="20"/>
        </w:rPr>
        <w:t>Cuentas de Orden Presupuestales</w:t>
      </w:r>
    </w:p>
    <w:p w:rsidR="00324BB3" w:rsidRDefault="00324BB3" w:rsidP="00324BB3">
      <w:pPr>
        <w:jc w:val="both"/>
        <w:rPr>
          <w:rFonts w:ascii="Calibri" w:hAnsi="Calibri" w:cs="Arial"/>
          <w:sz w:val="20"/>
          <w:szCs w:val="20"/>
        </w:rPr>
      </w:pPr>
      <w:r>
        <w:rPr>
          <w:rFonts w:cs="Arial"/>
          <w:sz w:val="20"/>
          <w:szCs w:val="20"/>
        </w:rPr>
        <w:t>De acuerdo a los lineamientos emitidos por la CONAC, en los documentos “Normas y Metodología para la Determinación de los Momentos Contables de los Egresos y Normas y Metodología para la Determinación de los Momentos Contables de los Ingresos”, se efectúa en las cuentas contables, el registro de las etapas del presupuesto integradas por:</w:t>
      </w:r>
    </w:p>
    <w:p w:rsidR="00324BB3" w:rsidRDefault="00324BB3" w:rsidP="00324BB3">
      <w:pPr>
        <w:jc w:val="both"/>
        <w:rPr>
          <w:rFonts w:cs="Arial"/>
          <w:sz w:val="20"/>
          <w:szCs w:val="20"/>
        </w:rPr>
      </w:pPr>
      <w:r>
        <w:rPr>
          <w:rFonts w:cs="Arial"/>
          <w:sz w:val="20"/>
          <w:szCs w:val="20"/>
        </w:rPr>
        <w:t>En lo relativo al Ingreso, se registran los siguientes momentos contables: Estimado, Modificado, Devengado y Recaudado.</w:t>
      </w:r>
    </w:p>
    <w:p w:rsidR="00324BB3" w:rsidRDefault="00324BB3" w:rsidP="00324BB3">
      <w:pPr>
        <w:jc w:val="both"/>
        <w:rPr>
          <w:rFonts w:cs="Arial"/>
          <w:sz w:val="20"/>
          <w:szCs w:val="20"/>
        </w:rPr>
      </w:pPr>
      <w:r>
        <w:rPr>
          <w:rFonts w:cs="Arial"/>
          <w:sz w:val="20"/>
          <w:szCs w:val="20"/>
        </w:rPr>
        <w:t>En lo relativo al Gasto, se registran los momentos contables: Aprobado, Modificado, Comprometid</w:t>
      </w:r>
      <w:r w:rsidR="00B6657A">
        <w:rPr>
          <w:rFonts w:cs="Arial"/>
          <w:sz w:val="20"/>
          <w:szCs w:val="20"/>
        </w:rPr>
        <w:t>o, Devengado, Ejercido y Pagado</w:t>
      </w:r>
    </w:p>
    <w:p w:rsidR="00324BB3" w:rsidRDefault="00324BB3" w:rsidP="00324BB3">
      <w:pPr>
        <w:jc w:val="both"/>
        <w:rPr>
          <w:rFonts w:cs="Arial"/>
          <w:sz w:val="20"/>
          <w:szCs w:val="20"/>
        </w:rPr>
      </w:pPr>
      <w:r>
        <w:rPr>
          <w:rFonts w:cs="Arial"/>
          <w:sz w:val="20"/>
          <w:szCs w:val="20"/>
        </w:rPr>
        <w:t>Cuentas de Orden presupuestarias:</w:t>
      </w:r>
    </w:p>
    <w:tbl>
      <w:tblPr>
        <w:tblW w:w="6390" w:type="dxa"/>
        <w:jc w:val="center"/>
        <w:tblInd w:w="55" w:type="dxa"/>
        <w:tblCellMar>
          <w:left w:w="70" w:type="dxa"/>
          <w:right w:w="70" w:type="dxa"/>
        </w:tblCellMar>
        <w:tblLook w:val="04A0" w:firstRow="1" w:lastRow="0" w:firstColumn="1" w:lastColumn="0" w:noHBand="0" w:noVBand="1"/>
      </w:tblPr>
      <w:tblGrid>
        <w:gridCol w:w="5040"/>
        <w:gridCol w:w="1451"/>
      </w:tblGrid>
      <w:tr w:rsidR="00324BB3" w:rsidTr="00B6657A">
        <w:trPr>
          <w:trHeight w:val="285"/>
          <w:jc w:val="center"/>
        </w:trPr>
        <w:tc>
          <w:tcPr>
            <w:tcW w:w="5040" w:type="dxa"/>
            <w:tcBorders>
              <w:top w:val="single" w:sz="12" w:space="0" w:color="75923C"/>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Ley de Ingresos Estimada</w:t>
            </w:r>
          </w:p>
        </w:tc>
        <w:tc>
          <w:tcPr>
            <w:tcW w:w="1350" w:type="dxa"/>
            <w:tcBorders>
              <w:top w:val="single" w:sz="12" w:space="0" w:color="75923C"/>
              <w:left w:val="nil"/>
              <w:bottom w:val="single" w:sz="12" w:space="0" w:color="75923C"/>
              <w:right w:val="single" w:sz="12" w:space="0" w:color="75923C"/>
            </w:tcBorders>
            <w:noWrap/>
            <w:vAlign w:val="bottom"/>
            <w:hideMark/>
          </w:tcPr>
          <w:p w:rsidR="00324BB3" w:rsidRDefault="00324BB3">
            <w:pPr>
              <w:spacing w:after="0"/>
              <w:jc w:val="right"/>
              <w:rPr>
                <w:rFonts w:cs="Arial"/>
                <w:color w:val="000000"/>
                <w:sz w:val="20"/>
                <w:szCs w:val="20"/>
                <w:lang w:eastAsia="es-MX"/>
              </w:rPr>
            </w:pPr>
            <w:r>
              <w:rPr>
                <w:rFonts w:cs="Arial"/>
                <w:color w:val="000000"/>
                <w:sz w:val="20"/>
                <w:szCs w:val="20"/>
                <w:lang w:eastAsia="es-MX"/>
              </w:rPr>
              <w:t> 123,509,223.00</w:t>
            </w:r>
          </w:p>
        </w:tc>
      </w:tr>
      <w:tr w:rsidR="00324BB3" w:rsidTr="00B6657A">
        <w:trPr>
          <w:trHeight w:val="285"/>
          <w:jc w:val="center"/>
        </w:trPr>
        <w:tc>
          <w:tcPr>
            <w:tcW w:w="5040" w:type="dxa"/>
            <w:tcBorders>
              <w:top w:val="nil"/>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Ley de Ingresos Devengada</w:t>
            </w:r>
          </w:p>
        </w:tc>
        <w:tc>
          <w:tcPr>
            <w:tcW w:w="1350" w:type="dxa"/>
            <w:tcBorders>
              <w:top w:val="nil"/>
              <w:left w:val="nil"/>
              <w:bottom w:val="single" w:sz="12" w:space="0" w:color="75923C"/>
              <w:right w:val="single" w:sz="12" w:space="0" w:color="75923C"/>
            </w:tcBorders>
            <w:noWrap/>
            <w:vAlign w:val="bottom"/>
            <w:hideMark/>
          </w:tcPr>
          <w:p w:rsidR="00324BB3" w:rsidRDefault="00324BB3">
            <w:pPr>
              <w:spacing w:after="0"/>
              <w:jc w:val="right"/>
              <w:rPr>
                <w:rFonts w:cs="Arial"/>
                <w:color w:val="000000"/>
                <w:sz w:val="20"/>
                <w:szCs w:val="20"/>
                <w:lang w:eastAsia="es-MX"/>
              </w:rPr>
            </w:pPr>
            <w:r>
              <w:rPr>
                <w:rFonts w:cs="Arial"/>
                <w:color w:val="000000"/>
                <w:sz w:val="20"/>
                <w:szCs w:val="20"/>
                <w:lang w:eastAsia="es-MX"/>
              </w:rPr>
              <w:t>9,091,508.07</w:t>
            </w:r>
          </w:p>
        </w:tc>
      </w:tr>
      <w:tr w:rsidR="00324BB3" w:rsidTr="00B6657A">
        <w:trPr>
          <w:trHeight w:val="285"/>
          <w:jc w:val="center"/>
        </w:trPr>
        <w:tc>
          <w:tcPr>
            <w:tcW w:w="5040" w:type="dxa"/>
            <w:tcBorders>
              <w:top w:val="nil"/>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Ley de Ingresos Recaudada</w:t>
            </w:r>
          </w:p>
        </w:tc>
        <w:tc>
          <w:tcPr>
            <w:tcW w:w="1350" w:type="dxa"/>
            <w:tcBorders>
              <w:top w:val="nil"/>
              <w:left w:val="nil"/>
              <w:bottom w:val="single" w:sz="12" w:space="0" w:color="75923C"/>
              <w:right w:val="single" w:sz="12" w:space="0" w:color="75923C"/>
            </w:tcBorders>
            <w:noWrap/>
            <w:vAlign w:val="bottom"/>
            <w:hideMark/>
          </w:tcPr>
          <w:p w:rsidR="00324BB3" w:rsidRDefault="00324BB3">
            <w:pPr>
              <w:spacing w:after="0"/>
              <w:jc w:val="right"/>
              <w:rPr>
                <w:rFonts w:cs="Arial"/>
                <w:color w:val="000000"/>
                <w:sz w:val="20"/>
                <w:szCs w:val="20"/>
                <w:lang w:eastAsia="es-MX"/>
              </w:rPr>
            </w:pPr>
            <w:r>
              <w:rPr>
                <w:rFonts w:cs="Arial"/>
                <w:color w:val="000000"/>
                <w:sz w:val="20"/>
                <w:szCs w:val="20"/>
                <w:lang w:eastAsia="es-MX"/>
              </w:rPr>
              <w:t>9,066,497.23</w:t>
            </w:r>
          </w:p>
        </w:tc>
      </w:tr>
      <w:tr w:rsidR="00324BB3" w:rsidTr="00B6657A">
        <w:trPr>
          <w:trHeight w:val="285"/>
          <w:jc w:val="center"/>
        </w:trPr>
        <w:tc>
          <w:tcPr>
            <w:tcW w:w="5040" w:type="dxa"/>
            <w:noWrap/>
            <w:vAlign w:val="bottom"/>
            <w:hideMark/>
          </w:tcPr>
          <w:p w:rsidR="00324BB3" w:rsidRDefault="00324BB3">
            <w:pPr>
              <w:spacing w:after="0" w:line="240" w:lineRule="auto"/>
              <w:rPr>
                <w:sz w:val="20"/>
                <w:szCs w:val="20"/>
                <w:lang w:eastAsia="es-MX"/>
              </w:rPr>
            </w:pPr>
          </w:p>
        </w:tc>
        <w:tc>
          <w:tcPr>
            <w:tcW w:w="1350" w:type="dxa"/>
            <w:noWrap/>
            <w:vAlign w:val="bottom"/>
            <w:hideMark/>
          </w:tcPr>
          <w:p w:rsidR="00324BB3" w:rsidRDefault="00324BB3">
            <w:pPr>
              <w:spacing w:after="0" w:line="240" w:lineRule="auto"/>
              <w:rPr>
                <w:sz w:val="20"/>
                <w:szCs w:val="20"/>
                <w:lang w:eastAsia="es-MX"/>
              </w:rPr>
            </w:pPr>
          </w:p>
        </w:tc>
      </w:tr>
      <w:tr w:rsidR="00324BB3" w:rsidTr="00B6657A">
        <w:trPr>
          <w:trHeight w:val="285"/>
          <w:jc w:val="center"/>
        </w:trPr>
        <w:tc>
          <w:tcPr>
            <w:tcW w:w="5040" w:type="dxa"/>
            <w:noWrap/>
            <w:vAlign w:val="bottom"/>
            <w:hideMark/>
          </w:tcPr>
          <w:p w:rsidR="00324BB3" w:rsidRDefault="00324BB3">
            <w:pPr>
              <w:spacing w:after="0" w:line="240" w:lineRule="auto"/>
              <w:rPr>
                <w:sz w:val="20"/>
                <w:szCs w:val="20"/>
                <w:lang w:eastAsia="es-MX"/>
              </w:rPr>
            </w:pPr>
          </w:p>
        </w:tc>
        <w:tc>
          <w:tcPr>
            <w:tcW w:w="1350" w:type="dxa"/>
            <w:noWrap/>
            <w:vAlign w:val="bottom"/>
            <w:hideMark/>
          </w:tcPr>
          <w:p w:rsidR="00324BB3" w:rsidRDefault="00324BB3">
            <w:pPr>
              <w:spacing w:after="0" w:line="240" w:lineRule="auto"/>
              <w:rPr>
                <w:sz w:val="20"/>
                <w:szCs w:val="20"/>
                <w:lang w:eastAsia="es-MX"/>
              </w:rPr>
            </w:pPr>
          </w:p>
        </w:tc>
      </w:tr>
      <w:tr w:rsidR="00324BB3" w:rsidTr="00B6657A">
        <w:trPr>
          <w:trHeight w:val="285"/>
          <w:jc w:val="center"/>
        </w:trPr>
        <w:tc>
          <w:tcPr>
            <w:tcW w:w="5040" w:type="dxa"/>
            <w:tcBorders>
              <w:top w:val="single" w:sz="12" w:space="0" w:color="75923C"/>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Presupuesto de Egresos Aprobado</w:t>
            </w:r>
          </w:p>
        </w:tc>
        <w:tc>
          <w:tcPr>
            <w:tcW w:w="1350" w:type="dxa"/>
            <w:tcBorders>
              <w:top w:val="single" w:sz="12" w:space="0" w:color="75923C"/>
              <w:left w:val="nil"/>
              <w:bottom w:val="single" w:sz="12" w:space="0" w:color="75923C"/>
              <w:right w:val="single" w:sz="12" w:space="0" w:color="75923C"/>
            </w:tcBorders>
            <w:noWrap/>
            <w:vAlign w:val="bottom"/>
            <w:hideMark/>
          </w:tcPr>
          <w:p w:rsidR="00324BB3" w:rsidRDefault="00324BB3">
            <w:pPr>
              <w:spacing w:after="0"/>
              <w:jc w:val="right"/>
              <w:rPr>
                <w:rFonts w:cs="Arial"/>
                <w:color w:val="000000"/>
                <w:sz w:val="20"/>
                <w:szCs w:val="20"/>
                <w:lang w:eastAsia="es-MX"/>
              </w:rPr>
            </w:pPr>
            <w:r>
              <w:rPr>
                <w:rFonts w:cs="Arial"/>
                <w:color w:val="000000"/>
                <w:sz w:val="20"/>
                <w:szCs w:val="20"/>
                <w:lang w:eastAsia="es-MX"/>
              </w:rPr>
              <w:t>123,509,223.00</w:t>
            </w:r>
          </w:p>
        </w:tc>
      </w:tr>
      <w:tr w:rsidR="00324BB3" w:rsidTr="00B6657A">
        <w:trPr>
          <w:trHeight w:val="285"/>
          <w:jc w:val="center"/>
        </w:trPr>
        <w:tc>
          <w:tcPr>
            <w:tcW w:w="5040" w:type="dxa"/>
            <w:tcBorders>
              <w:top w:val="nil"/>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Presupuesto de Egresos Comprometido</w:t>
            </w:r>
          </w:p>
        </w:tc>
        <w:tc>
          <w:tcPr>
            <w:tcW w:w="1350" w:type="dxa"/>
            <w:tcBorders>
              <w:top w:val="nil"/>
              <w:left w:val="nil"/>
              <w:bottom w:val="single" w:sz="12" w:space="0" w:color="75923C"/>
              <w:right w:val="single" w:sz="12" w:space="0" w:color="75923C"/>
            </w:tcBorders>
            <w:noWrap/>
            <w:vAlign w:val="bottom"/>
            <w:hideMark/>
          </w:tcPr>
          <w:p w:rsidR="00324BB3" w:rsidRDefault="00324BB3">
            <w:pPr>
              <w:spacing w:after="0"/>
              <w:jc w:val="center"/>
              <w:rPr>
                <w:rFonts w:cs="Arial"/>
                <w:color w:val="000000"/>
                <w:sz w:val="20"/>
                <w:szCs w:val="20"/>
                <w:lang w:eastAsia="es-MX"/>
              </w:rPr>
            </w:pPr>
            <w:r>
              <w:rPr>
                <w:rFonts w:cs="Arial"/>
                <w:color w:val="000000"/>
                <w:sz w:val="20"/>
                <w:szCs w:val="20"/>
                <w:lang w:eastAsia="es-MX"/>
              </w:rPr>
              <w:t>17,088,136.93</w:t>
            </w:r>
          </w:p>
        </w:tc>
      </w:tr>
      <w:tr w:rsidR="00324BB3" w:rsidTr="00B6657A">
        <w:trPr>
          <w:trHeight w:val="285"/>
          <w:jc w:val="center"/>
        </w:trPr>
        <w:tc>
          <w:tcPr>
            <w:tcW w:w="5040" w:type="dxa"/>
            <w:tcBorders>
              <w:top w:val="nil"/>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Presupuesto de Egresos Devengado</w:t>
            </w:r>
          </w:p>
        </w:tc>
        <w:tc>
          <w:tcPr>
            <w:tcW w:w="1350" w:type="dxa"/>
            <w:tcBorders>
              <w:top w:val="nil"/>
              <w:left w:val="nil"/>
              <w:bottom w:val="single" w:sz="12" w:space="0" w:color="75923C"/>
              <w:right w:val="single" w:sz="12" w:space="0" w:color="75923C"/>
            </w:tcBorders>
            <w:noWrap/>
            <w:vAlign w:val="bottom"/>
            <w:hideMark/>
          </w:tcPr>
          <w:p w:rsidR="00324BB3" w:rsidRDefault="00324BB3">
            <w:pPr>
              <w:spacing w:after="0"/>
              <w:jc w:val="right"/>
              <w:rPr>
                <w:rFonts w:cs="Arial"/>
                <w:color w:val="000000"/>
                <w:sz w:val="20"/>
                <w:szCs w:val="20"/>
                <w:lang w:eastAsia="es-MX"/>
              </w:rPr>
            </w:pPr>
            <w:r>
              <w:rPr>
                <w:rFonts w:cs="Arial"/>
                <w:color w:val="000000"/>
                <w:sz w:val="20"/>
                <w:szCs w:val="20"/>
                <w:lang w:eastAsia="es-MX"/>
              </w:rPr>
              <w:t>17,088,136.93</w:t>
            </w:r>
          </w:p>
        </w:tc>
      </w:tr>
      <w:tr w:rsidR="00324BB3" w:rsidTr="00B6657A">
        <w:trPr>
          <w:trHeight w:val="285"/>
          <w:jc w:val="center"/>
        </w:trPr>
        <w:tc>
          <w:tcPr>
            <w:tcW w:w="5040" w:type="dxa"/>
            <w:tcBorders>
              <w:top w:val="nil"/>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Presupuesto de Egresos Ejercido</w:t>
            </w:r>
          </w:p>
        </w:tc>
        <w:tc>
          <w:tcPr>
            <w:tcW w:w="1350" w:type="dxa"/>
            <w:tcBorders>
              <w:top w:val="nil"/>
              <w:left w:val="nil"/>
              <w:bottom w:val="single" w:sz="12" w:space="0" w:color="75923C"/>
              <w:right w:val="single" w:sz="12" w:space="0" w:color="75923C"/>
            </w:tcBorders>
            <w:noWrap/>
            <w:vAlign w:val="bottom"/>
            <w:hideMark/>
          </w:tcPr>
          <w:p w:rsidR="00324BB3" w:rsidRDefault="00324BB3">
            <w:pPr>
              <w:spacing w:after="0"/>
              <w:jc w:val="right"/>
              <w:rPr>
                <w:rFonts w:cs="Arial"/>
                <w:color w:val="000000"/>
                <w:sz w:val="20"/>
                <w:szCs w:val="20"/>
                <w:lang w:eastAsia="es-MX"/>
              </w:rPr>
            </w:pPr>
            <w:r>
              <w:rPr>
                <w:rFonts w:cs="Arial"/>
                <w:color w:val="000000"/>
                <w:sz w:val="20"/>
                <w:szCs w:val="20"/>
                <w:lang w:eastAsia="es-MX"/>
              </w:rPr>
              <w:t>17,088,136.93</w:t>
            </w:r>
          </w:p>
        </w:tc>
      </w:tr>
      <w:tr w:rsidR="00324BB3" w:rsidTr="00B6657A">
        <w:trPr>
          <w:trHeight w:val="285"/>
          <w:jc w:val="center"/>
        </w:trPr>
        <w:tc>
          <w:tcPr>
            <w:tcW w:w="5040" w:type="dxa"/>
            <w:tcBorders>
              <w:top w:val="nil"/>
              <w:left w:val="single" w:sz="12" w:space="0" w:color="75923C"/>
              <w:bottom w:val="single" w:sz="12" w:space="0" w:color="75923C"/>
              <w:right w:val="single" w:sz="12" w:space="0" w:color="75923C"/>
            </w:tcBorders>
            <w:noWrap/>
            <w:vAlign w:val="bottom"/>
            <w:hideMark/>
          </w:tcPr>
          <w:p w:rsidR="00324BB3" w:rsidRDefault="00324BB3">
            <w:pPr>
              <w:spacing w:after="0"/>
              <w:rPr>
                <w:rFonts w:cs="Arial"/>
                <w:color w:val="000000"/>
                <w:sz w:val="20"/>
                <w:szCs w:val="20"/>
                <w:lang w:eastAsia="es-MX"/>
              </w:rPr>
            </w:pPr>
            <w:r>
              <w:rPr>
                <w:rFonts w:cs="Arial"/>
                <w:color w:val="000000"/>
                <w:sz w:val="20"/>
                <w:szCs w:val="20"/>
                <w:lang w:eastAsia="es-MX"/>
              </w:rPr>
              <w:t>Presupuesto de Egresos Pagado</w:t>
            </w:r>
          </w:p>
        </w:tc>
        <w:tc>
          <w:tcPr>
            <w:tcW w:w="1350" w:type="dxa"/>
            <w:tcBorders>
              <w:top w:val="nil"/>
              <w:left w:val="nil"/>
              <w:bottom w:val="single" w:sz="12" w:space="0" w:color="75923C"/>
              <w:right w:val="single" w:sz="12" w:space="0" w:color="75923C"/>
            </w:tcBorders>
            <w:noWrap/>
            <w:vAlign w:val="bottom"/>
            <w:hideMark/>
          </w:tcPr>
          <w:p w:rsidR="00324BB3" w:rsidRDefault="00324BB3">
            <w:pPr>
              <w:spacing w:after="0"/>
              <w:jc w:val="right"/>
              <w:rPr>
                <w:rFonts w:cs="Arial"/>
                <w:color w:val="000000"/>
                <w:sz w:val="20"/>
                <w:szCs w:val="20"/>
                <w:lang w:eastAsia="es-MX"/>
              </w:rPr>
            </w:pPr>
            <w:r>
              <w:rPr>
                <w:rFonts w:cs="Arial"/>
                <w:color w:val="000000"/>
                <w:sz w:val="20"/>
                <w:szCs w:val="20"/>
                <w:lang w:eastAsia="es-MX"/>
              </w:rPr>
              <w:t> 12,419,280.11</w:t>
            </w:r>
          </w:p>
        </w:tc>
      </w:tr>
    </w:tbl>
    <w:p w:rsidR="007E7C9A" w:rsidRPr="007E7C9A" w:rsidRDefault="007E7C9A" w:rsidP="007E7C9A">
      <w:pPr>
        <w:spacing w:after="0"/>
        <w:jc w:val="both"/>
        <w:rPr>
          <w:rFonts w:ascii="Calibri" w:eastAsia="Calibri" w:hAnsi="Calibri" w:cs="Arial"/>
          <w:sz w:val="20"/>
          <w:szCs w:val="20"/>
        </w:rPr>
      </w:pPr>
    </w:p>
    <w:p w:rsidR="007E7C9A" w:rsidRPr="007E7C9A" w:rsidRDefault="007E7C9A" w:rsidP="007E7C9A">
      <w:pPr>
        <w:spacing w:line="240" w:lineRule="auto"/>
        <w:rPr>
          <w:rFonts w:ascii="Calibri" w:eastAsia="Calibri" w:hAnsi="Calibri" w:cs="Arial"/>
          <w:sz w:val="20"/>
          <w:szCs w:val="20"/>
        </w:rPr>
      </w:pPr>
      <w:r w:rsidRPr="007E7C9A">
        <w:rPr>
          <w:rFonts w:ascii="Calibri" w:eastAsia="Calibri" w:hAnsi="Calibri" w:cs="Arial"/>
          <w:sz w:val="20"/>
          <w:szCs w:val="20"/>
        </w:rPr>
        <w:t>Bajo Protesta de decir verdad declaramos que los Estados Financieros y sus Notas son razonablemente correctos y responsabilidad del emisor.</w:t>
      </w:r>
    </w:p>
    <w:p w:rsidR="00A67C7A" w:rsidRDefault="00A67C7A"/>
    <w:sectPr w:rsidR="00A67C7A" w:rsidSect="007E7C9A">
      <w:pgSz w:w="15840" w:h="12240" w:orient="landscape"/>
      <w:pgMar w:top="2835"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49F"/>
    <w:multiLevelType w:val="hybridMultilevel"/>
    <w:tmpl w:val="0418449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
    <w:nsid w:val="12421B0A"/>
    <w:multiLevelType w:val="hybridMultilevel"/>
    <w:tmpl w:val="41B2AF9E"/>
    <w:lvl w:ilvl="0" w:tplc="A10CEC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6D5A35"/>
    <w:multiLevelType w:val="hybridMultilevel"/>
    <w:tmpl w:val="F4AA9E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8C77537"/>
    <w:multiLevelType w:val="hybridMultilevel"/>
    <w:tmpl w:val="15BC1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A6748CF"/>
    <w:multiLevelType w:val="hybridMultilevel"/>
    <w:tmpl w:val="78BE8BEA"/>
    <w:lvl w:ilvl="0" w:tplc="2788DF76">
      <w:start w:val="1"/>
      <w:numFmt w:val="bullet"/>
      <w:lvlText w:val=""/>
      <w:lvlJc w:val="left"/>
      <w:pPr>
        <w:tabs>
          <w:tab w:val="num" w:pos="567"/>
        </w:tabs>
        <w:ind w:left="567" w:hanging="227"/>
      </w:pPr>
      <w:rPr>
        <w:rFonts w:ascii="Symbol" w:hAnsi="Symbol"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C530B0D"/>
    <w:multiLevelType w:val="hybridMultilevel"/>
    <w:tmpl w:val="76C01146"/>
    <w:lvl w:ilvl="0" w:tplc="238624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553E89"/>
    <w:multiLevelType w:val="hybridMultilevel"/>
    <w:tmpl w:val="948090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E10765"/>
    <w:multiLevelType w:val="hybridMultilevel"/>
    <w:tmpl w:val="AB705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F2B69E4"/>
    <w:multiLevelType w:val="hybridMultilevel"/>
    <w:tmpl w:val="6DF4B2DC"/>
    <w:lvl w:ilvl="0" w:tplc="5CEC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EA1BD1"/>
    <w:multiLevelType w:val="hybridMultilevel"/>
    <w:tmpl w:val="4D24E038"/>
    <w:lvl w:ilvl="0" w:tplc="283CC864">
      <w:start w:val="1"/>
      <w:numFmt w:val="lowerLetter"/>
      <w:lvlText w:val="%1."/>
      <w:lvlJc w:val="left"/>
      <w:pPr>
        <w:tabs>
          <w:tab w:val="num" w:pos="863"/>
        </w:tabs>
        <w:ind w:left="863"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9F673F8"/>
    <w:multiLevelType w:val="hybridMultilevel"/>
    <w:tmpl w:val="9E2A4784"/>
    <w:lvl w:ilvl="0" w:tplc="BE22D646">
      <w:start w:val="1"/>
      <w:numFmt w:val="decimal"/>
      <w:lvlText w:val="%1."/>
      <w:lvlJc w:val="left"/>
      <w:pPr>
        <w:tabs>
          <w:tab w:val="num" w:pos="680"/>
        </w:tabs>
        <w:ind w:left="68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A3B5F2D"/>
    <w:multiLevelType w:val="hybridMultilevel"/>
    <w:tmpl w:val="957A03D0"/>
    <w:lvl w:ilvl="0" w:tplc="7D56A8DC">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20D61AA"/>
    <w:multiLevelType w:val="hybridMultilevel"/>
    <w:tmpl w:val="0F2A35F8"/>
    <w:lvl w:ilvl="0" w:tplc="5CEC66BA">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4E2706"/>
    <w:multiLevelType w:val="hybridMultilevel"/>
    <w:tmpl w:val="957A03D0"/>
    <w:lvl w:ilvl="0" w:tplc="7D56A8DC">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564607D"/>
    <w:multiLevelType w:val="hybridMultilevel"/>
    <w:tmpl w:val="86B2D7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75A9167C"/>
    <w:multiLevelType w:val="hybridMultilevel"/>
    <w:tmpl w:val="28940EB8"/>
    <w:lvl w:ilvl="0" w:tplc="0D26E86C">
      <w:start w:val="3"/>
      <w:numFmt w:val="decimal"/>
      <w:lvlText w:val="%1."/>
      <w:lvlJc w:val="left"/>
      <w:pPr>
        <w:ind w:left="1040" w:hanging="360"/>
      </w:pPr>
      <w:rPr>
        <w:rFonts w:hint="default"/>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17">
    <w:nsid w:val="79767F2A"/>
    <w:multiLevelType w:val="hybridMultilevel"/>
    <w:tmpl w:val="AEDCD9F6"/>
    <w:lvl w:ilvl="0" w:tplc="080A0015">
      <w:start w:val="1"/>
      <w:numFmt w:val="upperLetter"/>
      <w:lvlText w:val="%1."/>
      <w:lvlJc w:val="left"/>
      <w:pPr>
        <w:tabs>
          <w:tab w:val="num" w:pos="1080"/>
        </w:tabs>
        <w:ind w:left="1080" w:hanging="360"/>
      </w:pPr>
    </w:lvl>
    <w:lvl w:ilvl="1" w:tplc="0C0A0013">
      <w:start w:val="1"/>
      <w:numFmt w:val="upperRoman"/>
      <w:lvlText w:val="%2."/>
      <w:lvlJc w:val="right"/>
      <w:pPr>
        <w:tabs>
          <w:tab w:val="num" w:pos="1620"/>
        </w:tabs>
        <w:ind w:left="1620" w:hanging="18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18">
    <w:nsid w:val="7BB40D9C"/>
    <w:multiLevelType w:val="hybridMultilevel"/>
    <w:tmpl w:val="CF94054A"/>
    <w:lvl w:ilvl="0" w:tplc="53C62A68">
      <w:start w:val="1"/>
      <w:numFmt w:val="lowerLetter"/>
      <w:lvlText w:val="%1."/>
      <w:lvlJc w:val="left"/>
      <w:pPr>
        <w:tabs>
          <w:tab w:val="num" w:pos="863"/>
        </w:tabs>
        <w:ind w:left="863" w:hanging="360"/>
      </w:pPr>
      <w:rPr>
        <w:rFonts w:hint="default"/>
        <w:b w:val="0"/>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D933646"/>
    <w:multiLevelType w:val="hybridMultilevel"/>
    <w:tmpl w:val="99361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7"/>
  </w:num>
  <w:num w:numId="4">
    <w:abstractNumId w:val="5"/>
  </w:num>
  <w:num w:numId="5">
    <w:abstractNumId w:val="11"/>
  </w:num>
  <w:num w:numId="6">
    <w:abstractNumId w:val="0"/>
  </w:num>
  <w:num w:numId="7">
    <w:abstractNumId w:val="16"/>
  </w:num>
  <w:num w:numId="8">
    <w:abstractNumId w:val="19"/>
  </w:num>
  <w:num w:numId="9">
    <w:abstractNumId w:val="18"/>
  </w:num>
  <w:num w:numId="10">
    <w:abstractNumId w:val="9"/>
  </w:num>
  <w:num w:numId="11">
    <w:abstractNumId w:val="13"/>
  </w:num>
  <w:num w:numId="12">
    <w:abstractNumId w:val="7"/>
  </w:num>
  <w:num w:numId="13">
    <w:abstractNumId w:val="14"/>
  </w:num>
  <w:num w:numId="14">
    <w:abstractNumId w:val="10"/>
  </w:num>
  <w:num w:numId="15">
    <w:abstractNumId w:val="6"/>
  </w:num>
  <w:num w:numId="16">
    <w:abstractNumId w:val="1"/>
  </w:num>
  <w:num w:numId="17">
    <w:abstractNumId w:val="5"/>
    <w:lvlOverride w:ilvl="0"/>
    <w:lvlOverride w:ilvl="1">
      <w:startOverride w:val="1"/>
    </w:lvlOverride>
    <w:lvlOverride w:ilvl="2"/>
    <w:lvlOverride w:ilvl="3"/>
    <w:lvlOverride w:ilvl="4"/>
    <w:lvlOverride w:ilvl="5"/>
    <w:lvlOverride w:ilvl="6"/>
    <w:lvlOverride w:ilvl="7"/>
    <w:lvlOverride w:ilvl="8"/>
  </w:num>
  <w:num w:numId="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5"/>
  </w:num>
  <w:num w:numId="24">
    <w:abstractNumId w:val="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lvlOverride w:ilvl="3"/>
    <w:lvlOverride w:ilvl="4"/>
    <w:lvlOverride w:ilvl="5"/>
    <w:lvlOverride w:ilvl="6"/>
    <w:lvlOverride w:ilvl="7"/>
    <w:lvlOverride w:ilvl="8"/>
  </w:num>
  <w:num w:numId="35">
    <w:abstractNumId w:val="0"/>
    <w:lvlOverride w:ilvl="0"/>
    <w:lvlOverride w:ilvl="1"/>
    <w:lvlOverride w:ilvl="2"/>
    <w:lvlOverride w:ilvl="3"/>
    <w:lvlOverride w:ilvl="4"/>
    <w:lvlOverride w:ilvl="5"/>
    <w:lvlOverride w:ilvl="6"/>
    <w:lvlOverride w:ilvl="7"/>
    <w:lvlOverride w:ilvl="8"/>
  </w:num>
  <w:num w:numId="36">
    <w:abstractNumId w:val="2"/>
    <w:lvlOverride w:ilvl="0"/>
    <w:lvlOverride w:ilvl="1"/>
    <w:lvlOverride w:ilvl="2"/>
    <w:lvlOverride w:ilvl="3"/>
    <w:lvlOverride w:ilvl="4"/>
    <w:lvlOverride w:ilvl="5"/>
    <w:lvlOverride w:ilvl="6"/>
    <w:lvlOverride w:ilvl="7"/>
    <w:lvlOverride w:ilvl="8"/>
  </w:num>
  <w:num w:numId="37">
    <w:abstractNumId w:val="15"/>
    <w:lvlOverride w:ilvl="0"/>
    <w:lvlOverride w:ilvl="1"/>
    <w:lvlOverride w:ilvl="2"/>
    <w:lvlOverride w:ilvl="3"/>
    <w:lvlOverride w:ilvl="4"/>
    <w:lvlOverride w:ilvl="5"/>
    <w:lvlOverride w:ilvl="6"/>
    <w:lvlOverride w:ilvl="7"/>
    <w:lvlOverride w:ilvl="8"/>
  </w:num>
  <w:num w:numId="38">
    <w:abstractNumId w:val="4"/>
    <w:lvlOverride w:ilvl="0"/>
    <w:lvlOverride w:ilvl="1"/>
    <w:lvlOverride w:ilvl="2"/>
    <w:lvlOverride w:ilvl="3"/>
    <w:lvlOverride w:ilvl="4"/>
    <w:lvlOverride w:ilvl="5"/>
    <w:lvlOverride w:ilvl="6"/>
    <w:lvlOverride w:ilvl="7"/>
    <w:lvlOverride w:ilvl="8"/>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9A"/>
    <w:rsid w:val="00140F72"/>
    <w:rsid w:val="00324BB3"/>
    <w:rsid w:val="007E7C9A"/>
    <w:rsid w:val="00A67C7A"/>
    <w:rsid w:val="00B665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E7C9A"/>
    <w:pPr>
      <w:keepNext/>
      <w:spacing w:after="0" w:line="240" w:lineRule="auto"/>
      <w:outlineLvl w:val="0"/>
    </w:pPr>
    <w:rPr>
      <w:rFonts w:ascii="Times New Roman" w:eastAsia="Times New Roman" w:hAnsi="Times New Roman" w:cs="Times New Roman"/>
      <w:b/>
      <w:bCs/>
      <w:sz w:val="24"/>
      <w:szCs w:val="24"/>
      <w:lang w:eastAsia="es-ES"/>
    </w:rPr>
  </w:style>
  <w:style w:type="paragraph" w:styleId="Ttulo3">
    <w:name w:val="heading 3"/>
    <w:basedOn w:val="Normal"/>
    <w:next w:val="Normal"/>
    <w:link w:val="Ttulo3Car"/>
    <w:uiPriority w:val="9"/>
    <w:semiHidden/>
    <w:unhideWhenUsed/>
    <w:qFormat/>
    <w:rsid w:val="00324BB3"/>
    <w:pPr>
      <w:keepNext/>
      <w:spacing w:before="240" w:after="60"/>
      <w:outlineLvl w:val="2"/>
    </w:pPr>
    <w:rPr>
      <w:rFonts w:ascii="Cambria" w:eastAsia="Times New Roman" w:hAnsi="Cambria" w:cs="Times New Roman"/>
      <w:b/>
      <w:bCs/>
      <w:sz w:val="26"/>
      <w:szCs w:val="26"/>
    </w:rPr>
  </w:style>
  <w:style w:type="paragraph" w:styleId="Ttulo6">
    <w:name w:val="heading 6"/>
    <w:basedOn w:val="Normal"/>
    <w:next w:val="Normal"/>
    <w:link w:val="Ttulo6Car"/>
    <w:qFormat/>
    <w:rsid w:val="007E7C9A"/>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7C9A"/>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7E7C9A"/>
    <w:rPr>
      <w:rFonts w:ascii="Arial" w:eastAsia="Times New Roman" w:hAnsi="Arial" w:cs="Times New Roman"/>
      <w:b/>
      <w:szCs w:val="24"/>
      <w:lang w:eastAsia="es-ES"/>
    </w:rPr>
  </w:style>
  <w:style w:type="numbering" w:customStyle="1" w:styleId="Sinlista1">
    <w:name w:val="Sin lista1"/>
    <w:next w:val="Sinlista"/>
    <w:uiPriority w:val="99"/>
    <w:semiHidden/>
    <w:unhideWhenUsed/>
    <w:rsid w:val="007E7C9A"/>
  </w:style>
  <w:style w:type="paragraph" w:styleId="Sangradetextonormal">
    <w:name w:val="Body Text Indent"/>
    <w:basedOn w:val="Normal"/>
    <w:link w:val="SangradetextonormalCar"/>
    <w:rsid w:val="007E7C9A"/>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7E7C9A"/>
    <w:rPr>
      <w:rFonts w:ascii="Times New Roman" w:eastAsia="Times New Roman" w:hAnsi="Times New Roman" w:cs="Times New Roman"/>
      <w:sz w:val="24"/>
      <w:szCs w:val="24"/>
      <w:lang w:eastAsia="es-ES"/>
    </w:rPr>
  </w:style>
  <w:style w:type="table" w:styleId="Tablaconcuadrcula">
    <w:name w:val="Table Grid"/>
    <w:basedOn w:val="Tablanormal"/>
    <w:rsid w:val="007E7C9A"/>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7E7C9A"/>
    <w:pPr>
      <w:tabs>
        <w:tab w:val="center" w:pos="4419"/>
        <w:tab w:val="right" w:pos="8838"/>
      </w:tabs>
      <w:spacing w:after="0" w:line="240" w:lineRule="auto"/>
    </w:pPr>
    <w:rPr>
      <w:rFonts w:ascii="Cambria" w:eastAsia="Times New Roman" w:hAnsi="Cambria" w:cs="Times New Roman"/>
      <w:sz w:val="24"/>
      <w:szCs w:val="24"/>
      <w:lang w:val="es-ES_tradnl" w:eastAsia="es-ES"/>
    </w:rPr>
  </w:style>
  <w:style w:type="character" w:customStyle="1" w:styleId="EncabezadoCar">
    <w:name w:val="Encabezado Car"/>
    <w:basedOn w:val="Fuentedeprrafopredeter"/>
    <w:link w:val="Encabezado"/>
    <w:uiPriority w:val="99"/>
    <w:rsid w:val="007E7C9A"/>
    <w:rPr>
      <w:rFonts w:ascii="Cambria" w:eastAsia="Times New Roman" w:hAnsi="Cambria" w:cs="Times New Roman"/>
      <w:sz w:val="24"/>
      <w:szCs w:val="24"/>
      <w:lang w:val="es-ES_tradnl" w:eastAsia="es-ES"/>
    </w:rPr>
  </w:style>
  <w:style w:type="paragraph" w:styleId="Prrafodelista">
    <w:name w:val="List Paragraph"/>
    <w:basedOn w:val="Normal"/>
    <w:uiPriority w:val="34"/>
    <w:qFormat/>
    <w:rsid w:val="007E7C9A"/>
    <w:pPr>
      <w:spacing w:after="0" w:line="240" w:lineRule="auto"/>
      <w:ind w:left="720"/>
      <w:contextualSpacing/>
    </w:pPr>
    <w:rPr>
      <w:rFonts w:ascii="Cambria" w:eastAsia="Times New Roman" w:hAnsi="Cambria" w:cs="Times New Roman"/>
      <w:sz w:val="24"/>
      <w:szCs w:val="24"/>
      <w:lang w:val="es-ES_tradnl" w:eastAsia="es-ES"/>
    </w:rPr>
  </w:style>
  <w:style w:type="paragraph" w:customStyle="1" w:styleId="Texto">
    <w:name w:val="Texto"/>
    <w:basedOn w:val="Normal"/>
    <w:link w:val="TextoCar"/>
    <w:qFormat/>
    <w:rsid w:val="007E7C9A"/>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7E7C9A"/>
    <w:rPr>
      <w:rFonts w:ascii="Arial" w:eastAsia="Times New Roman" w:hAnsi="Arial" w:cs="Times New Roman"/>
      <w:sz w:val="18"/>
      <w:szCs w:val="20"/>
      <w:lang w:val="es-ES" w:eastAsia="es-ES"/>
    </w:rPr>
  </w:style>
  <w:style w:type="paragraph" w:styleId="Piedepgina">
    <w:name w:val="footer"/>
    <w:basedOn w:val="Normal"/>
    <w:link w:val="PiedepginaCar"/>
    <w:uiPriority w:val="99"/>
    <w:unhideWhenUsed/>
    <w:rsid w:val="007E7C9A"/>
    <w:pPr>
      <w:tabs>
        <w:tab w:val="center" w:pos="4419"/>
        <w:tab w:val="right" w:pos="8838"/>
      </w:tabs>
      <w:spacing w:after="0" w:line="240" w:lineRule="auto"/>
    </w:pPr>
    <w:rPr>
      <w:rFonts w:ascii="Cambria" w:eastAsia="Times New Roman" w:hAnsi="Cambria" w:cs="Times New Roman"/>
      <w:sz w:val="24"/>
      <w:szCs w:val="24"/>
      <w:lang w:val="es-ES_tradnl" w:eastAsia="es-ES"/>
    </w:rPr>
  </w:style>
  <w:style w:type="character" w:customStyle="1" w:styleId="PiedepginaCar">
    <w:name w:val="Pie de página Car"/>
    <w:basedOn w:val="Fuentedeprrafopredeter"/>
    <w:link w:val="Piedepgina"/>
    <w:uiPriority w:val="99"/>
    <w:rsid w:val="007E7C9A"/>
    <w:rPr>
      <w:rFonts w:ascii="Cambria" w:eastAsia="Times New Roman" w:hAnsi="Cambria" w:cs="Times New Roman"/>
      <w:sz w:val="24"/>
      <w:szCs w:val="24"/>
      <w:lang w:val="es-ES_tradnl" w:eastAsia="es-ES"/>
    </w:rPr>
  </w:style>
  <w:style w:type="paragraph" w:styleId="Textosinformato">
    <w:name w:val="Plain Text"/>
    <w:basedOn w:val="Normal"/>
    <w:link w:val="TextosinformatoCar"/>
    <w:rsid w:val="007E7C9A"/>
    <w:pPr>
      <w:autoSpaceDE w:val="0"/>
      <w:autoSpaceDN w:val="0"/>
      <w:spacing w:after="0" w:line="240" w:lineRule="auto"/>
    </w:pPr>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7E7C9A"/>
    <w:rPr>
      <w:rFonts w:ascii="Courier New" w:eastAsia="Times New Roman" w:hAnsi="Courier New" w:cs="Courier New"/>
      <w:sz w:val="20"/>
      <w:szCs w:val="20"/>
      <w:lang w:val="es-ES"/>
    </w:rPr>
  </w:style>
  <w:style w:type="character" w:customStyle="1" w:styleId="Ttulo3Car">
    <w:name w:val="Título 3 Car"/>
    <w:basedOn w:val="Fuentedeprrafopredeter"/>
    <w:link w:val="Ttulo3"/>
    <w:uiPriority w:val="9"/>
    <w:semiHidden/>
    <w:rsid w:val="00324BB3"/>
    <w:rPr>
      <w:rFonts w:ascii="Cambria" w:eastAsia="Times New Roman" w:hAnsi="Cambria" w:cs="Times New Roman"/>
      <w:b/>
      <w:bCs/>
      <w:sz w:val="26"/>
      <w:szCs w:val="26"/>
    </w:rPr>
  </w:style>
  <w:style w:type="character" w:customStyle="1" w:styleId="apple-converted-space">
    <w:name w:val="apple-converted-space"/>
    <w:basedOn w:val="Fuentedeprrafopredeter"/>
    <w:rsid w:val="00324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E7C9A"/>
    <w:pPr>
      <w:keepNext/>
      <w:spacing w:after="0" w:line="240" w:lineRule="auto"/>
      <w:outlineLvl w:val="0"/>
    </w:pPr>
    <w:rPr>
      <w:rFonts w:ascii="Times New Roman" w:eastAsia="Times New Roman" w:hAnsi="Times New Roman" w:cs="Times New Roman"/>
      <w:b/>
      <w:bCs/>
      <w:sz w:val="24"/>
      <w:szCs w:val="24"/>
      <w:lang w:eastAsia="es-ES"/>
    </w:rPr>
  </w:style>
  <w:style w:type="paragraph" w:styleId="Ttulo3">
    <w:name w:val="heading 3"/>
    <w:basedOn w:val="Normal"/>
    <w:next w:val="Normal"/>
    <w:link w:val="Ttulo3Car"/>
    <w:uiPriority w:val="9"/>
    <w:semiHidden/>
    <w:unhideWhenUsed/>
    <w:qFormat/>
    <w:rsid w:val="00324BB3"/>
    <w:pPr>
      <w:keepNext/>
      <w:spacing w:before="240" w:after="60"/>
      <w:outlineLvl w:val="2"/>
    </w:pPr>
    <w:rPr>
      <w:rFonts w:ascii="Cambria" w:eastAsia="Times New Roman" w:hAnsi="Cambria" w:cs="Times New Roman"/>
      <w:b/>
      <w:bCs/>
      <w:sz w:val="26"/>
      <w:szCs w:val="26"/>
    </w:rPr>
  </w:style>
  <w:style w:type="paragraph" w:styleId="Ttulo6">
    <w:name w:val="heading 6"/>
    <w:basedOn w:val="Normal"/>
    <w:next w:val="Normal"/>
    <w:link w:val="Ttulo6Car"/>
    <w:qFormat/>
    <w:rsid w:val="007E7C9A"/>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7C9A"/>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7E7C9A"/>
    <w:rPr>
      <w:rFonts w:ascii="Arial" w:eastAsia="Times New Roman" w:hAnsi="Arial" w:cs="Times New Roman"/>
      <w:b/>
      <w:szCs w:val="24"/>
      <w:lang w:eastAsia="es-ES"/>
    </w:rPr>
  </w:style>
  <w:style w:type="numbering" w:customStyle="1" w:styleId="Sinlista1">
    <w:name w:val="Sin lista1"/>
    <w:next w:val="Sinlista"/>
    <w:uiPriority w:val="99"/>
    <w:semiHidden/>
    <w:unhideWhenUsed/>
    <w:rsid w:val="007E7C9A"/>
  </w:style>
  <w:style w:type="paragraph" w:styleId="Sangradetextonormal">
    <w:name w:val="Body Text Indent"/>
    <w:basedOn w:val="Normal"/>
    <w:link w:val="SangradetextonormalCar"/>
    <w:rsid w:val="007E7C9A"/>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7E7C9A"/>
    <w:rPr>
      <w:rFonts w:ascii="Times New Roman" w:eastAsia="Times New Roman" w:hAnsi="Times New Roman" w:cs="Times New Roman"/>
      <w:sz w:val="24"/>
      <w:szCs w:val="24"/>
      <w:lang w:eastAsia="es-ES"/>
    </w:rPr>
  </w:style>
  <w:style w:type="table" w:styleId="Tablaconcuadrcula">
    <w:name w:val="Table Grid"/>
    <w:basedOn w:val="Tablanormal"/>
    <w:rsid w:val="007E7C9A"/>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7E7C9A"/>
    <w:pPr>
      <w:tabs>
        <w:tab w:val="center" w:pos="4419"/>
        <w:tab w:val="right" w:pos="8838"/>
      </w:tabs>
      <w:spacing w:after="0" w:line="240" w:lineRule="auto"/>
    </w:pPr>
    <w:rPr>
      <w:rFonts w:ascii="Cambria" w:eastAsia="Times New Roman" w:hAnsi="Cambria" w:cs="Times New Roman"/>
      <w:sz w:val="24"/>
      <w:szCs w:val="24"/>
      <w:lang w:val="es-ES_tradnl" w:eastAsia="es-ES"/>
    </w:rPr>
  </w:style>
  <w:style w:type="character" w:customStyle="1" w:styleId="EncabezadoCar">
    <w:name w:val="Encabezado Car"/>
    <w:basedOn w:val="Fuentedeprrafopredeter"/>
    <w:link w:val="Encabezado"/>
    <w:uiPriority w:val="99"/>
    <w:rsid w:val="007E7C9A"/>
    <w:rPr>
      <w:rFonts w:ascii="Cambria" w:eastAsia="Times New Roman" w:hAnsi="Cambria" w:cs="Times New Roman"/>
      <w:sz w:val="24"/>
      <w:szCs w:val="24"/>
      <w:lang w:val="es-ES_tradnl" w:eastAsia="es-ES"/>
    </w:rPr>
  </w:style>
  <w:style w:type="paragraph" w:styleId="Prrafodelista">
    <w:name w:val="List Paragraph"/>
    <w:basedOn w:val="Normal"/>
    <w:uiPriority w:val="34"/>
    <w:qFormat/>
    <w:rsid w:val="007E7C9A"/>
    <w:pPr>
      <w:spacing w:after="0" w:line="240" w:lineRule="auto"/>
      <w:ind w:left="720"/>
      <w:contextualSpacing/>
    </w:pPr>
    <w:rPr>
      <w:rFonts w:ascii="Cambria" w:eastAsia="Times New Roman" w:hAnsi="Cambria" w:cs="Times New Roman"/>
      <w:sz w:val="24"/>
      <w:szCs w:val="24"/>
      <w:lang w:val="es-ES_tradnl" w:eastAsia="es-ES"/>
    </w:rPr>
  </w:style>
  <w:style w:type="paragraph" w:customStyle="1" w:styleId="Texto">
    <w:name w:val="Texto"/>
    <w:basedOn w:val="Normal"/>
    <w:link w:val="TextoCar"/>
    <w:qFormat/>
    <w:rsid w:val="007E7C9A"/>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7E7C9A"/>
    <w:rPr>
      <w:rFonts w:ascii="Arial" w:eastAsia="Times New Roman" w:hAnsi="Arial" w:cs="Times New Roman"/>
      <w:sz w:val="18"/>
      <w:szCs w:val="20"/>
      <w:lang w:val="es-ES" w:eastAsia="es-ES"/>
    </w:rPr>
  </w:style>
  <w:style w:type="paragraph" w:styleId="Piedepgina">
    <w:name w:val="footer"/>
    <w:basedOn w:val="Normal"/>
    <w:link w:val="PiedepginaCar"/>
    <w:uiPriority w:val="99"/>
    <w:unhideWhenUsed/>
    <w:rsid w:val="007E7C9A"/>
    <w:pPr>
      <w:tabs>
        <w:tab w:val="center" w:pos="4419"/>
        <w:tab w:val="right" w:pos="8838"/>
      </w:tabs>
      <w:spacing w:after="0" w:line="240" w:lineRule="auto"/>
    </w:pPr>
    <w:rPr>
      <w:rFonts w:ascii="Cambria" w:eastAsia="Times New Roman" w:hAnsi="Cambria" w:cs="Times New Roman"/>
      <w:sz w:val="24"/>
      <w:szCs w:val="24"/>
      <w:lang w:val="es-ES_tradnl" w:eastAsia="es-ES"/>
    </w:rPr>
  </w:style>
  <w:style w:type="character" w:customStyle="1" w:styleId="PiedepginaCar">
    <w:name w:val="Pie de página Car"/>
    <w:basedOn w:val="Fuentedeprrafopredeter"/>
    <w:link w:val="Piedepgina"/>
    <w:uiPriority w:val="99"/>
    <w:rsid w:val="007E7C9A"/>
    <w:rPr>
      <w:rFonts w:ascii="Cambria" w:eastAsia="Times New Roman" w:hAnsi="Cambria" w:cs="Times New Roman"/>
      <w:sz w:val="24"/>
      <w:szCs w:val="24"/>
      <w:lang w:val="es-ES_tradnl" w:eastAsia="es-ES"/>
    </w:rPr>
  </w:style>
  <w:style w:type="paragraph" w:styleId="Textosinformato">
    <w:name w:val="Plain Text"/>
    <w:basedOn w:val="Normal"/>
    <w:link w:val="TextosinformatoCar"/>
    <w:rsid w:val="007E7C9A"/>
    <w:pPr>
      <w:autoSpaceDE w:val="0"/>
      <w:autoSpaceDN w:val="0"/>
      <w:spacing w:after="0" w:line="240" w:lineRule="auto"/>
    </w:pPr>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7E7C9A"/>
    <w:rPr>
      <w:rFonts w:ascii="Courier New" w:eastAsia="Times New Roman" w:hAnsi="Courier New" w:cs="Courier New"/>
      <w:sz w:val="20"/>
      <w:szCs w:val="20"/>
      <w:lang w:val="es-ES"/>
    </w:rPr>
  </w:style>
  <w:style w:type="character" w:customStyle="1" w:styleId="Ttulo3Car">
    <w:name w:val="Título 3 Car"/>
    <w:basedOn w:val="Fuentedeprrafopredeter"/>
    <w:link w:val="Ttulo3"/>
    <w:uiPriority w:val="9"/>
    <w:semiHidden/>
    <w:rsid w:val="00324BB3"/>
    <w:rPr>
      <w:rFonts w:ascii="Cambria" w:eastAsia="Times New Roman" w:hAnsi="Cambria" w:cs="Times New Roman"/>
      <w:b/>
      <w:bCs/>
      <w:sz w:val="26"/>
      <w:szCs w:val="26"/>
    </w:rPr>
  </w:style>
  <w:style w:type="character" w:customStyle="1" w:styleId="apple-converted-space">
    <w:name w:val="apple-converted-space"/>
    <w:basedOn w:val="Fuentedeprrafopredeter"/>
    <w:rsid w:val="0032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32</Pages>
  <Words>6529</Words>
  <Characters>35912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Y. Lara Medrano</dc:creator>
  <cp:lastModifiedBy>Sharon Y. Lara Medrano</cp:lastModifiedBy>
  <cp:revision>3</cp:revision>
  <dcterms:created xsi:type="dcterms:W3CDTF">2017-03-07T19:08:00Z</dcterms:created>
  <dcterms:modified xsi:type="dcterms:W3CDTF">2017-05-16T15:51:00Z</dcterms:modified>
</cp:coreProperties>
</file>