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B52" w:rsidRDefault="006F3019" w:rsidP="006F3019">
      <w:pPr>
        <w:spacing w:line="240" w:lineRule="auto"/>
        <w:jc w:val="center"/>
        <w:rPr>
          <w:rFonts w:cs="Arial"/>
          <w:b/>
          <w:sz w:val="20"/>
          <w:szCs w:val="20"/>
        </w:rPr>
      </w:pPr>
      <w:r w:rsidRPr="003E2DC9">
        <w:rPr>
          <w:rFonts w:cs="Arial"/>
          <w:b/>
          <w:sz w:val="20"/>
          <w:szCs w:val="20"/>
        </w:rPr>
        <w:t>Cuenta Pública</w:t>
      </w:r>
      <w:r w:rsidR="00440DB4">
        <w:rPr>
          <w:rFonts w:cs="Arial"/>
          <w:b/>
          <w:sz w:val="20"/>
          <w:szCs w:val="20"/>
        </w:rPr>
        <w:t xml:space="preserve"> 201</w:t>
      </w:r>
      <w:r w:rsidR="00BA07F6">
        <w:rPr>
          <w:rFonts w:cs="Arial"/>
          <w:b/>
          <w:sz w:val="20"/>
          <w:szCs w:val="20"/>
        </w:rPr>
        <w:t>7</w:t>
      </w:r>
    </w:p>
    <w:p w:rsidR="006F3019" w:rsidRPr="003E2DC9" w:rsidRDefault="006F0BF0" w:rsidP="006F3019">
      <w:pPr>
        <w:spacing w:line="240" w:lineRule="auto"/>
        <w:jc w:val="center"/>
        <w:rPr>
          <w:rFonts w:cs="Arial"/>
          <w:b/>
          <w:sz w:val="20"/>
          <w:szCs w:val="20"/>
        </w:rPr>
      </w:pPr>
      <w:r w:rsidRPr="003E2DC9">
        <w:rPr>
          <w:rFonts w:cs="Arial"/>
          <w:b/>
          <w:sz w:val="20"/>
          <w:szCs w:val="20"/>
        </w:rPr>
        <w:t>Notas a los Estados Financieros</w:t>
      </w:r>
    </w:p>
    <w:p w:rsidR="006F3019" w:rsidRPr="003E2DC9" w:rsidRDefault="000773CA" w:rsidP="006F3019">
      <w:pPr>
        <w:spacing w:line="240" w:lineRule="auto"/>
        <w:jc w:val="center"/>
        <w:rPr>
          <w:rFonts w:cs="Arial"/>
          <w:b/>
          <w:sz w:val="20"/>
          <w:szCs w:val="20"/>
        </w:rPr>
      </w:pPr>
      <w:r w:rsidRPr="003E2DC9">
        <w:rPr>
          <w:rFonts w:cs="Arial"/>
          <w:b/>
          <w:sz w:val="20"/>
          <w:szCs w:val="20"/>
        </w:rPr>
        <w:t>A</w:t>
      </w:r>
      <w:r w:rsidR="00915AD7">
        <w:rPr>
          <w:rFonts w:cs="Arial"/>
          <w:b/>
          <w:sz w:val="20"/>
          <w:szCs w:val="20"/>
        </w:rPr>
        <w:t xml:space="preserve">l </w:t>
      </w:r>
      <w:r w:rsidR="0007049C">
        <w:rPr>
          <w:rFonts w:cs="Arial"/>
          <w:b/>
          <w:sz w:val="20"/>
          <w:szCs w:val="20"/>
        </w:rPr>
        <w:t>31</w:t>
      </w:r>
      <w:r w:rsidR="00915AD7">
        <w:rPr>
          <w:rFonts w:cs="Arial"/>
          <w:b/>
          <w:sz w:val="20"/>
          <w:szCs w:val="20"/>
        </w:rPr>
        <w:t xml:space="preserve"> de </w:t>
      </w:r>
      <w:r w:rsidR="0007049C">
        <w:rPr>
          <w:rFonts w:cs="Arial"/>
          <w:b/>
          <w:sz w:val="20"/>
          <w:szCs w:val="20"/>
        </w:rPr>
        <w:t>Marz</w:t>
      </w:r>
      <w:r w:rsidR="00BB1ACF">
        <w:rPr>
          <w:rFonts w:cs="Arial"/>
          <w:b/>
          <w:sz w:val="20"/>
          <w:szCs w:val="20"/>
        </w:rPr>
        <w:t>o</w:t>
      </w:r>
      <w:r w:rsidR="00915AD7">
        <w:rPr>
          <w:rFonts w:cs="Arial"/>
          <w:b/>
          <w:sz w:val="20"/>
          <w:szCs w:val="20"/>
        </w:rPr>
        <w:t xml:space="preserve"> de 201</w:t>
      </w:r>
      <w:r w:rsidR="00F82F3D">
        <w:rPr>
          <w:rFonts w:cs="Arial"/>
          <w:b/>
          <w:sz w:val="20"/>
          <w:szCs w:val="20"/>
        </w:rPr>
        <w:t>7</w:t>
      </w:r>
    </w:p>
    <w:p w:rsidR="006F3019" w:rsidRPr="003E2DC9" w:rsidRDefault="006F3019" w:rsidP="006F3019">
      <w:pPr>
        <w:spacing w:line="240" w:lineRule="auto"/>
        <w:jc w:val="center"/>
        <w:rPr>
          <w:rFonts w:cs="Arial"/>
          <w:b/>
          <w:sz w:val="20"/>
          <w:szCs w:val="20"/>
        </w:rPr>
      </w:pPr>
      <w:r w:rsidRPr="003E2DC9">
        <w:rPr>
          <w:rFonts w:cs="Arial"/>
          <w:b/>
          <w:sz w:val="20"/>
          <w:szCs w:val="20"/>
        </w:rPr>
        <w:t>(Pesos)</w:t>
      </w:r>
    </w:p>
    <w:p w:rsidR="004C47CE" w:rsidRDefault="004C47CE" w:rsidP="004C47CE">
      <w:pPr>
        <w:spacing w:line="240" w:lineRule="auto"/>
        <w:rPr>
          <w:rFonts w:cs="Arial"/>
          <w:b/>
          <w:sz w:val="20"/>
          <w:szCs w:val="20"/>
          <w:u w:val="single"/>
        </w:rPr>
      </w:pPr>
      <w:r>
        <w:rPr>
          <w:rFonts w:cs="Arial"/>
          <w:b/>
          <w:sz w:val="20"/>
          <w:szCs w:val="20"/>
        </w:rPr>
        <w:t>Ente Público:  INSTITUTO TECNOLÓGICO SUPERIOR PROGRESO</w:t>
      </w:r>
    </w:p>
    <w:p w:rsidR="00594617" w:rsidRDefault="00594617" w:rsidP="006F3019">
      <w:pPr>
        <w:spacing w:line="240" w:lineRule="auto"/>
        <w:rPr>
          <w:rFonts w:cs="Arial"/>
          <w:b/>
          <w:sz w:val="20"/>
          <w:szCs w:val="20"/>
        </w:rPr>
      </w:pPr>
      <w:r>
        <w:rPr>
          <w:rFonts w:cs="Arial"/>
          <w:b/>
          <w:sz w:val="20"/>
          <w:szCs w:val="20"/>
        </w:rPr>
        <w:t>NOTAS DE GESTIÓN ADMINISTRATIVO</w:t>
      </w:r>
    </w:p>
    <w:p w:rsidR="00952FDA" w:rsidRPr="00E275EB" w:rsidRDefault="00952FDA" w:rsidP="00952FDA">
      <w:pPr>
        <w:pStyle w:val="Prrafodelista"/>
        <w:rPr>
          <w:b/>
          <w:sz w:val="20"/>
          <w:szCs w:val="20"/>
        </w:rPr>
      </w:pPr>
    </w:p>
    <w:p w:rsidR="00952FDA" w:rsidRPr="004627E1" w:rsidRDefault="00952FDA" w:rsidP="00952FDA">
      <w:pPr>
        <w:pStyle w:val="Prrafodelista"/>
        <w:numPr>
          <w:ilvl w:val="0"/>
          <w:numId w:val="4"/>
        </w:numPr>
        <w:spacing w:after="0" w:line="240" w:lineRule="auto"/>
        <w:rPr>
          <w:rFonts w:eastAsia="Times New Roman" w:cs="Times New Roman"/>
          <w:b/>
          <w:sz w:val="20"/>
          <w:szCs w:val="20"/>
          <w:lang w:eastAsia="es-ES"/>
        </w:rPr>
      </w:pPr>
      <w:r w:rsidRPr="004627E1">
        <w:rPr>
          <w:rFonts w:eastAsia="Times New Roman" w:cs="Times New Roman"/>
          <w:b/>
          <w:sz w:val="20"/>
          <w:szCs w:val="20"/>
          <w:lang w:eastAsia="es-ES"/>
        </w:rPr>
        <w:t>ENTIDAD  (CONSTITUCION Y OBJETIVO)</w:t>
      </w:r>
    </w:p>
    <w:p w:rsidR="00952FDA" w:rsidRPr="00E275EB" w:rsidRDefault="00952FDA" w:rsidP="00952FDA">
      <w:p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El Instituto Tecnológico Superior Progreso es un Organismo Público Descentralizado del Gobierno del Estado con Personalidad Jurídico  y Patrimonio Propios, con domicilio en el municipio de Progreso, Yucatán.</w:t>
      </w:r>
    </w:p>
    <w:p w:rsidR="00952FDA" w:rsidRPr="00E275EB" w:rsidRDefault="00952FDA" w:rsidP="00952FDA">
      <w:p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El Instituto Tecnológico Superior Progreso tiene como objeto formar profesionales con igualdad de oportunidades y respeto al medio ambiente para contribuir al desarrollo tecnológico, científico y social.</w:t>
      </w:r>
    </w:p>
    <w:p w:rsidR="00952FDA" w:rsidRPr="00E275EB" w:rsidRDefault="00952FDA" w:rsidP="00952FDA">
      <w:pPr>
        <w:spacing w:after="0" w:line="240" w:lineRule="auto"/>
        <w:jc w:val="both"/>
        <w:rPr>
          <w:rFonts w:eastAsia="Times New Roman" w:cs="Times New Roman"/>
          <w:sz w:val="20"/>
          <w:szCs w:val="20"/>
          <w:lang w:val="es-ES_tradnl" w:eastAsia="es-ES"/>
        </w:rPr>
      </w:pPr>
      <w:r w:rsidRPr="00E275EB">
        <w:rPr>
          <w:rFonts w:eastAsia="Times New Roman" w:cs="Times New Roman"/>
          <w:sz w:val="20"/>
          <w:szCs w:val="20"/>
          <w:lang w:val="es-ES_tradnl" w:eastAsia="es-ES"/>
        </w:rPr>
        <w:t>El Instituto es una persona moral no contribuyente del Impuesto Sobre la Renta conforme al artículo 102 de la Ley correspondiente a dicho impuesto, las únicas obligaciones fiscales corresponden a las retenciones efectuadas sobre pagos a personas físicas, por lo impuestos señalados en dicha Ley.</w:t>
      </w:r>
    </w:p>
    <w:p w:rsidR="00952FDA" w:rsidRPr="00E275EB" w:rsidRDefault="00952FDA" w:rsidP="00952FDA">
      <w:pPr>
        <w:spacing w:after="0" w:line="240" w:lineRule="auto"/>
        <w:jc w:val="both"/>
        <w:rPr>
          <w:rFonts w:eastAsia="Times New Roman" w:cs="Times New Roman"/>
          <w:sz w:val="20"/>
          <w:szCs w:val="20"/>
          <w:lang w:val="es-ES_tradnl" w:eastAsia="es-ES"/>
        </w:rPr>
      </w:pPr>
    </w:p>
    <w:p w:rsidR="00952FDA" w:rsidRPr="004627E1" w:rsidRDefault="00952FDA" w:rsidP="00952FDA">
      <w:pPr>
        <w:pStyle w:val="Prrafodelista"/>
        <w:numPr>
          <w:ilvl w:val="0"/>
          <w:numId w:val="4"/>
        </w:numPr>
        <w:spacing w:after="0" w:line="240" w:lineRule="auto"/>
        <w:rPr>
          <w:rFonts w:eastAsia="Times New Roman" w:cs="Times New Roman"/>
          <w:b/>
          <w:sz w:val="20"/>
          <w:szCs w:val="20"/>
          <w:lang w:eastAsia="es-ES"/>
        </w:rPr>
      </w:pPr>
      <w:r w:rsidRPr="004627E1">
        <w:rPr>
          <w:rFonts w:eastAsia="Times New Roman" w:cs="Times New Roman"/>
          <w:b/>
          <w:sz w:val="20"/>
          <w:szCs w:val="20"/>
          <w:lang w:eastAsia="es-ES"/>
        </w:rPr>
        <w:t>PRINCIPALES POLITICAS Y PRÁCTICAS CONTABLES</w:t>
      </w:r>
    </w:p>
    <w:p w:rsidR="00952FDA" w:rsidRPr="00E275EB" w:rsidRDefault="00952FDA" w:rsidP="00952FDA">
      <w:p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Los estados financieros están preparados sobre bases históricas y no reconocen los efectos de la inflación en la información financiera. Así mismo es política del Instituto el preparar su información financiera sobre la base de reconocer sus ingresos cuando se reciben y sus gastos cuando se devengan además de acuerdo a la normatividad gubernamental registran las adquisiciones de activo fijo como gastos del año y se reconocen como activo fijo el valor de adquisición de dichos activos en el estado de activos, pasivos y patrimonio, afectando  a las partidas de inmuebles, muebles y patrimonio respectivamente.</w:t>
      </w:r>
    </w:p>
    <w:p w:rsidR="00952FDA" w:rsidRPr="00E275EB" w:rsidRDefault="00952FDA" w:rsidP="00952FDA">
      <w:pPr>
        <w:spacing w:after="0" w:line="240" w:lineRule="auto"/>
        <w:jc w:val="both"/>
        <w:rPr>
          <w:rFonts w:eastAsia="Times New Roman" w:cs="Times New Roman"/>
          <w:sz w:val="20"/>
          <w:szCs w:val="20"/>
          <w:lang w:eastAsia="es-ES"/>
        </w:rPr>
      </w:pPr>
    </w:p>
    <w:p w:rsidR="00952FDA" w:rsidRPr="00E275EB" w:rsidRDefault="00952FDA" w:rsidP="00952FDA">
      <w:p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Las principales políticas contables del instituto se resumen a continuación.</w:t>
      </w:r>
    </w:p>
    <w:p w:rsidR="00952FDA" w:rsidRPr="00E275EB" w:rsidRDefault="00952FDA" w:rsidP="00952FDA">
      <w:pPr>
        <w:numPr>
          <w:ilvl w:val="0"/>
          <w:numId w:val="2"/>
        </w:numPr>
        <w:spacing w:after="0" w:line="240" w:lineRule="auto"/>
        <w:jc w:val="both"/>
        <w:rPr>
          <w:rFonts w:eastAsia="Times New Roman" w:cs="Times New Roman"/>
          <w:b/>
          <w:sz w:val="20"/>
          <w:szCs w:val="20"/>
          <w:lang w:eastAsia="es-ES"/>
        </w:rPr>
      </w:pPr>
      <w:r w:rsidRPr="00E275EB">
        <w:rPr>
          <w:rFonts w:eastAsia="Times New Roman" w:cs="Times New Roman"/>
          <w:b/>
          <w:sz w:val="20"/>
          <w:szCs w:val="20"/>
          <w:lang w:eastAsia="es-ES"/>
        </w:rPr>
        <w:t xml:space="preserve">CONTROL DE INVENTARIOS.- </w:t>
      </w:r>
    </w:p>
    <w:p w:rsidR="00952FDA" w:rsidRPr="00E275EB" w:rsidRDefault="00952FDA" w:rsidP="00952FDA">
      <w:pPr>
        <w:numPr>
          <w:ilvl w:val="0"/>
          <w:numId w:val="3"/>
        </w:num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Se evalúan al costo de erogación, afectando al patrimonio y los gastos presupuestales del periodo, sin reconocer el demerito por el uso de dichos activos.</w:t>
      </w:r>
    </w:p>
    <w:p w:rsidR="00952FDA" w:rsidRPr="00E275EB" w:rsidRDefault="00952FDA" w:rsidP="00952FDA">
      <w:pPr>
        <w:numPr>
          <w:ilvl w:val="0"/>
          <w:numId w:val="2"/>
        </w:numPr>
        <w:spacing w:after="0" w:line="240" w:lineRule="auto"/>
        <w:jc w:val="both"/>
        <w:rPr>
          <w:rFonts w:eastAsia="Times New Roman" w:cs="Times New Roman"/>
          <w:b/>
          <w:sz w:val="20"/>
          <w:szCs w:val="20"/>
          <w:lang w:eastAsia="es-ES"/>
        </w:rPr>
      </w:pPr>
      <w:r w:rsidRPr="00E275EB">
        <w:rPr>
          <w:rFonts w:eastAsia="Times New Roman" w:cs="Times New Roman"/>
          <w:b/>
          <w:sz w:val="20"/>
          <w:szCs w:val="20"/>
          <w:lang w:eastAsia="es-ES"/>
        </w:rPr>
        <w:t>REGISTRO CONTABLE.-</w:t>
      </w:r>
    </w:p>
    <w:p w:rsidR="008823C2" w:rsidRDefault="00952FDA" w:rsidP="006F3019">
      <w:pPr>
        <w:numPr>
          <w:ilvl w:val="0"/>
          <w:numId w:val="3"/>
        </w:num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 xml:space="preserve">Los estados financieros están preparados sobre bases históricas y no reconocen los efectos de la inflación en la información financiera. </w:t>
      </w:r>
    </w:p>
    <w:p w:rsidR="00594617" w:rsidRPr="008823C2" w:rsidRDefault="00594617" w:rsidP="006F3019">
      <w:pPr>
        <w:numPr>
          <w:ilvl w:val="0"/>
          <w:numId w:val="3"/>
        </w:numPr>
        <w:spacing w:after="0" w:line="240" w:lineRule="auto"/>
        <w:jc w:val="both"/>
        <w:rPr>
          <w:rFonts w:eastAsia="Times New Roman" w:cs="Times New Roman"/>
          <w:sz w:val="20"/>
          <w:szCs w:val="20"/>
          <w:lang w:eastAsia="es-ES"/>
        </w:rPr>
      </w:pPr>
      <w:r w:rsidRPr="008823C2">
        <w:rPr>
          <w:rFonts w:cs="Arial"/>
          <w:b/>
          <w:sz w:val="20"/>
          <w:szCs w:val="20"/>
        </w:rPr>
        <w:lastRenderedPageBreak/>
        <w:t>NOTAS DE DESGLOSE</w:t>
      </w:r>
    </w:p>
    <w:p w:rsidR="00952FDA" w:rsidRPr="00E275EB" w:rsidRDefault="00952FDA" w:rsidP="00952FDA">
      <w:pPr>
        <w:pStyle w:val="Prrafodelista"/>
        <w:numPr>
          <w:ilvl w:val="0"/>
          <w:numId w:val="5"/>
        </w:numPr>
        <w:ind w:left="567" w:hanging="567"/>
        <w:rPr>
          <w:b/>
          <w:sz w:val="20"/>
          <w:szCs w:val="20"/>
        </w:rPr>
      </w:pPr>
      <w:r w:rsidRPr="00E275EB">
        <w:rPr>
          <w:b/>
          <w:sz w:val="20"/>
          <w:szCs w:val="20"/>
        </w:rPr>
        <w:t>NOTAS AL ESTADO DE SITUACIÓN FINANCIERA</w:t>
      </w:r>
    </w:p>
    <w:p w:rsidR="00952FDA" w:rsidRPr="00E275EB" w:rsidRDefault="00952FDA" w:rsidP="00952FDA">
      <w:pPr>
        <w:spacing w:after="0" w:line="240" w:lineRule="auto"/>
        <w:jc w:val="both"/>
        <w:rPr>
          <w:rFonts w:eastAsia="Times New Roman" w:cs="Times New Roman"/>
          <w:b/>
          <w:sz w:val="20"/>
          <w:szCs w:val="20"/>
          <w:lang w:eastAsia="es-ES"/>
        </w:rPr>
      </w:pPr>
      <w:r w:rsidRPr="00E275EB">
        <w:rPr>
          <w:rFonts w:eastAsia="Times New Roman" w:cs="Times New Roman"/>
          <w:b/>
          <w:sz w:val="20"/>
          <w:szCs w:val="20"/>
          <w:lang w:eastAsia="es-ES"/>
        </w:rPr>
        <w:t>NOTA 1.  EFECTIVO Y EQUIVALENTES</w:t>
      </w:r>
    </w:p>
    <w:p w:rsidR="00952FDA" w:rsidRPr="00E275EB" w:rsidRDefault="00952FDA" w:rsidP="00952FDA">
      <w:pPr>
        <w:numPr>
          <w:ilvl w:val="0"/>
          <w:numId w:val="3"/>
        </w:numPr>
        <w:spacing w:after="0" w:line="240" w:lineRule="auto"/>
        <w:jc w:val="both"/>
        <w:rPr>
          <w:rFonts w:eastAsia="Times New Roman" w:cs="Times New Roman"/>
          <w:b/>
          <w:sz w:val="20"/>
          <w:szCs w:val="20"/>
          <w:lang w:eastAsia="es-ES"/>
        </w:rPr>
      </w:pPr>
      <w:r w:rsidRPr="00E275EB">
        <w:rPr>
          <w:rFonts w:eastAsia="Times New Roman" w:cs="Times New Roman"/>
          <w:sz w:val="20"/>
          <w:szCs w:val="20"/>
          <w:lang w:eastAsia="es-ES"/>
        </w:rPr>
        <w:t>Integrado por un fondo fijo de caja el cual es controlado por el coordinador del departamento de adquisiciones y es utilizado para reponer gastos menores propios de la operatividad de esta entidad. Así mismo por los estados de cuenta bancarios que reflejan los saldos en cada una de las cuentas de acuerdo a su fuente de financiamiento:</w:t>
      </w:r>
      <w:r w:rsidRPr="00E275EB">
        <w:rPr>
          <w:rFonts w:eastAsia="Times New Roman" w:cs="Times New Roman"/>
          <w:b/>
          <w:sz w:val="20"/>
          <w:szCs w:val="20"/>
          <w:lang w:eastAsia="es-ES"/>
        </w:rPr>
        <w:t xml:space="preserve"> Federal, Estatal e Ingresos Propios.</w:t>
      </w:r>
      <w:r w:rsidRPr="00E275EB">
        <w:rPr>
          <w:rFonts w:eastAsia="Times New Roman" w:cs="Times New Roman"/>
          <w:sz w:val="20"/>
          <w:szCs w:val="20"/>
          <w:lang w:eastAsia="es-ES"/>
        </w:rPr>
        <w:t xml:space="preserve"> </w:t>
      </w:r>
    </w:p>
    <w:p w:rsidR="00952FDA" w:rsidRPr="00E275EB" w:rsidRDefault="00952FDA" w:rsidP="00952FDA">
      <w:pPr>
        <w:spacing w:after="0" w:line="240" w:lineRule="auto"/>
        <w:jc w:val="both"/>
        <w:rPr>
          <w:rFonts w:eastAsia="Times New Roman" w:cs="Times New Roman"/>
          <w:b/>
          <w:sz w:val="20"/>
          <w:szCs w:val="20"/>
          <w:lang w:eastAsia="es-ES"/>
        </w:rPr>
      </w:pPr>
    </w:p>
    <w:p w:rsidR="00952FDA" w:rsidRPr="00E275EB" w:rsidRDefault="00952FDA" w:rsidP="00952FDA">
      <w:pPr>
        <w:spacing w:after="0" w:line="240" w:lineRule="auto"/>
        <w:jc w:val="both"/>
        <w:rPr>
          <w:rFonts w:eastAsia="Times New Roman" w:cs="Times New Roman"/>
          <w:b/>
          <w:sz w:val="20"/>
          <w:szCs w:val="20"/>
          <w:lang w:eastAsia="es-ES"/>
        </w:rPr>
      </w:pPr>
      <w:r w:rsidRPr="00E275EB">
        <w:rPr>
          <w:rFonts w:eastAsia="Times New Roman" w:cs="Times New Roman"/>
          <w:b/>
          <w:sz w:val="20"/>
          <w:szCs w:val="20"/>
          <w:lang w:eastAsia="es-ES"/>
        </w:rPr>
        <w:t>NOTA 2.  DERECHOS A RECIBIR EFECTIVO O EQUIVALENTES</w:t>
      </w:r>
    </w:p>
    <w:p w:rsidR="00952FDA" w:rsidRPr="00E275EB" w:rsidRDefault="00952FDA" w:rsidP="00952FDA">
      <w:pPr>
        <w:numPr>
          <w:ilvl w:val="0"/>
          <w:numId w:val="3"/>
        </w:num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Representa el saldo de las cuentas a favor de la entidad</w:t>
      </w:r>
    </w:p>
    <w:p w:rsidR="00952FDA" w:rsidRPr="00E275EB" w:rsidRDefault="00952FDA" w:rsidP="00952FDA">
      <w:pPr>
        <w:spacing w:after="0" w:line="240" w:lineRule="auto"/>
        <w:ind w:left="720"/>
        <w:jc w:val="both"/>
        <w:rPr>
          <w:rFonts w:eastAsia="Times New Roman" w:cs="Times New Roman"/>
          <w:sz w:val="20"/>
          <w:szCs w:val="20"/>
          <w:lang w:eastAsia="es-ES"/>
        </w:rPr>
      </w:pPr>
      <w:r w:rsidRPr="00E275EB">
        <w:rPr>
          <w:rFonts w:eastAsia="Times New Roman" w:cs="Times New Roman"/>
          <w:sz w:val="20"/>
          <w:szCs w:val="20"/>
          <w:lang w:eastAsia="es-ES"/>
        </w:rPr>
        <w:t xml:space="preserve">                                                </w:t>
      </w:r>
    </w:p>
    <w:p w:rsidR="00952FDA" w:rsidRDefault="00952FDA" w:rsidP="00952FDA">
      <w:pPr>
        <w:spacing w:after="0" w:line="240" w:lineRule="auto"/>
        <w:jc w:val="both"/>
        <w:rPr>
          <w:rFonts w:eastAsia="Times New Roman" w:cs="Times New Roman"/>
          <w:b/>
          <w:sz w:val="20"/>
          <w:szCs w:val="20"/>
          <w:lang w:eastAsia="es-ES"/>
        </w:rPr>
      </w:pPr>
      <w:r w:rsidRPr="00E275EB">
        <w:rPr>
          <w:rFonts w:eastAsia="Times New Roman" w:cs="Times New Roman"/>
          <w:b/>
          <w:sz w:val="20"/>
          <w:szCs w:val="20"/>
          <w:lang w:eastAsia="es-ES"/>
        </w:rPr>
        <w:t>NOTA 3. PASIVO (ACREEDORES DIVERSOS)</w:t>
      </w:r>
    </w:p>
    <w:tbl>
      <w:tblPr>
        <w:tblW w:w="9465" w:type="dxa"/>
        <w:tblInd w:w="55" w:type="dxa"/>
        <w:tblCellMar>
          <w:left w:w="70" w:type="dxa"/>
          <w:right w:w="70" w:type="dxa"/>
        </w:tblCellMar>
        <w:tblLook w:val="04A0" w:firstRow="1" w:lastRow="0" w:firstColumn="1" w:lastColumn="0" w:noHBand="0" w:noVBand="1"/>
      </w:tblPr>
      <w:tblGrid>
        <w:gridCol w:w="1716"/>
        <w:gridCol w:w="5245"/>
        <w:gridCol w:w="1209"/>
        <w:gridCol w:w="369"/>
        <w:gridCol w:w="1209"/>
      </w:tblGrid>
      <w:tr w:rsidR="008358A2" w:rsidRPr="008358A2" w:rsidTr="008358A2">
        <w:trPr>
          <w:trHeight w:val="255"/>
        </w:trPr>
        <w:tc>
          <w:tcPr>
            <w:tcW w:w="6961" w:type="dxa"/>
            <w:gridSpan w:val="2"/>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b/>
                <w:bCs/>
                <w:sz w:val="20"/>
                <w:szCs w:val="20"/>
                <w:lang w:eastAsia="es-MX"/>
              </w:rPr>
            </w:pPr>
            <w:r w:rsidRPr="008358A2">
              <w:rPr>
                <w:rFonts w:ascii="Calibri" w:eastAsia="Times New Roman" w:hAnsi="Calibri" w:cs="Arial"/>
                <w:b/>
                <w:bCs/>
                <w:sz w:val="20"/>
                <w:szCs w:val="20"/>
                <w:lang w:eastAsia="es-MX"/>
              </w:rPr>
              <w:t>INTEGRACIÓN ACREEDORES DIVERSOS</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r>
      <w:tr w:rsidR="008358A2" w:rsidRPr="008358A2" w:rsidTr="008358A2">
        <w:trPr>
          <w:trHeight w:val="255"/>
        </w:trPr>
        <w:tc>
          <w:tcPr>
            <w:tcW w:w="6961" w:type="dxa"/>
            <w:gridSpan w:val="2"/>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b/>
                <w:bCs/>
                <w:sz w:val="20"/>
                <w:szCs w:val="20"/>
                <w:lang w:eastAsia="es-MX"/>
              </w:rPr>
            </w:pPr>
            <w:r w:rsidRPr="008358A2">
              <w:rPr>
                <w:rFonts w:ascii="Calibri" w:eastAsia="Times New Roman" w:hAnsi="Calibri" w:cs="Arial"/>
                <w:b/>
                <w:bCs/>
                <w:sz w:val="20"/>
                <w:szCs w:val="20"/>
                <w:lang w:eastAsia="es-MX"/>
              </w:rPr>
              <w:t>AL 31 DE MARZO DE 2017</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r>
      <w:tr w:rsidR="008358A2" w:rsidRPr="008358A2" w:rsidTr="008358A2">
        <w:trPr>
          <w:trHeight w:val="255"/>
        </w:trPr>
        <w:tc>
          <w:tcPr>
            <w:tcW w:w="1716" w:type="dxa"/>
            <w:tcBorders>
              <w:top w:val="nil"/>
              <w:left w:val="nil"/>
              <w:bottom w:val="single" w:sz="4" w:space="0" w:color="auto"/>
              <w:right w:val="nil"/>
            </w:tcBorders>
            <w:shd w:val="clear" w:color="auto" w:fill="auto"/>
            <w:noWrap/>
            <w:vAlign w:val="bottom"/>
            <w:hideMark/>
          </w:tcPr>
          <w:p w:rsidR="008358A2" w:rsidRPr="008358A2" w:rsidRDefault="008358A2" w:rsidP="008358A2">
            <w:pPr>
              <w:spacing w:after="0" w:line="240" w:lineRule="auto"/>
              <w:jc w:val="center"/>
              <w:rPr>
                <w:rFonts w:ascii="Calibri" w:eastAsia="Times New Roman" w:hAnsi="Calibri" w:cs="Arial"/>
                <w:b/>
                <w:bCs/>
                <w:sz w:val="20"/>
                <w:szCs w:val="20"/>
                <w:lang w:eastAsia="es-MX"/>
              </w:rPr>
            </w:pPr>
            <w:r w:rsidRPr="008358A2">
              <w:rPr>
                <w:rFonts w:ascii="Calibri" w:eastAsia="Times New Roman" w:hAnsi="Calibri" w:cs="Arial"/>
                <w:b/>
                <w:bCs/>
                <w:sz w:val="20"/>
                <w:szCs w:val="20"/>
                <w:lang w:eastAsia="es-MX"/>
              </w:rPr>
              <w:t>Cuenta</w:t>
            </w:r>
          </w:p>
        </w:tc>
        <w:tc>
          <w:tcPr>
            <w:tcW w:w="5245" w:type="dxa"/>
            <w:tcBorders>
              <w:top w:val="nil"/>
              <w:left w:val="nil"/>
              <w:bottom w:val="single" w:sz="4" w:space="0" w:color="auto"/>
              <w:right w:val="nil"/>
            </w:tcBorders>
            <w:shd w:val="clear" w:color="auto" w:fill="auto"/>
            <w:noWrap/>
            <w:vAlign w:val="bottom"/>
            <w:hideMark/>
          </w:tcPr>
          <w:p w:rsidR="008358A2" w:rsidRPr="008358A2" w:rsidRDefault="008358A2" w:rsidP="008358A2">
            <w:pPr>
              <w:spacing w:after="0" w:line="240" w:lineRule="auto"/>
              <w:jc w:val="center"/>
              <w:rPr>
                <w:rFonts w:ascii="Calibri" w:eastAsia="Times New Roman" w:hAnsi="Calibri" w:cs="Arial"/>
                <w:b/>
                <w:bCs/>
                <w:sz w:val="20"/>
                <w:szCs w:val="20"/>
                <w:lang w:eastAsia="es-MX"/>
              </w:rPr>
            </w:pPr>
            <w:r w:rsidRPr="008358A2">
              <w:rPr>
                <w:rFonts w:ascii="Calibri" w:eastAsia="Times New Roman" w:hAnsi="Calibri" w:cs="Arial"/>
                <w:b/>
                <w:bCs/>
                <w:sz w:val="20"/>
                <w:szCs w:val="20"/>
                <w:lang w:eastAsia="es-MX"/>
              </w:rPr>
              <w:t>Acreedores Diversos</w:t>
            </w:r>
          </w:p>
        </w:tc>
        <w:tc>
          <w:tcPr>
            <w:tcW w:w="926" w:type="dxa"/>
            <w:tcBorders>
              <w:top w:val="nil"/>
              <w:left w:val="nil"/>
              <w:bottom w:val="single" w:sz="4" w:space="0" w:color="auto"/>
              <w:right w:val="nil"/>
            </w:tcBorders>
            <w:shd w:val="clear" w:color="auto" w:fill="auto"/>
            <w:noWrap/>
            <w:vAlign w:val="bottom"/>
            <w:hideMark/>
          </w:tcPr>
          <w:p w:rsidR="008358A2" w:rsidRPr="008358A2" w:rsidRDefault="008358A2" w:rsidP="008358A2">
            <w:pPr>
              <w:spacing w:after="0" w:line="240" w:lineRule="auto"/>
              <w:jc w:val="center"/>
              <w:rPr>
                <w:rFonts w:ascii="Calibri" w:eastAsia="Times New Roman" w:hAnsi="Calibri" w:cs="Arial"/>
                <w:b/>
                <w:bCs/>
                <w:sz w:val="20"/>
                <w:szCs w:val="20"/>
                <w:lang w:eastAsia="es-MX"/>
              </w:rPr>
            </w:pPr>
            <w:r w:rsidRPr="008358A2">
              <w:rPr>
                <w:rFonts w:ascii="Calibri" w:eastAsia="Times New Roman" w:hAnsi="Calibri" w:cs="Arial"/>
                <w:b/>
                <w:bCs/>
                <w:sz w:val="20"/>
                <w:szCs w:val="20"/>
                <w:lang w:eastAsia="es-MX"/>
              </w:rPr>
              <w:t>2017</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b/>
                <w:bCs/>
                <w:sz w:val="20"/>
                <w:szCs w:val="20"/>
                <w:lang w:eastAsia="es-MX"/>
              </w:rPr>
            </w:pPr>
          </w:p>
        </w:tc>
        <w:tc>
          <w:tcPr>
            <w:tcW w:w="1209" w:type="dxa"/>
            <w:tcBorders>
              <w:top w:val="nil"/>
              <w:left w:val="nil"/>
              <w:bottom w:val="single" w:sz="4" w:space="0" w:color="auto"/>
              <w:right w:val="nil"/>
            </w:tcBorders>
            <w:shd w:val="clear" w:color="auto" w:fill="auto"/>
            <w:noWrap/>
            <w:vAlign w:val="bottom"/>
            <w:hideMark/>
          </w:tcPr>
          <w:p w:rsidR="008358A2" w:rsidRPr="008358A2" w:rsidRDefault="008358A2" w:rsidP="008358A2">
            <w:pPr>
              <w:spacing w:after="0" w:line="240" w:lineRule="auto"/>
              <w:jc w:val="center"/>
              <w:rPr>
                <w:rFonts w:ascii="Calibri" w:eastAsia="Times New Roman" w:hAnsi="Calibri" w:cs="Arial"/>
                <w:b/>
                <w:bCs/>
                <w:sz w:val="20"/>
                <w:szCs w:val="20"/>
                <w:lang w:eastAsia="es-MX"/>
              </w:rPr>
            </w:pPr>
            <w:r w:rsidRPr="008358A2">
              <w:rPr>
                <w:rFonts w:ascii="Calibri" w:eastAsia="Times New Roman" w:hAnsi="Calibri" w:cs="Arial"/>
                <w:b/>
                <w:bCs/>
                <w:sz w:val="20"/>
                <w:szCs w:val="20"/>
                <w:lang w:eastAsia="es-MX"/>
              </w:rPr>
              <w:t>2016</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6000-0100-0006</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GILBERTO CHI ORTIZ</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b/>
                <w:bCs/>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0.04</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6000-0100-0011</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JOSE CARLOS MENA NAVARRO</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48,479.54</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171,152.48</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6000-0100-0026</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SISTEMA HIGIENICO EMPRESARIAL,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12,308.75</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6000-0100-0027</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BEPENSA BEBIDAS,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4,512.09</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6000-0100-0033</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DISTRIBUIDORA MAYORISTA DE OFICINAS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35,317.22</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6000-0100-0035</w:t>
            </w:r>
          </w:p>
        </w:tc>
        <w:tc>
          <w:tcPr>
            <w:tcW w:w="5245" w:type="dxa"/>
            <w:tcBorders>
              <w:top w:val="nil"/>
              <w:left w:val="nil"/>
              <w:bottom w:val="nil"/>
              <w:right w:val="nil"/>
            </w:tcBorders>
            <w:shd w:val="clear" w:color="auto" w:fill="auto"/>
            <w:noWrap/>
            <w:vAlign w:val="bottom"/>
            <w:hideMark/>
          </w:tcPr>
          <w:p w:rsidR="008358A2" w:rsidRPr="004C47CE" w:rsidRDefault="008358A2" w:rsidP="008358A2">
            <w:pPr>
              <w:spacing w:after="0" w:line="240" w:lineRule="auto"/>
              <w:rPr>
                <w:rFonts w:ascii="Calibri" w:eastAsia="Times New Roman" w:hAnsi="Calibri" w:cs="Arial"/>
                <w:sz w:val="20"/>
                <w:szCs w:val="20"/>
                <w:lang w:val="en-US" w:eastAsia="es-MX"/>
              </w:rPr>
            </w:pPr>
            <w:r w:rsidRPr="004C47CE">
              <w:rPr>
                <w:rFonts w:ascii="Calibri" w:eastAsia="Times New Roman" w:hAnsi="Calibri" w:cs="Arial"/>
                <w:sz w:val="20"/>
                <w:szCs w:val="20"/>
                <w:lang w:val="en-US" w:eastAsia="es-MX"/>
              </w:rPr>
              <w:t>LLOYD´S REGISTER QUALITY ASSURANCE, INC.</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34,327.36</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6000-0100-0054</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FACTOR IMPRIME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37,735.44</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6000-0100-0055</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FRANKLIN GAMALIEL CARBALLO MASSA</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25,568.34</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6000-0100-0078</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RAFAEL FERNANDO NUÑEZ</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6,940.00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6000-0100-0096</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GASTRONOMIA FLAMINGOS,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1,320.00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6000-0100-0097</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JAVIER FRANCISCO AGUILAR PEREZ</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10,556.00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6000-0100-0099</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MOISES ALEJANDRO CRUZ RODRIGUEZ</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47,166.18</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6000-0100-0117</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QUIMICA MEXICANA INDUSTRIAL,S.A.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6,064.48</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6000-0100-0129</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JOSE GABINO TZEC VALLE</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6,960.00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lastRenderedPageBreak/>
              <w:t>6000-0100-0131</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CINTHIA ILEANA CHE KANTUN</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132.00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6000-0100-0152</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KAREN HAYDEE BERNAL RAMIREZ</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166,281.00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40,452.00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6000-0100-0159</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PATRICIO CAMPOS CANUL</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1,113.60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6000-0100-0163</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RADIOMOVIL DIPSA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4,230.00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6000-0100-0164</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MARIA DEL ROSARIO OY CHI</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12,000.00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6000-0100-0173</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CENTRO DE COPIADO MERIDA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53,089.12</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6000-0100-0184</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ESTELA PEREZ LUNA</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12,393.00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6000-0100-0185</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BLANCA ALICIA GOMEZ LARA</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19,923.32</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6000-0100-0209</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JAIFA ROSA SANDOVAL AUAIS</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7,631.97</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6000-0100-0218</w:t>
            </w:r>
          </w:p>
        </w:tc>
        <w:tc>
          <w:tcPr>
            <w:tcW w:w="5245" w:type="dxa"/>
            <w:tcBorders>
              <w:top w:val="nil"/>
              <w:left w:val="nil"/>
              <w:bottom w:val="nil"/>
              <w:right w:val="nil"/>
            </w:tcBorders>
            <w:shd w:val="clear" w:color="auto" w:fill="auto"/>
            <w:noWrap/>
            <w:vAlign w:val="bottom"/>
            <w:hideMark/>
          </w:tcPr>
          <w:p w:rsidR="008358A2" w:rsidRPr="004C47CE" w:rsidRDefault="008358A2" w:rsidP="008358A2">
            <w:pPr>
              <w:spacing w:after="0" w:line="240" w:lineRule="auto"/>
              <w:rPr>
                <w:rFonts w:ascii="Calibri" w:eastAsia="Times New Roman" w:hAnsi="Calibri" w:cs="Arial"/>
                <w:sz w:val="20"/>
                <w:szCs w:val="20"/>
                <w:lang w:val="en-US" w:eastAsia="es-MX"/>
              </w:rPr>
            </w:pPr>
            <w:r w:rsidRPr="004C47CE">
              <w:rPr>
                <w:rFonts w:ascii="Calibri" w:eastAsia="Times New Roman" w:hAnsi="Calibri" w:cs="Arial"/>
                <w:sz w:val="20"/>
                <w:szCs w:val="20"/>
                <w:lang w:val="en-US" w:eastAsia="es-MX"/>
              </w:rPr>
              <w:t>FOURSPORT PRODUCTS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28,420.00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6000-0100-0220</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MIRNA CRISTINA AYALA RAMAYO</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5,181.24</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6000-0100-0221</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MARIA GUADALUPE CHUC ONTIVEROS</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20,010.43</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6000-0100-0247</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ADA MILAGROSA GIL TUN</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6,484.40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24,563.00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6000-0100-0248</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MARIANA STEPHANIE NUÑEZ ESPAÑA</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812.00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6000-0100-0249</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SERVICIOS INTEGRALES BARGAS CAPORALI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35,290.68</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6000-0100-0251</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COMPAÑIA TIPOGRAFICA YUCATECA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18,095.96</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6000-0100-0266</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SURTIDORA DE MATERIALES EL TIGRE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2,375.50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6000-0100-0279</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VERONICA DE JESUS LARA VILLANUEVA</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88,832.80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6000-0100-0281</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FAUSTINO ALBERTO LEON CANTO</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52,983.15</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6000-0100-0301</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MAURICIO ARAGON DURAN</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44,545.42</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5,100.00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6000-0100-0302</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DELGADO Y COMPAÑIA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41,317.46</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6000-0100-0326</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JOSE MARTIN SALAZAR SALAZAR</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49,996.00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6000-0100-0328</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GLOBALIZADORA DE PRODUCTOS DE CONS. EFEC.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3,920.80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6000-0100-0332</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GABRIEL RAMOS VELAZQUEZ</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6,890.00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6000-0100-0343</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BORDEX DEL SURESTE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3,814.08</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6000-0100-0345</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RICHARD MANUEL RICALDE GONZALEZ</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15,312.00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6000-0100-0350</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HORTENCIA DEL CARMEN NOVELO CASTILLO</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5,510.00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6000-0100-0359</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JESUS MANUEL TINTORE MUÑOZ</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255.20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6000-0100-0362</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JUAN ALBERTO AGUILAR PEREZ</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19,140.00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6000-0100-0364</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RAMOS JOYERIA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26,100.00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lastRenderedPageBreak/>
              <w:t>6000-0100-0368</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IMPACTOS ESPECTACULARES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18,560.00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6000-0100-0369</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CESAR MANUEL BASTARRACHEA</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4,666.68</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6000-0100-0382</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LESLIE MICHELLE LERIOS WILSON</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2,580.03</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6000-0100-0385</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MARCO DE JESUS CANCHE GAMBOA</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5,346.44</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6000-0100-0391</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PATRICIA URZAIZ SUAREZ</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16,472.00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6000-0100-0392</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BEATRIZ EUGENIA LI VIERA</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69.60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6000-0100-0395</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HEWLETT PACKARD OPERATIONS MEXICO S DE RL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40,370.58</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6000-0100-0396</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HECTOR JAVIER CASTILLO BUENFIL</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43,500.00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6000-0100-0403</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AMADA GUADALUPE CHAVEZ MARRUFO</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2,370.78</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6000-0100-0407</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BRICKS FOR KIDZ DE MEXICO SCP</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38,976.00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6000-0100-0417</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MARIO DE LA CRUZ HERRERA SALVADOR</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6,380.00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6000-0100-0423</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INCUBADORA Y CAPACITADORA</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11,600.00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6000-0100-0432</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ERICK NOE ZAPATA CEBALLOS</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16,240.00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6000-0100-0439</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ALIANZA PARA EL DESARROLLO TECNOLOGICO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69,600.00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6000-0100-0446</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ENIFF CRISTINA CONSTANTINO BRIONES</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1,636.47</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6000-0100-0451</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EDENRED MEXICO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44,823.72</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6000-0100-0460</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JANNIER ILMAR ABREU BERNAT</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16,657.60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6000-0100-0461</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AGENCIA DE VIAJES GRANLATINA DE TUR. S DE RL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31,679.01</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6000-0100-0463</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SERVICIOS FLORES TADEO</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4,060.00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6000-0100-0476</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LUIS ALFONSO MALDONADO SOSA</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71,879.40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6000-0100-0480</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DEDUTEL EXPORTACIONES</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476,920.08</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6000-0100-0483</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ADAN ERNESTO JIMENEZ AGUILAR</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2,694.30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6000-0100-0486</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AMBER SEGURIDAD PRIVADA DE LA PENINSULA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135,122.90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6000-0100-0494</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ADRIANA VERONICA GONGORA</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14,500.00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6000-0100-0495</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DISITEC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392,075.17</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6000-0100-0499</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CORPORATIVO RPRR DE SERV. DE COMUNICACION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15,000.01</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6000-0100-0503</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IDEA Y VUELTA SCP</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4,547.20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6000-0100-0505</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EMOTION INTERACTIVE SC</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20,300.00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6000-0100-0506</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CARLOS ANTONIO MATIELLA DE ARRIGUNAGA</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23,200.00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6000-0100-0507</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JUAN DIEGO BALAM DIAZ</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870.00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lastRenderedPageBreak/>
              <w:t>6000-0100-0508</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DAVID ALBERTO SANSORES PERAZA</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24,870.40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6000-0100-0509</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HUB DE INNOV. SUST. Y FABRIC.DIGITAL S DE RL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12,000.00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6000-0100-0510</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RESPONSABILIDAD DIGITAL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17,400.00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6000-0100-0511</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MEJORA EMPRESARIAL APLICADA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11,600.00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6000-0100-0512</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UNIVERSIDAD TECNOLOGICA DEL PONIENTE</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5,000.00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6000-0100-0513</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PUBLICIDAD E IMPRESOS AMEC S DE RL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1,740.00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6000-0100-0514</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JOSE ERNESTO ALVAREZ CAMPOS</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1,380.40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6000-0100-0515</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VICTOR MANUEL CELIS PADRON</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5,599.00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6000-0100-0516</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EVA DAVINIA ALVARADO GONZALEZ</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2,320.00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6000-0100-0518</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ASOCIACION POBLANA DE HANDBALL AC</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3,132.00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6000-0100-0519</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VC MEX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15,699.67</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6000-0100-0520</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INTELIGENCIA ORGANIZACIONAL DE MEX SC DE RL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6,960.00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6000-0100-0521</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GONZALO GIL TROCONIS</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6,960.00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6000-0100-0522</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COTECNA INSPECTIONS DE MEXICO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18,484.47</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6000-0100-0523</w:t>
            </w: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TECNOLOGIA APLICADA A LA CALIDAD SA DE CV</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6,960.00</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sz w:val="20"/>
                <w:szCs w:val="20"/>
                <w:lang w:eastAsia="es-MX"/>
              </w:rPr>
            </w:pPr>
            <w:r w:rsidRPr="008358A2">
              <w:rPr>
                <w:rFonts w:ascii="Calibri" w:eastAsia="Times New Roman" w:hAnsi="Calibri" w:cs="Arial"/>
                <w:sz w:val="20"/>
                <w:szCs w:val="20"/>
                <w:lang w:eastAsia="es-MX"/>
              </w:rPr>
              <w:t>0.00</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926" w:type="dxa"/>
            <w:tcBorders>
              <w:top w:val="nil"/>
              <w:left w:val="nil"/>
              <w:bottom w:val="single" w:sz="4" w:space="0" w:color="auto"/>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 </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single" w:sz="4" w:space="0" w:color="auto"/>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r w:rsidRPr="008358A2">
              <w:rPr>
                <w:rFonts w:ascii="Calibri" w:eastAsia="Times New Roman" w:hAnsi="Calibri" w:cs="Arial"/>
                <w:sz w:val="20"/>
                <w:szCs w:val="20"/>
                <w:lang w:eastAsia="es-MX"/>
              </w:rPr>
              <w:t> </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b/>
                <w:bCs/>
                <w:sz w:val="20"/>
                <w:szCs w:val="20"/>
                <w:lang w:eastAsia="es-MX"/>
              </w:rPr>
            </w:pPr>
            <w:r w:rsidRPr="008358A2">
              <w:rPr>
                <w:rFonts w:ascii="Calibri" w:eastAsia="Times New Roman" w:hAnsi="Calibri" w:cs="Arial"/>
                <w:b/>
                <w:bCs/>
                <w:sz w:val="20"/>
                <w:szCs w:val="20"/>
                <w:lang w:eastAsia="es-MX"/>
              </w:rPr>
              <w:t>2,698,080.44</w:t>
            </w: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b/>
                <w:bCs/>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b/>
                <w:bCs/>
                <w:sz w:val="20"/>
                <w:szCs w:val="20"/>
                <w:lang w:eastAsia="es-MX"/>
              </w:rPr>
            </w:pPr>
            <w:r w:rsidRPr="008358A2">
              <w:rPr>
                <w:rFonts w:ascii="Calibri" w:eastAsia="Times New Roman" w:hAnsi="Calibri" w:cs="Arial"/>
                <w:b/>
                <w:bCs/>
                <w:sz w:val="20"/>
                <w:szCs w:val="20"/>
                <w:lang w:eastAsia="es-MX"/>
              </w:rPr>
              <w:t>245,327.48</w:t>
            </w: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r>
      <w:tr w:rsidR="008358A2" w:rsidRPr="008358A2" w:rsidTr="008358A2">
        <w:trPr>
          <w:trHeight w:val="255"/>
        </w:trPr>
        <w:tc>
          <w:tcPr>
            <w:tcW w:w="171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5245"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center"/>
              <w:rPr>
                <w:rFonts w:ascii="Calibri" w:eastAsia="Times New Roman" w:hAnsi="Calibri" w:cs="Arial"/>
                <w:b/>
                <w:bCs/>
                <w:sz w:val="20"/>
                <w:szCs w:val="20"/>
                <w:lang w:eastAsia="es-MX"/>
              </w:rPr>
            </w:pPr>
            <w:r w:rsidRPr="008358A2">
              <w:rPr>
                <w:rFonts w:ascii="Calibri" w:eastAsia="Times New Roman" w:hAnsi="Calibri" w:cs="Arial"/>
                <w:b/>
                <w:bCs/>
                <w:sz w:val="20"/>
                <w:szCs w:val="20"/>
                <w:lang w:eastAsia="es-MX"/>
              </w:rPr>
              <w:t>SALDO AL 31 DE MARZO DE 2017</w:t>
            </w:r>
          </w:p>
        </w:tc>
        <w:tc>
          <w:tcPr>
            <w:tcW w:w="926"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36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rPr>
                <w:rFonts w:ascii="Calibri" w:eastAsia="Times New Roman" w:hAnsi="Calibri" w:cs="Arial"/>
                <w:sz w:val="20"/>
                <w:szCs w:val="20"/>
                <w:lang w:eastAsia="es-MX"/>
              </w:rPr>
            </w:pPr>
          </w:p>
        </w:tc>
        <w:tc>
          <w:tcPr>
            <w:tcW w:w="1209" w:type="dxa"/>
            <w:tcBorders>
              <w:top w:val="nil"/>
              <w:left w:val="nil"/>
              <w:bottom w:val="nil"/>
              <w:right w:val="nil"/>
            </w:tcBorders>
            <w:shd w:val="clear" w:color="auto" w:fill="auto"/>
            <w:noWrap/>
            <w:vAlign w:val="bottom"/>
            <w:hideMark/>
          </w:tcPr>
          <w:p w:rsidR="008358A2" w:rsidRPr="008358A2" w:rsidRDefault="008358A2" w:rsidP="008358A2">
            <w:pPr>
              <w:spacing w:after="0" w:line="240" w:lineRule="auto"/>
              <w:jc w:val="right"/>
              <w:rPr>
                <w:rFonts w:ascii="Calibri" w:eastAsia="Times New Roman" w:hAnsi="Calibri" w:cs="Arial"/>
                <w:b/>
                <w:bCs/>
                <w:sz w:val="20"/>
                <w:szCs w:val="20"/>
                <w:lang w:eastAsia="es-MX"/>
              </w:rPr>
            </w:pPr>
            <w:r w:rsidRPr="008358A2">
              <w:rPr>
                <w:rFonts w:ascii="Calibri" w:eastAsia="Times New Roman" w:hAnsi="Calibri" w:cs="Arial"/>
                <w:b/>
                <w:bCs/>
                <w:sz w:val="20"/>
                <w:szCs w:val="20"/>
                <w:lang w:eastAsia="es-MX"/>
              </w:rPr>
              <w:t>2,943,407.92</w:t>
            </w:r>
          </w:p>
        </w:tc>
      </w:tr>
    </w:tbl>
    <w:p w:rsidR="00F82F3D" w:rsidRDefault="00F82F3D" w:rsidP="00952FDA">
      <w:pPr>
        <w:spacing w:after="0" w:line="240" w:lineRule="auto"/>
        <w:jc w:val="both"/>
        <w:rPr>
          <w:rFonts w:eastAsia="Times New Roman" w:cs="Times New Roman"/>
          <w:b/>
          <w:sz w:val="20"/>
          <w:szCs w:val="20"/>
          <w:lang w:eastAsia="es-ES"/>
        </w:rPr>
      </w:pPr>
    </w:p>
    <w:p w:rsidR="008358A2" w:rsidRDefault="008358A2" w:rsidP="00952FDA">
      <w:pPr>
        <w:spacing w:after="0" w:line="240" w:lineRule="auto"/>
        <w:jc w:val="both"/>
        <w:rPr>
          <w:rFonts w:eastAsia="Times New Roman" w:cs="Times New Roman"/>
          <w:b/>
          <w:sz w:val="20"/>
          <w:szCs w:val="20"/>
          <w:lang w:eastAsia="es-ES"/>
        </w:rPr>
      </w:pPr>
    </w:p>
    <w:p w:rsidR="008358A2" w:rsidRDefault="008358A2" w:rsidP="00952FDA">
      <w:pPr>
        <w:spacing w:after="0" w:line="240" w:lineRule="auto"/>
        <w:jc w:val="both"/>
        <w:rPr>
          <w:rFonts w:eastAsia="Times New Roman" w:cs="Times New Roman"/>
          <w:b/>
          <w:sz w:val="20"/>
          <w:szCs w:val="20"/>
          <w:lang w:eastAsia="es-ES"/>
        </w:rPr>
      </w:pPr>
    </w:p>
    <w:p w:rsidR="008358A2" w:rsidRDefault="008358A2" w:rsidP="00952FDA">
      <w:pPr>
        <w:spacing w:after="0" w:line="240" w:lineRule="auto"/>
        <w:jc w:val="both"/>
        <w:rPr>
          <w:rFonts w:eastAsia="Times New Roman" w:cs="Times New Roman"/>
          <w:b/>
          <w:sz w:val="20"/>
          <w:szCs w:val="20"/>
          <w:lang w:eastAsia="es-ES"/>
        </w:rPr>
      </w:pPr>
    </w:p>
    <w:p w:rsidR="008358A2" w:rsidRDefault="008358A2" w:rsidP="00952FDA">
      <w:pPr>
        <w:spacing w:after="0" w:line="240" w:lineRule="auto"/>
        <w:jc w:val="both"/>
        <w:rPr>
          <w:rFonts w:eastAsia="Times New Roman" w:cs="Times New Roman"/>
          <w:b/>
          <w:sz w:val="20"/>
          <w:szCs w:val="20"/>
          <w:lang w:eastAsia="es-ES"/>
        </w:rPr>
      </w:pPr>
    </w:p>
    <w:p w:rsidR="00952FDA" w:rsidRPr="00E275EB" w:rsidRDefault="00952FDA" w:rsidP="00952FDA">
      <w:pPr>
        <w:pStyle w:val="Prrafodelista"/>
        <w:numPr>
          <w:ilvl w:val="0"/>
          <w:numId w:val="5"/>
        </w:numPr>
        <w:ind w:left="567" w:hanging="567"/>
        <w:rPr>
          <w:b/>
          <w:sz w:val="20"/>
          <w:szCs w:val="20"/>
        </w:rPr>
      </w:pPr>
      <w:r w:rsidRPr="00E275EB">
        <w:rPr>
          <w:b/>
          <w:sz w:val="20"/>
          <w:szCs w:val="20"/>
        </w:rPr>
        <w:t>NOTAS AL ESTADO DE ACTIVIDADES</w:t>
      </w:r>
    </w:p>
    <w:p w:rsidR="00952FDA" w:rsidRPr="00E275EB" w:rsidRDefault="00952FDA" w:rsidP="00952FDA">
      <w:p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NOTA 4. REGISTRO DE LOS INGRESOS</w:t>
      </w:r>
      <w:r w:rsidRPr="00E275EB">
        <w:rPr>
          <w:rFonts w:eastAsia="Times New Roman" w:cs="Times New Roman"/>
          <w:sz w:val="20"/>
          <w:szCs w:val="20"/>
          <w:lang w:eastAsia="es-ES"/>
        </w:rPr>
        <w:t xml:space="preserve">.- </w:t>
      </w:r>
    </w:p>
    <w:p w:rsidR="00952FDA" w:rsidRPr="00E275EB" w:rsidRDefault="00952FDA" w:rsidP="00952FDA">
      <w:pPr>
        <w:spacing w:after="0" w:line="240" w:lineRule="auto"/>
        <w:ind w:left="360"/>
        <w:jc w:val="both"/>
        <w:rPr>
          <w:rFonts w:eastAsia="Times New Roman" w:cs="Times New Roman"/>
          <w:sz w:val="20"/>
          <w:szCs w:val="20"/>
          <w:lang w:eastAsia="es-ES"/>
        </w:rPr>
      </w:pPr>
    </w:p>
    <w:p w:rsidR="00952FDA" w:rsidRPr="00E275EB"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Ingresos por subsidio federal.</w:t>
      </w:r>
      <w:r w:rsidRPr="00E275EB">
        <w:rPr>
          <w:rFonts w:eastAsia="Times New Roman" w:cs="Times New Roman"/>
          <w:sz w:val="20"/>
          <w:szCs w:val="20"/>
          <w:lang w:eastAsia="es-ES"/>
        </w:rPr>
        <w:t xml:space="preserve"> Son los ingresos por subsidio provenientes del presupuesto asignado por el gobierno federal de acuerdo a la ley de egresos vigente para cada año y se registra conforme se transfieren lo recursos.</w:t>
      </w:r>
    </w:p>
    <w:p w:rsidR="00952FDA" w:rsidRPr="00E275EB" w:rsidRDefault="00952FDA" w:rsidP="00952FDA">
      <w:pPr>
        <w:spacing w:after="0" w:line="240" w:lineRule="auto"/>
        <w:ind w:left="1080"/>
        <w:jc w:val="both"/>
        <w:rPr>
          <w:rFonts w:eastAsia="Times New Roman" w:cs="Times New Roman"/>
          <w:sz w:val="20"/>
          <w:szCs w:val="20"/>
          <w:lang w:eastAsia="es-ES"/>
        </w:rPr>
      </w:pPr>
    </w:p>
    <w:p w:rsidR="00952FDA" w:rsidRPr="00E275EB"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Ingresos por subsidio estatal.</w:t>
      </w:r>
      <w:r w:rsidRPr="00E275EB">
        <w:rPr>
          <w:rFonts w:eastAsia="Times New Roman" w:cs="Times New Roman"/>
          <w:sz w:val="20"/>
          <w:szCs w:val="20"/>
          <w:lang w:eastAsia="es-ES"/>
        </w:rPr>
        <w:t xml:space="preserve"> Son los Ingresos por subsidio provenientes del presupuesto asignado por el gobierno estatal de acuerdo a la ley de egresos vigente para cada año y se registran conforme se transfieren los recursos.</w:t>
      </w:r>
    </w:p>
    <w:p w:rsidR="00952FDA" w:rsidRPr="00E275EB" w:rsidRDefault="00952FDA" w:rsidP="00952FDA">
      <w:pPr>
        <w:spacing w:after="0" w:line="240" w:lineRule="auto"/>
        <w:ind w:left="1080"/>
        <w:jc w:val="both"/>
        <w:rPr>
          <w:rFonts w:eastAsia="Times New Roman" w:cs="Times New Roman"/>
          <w:sz w:val="20"/>
          <w:szCs w:val="20"/>
          <w:lang w:eastAsia="es-ES"/>
        </w:rPr>
      </w:pPr>
    </w:p>
    <w:p w:rsidR="00952FDA" w:rsidRPr="00E275EB"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Ingresos Propios.</w:t>
      </w:r>
      <w:r w:rsidRPr="00E275EB">
        <w:rPr>
          <w:rFonts w:eastAsia="Times New Roman" w:cs="Times New Roman"/>
          <w:sz w:val="20"/>
          <w:szCs w:val="20"/>
          <w:lang w:eastAsia="es-ES"/>
        </w:rPr>
        <w:t xml:space="preserve"> Por inscripciones, derechos de examen, etc..</w:t>
      </w:r>
    </w:p>
    <w:p w:rsidR="00952FDA" w:rsidRPr="00E275EB" w:rsidRDefault="00952FDA" w:rsidP="00952FDA">
      <w:pPr>
        <w:spacing w:after="0" w:line="240" w:lineRule="auto"/>
        <w:jc w:val="both"/>
        <w:rPr>
          <w:rFonts w:eastAsia="Times New Roman" w:cs="Times New Roman"/>
          <w:sz w:val="20"/>
          <w:szCs w:val="20"/>
          <w:lang w:eastAsia="es-ES"/>
        </w:rPr>
      </w:pPr>
    </w:p>
    <w:p w:rsidR="00952FDA"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Otros ingresos.</w:t>
      </w:r>
      <w:r w:rsidRPr="00E275EB">
        <w:rPr>
          <w:rFonts w:eastAsia="Times New Roman" w:cs="Times New Roman"/>
          <w:sz w:val="20"/>
          <w:szCs w:val="20"/>
          <w:lang w:eastAsia="es-ES"/>
        </w:rPr>
        <w:t xml:space="preserve"> Corresponden a los productos financieros derivados de las inversiones bancarias.</w:t>
      </w:r>
    </w:p>
    <w:p w:rsidR="00952FDA" w:rsidRDefault="00952FDA" w:rsidP="00952FDA">
      <w:pPr>
        <w:spacing w:after="0" w:line="240" w:lineRule="auto"/>
        <w:jc w:val="both"/>
        <w:rPr>
          <w:rFonts w:eastAsia="Times New Roman" w:cs="Times New Roman"/>
          <w:b/>
          <w:sz w:val="20"/>
          <w:szCs w:val="20"/>
          <w:lang w:eastAsia="es-ES"/>
        </w:rPr>
      </w:pPr>
      <w:r w:rsidRPr="00E275EB">
        <w:rPr>
          <w:rFonts w:eastAsia="Times New Roman" w:cs="Times New Roman"/>
          <w:b/>
          <w:sz w:val="20"/>
          <w:szCs w:val="20"/>
          <w:lang w:eastAsia="es-ES"/>
        </w:rPr>
        <w:t>NOTA 5. REGISTRO DE LOS EGRESOS.-</w:t>
      </w:r>
    </w:p>
    <w:p w:rsidR="00952FDA" w:rsidRPr="00E275EB" w:rsidRDefault="00952FDA" w:rsidP="00952FDA">
      <w:p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 xml:space="preserve">  </w:t>
      </w:r>
    </w:p>
    <w:p w:rsidR="00952FDA" w:rsidRPr="00E275EB"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 xml:space="preserve">Servicios personales. </w:t>
      </w:r>
      <w:r w:rsidRPr="00E275EB">
        <w:rPr>
          <w:rFonts w:eastAsia="Times New Roman" w:cs="Times New Roman"/>
          <w:sz w:val="20"/>
          <w:szCs w:val="20"/>
          <w:lang w:eastAsia="es-ES"/>
        </w:rPr>
        <w:t>Asignaciones destinadas a pagos al personal empleado en la entidad, así como las cuotas por conceptos de seguridad social derivadas de estos servicios y otras prestaciones sociales. Se registran como se devengan.</w:t>
      </w:r>
    </w:p>
    <w:p w:rsidR="00952FDA" w:rsidRPr="00E275EB"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 xml:space="preserve">Materiales y suministros. </w:t>
      </w:r>
      <w:r w:rsidRPr="00E275EB">
        <w:rPr>
          <w:rFonts w:eastAsia="Times New Roman" w:cs="Times New Roman"/>
          <w:sz w:val="20"/>
          <w:szCs w:val="20"/>
          <w:lang w:eastAsia="es-ES"/>
        </w:rPr>
        <w:t xml:space="preserve">Asignaciones destinadas a la adquisición de toda clase de insumos requeridos para </w:t>
      </w:r>
      <w:r>
        <w:rPr>
          <w:rFonts w:eastAsia="Times New Roman" w:cs="Times New Roman"/>
          <w:sz w:val="20"/>
          <w:szCs w:val="20"/>
          <w:lang w:eastAsia="es-ES"/>
        </w:rPr>
        <w:t>el</w:t>
      </w:r>
      <w:r w:rsidRPr="00E275EB">
        <w:rPr>
          <w:rFonts w:eastAsia="Times New Roman" w:cs="Times New Roman"/>
          <w:sz w:val="20"/>
          <w:szCs w:val="20"/>
          <w:lang w:eastAsia="es-ES"/>
        </w:rPr>
        <w:t xml:space="preserve"> desempeño de las actividades administrativas. Se registran conforme se devengan.</w:t>
      </w:r>
    </w:p>
    <w:p w:rsidR="00952FDA" w:rsidRPr="00E275EB" w:rsidRDefault="00952FDA" w:rsidP="00952FDA">
      <w:pPr>
        <w:spacing w:after="0" w:line="240" w:lineRule="auto"/>
        <w:ind w:left="1080"/>
        <w:jc w:val="both"/>
        <w:rPr>
          <w:rFonts w:eastAsia="Times New Roman" w:cs="Times New Roman"/>
          <w:sz w:val="20"/>
          <w:szCs w:val="20"/>
          <w:lang w:eastAsia="es-ES"/>
        </w:rPr>
      </w:pPr>
    </w:p>
    <w:p w:rsidR="00952FDA" w:rsidRPr="00E275EB"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 xml:space="preserve">Servicios generales. </w:t>
      </w:r>
      <w:r w:rsidRPr="00E275EB">
        <w:rPr>
          <w:rFonts w:eastAsia="Times New Roman" w:cs="Times New Roman"/>
          <w:sz w:val="20"/>
          <w:szCs w:val="20"/>
          <w:lang w:eastAsia="es-ES"/>
        </w:rPr>
        <w:t>Asignaciones destinadas a cubrir el costo de todo tipo que se contraten a particulares y al sector público. Asimismo incluyen el importe del impuesto al valor agregado no acreditado por adquisiciones de materiales y servicios. Se registran conforme se devengan.</w:t>
      </w:r>
    </w:p>
    <w:p w:rsidR="00952FDA" w:rsidRPr="00E275EB" w:rsidRDefault="00952FDA" w:rsidP="00952FDA">
      <w:pPr>
        <w:spacing w:after="0" w:line="240" w:lineRule="auto"/>
        <w:ind w:left="1080"/>
        <w:jc w:val="both"/>
        <w:rPr>
          <w:rFonts w:eastAsia="Times New Roman" w:cs="Times New Roman"/>
          <w:sz w:val="20"/>
          <w:szCs w:val="20"/>
          <w:lang w:eastAsia="es-ES"/>
        </w:rPr>
      </w:pPr>
    </w:p>
    <w:p w:rsidR="00952FDA" w:rsidRPr="001B07EF" w:rsidRDefault="00952FDA" w:rsidP="00952FDA">
      <w:pPr>
        <w:numPr>
          <w:ilvl w:val="1"/>
          <w:numId w:val="5"/>
        </w:numPr>
        <w:spacing w:after="0" w:line="240" w:lineRule="auto"/>
        <w:jc w:val="both"/>
        <w:rPr>
          <w:rFonts w:eastAsia="Times New Roman" w:cs="Times New Roman"/>
          <w:sz w:val="20"/>
          <w:szCs w:val="20"/>
          <w:lang w:eastAsia="es-ES"/>
        </w:rPr>
      </w:pPr>
      <w:r w:rsidRPr="001B07EF">
        <w:rPr>
          <w:rFonts w:eastAsia="Times New Roman" w:cs="Times New Roman"/>
          <w:b/>
          <w:sz w:val="20"/>
          <w:szCs w:val="20"/>
          <w:lang w:eastAsia="es-ES"/>
        </w:rPr>
        <w:t xml:space="preserve">Bienes muebles e inmuebles. </w:t>
      </w:r>
      <w:r w:rsidRPr="001B07EF">
        <w:rPr>
          <w:rFonts w:eastAsia="Times New Roman" w:cs="Times New Roman"/>
          <w:sz w:val="20"/>
          <w:szCs w:val="20"/>
          <w:lang w:eastAsia="es-ES"/>
        </w:rPr>
        <w:t>Asignaciones destinadas a la adquisición de toda clase de bienes inmuebles requeridos en el desempeño de las actividades. Asimismo el importe del impuesto al valor agregado no acreditado por adquisiciones de materiales y servicios se registran conforme se devengan.</w:t>
      </w:r>
    </w:p>
    <w:p w:rsidR="002C58EF" w:rsidRDefault="002C58EF" w:rsidP="006F3019">
      <w:pPr>
        <w:spacing w:line="240" w:lineRule="auto"/>
        <w:rPr>
          <w:rFonts w:cs="Arial"/>
          <w:b/>
          <w:sz w:val="20"/>
          <w:szCs w:val="20"/>
        </w:rPr>
      </w:pPr>
    </w:p>
    <w:p w:rsidR="00184E0F" w:rsidRDefault="00184E0F" w:rsidP="00184E0F">
      <w:pPr>
        <w:spacing w:line="240" w:lineRule="auto"/>
        <w:rPr>
          <w:rFonts w:cs="Arial"/>
          <w:b/>
          <w:sz w:val="20"/>
          <w:szCs w:val="20"/>
        </w:rPr>
      </w:pPr>
      <w:r>
        <w:rPr>
          <w:rFonts w:cs="Arial"/>
          <w:b/>
          <w:sz w:val="20"/>
          <w:szCs w:val="20"/>
        </w:rPr>
        <w:t>NOTAS DE MEMORIA</w:t>
      </w:r>
    </w:p>
    <w:p w:rsidR="00184E0F" w:rsidRPr="00E275EB" w:rsidRDefault="00184E0F" w:rsidP="00184E0F">
      <w:pPr>
        <w:jc w:val="both"/>
        <w:rPr>
          <w:b/>
          <w:sz w:val="20"/>
          <w:szCs w:val="20"/>
        </w:rPr>
      </w:pPr>
      <w:r w:rsidRPr="00E275EB">
        <w:rPr>
          <w:b/>
          <w:sz w:val="20"/>
          <w:szCs w:val="20"/>
        </w:rPr>
        <w:t>Cuentas de Orden Contables y Presupuestarias</w:t>
      </w:r>
    </w:p>
    <w:p w:rsidR="00184E0F" w:rsidRPr="002545FC" w:rsidRDefault="00184E0F" w:rsidP="00184E0F">
      <w:pPr>
        <w:pStyle w:val="Prrafodelista"/>
        <w:numPr>
          <w:ilvl w:val="0"/>
          <w:numId w:val="6"/>
        </w:numPr>
        <w:spacing w:after="0" w:line="240" w:lineRule="auto"/>
        <w:jc w:val="both"/>
        <w:rPr>
          <w:rFonts w:eastAsia="Times New Roman" w:cs="Times New Roman"/>
          <w:sz w:val="20"/>
          <w:szCs w:val="20"/>
          <w:lang w:eastAsia="es-ES"/>
        </w:rPr>
      </w:pPr>
      <w:r w:rsidRPr="00E275EB">
        <w:rPr>
          <w:sz w:val="20"/>
          <w:szCs w:val="20"/>
        </w:rPr>
        <w:t xml:space="preserve">Contables: Actualmente se tiene en comodato el vehículo </w:t>
      </w:r>
      <w:r>
        <w:rPr>
          <w:sz w:val="20"/>
          <w:szCs w:val="20"/>
        </w:rPr>
        <w:t>Honda Civic Modelo 2016 Turbo Plus Civic Sedan CVT, placas ZAY-2245 y</w:t>
      </w:r>
      <w:r w:rsidRPr="00E275EB">
        <w:rPr>
          <w:sz w:val="20"/>
          <w:szCs w:val="20"/>
        </w:rPr>
        <w:t xml:space="preserve"> n</w:t>
      </w:r>
      <w:r>
        <w:rPr>
          <w:sz w:val="20"/>
          <w:szCs w:val="20"/>
        </w:rPr>
        <w:t>úmero de serie 19XFC1600C0GE602526</w:t>
      </w:r>
      <w:r w:rsidRPr="00E275EB">
        <w:rPr>
          <w:sz w:val="20"/>
          <w:szCs w:val="20"/>
        </w:rPr>
        <w:t>.</w:t>
      </w:r>
    </w:p>
    <w:p w:rsidR="00184E0F" w:rsidRPr="004C47CE" w:rsidRDefault="00184E0F" w:rsidP="006F3019">
      <w:pPr>
        <w:spacing w:line="240" w:lineRule="auto"/>
        <w:rPr>
          <w:rFonts w:cs="Arial"/>
          <w:sz w:val="20"/>
          <w:szCs w:val="20"/>
        </w:rPr>
      </w:pPr>
    </w:p>
    <w:p w:rsidR="002C58EF" w:rsidRPr="004C47CE" w:rsidRDefault="004C47CE" w:rsidP="006F3019">
      <w:pPr>
        <w:spacing w:line="240" w:lineRule="auto"/>
        <w:rPr>
          <w:rFonts w:cs="Arial"/>
          <w:sz w:val="20"/>
          <w:szCs w:val="20"/>
        </w:rPr>
      </w:pPr>
      <w:r>
        <w:rPr>
          <w:rFonts w:cs="Arial"/>
          <w:sz w:val="20"/>
          <w:szCs w:val="20"/>
        </w:rPr>
        <w:t xml:space="preserve">Bajo protesta de decir </w:t>
      </w:r>
      <w:r w:rsidR="002C58EF" w:rsidRPr="004C47CE">
        <w:rPr>
          <w:rFonts w:cs="Arial"/>
          <w:sz w:val="20"/>
          <w:szCs w:val="20"/>
        </w:rPr>
        <w:t xml:space="preserve"> verdad declaramos que</w:t>
      </w:r>
      <w:r w:rsidR="008823C2">
        <w:rPr>
          <w:rFonts w:cs="Arial"/>
          <w:sz w:val="20"/>
          <w:szCs w:val="20"/>
        </w:rPr>
        <w:t xml:space="preserve"> los Estados Financieros y sus N</w:t>
      </w:r>
      <w:bookmarkStart w:id="0" w:name="_GoBack"/>
      <w:bookmarkEnd w:id="0"/>
      <w:r w:rsidR="002C58EF" w:rsidRPr="004C47CE">
        <w:rPr>
          <w:rFonts w:cs="Arial"/>
          <w:sz w:val="20"/>
          <w:szCs w:val="20"/>
        </w:rPr>
        <w:t>otas son razonablemente correctos y responsabilidad del emisor.</w:t>
      </w:r>
    </w:p>
    <w:sectPr w:rsidR="002C58EF" w:rsidRPr="004C47CE" w:rsidSect="008823C2">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B0954E5"/>
    <w:multiLevelType w:val="hybridMultilevel"/>
    <w:tmpl w:val="E3360F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F27BB3"/>
    <w:multiLevelType w:val="hybridMultilevel"/>
    <w:tmpl w:val="137CB99A"/>
    <w:lvl w:ilvl="0" w:tplc="F13E8272">
      <w:start w:val="1"/>
      <w:numFmt w:val="bullet"/>
      <w:lvlText w:val="-"/>
      <w:lvlJc w:val="left"/>
      <w:pPr>
        <w:tabs>
          <w:tab w:val="num" w:pos="720"/>
        </w:tabs>
        <w:ind w:left="720" w:hanging="360"/>
      </w:pPr>
      <w:rPr>
        <w:rFonts w:ascii="Times New Roman" w:eastAsia="Times New Roman" w:hAnsi="Times New Roman" w:cs="Times New Roman"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71D1515"/>
    <w:multiLevelType w:val="hybridMultilevel"/>
    <w:tmpl w:val="53B26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8AD1384"/>
    <w:multiLevelType w:val="hybridMultilevel"/>
    <w:tmpl w:val="FFF61576"/>
    <w:lvl w:ilvl="0" w:tplc="0C0A0019">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8DA11BD"/>
    <w:multiLevelType w:val="hybridMultilevel"/>
    <w:tmpl w:val="30D6DE6E"/>
    <w:lvl w:ilvl="0" w:tplc="3CA4BB6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7049C"/>
    <w:rsid w:val="000773CA"/>
    <w:rsid w:val="000A61B3"/>
    <w:rsid w:val="00157874"/>
    <w:rsid w:val="00164C95"/>
    <w:rsid w:val="0017152C"/>
    <w:rsid w:val="00184E0F"/>
    <w:rsid w:val="00227943"/>
    <w:rsid w:val="00232086"/>
    <w:rsid w:val="00235B76"/>
    <w:rsid w:val="002C58EF"/>
    <w:rsid w:val="003129FF"/>
    <w:rsid w:val="003E2DC9"/>
    <w:rsid w:val="003E5BEC"/>
    <w:rsid w:val="00440DB4"/>
    <w:rsid w:val="004522A4"/>
    <w:rsid w:val="00460E72"/>
    <w:rsid w:val="004C47CE"/>
    <w:rsid w:val="004D24A7"/>
    <w:rsid w:val="005620D4"/>
    <w:rsid w:val="00594617"/>
    <w:rsid w:val="005A1EA8"/>
    <w:rsid w:val="006108BB"/>
    <w:rsid w:val="00625135"/>
    <w:rsid w:val="00626DFB"/>
    <w:rsid w:val="0067300E"/>
    <w:rsid w:val="006F0BF0"/>
    <w:rsid w:val="006F3019"/>
    <w:rsid w:val="00746312"/>
    <w:rsid w:val="007F4368"/>
    <w:rsid w:val="008358A2"/>
    <w:rsid w:val="008823C2"/>
    <w:rsid w:val="008C78CD"/>
    <w:rsid w:val="00915AD7"/>
    <w:rsid w:val="009375F1"/>
    <w:rsid w:val="00952FDA"/>
    <w:rsid w:val="009F0748"/>
    <w:rsid w:val="00A05150"/>
    <w:rsid w:val="00A3278C"/>
    <w:rsid w:val="00A60A3B"/>
    <w:rsid w:val="00B2241D"/>
    <w:rsid w:val="00B56042"/>
    <w:rsid w:val="00BA07F6"/>
    <w:rsid w:val="00BB1ACF"/>
    <w:rsid w:val="00BF6CAF"/>
    <w:rsid w:val="00C271D1"/>
    <w:rsid w:val="00D1142F"/>
    <w:rsid w:val="00D17FA2"/>
    <w:rsid w:val="00D83798"/>
    <w:rsid w:val="00E25A03"/>
    <w:rsid w:val="00ED1C3A"/>
    <w:rsid w:val="00F26B8A"/>
    <w:rsid w:val="00F475B3"/>
    <w:rsid w:val="00F82F3D"/>
    <w:rsid w:val="00FA1B52"/>
    <w:rsid w:val="00FC0A5B"/>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52FDA"/>
    <w:pPr>
      <w:ind w:left="720"/>
      <w:contextualSpacing/>
    </w:pPr>
    <w:rPr>
      <w:lang w:val="es-ES"/>
    </w:rPr>
  </w:style>
  <w:style w:type="paragraph" w:styleId="Textodeglobo">
    <w:name w:val="Balloon Text"/>
    <w:basedOn w:val="Normal"/>
    <w:link w:val="TextodegloboCar"/>
    <w:uiPriority w:val="99"/>
    <w:semiHidden/>
    <w:unhideWhenUsed/>
    <w:rsid w:val="00BA07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7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52FDA"/>
    <w:pPr>
      <w:ind w:left="720"/>
      <w:contextualSpacing/>
    </w:pPr>
    <w:rPr>
      <w:lang w:val="es-ES"/>
    </w:rPr>
  </w:style>
  <w:style w:type="paragraph" w:styleId="Textodeglobo">
    <w:name w:val="Balloon Text"/>
    <w:basedOn w:val="Normal"/>
    <w:link w:val="TextodegloboCar"/>
    <w:uiPriority w:val="99"/>
    <w:semiHidden/>
    <w:unhideWhenUsed/>
    <w:rsid w:val="00BA07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7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976">
      <w:bodyDiv w:val="1"/>
      <w:marLeft w:val="0"/>
      <w:marRight w:val="0"/>
      <w:marTop w:val="0"/>
      <w:marBottom w:val="0"/>
      <w:divBdr>
        <w:top w:val="none" w:sz="0" w:space="0" w:color="auto"/>
        <w:left w:val="none" w:sz="0" w:space="0" w:color="auto"/>
        <w:bottom w:val="none" w:sz="0" w:space="0" w:color="auto"/>
        <w:right w:val="none" w:sz="0" w:space="0" w:color="auto"/>
      </w:divBdr>
    </w:div>
    <w:div w:id="7799614">
      <w:bodyDiv w:val="1"/>
      <w:marLeft w:val="0"/>
      <w:marRight w:val="0"/>
      <w:marTop w:val="0"/>
      <w:marBottom w:val="0"/>
      <w:divBdr>
        <w:top w:val="none" w:sz="0" w:space="0" w:color="auto"/>
        <w:left w:val="none" w:sz="0" w:space="0" w:color="auto"/>
        <w:bottom w:val="none" w:sz="0" w:space="0" w:color="auto"/>
        <w:right w:val="none" w:sz="0" w:space="0" w:color="auto"/>
      </w:divBdr>
    </w:div>
    <w:div w:id="174535135">
      <w:bodyDiv w:val="1"/>
      <w:marLeft w:val="0"/>
      <w:marRight w:val="0"/>
      <w:marTop w:val="0"/>
      <w:marBottom w:val="0"/>
      <w:divBdr>
        <w:top w:val="none" w:sz="0" w:space="0" w:color="auto"/>
        <w:left w:val="none" w:sz="0" w:space="0" w:color="auto"/>
        <w:bottom w:val="none" w:sz="0" w:space="0" w:color="auto"/>
        <w:right w:val="none" w:sz="0" w:space="0" w:color="auto"/>
      </w:divBdr>
    </w:div>
    <w:div w:id="192808263">
      <w:bodyDiv w:val="1"/>
      <w:marLeft w:val="0"/>
      <w:marRight w:val="0"/>
      <w:marTop w:val="0"/>
      <w:marBottom w:val="0"/>
      <w:divBdr>
        <w:top w:val="none" w:sz="0" w:space="0" w:color="auto"/>
        <w:left w:val="none" w:sz="0" w:space="0" w:color="auto"/>
        <w:bottom w:val="none" w:sz="0" w:space="0" w:color="auto"/>
        <w:right w:val="none" w:sz="0" w:space="0" w:color="auto"/>
      </w:divBdr>
    </w:div>
    <w:div w:id="619193230">
      <w:bodyDiv w:val="1"/>
      <w:marLeft w:val="0"/>
      <w:marRight w:val="0"/>
      <w:marTop w:val="0"/>
      <w:marBottom w:val="0"/>
      <w:divBdr>
        <w:top w:val="none" w:sz="0" w:space="0" w:color="auto"/>
        <w:left w:val="none" w:sz="0" w:space="0" w:color="auto"/>
        <w:bottom w:val="none" w:sz="0" w:space="0" w:color="auto"/>
        <w:right w:val="none" w:sz="0" w:space="0" w:color="auto"/>
      </w:divBdr>
    </w:div>
    <w:div w:id="818155134">
      <w:bodyDiv w:val="1"/>
      <w:marLeft w:val="0"/>
      <w:marRight w:val="0"/>
      <w:marTop w:val="0"/>
      <w:marBottom w:val="0"/>
      <w:divBdr>
        <w:top w:val="none" w:sz="0" w:space="0" w:color="auto"/>
        <w:left w:val="none" w:sz="0" w:space="0" w:color="auto"/>
        <w:bottom w:val="none" w:sz="0" w:space="0" w:color="auto"/>
        <w:right w:val="none" w:sz="0" w:space="0" w:color="auto"/>
      </w:divBdr>
    </w:div>
    <w:div w:id="830634615">
      <w:bodyDiv w:val="1"/>
      <w:marLeft w:val="0"/>
      <w:marRight w:val="0"/>
      <w:marTop w:val="0"/>
      <w:marBottom w:val="0"/>
      <w:divBdr>
        <w:top w:val="none" w:sz="0" w:space="0" w:color="auto"/>
        <w:left w:val="none" w:sz="0" w:space="0" w:color="auto"/>
        <w:bottom w:val="none" w:sz="0" w:space="0" w:color="auto"/>
        <w:right w:val="none" w:sz="0" w:space="0" w:color="auto"/>
      </w:divBdr>
    </w:div>
    <w:div w:id="871305386">
      <w:bodyDiv w:val="1"/>
      <w:marLeft w:val="0"/>
      <w:marRight w:val="0"/>
      <w:marTop w:val="0"/>
      <w:marBottom w:val="0"/>
      <w:divBdr>
        <w:top w:val="none" w:sz="0" w:space="0" w:color="auto"/>
        <w:left w:val="none" w:sz="0" w:space="0" w:color="auto"/>
        <w:bottom w:val="none" w:sz="0" w:space="0" w:color="auto"/>
        <w:right w:val="none" w:sz="0" w:space="0" w:color="auto"/>
      </w:divBdr>
    </w:div>
    <w:div w:id="1004627213">
      <w:bodyDiv w:val="1"/>
      <w:marLeft w:val="0"/>
      <w:marRight w:val="0"/>
      <w:marTop w:val="0"/>
      <w:marBottom w:val="0"/>
      <w:divBdr>
        <w:top w:val="none" w:sz="0" w:space="0" w:color="auto"/>
        <w:left w:val="none" w:sz="0" w:space="0" w:color="auto"/>
        <w:bottom w:val="none" w:sz="0" w:space="0" w:color="auto"/>
        <w:right w:val="none" w:sz="0" w:space="0" w:color="auto"/>
      </w:divBdr>
    </w:div>
    <w:div w:id="1009989114">
      <w:bodyDiv w:val="1"/>
      <w:marLeft w:val="0"/>
      <w:marRight w:val="0"/>
      <w:marTop w:val="0"/>
      <w:marBottom w:val="0"/>
      <w:divBdr>
        <w:top w:val="none" w:sz="0" w:space="0" w:color="auto"/>
        <w:left w:val="none" w:sz="0" w:space="0" w:color="auto"/>
        <w:bottom w:val="none" w:sz="0" w:space="0" w:color="auto"/>
        <w:right w:val="none" w:sz="0" w:space="0" w:color="auto"/>
      </w:divBdr>
    </w:div>
    <w:div w:id="1157263670">
      <w:bodyDiv w:val="1"/>
      <w:marLeft w:val="0"/>
      <w:marRight w:val="0"/>
      <w:marTop w:val="0"/>
      <w:marBottom w:val="0"/>
      <w:divBdr>
        <w:top w:val="none" w:sz="0" w:space="0" w:color="auto"/>
        <w:left w:val="none" w:sz="0" w:space="0" w:color="auto"/>
        <w:bottom w:val="none" w:sz="0" w:space="0" w:color="auto"/>
        <w:right w:val="none" w:sz="0" w:space="0" w:color="auto"/>
      </w:divBdr>
    </w:div>
    <w:div w:id="1209948537">
      <w:bodyDiv w:val="1"/>
      <w:marLeft w:val="0"/>
      <w:marRight w:val="0"/>
      <w:marTop w:val="0"/>
      <w:marBottom w:val="0"/>
      <w:divBdr>
        <w:top w:val="none" w:sz="0" w:space="0" w:color="auto"/>
        <w:left w:val="none" w:sz="0" w:space="0" w:color="auto"/>
        <w:bottom w:val="none" w:sz="0" w:space="0" w:color="auto"/>
        <w:right w:val="none" w:sz="0" w:space="0" w:color="auto"/>
      </w:divBdr>
    </w:div>
    <w:div w:id="1550608615">
      <w:bodyDiv w:val="1"/>
      <w:marLeft w:val="0"/>
      <w:marRight w:val="0"/>
      <w:marTop w:val="0"/>
      <w:marBottom w:val="0"/>
      <w:divBdr>
        <w:top w:val="none" w:sz="0" w:space="0" w:color="auto"/>
        <w:left w:val="none" w:sz="0" w:space="0" w:color="auto"/>
        <w:bottom w:val="none" w:sz="0" w:space="0" w:color="auto"/>
        <w:right w:val="none" w:sz="0" w:space="0" w:color="auto"/>
      </w:divBdr>
    </w:div>
    <w:div w:id="1580553716">
      <w:bodyDiv w:val="1"/>
      <w:marLeft w:val="0"/>
      <w:marRight w:val="0"/>
      <w:marTop w:val="0"/>
      <w:marBottom w:val="0"/>
      <w:divBdr>
        <w:top w:val="none" w:sz="0" w:space="0" w:color="auto"/>
        <w:left w:val="none" w:sz="0" w:space="0" w:color="auto"/>
        <w:bottom w:val="none" w:sz="0" w:space="0" w:color="auto"/>
        <w:right w:val="none" w:sz="0" w:space="0" w:color="auto"/>
      </w:divBdr>
    </w:div>
    <w:div w:id="1890998011">
      <w:bodyDiv w:val="1"/>
      <w:marLeft w:val="0"/>
      <w:marRight w:val="0"/>
      <w:marTop w:val="0"/>
      <w:marBottom w:val="0"/>
      <w:divBdr>
        <w:top w:val="none" w:sz="0" w:space="0" w:color="auto"/>
        <w:left w:val="none" w:sz="0" w:space="0" w:color="auto"/>
        <w:bottom w:val="none" w:sz="0" w:space="0" w:color="auto"/>
        <w:right w:val="none" w:sz="0" w:space="0" w:color="auto"/>
      </w:divBdr>
    </w:div>
    <w:div w:id="2021160145">
      <w:bodyDiv w:val="1"/>
      <w:marLeft w:val="0"/>
      <w:marRight w:val="0"/>
      <w:marTop w:val="0"/>
      <w:marBottom w:val="0"/>
      <w:divBdr>
        <w:top w:val="none" w:sz="0" w:space="0" w:color="auto"/>
        <w:left w:val="none" w:sz="0" w:space="0" w:color="auto"/>
        <w:bottom w:val="none" w:sz="0" w:space="0" w:color="auto"/>
        <w:right w:val="none" w:sz="0" w:space="0" w:color="auto"/>
      </w:divBdr>
    </w:div>
    <w:div w:id="21042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1623</Words>
  <Characters>8930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Alvar Ricardo Cachón Pérez</cp:lastModifiedBy>
  <cp:revision>4</cp:revision>
  <cp:lastPrinted>2017-02-21T19:18:00Z</cp:lastPrinted>
  <dcterms:created xsi:type="dcterms:W3CDTF">2017-04-26T16:51:00Z</dcterms:created>
  <dcterms:modified xsi:type="dcterms:W3CDTF">2018-05-07T19:41:00Z</dcterms:modified>
</cp:coreProperties>
</file>