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CEE" w:rsidRPr="005B5121" w:rsidRDefault="005B5121" w:rsidP="001D0119">
      <w:pPr>
        <w:spacing w:line="240" w:lineRule="auto"/>
        <w:jc w:val="center"/>
        <w:rPr>
          <w:rFonts w:asciiTheme="minorHAnsi" w:hAnsiTheme="minorHAnsi" w:cs="Arial"/>
          <w:b/>
          <w:sz w:val="20"/>
          <w:szCs w:val="20"/>
        </w:rPr>
      </w:pPr>
      <w:bookmarkStart w:id="0" w:name="_GoBack"/>
      <w:bookmarkEnd w:id="0"/>
      <w:r>
        <w:rPr>
          <w:rFonts w:asciiTheme="minorHAnsi" w:hAnsiTheme="minorHAnsi" w:cs="Arial"/>
          <w:b/>
          <w:sz w:val="20"/>
          <w:szCs w:val="20"/>
        </w:rPr>
        <w:t>Cuenta Pública 2017</w:t>
      </w:r>
    </w:p>
    <w:p w:rsidR="007C1CEE" w:rsidRPr="005B5121" w:rsidRDefault="007C1CEE" w:rsidP="001D0119">
      <w:pPr>
        <w:spacing w:line="240" w:lineRule="auto"/>
        <w:jc w:val="center"/>
        <w:rPr>
          <w:rFonts w:asciiTheme="minorHAnsi" w:hAnsiTheme="minorHAnsi" w:cs="Arial"/>
          <w:b/>
          <w:sz w:val="20"/>
          <w:szCs w:val="20"/>
        </w:rPr>
      </w:pPr>
      <w:r w:rsidRPr="005B5121">
        <w:rPr>
          <w:rFonts w:asciiTheme="minorHAnsi" w:hAnsiTheme="minorHAnsi" w:cs="Arial"/>
          <w:b/>
          <w:sz w:val="20"/>
          <w:szCs w:val="20"/>
        </w:rPr>
        <w:t>Notas a los Estados Financieros</w:t>
      </w:r>
    </w:p>
    <w:p w:rsidR="007C1CEE" w:rsidRPr="005B5121" w:rsidRDefault="005B5121" w:rsidP="001D0119">
      <w:pPr>
        <w:spacing w:line="240" w:lineRule="auto"/>
        <w:jc w:val="center"/>
        <w:rPr>
          <w:rFonts w:asciiTheme="minorHAnsi" w:hAnsiTheme="minorHAnsi" w:cs="Arial"/>
          <w:b/>
          <w:sz w:val="20"/>
          <w:szCs w:val="20"/>
        </w:rPr>
      </w:pPr>
      <w:r>
        <w:rPr>
          <w:rFonts w:asciiTheme="minorHAnsi" w:hAnsiTheme="minorHAnsi" w:cs="Arial"/>
          <w:b/>
          <w:sz w:val="20"/>
          <w:szCs w:val="20"/>
        </w:rPr>
        <w:t>Al 31 de Marzo de 2017</w:t>
      </w:r>
    </w:p>
    <w:p w:rsidR="007C1CEE" w:rsidRPr="005B5121" w:rsidRDefault="007C1CEE" w:rsidP="001D0119">
      <w:pPr>
        <w:spacing w:line="240" w:lineRule="auto"/>
        <w:jc w:val="center"/>
        <w:rPr>
          <w:rFonts w:asciiTheme="minorHAnsi" w:hAnsiTheme="minorHAnsi" w:cs="Arial"/>
          <w:b/>
          <w:sz w:val="20"/>
          <w:szCs w:val="20"/>
        </w:rPr>
      </w:pPr>
      <w:r w:rsidRPr="005B5121">
        <w:rPr>
          <w:rFonts w:asciiTheme="minorHAnsi" w:hAnsiTheme="minorHAnsi" w:cs="Arial"/>
          <w:b/>
          <w:sz w:val="20"/>
          <w:szCs w:val="20"/>
        </w:rPr>
        <w:t>(Pesos)</w:t>
      </w:r>
    </w:p>
    <w:p w:rsidR="007C1CEE" w:rsidRPr="005B5121" w:rsidRDefault="007C1CEE" w:rsidP="001D0119">
      <w:pPr>
        <w:spacing w:line="240" w:lineRule="auto"/>
        <w:jc w:val="center"/>
        <w:rPr>
          <w:rFonts w:asciiTheme="minorHAnsi" w:hAnsiTheme="minorHAnsi" w:cs="Arial"/>
          <w:b/>
          <w:sz w:val="20"/>
          <w:szCs w:val="20"/>
        </w:rPr>
      </w:pPr>
    </w:p>
    <w:p w:rsidR="007C1CEE" w:rsidRPr="005B5121" w:rsidRDefault="007C1CEE" w:rsidP="003D373C">
      <w:pPr>
        <w:spacing w:line="240" w:lineRule="auto"/>
        <w:rPr>
          <w:rFonts w:asciiTheme="minorHAnsi" w:hAnsiTheme="minorHAnsi" w:cs="Arial"/>
          <w:b/>
          <w:sz w:val="20"/>
          <w:szCs w:val="20"/>
        </w:rPr>
      </w:pPr>
      <w:r w:rsidRPr="005B5121">
        <w:rPr>
          <w:rFonts w:asciiTheme="minorHAnsi" w:hAnsiTheme="minorHAnsi" w:cs="Arial"/>
          <w:b/>
          <w:sz w:val="20"/>
          <w:szCs w:val="20"/>
        </w:rPr>
        <w:t>Ente Público</w:t>
      </w:r>
      <w:proofErr w:type="gramStart"/>
      <w:r w:rsidRPr="005B5121">
        <w:rPr>
          <w:rFonts w:asciiTheme="minorHAnsi" w:hAnsiTheme="minorHAnsi" w:cs="Arial"/>
          <w:b/>
          <w:sz w:val="20"/>
          <w:szCs w:val="20"/>
        </w:rPr>
        <w:t>:  INSTITUTO</w:t>
      </w:r>
      <w:proofErr w:type="gramEnd"/>
      <w:r w:rsidRPr="005B5121">
        <w:rPr>
          <w:rFonts w:asciiTheme="minorHAnsi" w:hAnsiTheme="minorHAnsi" w:cs="Arial"/>
          <w:b/>
          <w:sz w:val="20"/>
          <w:szCs w:val="20"/>
        </w:rPr>
        <w:t xml:space="preserve"> DE INFRAESTRUCTURA CARRETERA DE YUCATÁN</w:t>
      </w:r>
    </w:p>
    <w:p w:rsidR="007C1CEE" w:rsidRPr="005B5121" w:rsidRDefault="007C1CEE" w:rsidP="001D0119">
      <w:pPr>
        <w:spacing w:line="240" w:lineRule="auto"/>
        <w:rPr>
          <w:rFonts w:asciiTheme="minorHAnsi" w:hAnsiTheme="minorHAnsi" w:cs="Arial"/>
          <w:b/>
          <w:sz w:val="20"/>
          <w:szCs w:val="20"/>
        </w:rPr>
      </w:pPr>
    </w:p>
    <w:p w:rsidR="005B5121" w:rsidRPr="005B5121" w:rsidRDefault="005B5121" w:rsidP="005B5121">
      <w:pPr>
        <w:pStyle w:val="Ttulo"/>
        <w:rPr>
          <w:rFonts w:asciiTheme="minorHAnsi" w:hAnsiTheme="minorHAnsi" w:cs="Calibri"/>
          <w:b/>
          <w:color w:val="auto"/>
          <w:sz w:val="20"/>
          <w:szCs w:val="20"/>
        </w:rPr>
      </w:pPr>
      <w:r w:rsidRPr="005B5121">
        <w:rPr>
          <w:rFonts w:asciiTheme="minorHAnsi" w:hAnsiTheme="minorHAnsi" w:cs="Calibri"/>
          <w:b/>
          <w:color w:val="auto"/>
          <w:sz w:val="20"/>
          <w:szCs w:val="20"/>
        </w:rPr>
        <w:t xml:space="preserve">Nota 1   </w:t>
      </w:r>
    </w:p>
    <w:p w:rsidR="005B5121" w:rsidRPr="005B5121" w:rsidRDefault="005B5121" w:rsidP="005B5121">
      <w:pPr>
        <w:pStyle w:val="Ttulo"/>
        <w:rPr>
          <w:rFonts w:asciiTheme="minorHAnsi" w:hAnsiTheme="minorHAnsi" w:cs="Calibri"/>
          <w:b/>
          <w:color w:val="auto"/>
          <w:sz w:val="20"/>
          <w:szCs w:val="20"/>
        </w:rPr>
      </w:pPr>
      <w:r w:rsidRPr="005B5121">
        <w:rPr>
          <w:rFonts w:asciiTheme="minorHAnsi" w:hAnsiTheme="minorHAnsi" w:cs="Calibri"/>
          <w:b/>
          <w:color w:val="auto"/>
          <w:sz w:val="20"/>
          <w:szCs w:val="20"/>
        </w:rPr>
        <w:t>Identificación de la Entidad</w:t>
      </w:r>
    </w:p>
    <w:p w:rsidR="005B5121" w:rsidRPr="005B5121" w:rsidRDefault="005B5121" w:rsidP="005B5121">
      <w:pPr>
        <w:pStyle w:val="Ttulo"/>
        <w:rPr>
          <w:rFonts w:asciiTheme="minorHAnsi" w:hAnsiTheme="minorHAnsi" w:cs="Calibri"/>
          <w:b/>
          <w:color w:val="auto"/>
          <w:sz w:val="20"/>
          <w:szCs w:val="20"/>
        </w:rPr>
      </w:pPr>
      <w:r w:rsidRPr="005B5121">
        <w:rPr>
          <w:rFonts w:asciiTheme="minorHAnsi" w:hAnsiTheme="minorHAnsi" w:cs="Calibri"/>
          <w:b/>
          <w:color w:val="auto"/>
          <w:sz w:val="20"/>
          <w:szCs w:val="20"/>
        </w:rPr>
        <w:t>CIFRAS EN  PESOS</w:t>
      </w:r>
    </w:p>
    <w:p w:rsidR="005B5121" w:rsidRPr="005B5121" w:rsidRDefault="005B5121" w:rsidP="005B5121">
      <w:pPr>
        <w:jc w:val="both"/>
        <w:rPr>
          <w:rFonts w:asciiTheme="minorHAnsi" w:hAnsiTheme="minorHAnsi" w:cs="Calibri"/>
          <w:sz w:val="20"/>
          <w:szCs w:val="20"/>
        </w:rPr>
      </w:pPr>
      <w:r w:rsidRPr="005B5121">
        <w:rPr>
          <w:rFonts w:asciiTheme="minorHAnsi" w:hAnsiTheme="minorHAnsi" w:cs="Calibri"/>
          <w:sz w:val="20"/>
          <w:szCs w:val="20"/>
        </w:rPr>
        <w:t>El Instituto de Infraestructura Carretera de Yucatán es un organismo descentralizado de la administración pública estatal, creada mediante Decreto 239 de fecha 21 de Octubre de 2009 y oficializada mediante Sesión Ordinaria realizada el 05 de Enero de 2010. En esta sesión se constituyó el Órgano Supremo de la Comisión representado por el Consejo de Administración, dando lugar con este acto a la instalación formal y legal del Instituto de Infraestructura Carretera de Yucatán.</w:t>
      </w:r>
    </w:p>
    <w:p w:rsidR="005B5121" w:rsidRPr="005B5121" w:rsidRDefault="005B5121" w:rsidP="005B5121">
      <w:pPr>
        <w:jc w:val="both"/>
        <w:rPr>
          <w:rFonts w:asciiTheme="minorHAnsi" w:hAnsiTheme="minorHAnsi" w:cs="Calibri"/>
          <w:sz w:val="20"/>
          <w:szCs w:val="20"/>
        </w:rPr>
      </w:pPr>
      <w:r w:rsidRPr="005B5121">
        <w:rPr>
          <w:rFonts w:asciiTheme="minorHAnsi" w:hAnsiTheme="minorHAnsi" w:cs="Calibri"/>
          <w:sz w:val="20"/>
          <w:szCs w:val="20"/>
        </w:rPr>
        <w:t>Así mismo, esta dependencia cuenta con patrimonio propio y con las funciones y atribuciones que establece su propia Ley, la Ley de Vías Terrestres y demás ordenamientos aplicables, y cuya responsabilidad consiste en la aplicación de las normas y políticas relativas a la Planeación, Promoción, Ejecución, Mantenimiento, Modernización y Aprovechamiento de la Infraestructura Carretera de Jurisdicción Estatal.</w:t>
      </w:r>
    </w:p>
    <w:p w:rsidR="005B5121" w:rsidRPr="005B5121" w:rsidRDefault="005B5121" w:rsidP="005B5121">
      <w:pPr>
        <w:pStyle w:val="Ttulo"/>
        <w:rPr>
          <w:rFonts w:asciiTheme="minorHAnsi" w:hAnsiTheme="minorHAnsi" w:cs="Calibri"/>
          <w:b/>
          <w:color w:val="auto"/>
          <w:sz w:val="20"/>
          <w:szCs w:val="20"/>
        </w:rPr>
      </w:pPr>
      <w:r w:rsidRPr="005B5121">
        <w:rPr>
          <w:rFonts w:asciiTheme="minorHAnsi" w:hAnsiTheme="minorHAnsi" w:cs="Calibri"/>
          <w:b/>
          <w:color w:val="auto"/>
          <w:sz w:val="20"/>
          <w:szCs w:val="20"/>
        </w:rPr>
        <w:t xml:space="preserve">Nota 2    </w:t>
      </w:r>
    </w:p>
    <w:p w:rsidR="005B5121" w:rsidRPr="005B5121" w:rsidRDefault="005B5121" w:rsidP="005B5121">
      <w:pPr>
        <w:pStyle w:val="Ttulo"/>
        <w:rPr>
          <w:rFonts w:asciiTheme="minorHAnsi" w:hAnsiTheme="minorHAnsi" w:cs="Calibri"/>
          <w:b/>
          <w:color w:val="auto"/>
          <w:sz w:val="20"/>
          <w:szCs w:val="20"/>
        </w:rPr>
      </w:pPr>
      <w:r w:rsidRPr="005B5121">
        <w:rPr>
          <w:rFonts w:asciiTheme="minorHAnsi" w:hAnsiTheme="minorHAnsi" w:cs="Calibri"/>
          <w:b/>
          <w:color w:val="auto"/>
          <w:sz w:val="20"/>
          <w:szCs w:val="20"/>
        </w:rPr>
        <w:t xml:space="preserve"> Principales Políticas y Prácticas Contables</w:t>
      </w:r>
    </w:p>
    <w:p w:rsidR="005B5121" w:rsidRPr="005B5121" w:rsidRDefault="005B5121" w:rsidP="005B5121">
      <w:pPr>
        <w:pStyle w:val="Ttulo"/>
        <w:rPr>
          <w:rFonts w:asciiTheme="minorHAnsi" w:hAnsiTheme="minorHAnsi" w:cs="Calibri"/>
          <w:b/>
          <w:color w:val="auto"/>
          <w:sz w:val="20"/>
          <w:szCs w:val="20"/>
        </w:rPr>
      </w:pPr>
      <w:r w:rsidRPr="005B5121">
        <w:rPr>
          <w:rFonts w:asciiTheme="minorHAnsi" w:hAnsiTheme="minorHAnsi" w:cs="Calibri"/>
          <w:b/>
          <w:color w:val="auto"/>
          <w:sz w:val="20"/>
          <w:szCs w:val="20"/>
        </w:rPr>
        <w:t>CIFRAS EN  PESOS</w:t>
      </w:r>
    </w:p>
    <w:p w:rsidR="005B5121" w:rsidRPr="005B5121" w:rsidRDefault="005B5121" w:rsidP="005B5121">
      <w:pPr>
        <w:jc w:val="both"/>
        <w:rPr>
          <w:rFonts w:asciiTheme="minorHAnsi" w:hAnsiTheme="minorHAnsi" w:cs="Calibri"/>
          <w:sz w:val="20"/>
          <w:szCs w:val="20"/>
        </w:rPr>
      </w:pPr>
      <w:r w:rsidRPr="005B5121">
        <w:rPr>
          <w:rFonts w:asciiTheme="minorHAnsi" w:hAnsiTheme="minorHAnsi" w:cs="Calibri"/>
          <w:sz w:val="20"/>
          <w:szCs w:val="20"/>
        </w:rPr>
        <w:lastRenderedPageBreak/>
        <w:t>La preparación de los Estados Financieros se basa en las siguientes políticas y prácticas contables, así mismo cabe mencionar que ya se están implantando las Normas y Procedimientos de la Ley General de Contabilidad Gubernamental del Consejo Nacional de Armonización Contable:</w:t>
      </w:r>
    </w:p>
    <w:p w:rsidR="005B5121" w:rsidRPr="005B5121" w:rsidRDefault="005B5121" w:rsidP="005B5121">
      <w:pPr>
        <w:jc w:val="both"/>
        <w:rPr>
          <w:rFonts w:asciiTheme="minorHAnsi" w:hAnsiTheme="minorHAnsi" w:cs="Calibri"/>
          <w:sz w:val="20"/>
          <w:szCs w:val="20"/>
        </w:rPr>
      </w:pPr>
      <w:r w:rsidRPr="005B5121">
        <w:rPr>
          <w:rFonts w:asciiTheme="minorHAnsi" w:hAnsiTheme="minorHAnsi" w:cs="Calibri"/>
          <w:sz w:val="20"/>
          <w:szCs w:val="20"/>
        </w:rPr>
        <w:t>a)     Registro de los ingresos</w:t>
      </w:r>
    </w:p>
    <w:p w:rsidR="005B5121" w:rsidRPr="005B5121" w:rsidRDefault="005B5121" w:rsidP="005B5121">
      <w:pPr>
        <w:jc w:val="both"/>
        <w:rPr>
          <w:rFonts w:asciiTheme="minorHAnsi" w:hAnsiTheme="minorHAnsi" w:cs="Calibri"/>
          <w:sz w:val="20"/>
          <w:szCs w:val="20"/>
        </w:rPr>
      </w:pPr>
      <w:r w:rsidRPr="005B5121">
        <w:rPr>
          <w:rFonts w:asciiTheme="minorHAnsi" w:hAnsiTheme="minorHAnsi" w:cs="Calibri"/>
          <w:sz w:val="20"/>
          <w:szCs w:val="20"/>
        </w:rPr>
        <w:t xml:space="preserve">Los Ingresos por Ayudas, Subsidios y Transferencias se registran al efectuarse la comprobación documental mediante cuentas por pagar al departamento de Control Presupuestal de la Secretaria de Planeación y Presupuesto o en su caso, al momento de la autorización de la Comisión Nacional para el Desarrollo de los Pueblos Indígenas. En el momento que son radicados los recursos es cuando se afecta la cuenta de bancos. </w:t>
      </w:r>
    </w:p>
    <w:p w:rsidR="005B5121" w:rsidRPr="005B5121" w:rsidRDefault="005B5121" w:rsidP="005B5121">
      <w:pPr>
        <w:jc w:val="both"/>
        <w:rPr>
          <w:rFonts w:asciiTheme="minorHAnsi" w:hAnsiTheme="minorHAnsi" w:cs="Calibri"/>
          <w:sz w:val="20"/>
          <w:szCs w:val="20"/>
        </w:rPr>
      </w:pPr>
      <w:r w:rsidRPr="005B5121">
        <w:rPr>
          <w:rFonts w:asciiTheme="minorHAnsi" w:hAnsiTheme="minorHAnsi" w:cs="Calibri"/>
          <w:sz w:val="20"/>
          <w:szCs w:val="20"/>
        </w:rPr>
        <w:t>b)     Registro de los egresos</w:t>
      </w:r>
    </w:p>
    <w:p w:rsidR="005B5121" w:rsidRPr="005B5121" w:rsidRDefault="005B5121" w:rsidP="005B5121">
      <w:pPr>
        <w:jc w:val="both"/>
        <w:rPr>
          <w:rFonts w:asciiTheme="minorHAnsi" w:hAnsiTheme="minorHAnsi" w:cs="Calibri"/>
          <w:sz w:val="20"/>
          <w:szCs w:val="20"/>
        </w:rPr>
      </w:pPr>
      <w:r w:rsidRPr="005B5121">
        <w:rPr>
          <w:rFonts w:asciiTheme="minorHAnsi" w:hAnsiTheme="minorHAnsi" w:cs="Calibri"/>
          <w:sz w:val="20"/>
          <w:szCs w:val="20"/>
        </w:rPr>
        <w:t>Los egresos se registran en el momento que ingresan al departamento de Contabilidad los recibos y facturas que amparan los gastos por adquisición de bienes o la prestación de Servicios efectuados, debidamente firmados y autorizados, creando el pasivo de cada proveedor que posteriormente al efectuarse el pago, se efectúa el cargo de cancelación.</w:t>
      </w:r>
    </w:p>
    <w:p w:rsidR="005B5121" w:rsidRPr="005B5121" w:rsidRDefault="005B5121" w:rsidP="005B5121">
      <w:pPr>
        <w:jc w:val="both"/>
        <w:rPr>
          <w:rFonts w:asciiTheme="minorHAnsi" w:hAnsiTheme="minorHAnsi" w:cs="Calibri"/>
          <w:sz w:val="20"/>
          <w:szCs w:val="20"/>
        </w:rPr>
      </w:pPr>
      <w:r w:rsidRPr="005B5121">
        <w:rPr>
          <w:rFonts w:asciiTheme="minorHAnsi" w:hAnsiTheme="minorHAnsi" w:cs="Calibri"/>
          <w:sz w:val="20"/>
          <w:szCs w:val="20"/>
        </w:rPr>
        <w:t>Las adquisiciones de materiales y suministros son consideradas directamente como egresos y su utilización es generalmente inmediata.</w:t>
      </w:r>
    </w:p>
    <w:p w:rsidR="005B5121" w:rsidRPr="005B5121" w:rsidRDefault="005B5121" w:rsidP="005B5121">
      <w:pPr>
        <w:jc w:val="both"/>
        <w:rPr>
          <w:rFonts w:asciiTheme="minorHAnsi" w:hAnsiTheme="minorHAnsi" w:cs="Calibri"/>
          <w:sz w:val="20"/>
          <w:szCs w:val="20"/>
        </w:rPr>
      </w:pPr>
      <w:r w:rsidRPr="005B5121">
        <w:rPr>
          <w:rFonts w:asciiTheme="minorHAnsi" w:hAnsiTheme="minorHAnsi" w:cs="Calibri"/>
          <w:sz w:val="20"/>
          <w:szCs w:val="20"/>
        </w:rPr>
        <w:t xml:space="preserve">Las inversiones en inmuebles, vehículos, maquinaria, mobiliario y equipo son consideradas como egresos del periodo en que se adquieren, para efectos del Estado de Ingresos y Egresos. Conforme el departamento de contabilidad recibe las facturas originales que amparan la propiedad del bien, este se registra en la cuenta de activo que corresponda reconociendo el incremento del patrimonio de la entidad. </w:t>
      </w:r>
    </w:p>
    <w:p w:rsidR="005B5121" w:rsidRPr="005B5121" w:rsidRDefault="005B5121" w:rsidP="005B5121">
      <w:pPr>
        <w:jc w:val="both"/>
        <w:rPr>
          <w:rFonts w:asciiTheme="minorHAnsi" w:hAnsiTheme="minorHAnsi" w:cs="Calibri"/>
          <w:sz w:val="20"/>
          <w:szCs w:val="20"/>
        </w:rPr>
      </w:pPr>
      <w:r w:rsidRPr="005B5121">
        <w:rPr>
          <w:rFonts w:asciiTheme="minorHAnsi" w:hAnsiTheme="minorHAnsi" w:cs="Calibri"/>
          <w:sz w:val="20"/>
          <w:szCs w:val="20"/>
        </w:rPr>
        <w:t>c)      Control de las inversiones en bienes duraderos.</w:t>
      </w:r>
    </w:p>
    <w:p w:rsidR="005B5121" w:rsidRPr="005B5121" w:rsidRDefault="005B5121" w:rsidP="005B5121">
      <w:pPr>
        <w:jc w:val="both"/>
        <w:rPr>
          <w:rFonts w:asciiTheme="minorHAnsi" w:hAnsiTheme="minorHAnsi" w:cs="Calibri"/>
          <w:sz w:val="20"/>
          <w:szCs w:val="20"/>
        </w:rPr>
      </w:pPr>
      <w:r w:rsidRPr="005B5121">
        <w:rPr>
          <w:rFonts w:asciiTheme="minorHAnsi" w:hAnsiTheme="minorHAnsi" w:cs="Calibri"/>
          <w:sz w:val="20"/>
          <w:szCs w:val="20"/>
        </w:rPr>
        <w:t>Existen controles físicos por los bienes duraderos adquiridos desde el 24 de Marzo de 2003, contando con los resguardos respectivos los cuales elabora y custodia el departamento de Activos Fijos de la Dirección General de Vías Terrestres del Estado de Yucatán.</w:t>
      </w:r>
    </w:p>
    <w:p w:rsidR="005B5121" w:rsidRPr="005B5121" w:rsidRDefault="005B5121" w:rsidP="005B5121">
      <w:pPr>
        <w:jc w:val="both"/>
        <w:rPr>
          <w:rFonts w:asciiTheme="minorHAnsi" w:hAnsiTheme="minorHAnsi" w:cs="Calibri"/>
          <w:sz w:val="20"/>
          <w:szCs w:val="20"/>
        </w:rPr>
      </w:pPr>
      <w:r w:rsidRPr="005B5121">
        <w:rPr>
          <w:rFonts w:asciiTheme="minorHAnsi" w:hAnsiTheme="minorHAnsi" w:cs="Calibri"/>
          <w:sz w:val="20"/>
          <w:szCs w:val="20"/>
        </w:rPr>
        <w:t>d)     Reconocimiento de las Obras de Infraestructura como Patrimonio del Instituto de Infraestructura Carretera de Yucatán:</w:t>
      </w:r>
    </w:p>
    <w:p w:rsidR="005B5121" w:rsidRPr="005B5121" w:rsidRDefault="005B5121" w:rsidP="005B5121">
      <w:pPr>
        <w:jc w:val="both"/>
        <w:rPr>
          <w:rFonts w:asciiTheme="minorHAnsi" w:hAnsiTheme="minorHAnsi" w:cs="Calibri"/>
          <w:sz w:val="20"/>
          <w:szCs w:val="20"/>
        </w:rPr>
      </w:pPr>
      <w:r w:rsidRPr="005B5121">
        <w:rPr>
          <w:rFonts w:asciiTheme="minorHAnsi" w:hAnsiTheme="minorHAnsi" w:cs="Calibri"/>
          <w:sz w:val="20"/>
          <w:szCs w:val="20"/>
        </w:rPr>
        <w:t>Con motivo de reconocer contablemente la inversión efectuada en la construcción, modernización, reconstrucción, ampliación y conservación de la red estatal de carreteras y de obras diversas,  como patrimonio del Instituto de Infraestructura Carretera de Yucatán, se  realizan de la siguiente manera:</w:t>
      </w:r>
    </w:p>
    <w:p w:rsidR="005B5121" w:rsidRPr="005B5121" w:rsidRDefault="005B5121" w:rsidP="005B5121">
      <w:pPr>
        <w:jc w:val="both"/>
        <w:rPr>
          <w:rFonts w:asciiTheme="minorHAnsi" w:hAnsiTheme="minorHAnsi" w:cs="Calibri"/>
          <w:sz w:val="20"/>
          <w:szCs w:val="20"/>
        </w:rPr>
      </w:pPr>
      <w:r w:rsidRPr="005B5121">
        <w:rPr>
          <w:rFonts w:asciiTheme="minorHAnsi" w:hAnsiTheme="minorHAnsi" w:cs="Calibri"/>
          <w:sz w:val="20"/>
          <w:szCs w:val="20"/>
        </w:rPr>
        <w:lastRenderedPageBreak/>
        <w:t>Inversión en Infraestructura.- se reconoce el monto total erogado de las obras terminadas a la fecha de registro, cuyas actividades realizadas sean por concepto de construcción, reconstrucción, modernización, ampliación y conservación.</w:t>
      </w:r>
    </w:p>
    <w:p w:rsidR="005B5121" w:rsidRPr="005B5121" w:rsidRDefault="005B5121" w:rsidP="005B5121">
      <w:pPr>
        <w:jc w:val="both"/>
        <w:rPr>
          <w:rFonts w:asciiTheme="minorHAnsi" w:hAnsiTheme="minorHAnsi" w:cs="Calibri"/>
          <w:sz w:val="20"/>
          <w:szCs w:val="20"/>
        </w:rPr>
      </w:pPr>
      <w:r w:rsidRPr="005B5121">
        <w:rPr>
          <w:rFonts w:asciiTheme="minorHAnsi" w:hAnsiTheme="minorHAnsi" w:cs="Calibri"/>
          <w:sz w:val="20"/>
          <w:szCs w:val="20"/>
        </w:rPr>
        <w:t>Obras en Proceso.- se reconoce el monto total erogado por las obras que se encuentren en proceso a la fecha de registro, cuyas actividades realizadas sean por concepto de construcción, reconstrucción, modernización, ampliación y conservación. Cuando las obras Concluyen, éstas se reclasifican a la cuenta de Obras en infraestructura.</w:t>
      </w:r>
    </w:p>
    <w:p w:rsidR="005B5121" w:rsidRPr="005B5121" w:rsidRDefault="005B5121" w:rsidP="005B5121">
      <w:pPr>
        <w:jc w:val="both"/>
        <w:rPr>
          <w:rFonts w:asciiTheme="minorHAnsi" w:hAnsiTheme="minorHAnsi" w:cs="Calibri"/>
          <w:sz w:val="20"/>
          <w:szCs w:val="20"/>
        </w:rPr>
      </w:pPr>
      <w:r w:rsidRPr="005B5121">
        <w:rPr>
          <w:rFonts w:asciiTheme="minorHAnsi" w:hAnsiTheme="minorHAnsi" w:cs="Calibri"/>
          <w:sz w:val="20"/>
          <w:szCs w:val="20"/>
        </w:rPr>
        <w:t>Estas cuentas son registradas en la cuenta de activo que corresponda reconociendo el incremento del patrimonio de la entidad al cierre de cada ejercicio.</w:t>
      </w:r>
    </w:p>
    <w:p w:rsidR="005B5121" w:rsidRPr="005B5121" w:rsidRDefault="005B5121" w:rsidP="005B5121">
      <w:pPr>
        <w:jc w:val="both"/>
        <w:rPr>
          <w:rFonts w:asciiTheme="minorHAnsi" w:hAnsiTheme="minorHAnsi" w:cs="Calibri"/>
          <w:sz w:val="20"/>
          <w:szCs w:val="20"/>
        </w:rPr>
      </w:pPr>
      <w:r w:rsidRPr="005B5121">
        <w:rPr>
          <w:rFonts w:asciiTheme="minorHAnsi" w:hAnsiTheme="minorHAnsi" w:cs="Calibri"/>
          <w:sz w:val="20"/>
          <w:szCs w:val="20"/>
        </w:rPr>
        <w:t>e)     Registro contable</w:t>
      </w:r>
    </w:p>
    <w:p w:rsidR="005B5121" w:rsidRPr="005B5121" w:rsidRDefault="005B5121" w:rsidP="005B5121">
      <w:pPr>
        <w:jc w:val="both"/>
        <w:rPr>
          <w:rFonts w:asciiTheme="minorHAnsi" w:hAnsiTheme="minorHAnsi" w:cs="Calibri"/>
          <w:sz w:val="20"/>
          <w:szCs w:val="20"/>
        </w:rPr>
      </w:pPr>
      <w:r w:rsidRPr="005B5121">
        <w:rPr>
          <w:rFonts w:asciiTheme="minorHAnsi" w:hAnsiTheme="minorHAnsi" w:cs="Calibri"/>
          <w:sz w:val="20"/>
          <w:szCs w:val="20"/>
        </w:rPr>
        <w:t>En el registro contable intervienen los siguientes departamentos:</w:t>
      </w:r>
    </w:p>
    <w:p w:rsidR="005B5121" w:rsidRPr="005B5121" w:rsidRDefault="005B5121" w:rsidP="005B5121">
      <w:pPr>
        <w:jc w:val="both"/>
        <w:rPr>
          <w:rFonts w:asciiTheme="minorHAnsi" w:hAnsiTheme="minorHAnsi" w:cs="Calibri"/>
          <w:sz w:val="20"/>
          <w:szCs w:val="20"/>
        </w:rPr>
      </w:pPr>
      <w:r w:rsidRPr="005B5121">
        <w:rPr>
          <w:rFonts w:asciiTheme="minorHAnsi" w:hAnsiTheme="minorHAnsi" w:cs="Calibri"/>
          <w:sz w:val="20"/>
          <w:szCs w:val="20"/>
        </w:rPr>
        <w:t>Departamento de Caja.- Registra la totalidad de los ingresos que se reciben y luego los turna al departamento  de Contabilidad  para su verificación y visto bueno. Al momento de expedir los cheques registra la cancelación de los pasivos registrados o en su caso de las cuentas por pagar y la salida de efectivo de los bancos. Registra las pólizas de traspasos, las pólizas de comprobación de gastos y en algunos casos de cancelación de cheques.</w:t>
      </w:r>
    </w:p>
    <w:p w:rsidR="005B5121" w:rsidRPr="005B5121" w:rsidRDefault="005B5121" w:rsidP="005B5121">
      <w:pPr>
        <w:jc w:val="both"/>
        <w:rPr>
          <w:rFonts w:asciiTheme="minorHAnsi" w:hAnsiTheme="minorHAnsi" w:cs="Calibri"/>
          <w:sz w:val="20"/>
          <w:szCs w:val="20"/>
        </w:rPr>
      </w:pPr>
      <w:r w:rsidRPr="005B5121">
        <w:rPr>
          <w:rFonts w:asciiTheme="minorHAnsi" w:hAnsiTheme="minorHAnsi" w:cs="Calibri"/>
          <w:sz w:val="20"/>
          <w:szCs w:val="20"/>
        </w:rPr>
        <w:t xml:space="preserve">Departamento de Contabilidad.- Es responsable del registro de pólizas de operaciones diversas, reclasificaciones y ajustes. Las pólizas de reclasificaciones y de ajustes se elaboran previa solicitud del  departamento afectado, o al detectar registros erróneos, con base en las revisiones mensuales que se realiza y en la elaboración de los Estados Financieros de esta </w:t>
      </w:r>
      <w:proofErr w:type="spellStart"/>
      <w:r w:rsidRPr="005B5121">
        <w:rPr>
          <w:rFonts w:asciiTheme="minorHAnsi" w:hAnsiTheme="minorHAnsi" w:cs="Calibri"/>
          <w:sz w:val="20"/>
          <w:szCs w:val="20"/>
        </w:rPr>
        <w:t>dependencia.Departamento</w:t>
      </w:r>
      <w:proofErr w:type="spellEnd"/>
      <w:r w:rsidRPr="005B5121">
        <w:rPr>
          <w:rFonts w:asciiTheme="minorHAnsi" w:hAnsiTheme="minorHAnsi" w:cs="Calibri"/>
          <w:sz w:val="20"/>
          <w:szCs w:val="20"/>
        </w:rPr>
        <w:t xml:space="preserve"> de Administración y Contabilidad.- De ellos depende que se registren los ingresos debido a la información proporcionada de lo autorizado por el departamento de Control presupuestal de la Secretaría de Administración y Finanzas (SAF), quien es la encargada de la programación, control presupuestal y evaluación del gasto público del Estado, o en su caso por la Comisión Nacional para el Desarrollo de los Pueblos Indígenas. Las dependencias y entidades ejecutamos el gasto previa autorización de las dependencias citadas.</w:t>
      </w:r>
    </w:p>
    <w:p w:rsidR="005B5121" w:rsidRPr="005B5121" w:rsidRDefault="005B5121" w:rsidP="005B5121">
      <w:pPr>
        <w:pStyle w:val="Ttulo"/>
        <w:rPr>
          <w:rFonts w:asciiTheme="minorHAnsi" w:hAnsiTheme="minorHAnsi" w:cs="Calibri"/>
          <w:b/>
          <w:color w:val="auto"/>
          <w:sz w:val="20"/>
          <w:szCs w:val="20"/>
        </w:rPr>
      </w:pPr>
    </w:p>
    <w:p w:rsidR="005B5121" w:rsidRPr="005B5121" w:rsidRDefault="005B5121" w:rsidP="005B5121">
      <w:pPr>
        <w:pStyle w:val="Ttulo"/>
        <w:rPr>
          <w:rFonts w:asciiTheme="minorHAnsi" w:hAnsiTheme="minorHAnsi" w:cs="Calibri"/>
          <w:b/>
          <w:color w:val="auto"/>
          <w:sz w:val="20"/>
          <w:szCs w:val="20"/>
        </w:rPr>
      </w:pPr>
      <w:r w:rsidRPr="005B5121">
        <w:rPr>
          <w:rFonts w:asciiTheme="minorHAnsi" w:hAnsiTheme="minorHAnsi" w:cs="Calibri"/>
          <w:b/>
          <w:color w:val="auto"/>
          <w:sz w:val="20"/>
          <w:szCs w:val="20"/>
        </w:rPr>
        <w:t xml:space="preserve">Nota  3    </w:t>
      </w:r>
    </w:p>
    <w:p w:rsidR="005B5121" w:rsidRPr="005B5121" w:rsidRDefault="005B5121" w:rsidP="005B5121">
      <w:pPr>
        <w:pStyle w:val="Ttulo"/>
        <w:rPr>
          <w:rFonts w:asciiTheme="minorHAnsi" w:hAnsiTheme="minorHAnsi" w:cs="Calibri"/>
          <w:b/>
          <w:color w:val="auto"/>
          <w:sz w:val="20"/>
          <w:szCs w:val="20"/>
        </w:rPr>
      </w:pPr>
      <w:r w:rsidRPr="005B5121">
        <w:rPr>
          <w:rFonts w:asciiTheme="minorHAnsi" w:hAnsiTheme="minorHAnsi" w:cs="Calibri"/>
          <w:b/>
          <w:color w:val="auto"/>
          <w:sz w:val="20"/>
          <w:szCs w:val="20"/>
        </w:rPr>
        <w:t>Efectivo y Equivalente de Efectivo</w:t>
      </w:r>
    </w:p>
    <w:p w:rsidR="005B5121" w:rsidRPr="005B5121" w:rsidRDefault="005B5121" w:rsidP="005B5121">
      <w:pPr>
        <w:pStyle w:val="Ttulo"/>
        <w:rPr>
          <w:rFonts w:asciiTheme="minorHAnsi" w:hAnsiTheme="minorHAnsi" w:cs="Calibri"/>
          <w:b/>
          <w:color w:val="auto"/>
          <w:sz w:val="20"/>
          <w:szCs w:val="20"/>
        </w:rPr>
      </w:pPr>
      <w:r w:rsidRPr="005B5121">
        <w:rPr>
          <w:rFonts w:asciiTheme="minorHAnsi" w:hAnsiTheme="minorHAnsi" w:cs="Calibri"/>
          <w:b/>
          <w:color w:val="auto"/>
          <w:sz w:val="20"/>
          <w:szCs w:val="20"/>
        </w:rPr>
        <w:t>CIFRAS EN PESOS</w:t>
      </w:r>
    </w:p>
    <w:p w:rsidR="005B5121" w:rsidRPr="005B5121" w:rsidRDefault="005B5121" w:rsidP="005B5121">
      <w:pPr>
        <w:jc w:val="both"/>
        <w:rPr>
          <w:rFonts w:asciiTheme="minorHAnsi" w:hAnsiTheme="minorHAnsi" w:cs="Calibri"/>
          <w:sz w:val="20"/>
          <w:szCs w:val="20"/>
        </w:rPr>
      </w:pPr>
      <w:r w:rsidRPr="005B5121">
        <w:rPr>
          <w:rFonts w:asciiTheme="minorHAnsi" w:hAnsiTheme="minorHAnsi" w:cs="Calibri"/>
          <w:sz w:val="20"/>
          <w:szCs w:val="20"/>
        </w:rPr>
        <w:lastRenderedPageBreak/>
        <w:t xml:space="preserve">El rubro de Efectivo y Equivalente de Efectivo al 31 de Marzo 2017, se integra como sigue: </w:t>
      </w:r>
    </w:p>
    <w:tbl>
      <w:tblPr>
        <w:tblW w:w="8324" w:type="dxa"/>
        <w:tblInd w:w="55" w:type="dxa"/>
        <w:tblCellMar>
          <w:left w:w="70" w:type="dxa"/>
          <w:right w:w="70" w:type="dxa"/>
        </w:tblCellMar>
        <w:tblLook w:val="04A0" w:firstRow="1" w:lastRow="0" w:firstColumn="1" w:lastColumn="0" w:noHBand="0" w:noVBand="1"/>
      </w:tblPr>
      <w:tblGrid>
        <w:gridCol w:w="4210"/>
        <w:gridCol w:w="2289"/>
        <w:gridCol w:w="1825"/>
      </w:tblGrid>
      <w:tr w:rsidR="005B5121" w:rsidRPr="005B5121" w:rsidTr="00DD682B">
        <w:trPr>
          <w:trHeight w:val="309"/>
        </w:trPr>
        <w:tc>
          <w:tcPr>
            <w:tcW w:w="4210" w:type="dxa"/>
            <w:tcBorders>
              <w:top w:val="single" w:sz="8" w:space="0" w:color="auto"/>
              <w:left w:val="single" w:sz="8" w:space="0" w:color="auto"/>
              <w:bottom w:val="single" w:sz="8" w:space="0" w:color="auto"/>
              <w:right w:val="single" w:sz="8" w:space="0" w:color="auto"/>
            </w:tcBorders>
            <w:shd w:val="clear" w:color="auto" w:fill="FFFFFF"/>
            <w:noWrap/>
            <w:vAlign w:val="center"/>
            <w:hideMark/>
          </w:tcPr>
          <w:p w:rsidR="005B5121" w:rsidRPr="005B5121" w:rsidRDefault="005B5121" w:rsidP="00DD682B">
            <w:pPr>
              <w:spacing w:after="0" w:line="240" w:lineRule="auto"/>
              <w:rPr>
                <w:rFonts w:asciiTheme="minorHAnsi" w:eastAsia="Times New Roman" w:hAnsiTheme="minorHAnsi" w:cs="Calibri"/>
                <w:sz w:val="20"/>
                <w:szCs w:val="20"/>
                <w:lang w:eastAsia="es-MX"/>
              </w:rPr>
            </w:pPr>
            <w:r w:rsidRPr="005B5121">
              <w:rPr>
                <w:rFonts w:asciiTheme="minorHAnsi" w:eastAsia="Times New Roman" w:hAnsiTheme="minorHAnsi" w:cs="Calibri"/>
                <w:sz w:val="20"/>
                <w:szCs w:val="20"/>
                <w:lang w:eastAsia="es-MX"/>
              </w:rPr>
              <w:t>Nombre</w:t>
            </w:r>
          </w:p>
        </w:tc>
        <w:tc>
          <w:tcPr>
            <w:tcW w:w="2289" w:type="dxa"/>
            <w:tcBorders>
              <w:top w:val="single" w:sz="8" w:space="0" w:color="auto"/>
              <w:left w:val="nil"/>
              <w:bottom w:val="single" w:sz="8" w:space="0" w:color="auto"/>
              <w:right w:val="single" w:sz="8" w:space="0" w:color="auto"/>
            </w:tcBorders>
            <w:shd w:val="clear" w:color="auto" w:fill="FFFFFF"/>
            <w:noWrap/>
            <w:vAlign w:val="center"/>
            <w:hideMark/>
          </w:tcPr>
          <w:p w:rsidR="005B5121" w:rsidRPr="005B5121" w:rsidRDefault="005B5121" w:rsidP="00DD682B">
            <w:pPr>
              <w:spacing w:after="0" w:line="240" w:lineRule="auto"/>
              <w:jc w:val="center"/>
              <w:rPr>
                <w:rFonts w:asciiTheme="minorHAnsi" w:eastAsia="Times New Roman" w:hAnsiTheme="minorHAnsi" w:cs="Calibri"/>
                <w:sz w:val="20"/>
                <w:szCs w:val="20"/>
                <w:lang w:eastAsia="es-MX"/>
              </w:rPr>
            </w:pPr>
            <w:r w:rsidRPr="005B5121">
              <w:rPr>
                <w:rFonts w:asciiTheme="minorHAnsi" w:eastAsia="Times New Roman" w:hAnsiTheme="minorHAnsi" w:cs="Calibri"/>
                <w:sz w:val="20"/>
                <w:szCs w:val="20"/>
                <w:lang w:eastAsia="es-MX"/>
              </w:rPr>
              <w:t>31 de Marzo 2017</w:t>
            </w:r>
          </w:p>
        </w:tc>
        <w:tc>
          <w:tcPr>
            <w:tcW w:w="1825" w:type="dxa"/>
            <w:tcBorders>
              <w:top w:val="single" w:sz="8" w:space="0" w:color="auto"/>
              <w:left w:val="nil"/>
              <w:bottom w:val="single" w:sz="8" w:space="0" w:color="auto"/>
              <w:right w:val="single" w:sz="8" w:space="0" w:color="auto"/>
            </w:tcBorders>
            <w:shd w:val="clear" w:color="auto" w:fill="FFFFFF"/>
            <w:noWrap/>
            <w:vAlign w:val="center"/>
            <w:hideMark/>
          </w:tcPr>
          <w:p w:rsidR="005B5121" w:rsidRPr="005B5121" w:rsidRDefault="005B5121" w:rsidP="00DD682B">
            <w:pPr>
              <w:spacing w:after="0" w:line="240" w:lineRule="auto"/>
              <w:jc w:val="center"/>
              <w:rPr>
                <w:rFonts w:asciiTheme="minorHAnsi" w:eastAsia="Times New Roman" w:hAnsiTheme="minorHAnsi" w:cs="Calibri"/>
                <w:sz w:val="20"/>
                <w:szCs w:val="20"/>
                <w:lang w:eastAsia="es-MX"/>
              </w:rPr>
            </w:pPr>
            <w:r w:rsidRPr="005B5121">
              <w:rPr>
                <w:rFonts w:asciiTheme="minorHAnsi" w:eastAsia="Times New Roman" w:hAnsiTheme="minorHAnsi" w:cs="Calibri"/>
                <w:sz w:val="20"/>
                <w:szCs w:val="20"/>
                <w:lang w:eastAsia="es-MX"/>
              </w:rPr>
              <w:t>31 de Marzo 2016</w:t>
            </w:r>
          </w:p>
        </w:tc>
      </w:tr>
      <w:tr w:rsidR="005B5121" w:rsidRPr="005B5121" w:rsidTr="00DD682B">
        <w:trPr>
          <w:trHeight w:val="309"/>
        </w:trPr>
        <w:tc>
          <w:tcPr>
            <w:tcW w:w="4210" w:type="dxa"/>
            <w:tcBorders>
              <w:top w:val="nil"/>
              <w:left w:val="single" w:sz="8" w:space="0" w:color="auto"/>
              <w:bottom w:val="single" w:sz="8" w:space="0" w:color="auto"/>
              <w:right w:val="single" w:sz="8" w:space="0" w:color="auto"/>
            </w:tcBorders>
            <w:shd w:val="clear" w:color="auto" w:fill="FFFFFF"/>
            <w:noWrap/>
            <w:vAlign w:val="center"/>
            <w:hideMark/>
          </w:tcPr>
          <w:p w:rsidR="005B5121" w:rsidRPr="005B5121" w:rsidRDefault="005B5121" w:rsidP="00DD682B">
            <w:pPr>
              <w:spacing w:after="0" w:line="240" w:lineRule="auto"/>
              <w:rPr>
                <w:rFonts w:asciiTheme="minorHAnsi" w:eastAsia="Times New Roman" w:hAnsiTheme="minorHAnsi" w:cs="Calibri"/>
                <w:sz w:val="20"/>
                <w:szCs w:val="20"/>
                <w:lang w:eastAsia="es-MX"/>
              </w:rPr>
            </w:pPr>
            <w:r w:rsidRPr="005B5121">
              <w:rPr>
                <w:rFonts w:asciiTheme="minorHAnsi" w:eastAsia="Times New Roman" w:hAnsiTheme="minorHAnsi" w:cs="Calibri"/>
                <w:sz w:val="20"/>
                <w:szCs w:val="20"/>
                <w:lang w:eastAsia="es-MX"/>
              </w:rPr>
              <w:t>Efectivo y Equivalentes</w:t>
            </w:r>
          </w:p>
        </w:tc>
        <w:tc>
          <w:tcPr>
            <w:tcW w:w="2289" w:type="dxa"/>
            <w:tcBorders>
              <w:top w:val="nil"/>
              <w:left w:val="nil"/>
              <w:bottom w:val="single" w:sz="8" w:space="0" w:color="auto"/>
              <w:right w:val="single" w:sz="8" w:space="0" w:color="auto"/>
            </w:tcBorders>
            <w:shd w:val="clear" w:color="auto" w:fill="FFFFFF"/>
            <w:noWrap/>
            <w:hideMark/>
          </w:tcPr>
          <w:p w:rsidR="005B5121" w:rsidRPr="005B5121" w:rsidRDefault="005B5121" w:rsidP="00DD682B">
            <w:pPr>
              <w:rPr>
                <w:rFonts w:asciiTheme="minorHAnsi" w:hAnsiTheme="minorHAnsi" w:cs="Calibri"/>
                <w:sz w:val="20"/>
                <w:szCs w:val="20"/>
              </w:rPr>
            </w:pPr>
            <w:r w:rsidRPr="005B5121">
              <w:rPr>
                <w:rFonts w:asciiTheme="minorHAnsi" w:hAnsiTheme="minorHAnsi" w:cs="Calibri"/>
                <w:sz w:val="20"/>
                <w:szCs w:val="20"/>
              </w:rPr>
              <w:t>178,439,792.09</w:t>
            </w:r>
          </w:p>
        </w:tc>
        <w:tc>
          <w:tcPr>
            <w:tcW w:w="1825" w:type="dxa"/>
            <w:tcBorders>
              <w:top w:val="nil"/>
              <w:left w:val="nil"/>
              <w:bottom w:val="single" w:sz="8" w:space="0" w:color="auto"/>
              <w:right w:val="single" w:sz="8" w:space="0" w:color="auto"/>
            </w:tcBorders>
            <w:shd w:val="clear" w:color="auto" w:fill="FFFFFF"/>
            <w:noWrap/>
            <w:hideMark/>
          </w:tcPr>
          <w:p w:rsidR="005B5121" w:rsidRPr="005B5121" w:rsidRDefault="005B5121" w:rsidP="00DD682B">
            <w:pPr>
              <w:rPr>
                <w:rFonts w:asciiTheme="minorHAnsi" w:hAnsiTheme="minorHAnsi" w:cs="Calibri"/>
                <w:sz w:val="20"/>
                <w:szCs w:val="20"/>
              </w:rPr>
            </w:pPr>
            <w:r w:rsidRPr="005B5121">
              <w:rPr>
                <w:rFonts w:asciiTheme="minorHAnsi" w:hAnsiTheme="minorHAnsi" w:cs="Calibri"/>
                <w:sz w:val="20"/>
                <w:szCs w:val="20"/>
              </w:rPr>
              <w:t>89,897,348.19</w:t>
            </w:r>
          </w:p>
        </w:tc>
      </w:tr>
      <w:tr w:rsidR="005B5121" w:rsidRPr="005B5121" w:rsidTr="00DD682B">
        <w:trPr>
          <w:trHeight w:val="309"/>
        </w:trPr>
        <w:tc>
          <w:tcPr>
            <w:tcW w:w="4210" w:type="dxa"/>
            <w:tcBorders>
              <w:top w:val="nil"/>
              <w:left w:val="single" w:sz="8" w:space="0" w:color="auto"/>
              <w:bottom w:val="single" w:sz="8" w:space="0" w:color="auto"/>
              <w:right w:val="single" w:sz="8" w:space="0" w:color="auto"/>
            </w:tcBorders>
            <w:shd w:val="clear" w:color="auto" w:fill="FFFFFF"/>
            <w:noWrap/>
            <w:vAlign w:val="center"/>
            <w:hideMark/>
          </w:tcPr>
          <w:p w:rsidR="005B5121" w:rsidRPr="005B5121" w:rsidRDefault="005B5121" w:rsidP="00DD682B">
            <w:pPr>
              <w:spacing w:after="0" w:line="240" w:lineRule="auto"/>
              <w:rPr>
                <w:rFonts w:asciiTheme="minorHAnsi" w:eastAsia="Times New Roman" w:hAnsiTheme="minorHAnsi" w:cs="Calibri"/>
                <w:sz w:val="20"/>
                <w:szCs w:val="20"/>
                <w:lang w:eastAsia="es-MX"/>
              </w:rPr>
            </w:pPr>
            <w:r w:rsidRPr="005B5121">
              <w:rPr>
                <w:rFonts w:asciiTheme="minorHAnsi" w:eastAsia="Times New Roman" w:hAnsiTheme="minorHAnsi" w:cs="Calibri"/>
                <w:sz w:val="20"/>
                <w:szCs w:val="20"/>
                <w:lang w:eastAsia="es-MX"/>
              </w:rPr>
              <w:t> </w:t>
            </w:r>
          </w:p>
        </w:tc>
        <w:tc>
          <w:tcPr>
            <w:tcW w:w="2289" w:type="dxa"/>
            <w:tcBorders>
              <w:top w:val="nil"/>
              <w:left w:val="nil"/>
              <w:bottom w:val="single" w:sz="8" w:space="0" w:color="auto"/>
              <w:right w:val="single" w:sz="8" w:space="0" w:color="auto"/>
            </w:tcBorders>
            <w:shd w:val="clear" w:color="auto" w:fill="FFFFFF"/>
            <w:noWrap/>
          </w:tcPr>
          <w:p w:rsidR="005B5121" w:rsidRPr="005B5121" w:rsidRDefault="005B5121" w:rsidP="00DD682B">
            <w:pPr>
              <w:rPr>
                <w:rFonts w:asciiTheme="minorHAnsi" w:hAnsiTheme="minorHAnsi" w:cs="Calibri"/>
                <w:sz w:val="20"/>
                <w:szCs w:val="20"/>
              </w:rPr>
            </w:pPr>
          </w:p>
        </w:tc>
        <w:tc>
          <w:tcPr>
            <w:tcW w:w="1825" w:type="dxa"/>
            <w:tcBorders>
              <w:top w:val="nil"/>
              <w:left w:val="nil"/>
              <w:bottom w:val="single" w:sz="8" w:space="0" w:color="auto"/>
              <w:right w:val="single" w:sz="8" w:space="0" w:color="auto"/>
            </w:tcBorders>
            <w:shd w:val="clear" w:color="auto" w:fill="FFFFFF"/>
            <w:noWrap/>
          </w:tcPr>
          <w:p w:rsidR="005B5121" w:rsidRPr="005B5121" w:rsidRDefault="005B5121" w:rsidP="00DD682B">
            <w:pPr>
              <w:rPr>
                <w:rFonts w:asciiTheme="minorHAnsi" w:hAnsiTheme="minorHAnsi" w:cs="Calibri"/>
                <w:sz w:val="20"/>
                <w:szCs w:val="20"/>
              </w:rPr>
            </w:pPr>
          </w:p>
        </w:tc>
      </w:tr>
      <w:tr w:rsidR="005B5121" w:rsidRPr="005B5121" w:rsidTr="00DD682B">
        <w:trPr>
          <w:trHeight w:val="309"/>
        </w:trPr>
        <w:tc>
          <w:tcPr>
            <w:tcW w:w="4210" w:type="dxa"/>
            <w:tcBorders>
              <w:top w:val="nil"/>
              <w:left w:val="single" w:sz="8" w:space="0" w:color="auto"/>
              <w:bottom w:val="single" w:sz="8" w:space="0" w:color="auto"/>
              <w:right w:val="single" w:sz="8" w:space="0" w:color="auto"/>
            </w:tcBorders>
            <w:shd w:val="clear" w:color="auto" w:fill="FFFFFF"/>
            <w:noWrap/>
            <w:vAlign w:val="center"/>
            <w:hideMark/>
          </w:tcPr>
          <w:p w:rsidR="005B5121" w:rsidRPr="005B5121" w:rsidRDefault="005B5121" w:rsidP="00DD682B">
            <w:pPr>
              <w:spacing w:after="0" w:line="240" w:lineRule="auto"/>
              <w:rPr>
                <w:rFonts w:asciiTheme="minorHAnsi" w:eastAsia="Times New Roman" w:hAnsiTheme="minorHAnsi" w:cs="Calibri"/>
                <w:sz w:val="20"/>
                <w:szCs w:val="20"/>
                <w:lang w:eastAsia="es-MX"/>
              </w:rPr>
            </w:pPr>
            <w:r w:rsidRPr="005B5121">
              <w:rPr>
                <w:rFonts w:asciiTheme="minorHAnsi" w:eastAsia="Times New Roman" w:hAnsiTheme="minorHAnsi" w:cs="Calibri"/>
                <w:sz w:val="20"/>
                <w:szCs w:val="20"/>
                <w:lang w:eastAsia="es-MX"/>
              </w:rPr>
              <w:t> </w:t>
            </w:r>
          </w:p>
        </w:tc>
        <w:tc>
          <w:tcPr>
            <w:tcW w:w="2289" w:type="dxa"/>
            <w:tcBorders>
              <w:top w:val="nil"/>
              <w:left w:val="nil"/>
              <w:bottom w:val="single" w:sz="8" w:space="0" w:color="auto"/>
              <w:right w:val="single" w:sz="8" w:space="0" w:color="auto"/>
            </w:tcBorders>
            <w:shd w:val="clear" w:color="auto" w:fill="FFFFFF"/>
            <w:noWrap/>
          </w:tcPr>
          <w:p w:rsidR="005B5121" w:rsidRPr="005B5121" w:rsidRDefault="005B5121" w:rsidP="00DD682B">
            <w:pPr>
              <w:rPr>
                <w:rFonts w:asciiTheme="minorHAnsi" w:hAnsiTheme="minorHAnsi" w:cs="Calibri"/>
                <w:sz w:val="20"/>
                <w:szCs w:val="20"/>
              </w:rPr>
            </w:pPr>
          </w:p>
        </w:tc>
        <w:tc>
          <w:tcPr>
            <w:tcW w:w="1825" w:type="dxa"/>
            <w:tcBorders>
              <w:top w:val="nil"/>
              <w:left w:val="nil"/>
              <w:bottom w:val="single" w:sz="8" w:space="0" w:color="auto"/>
              <w:right w:val="single" w:sz="8" w:space="0" w:color="auto"/>
            </w:tcBorders>
            <w:shd w:val="clear" w:color="auto" w:fill="FFFFFF"/>
            <w:noWrap/>
          </w:tcPr>
          <w:p w:rsidR="005B5121" w:rsidRPr="005B5121" w:rsidRDefault="005B5121" w:rsidP="00DD682B">
            <w:pPr>
              <w:rPr>
                <w:rFonts w:asciiTheme="minorHAnsi" w:hAnsiTheme="minorHAnsi" w:cs="Calibri"/>
                <w:sz w:val="20"/>
                <w:szCs w:val="20"/>
              </w:rPr>
            </w:pPr>
          </w:p>
        </w:tc>
      </w:tr>
      <w:tr w:rsidR="005B5121" w:rsidRPr="005B5121" w:rsidTr="00DD682B">
        <w:trPr>
          <w:trHeight w:val="309"/>
        </w:trPr>
        <w:tc>
          <w:tcPr>
            <w:tcW w:w="4210" w:type="dxa"/>
            <w:tcBorders>
              <w:top w:val="nil"/>
              <w:left w:val="single" w:sz="8" w:space="0" w:color="auto"/>
              <w:bottom w:val="single" w:sz="8" w:space="0" w:color="auto"/>
              <w:right w:val="single" w:sz="8" w:space="0" w:color="auto"/>
            </w:tcBorders>
            <w:shd w:val="clear" w:color="auto" w:fill="FFFFFF"/>
            <w:noWrap/>
            <w:vAlign w:val="center"/>
            <w:hideMark/>
          </w:tcPr>
          <w:p w:rsidR="005B5121" w:rsidRPr="005B5121" w:rsidRDefault="005B5121" w:rsidP="00DD682B">
            <w:pPr>
              <w:spacing w:after="0" w:line="240" w:lineRule="auto"/>
              <w:rPr>
                <w:rFonts w:asciiTheme="minorHAnsi" w:eastAsia="Times New Roman" w:hAnsiTheme="minorHAnsi" w:cs="Calibri"/>
                <w:sz w:val="20"/>
                <w:szCs w:val="20"/>
                <w:lang w:eastAsia="es-MX"/>
              </w:rPr>
            </w:pPr>
            <w:r w:rsidRPr="005B5121">
              <w:rPr>
                <w:rFonts w:asciiTheme="minorHAnsi" w:eastAsia="Times New Roman" w:hAnsiTheme="minorHAnsi" w:cs="Calibri"/>
                <w:sz w:val="20"/>
                <w:szCs w:val="20"/>
                <w:lang w:eastAsia="es-MX"/>
              </w:rPr>
              <w:t>Total</w:t>
            </w:r>
          </w:p>
        </w:tc>
        <w:tc>
          <w:tcPr>
            <w:tcW w:w="2289" w:type="dxa"/>
            <w:tcBorders>
              <w:top w:val="nil"/>
              <w:left w:val="nil"/>
              <w:bottom w:val="single" w:sz="8" w:space="0" w:color="auto"/>
              <w:right w:val="single" w:sz="8" w:space="0" w:color="auto"/>
            </w:tcBorders>
            <w:shd w:val="clear" w:color="auto" w:fill="FFFFFF"/>
            <w:noWrap/>
            <w:hideMark/>
          </w:tcPr>
          <w:p w:rsidR="005B5121" w:rsidRPr="005B5121" w:rsidRDefault="005B5121" w:rsidP="00DD682B">
            <w:pPr>
              <w:rPr>
                <w:rFonts w:asciiTheme="minorHAnsi" w:hAnsiTheme="minorHAnsi" w:cs="Calibri"/>
                <w:sz w:val="20"/>
                <w:szCs w:val="20"/>
              </w:rPr>
            </w:pPr>
            <w:r w:rsidRPr="005B5121">
              <w:rPr>
                <w:rFonts w:asciiTheme="minorHAnsi" w:hAnsiTheme="minorHAnsi" w:cs="Calibri"/>
                <w:sz w:val="20"/>
                <w:szCs w:val="20"/>
              </w:rPr>
              <w:t>178,439,792.09</w:t>
            </w:r>
          </w:p>
        </w:tc>
        <w:tc>
          <w:tcPr>
            <w:tcW w:w="1825" w:type="dxa"/>
            <w:tcBorders>
              <w:top w:val="nil"/>
              <w:left w:val="nil"/>
              <w:bottom w:val="single" w:sz="8" w:space="0" w:color="auto"/>
              <w:right w:val="single" w:sz="8" w:space="0" w:color="auto"/>
            </w:tcBorders>
            <w:shd w:val="clear" w:color="auto" w:fill="FFFFFF"/>
            <w:noWrap/>
            <w:hideMark/>
          </w:tcPr>
          <w:p w:rsidR="005B5121" w:rsidRPr="005B5121" w:rsidRDefault="005B5121" w:rsidP="00DD682B">
            <w:pPr>
              <w:rPr>
                <w:rFonts w:asciiTheme="minorHAnsi" w:hAnsiTheme="minorHAnsi" w:cs="Calibri"/>
                <w:sz w:val="20"/>
                <w:szCs w:val="20"/>
              </w:rPr>
            </w:pPr>
            <w:r w:rsidRPr="005B5121">
              <w:rPr>
                <w:rFonts w:asciiTheme="minorHAnsi" w:hAnsiTheme="minorHAnsi" w:cs="Calibri"/>
                <w:sz w:val="20"/>
                <w:szCs w:val="20"/>
              </w:rPr>
              <w:t>89,897,348.19</w:t>
            </w:r>
          </w:p>
        </w:tc>
      </w:tr>
    </w:tbl>
    <w:p w:rsidR="005B5121" w:rsidRPr="005B5121" w:rsidRDefault="005B5121" w:rsidP="005B5121">
      <w:pPr>
        <w:jc w:val="both"/>
        <w:rPr>
          <w:rFonts w:asciiTheme="minorHAnsi" w:hAnsiTheme="minorHAnsi" w:cs="Calibri"/>
          <w:sz w:val="20"/>
          <w:szCs w:val="20"/>
        </w:rPr>
      </w:pPr>
      <w:r w:rsidRPr="005B5121">
        <w:rPr>
          <w:rFonts w:asciiTheme="minorHAnsi" w:hAnsiTheme="minorHAnsi" w:cs="Calibri"/>
          <w:sz w:val="20"/>
          <w:szCs w:val="20"/>
        </w:rPr>
        <w:t xml:space="preserve">El importe total se encuentra registrado en 37 cuentas bancarias </w:t>
      </w:r>
      <w:proofErr w:type="spellStart"/>
      <w:r w:rsidRPr="005B5121">
        <w:rPr>
          <w:rFonts w:asciiTheme="minorHAnsi" w:hAnsiTheme="minorHAnsi" w:cs="Calibri"/>
          <w:sz w:val="20"/>
          <w:szCs w:val="20"/>
        </w:rPr>
        <w:t>aperturadas</w:t>
      </w:r>
      <w:proofErr w:type="spellEnd"/>
      <w:r w:rsidRPr="005B5121">
        <w:rPr>
          <w:rFonts w:asciiTheme="minorHAnsi" w:hAnsiTheme="minorHAnsi" w:cs="Calibri"/>
          <w:sz w:val="20"/>
          <w:szCs w:val="20"/>
        </w:rPr>
        <w:t xml:space="preserve"> en la Institución Financiera </w:t>
      </w:r>
      <w:proofErr w:type="spellStart"/>
      <w:r w:rsidRPr="005B5121">
        <w:rPr>
          <w:rFonts w:asciiTheme="minorHAnsi" w:hAnsiTheme="minorHAnsi" w:cs="Calibri"/>
          <w:sz w:val="20"/>
          <w:szCs w:val="20"/>
        </w:rPr>
        <w:t>Scotiabank</w:t>
      </w:r>
      <w:proofErr w:type="spellEnd"/>
      <w:r w:rsidRPr="005B5121">
        <w:rPr>
          <w:rFonts w:asciiTheme="minorHAnsi" w:hAnsiTheme="minorHAnsi" w:cs="Calibri"/>
          <w:sz w:val="20"/>
          <w:szCs w:val="20"/>
        </w:rPr>
        <w:t xml:space="preserve"> Inverlat y en 7 cuentas bancarias </w:t>
      </w:r>
      <w:proofErr w:type="spellStart"/>
      <w:r w:rsidRPr="005B5121">
        <w:rPr>
          <w:rFonts w:asciiTheme="minorHAnsi" w:hAnsiTheme="minorHAnsi" w:cs="Calibri"/>
          <w:sz w:val="20"/>
          <w:szCs w:val="20"/>
        </w:rPr>
        <w:t>aperturadas</w:t>
      </w:r>
      <w:proofErr w:type="spellEnd"/>
      <w:r w:rsidRPr="005B5121">
        <w:rPr>
          <w:rFonts w:asciiTheme="minorHAnsi" w:hAnsiTheme="minorHAnsi" w:cs="Calibri"/>
          <w:sz w:val="20"/>
          <w:szCs w:val="20"/>
        </w:rPr>
        <w:t xml:space="preserve"> en la Institución Financiera Banorte.</w:t>
      </w:r>
    </w:p>
    <w:p w:rsidR="005B5121" w:rsidRPr="005B5121" w:rsidRDefault="005B5121" w:rsidP="005B5121">
      <w:pPr>
        <w:pStyle w:val="Ttulo"/>
        <w:rPr>
          <w:rFonts w:asciiTheme="minorHAnsi" w:hAnsiTheme="minorHAnsi" w:cs="Calibri"/>
          <w:b/>
          <w:color w:val="auto"/>
          <w:sz w:val="20"/>
          <w:szCs w:val="20"/>
        </w:rPr>
      </w:pPr>
      <w:r w:rsidRPr="005B5121">
        <w:rPr>
          <w:rFonts w:asciiTheme="minorHAnsi" w:hAnsiTheme="minorHAnsi" w:cs="Calibri"/>
          <w:b/>
          <w:color w:val="auto"/>
          <w:sz w:val="20"/>
          <w:szCs w:val="20"/>
        </w:rPr>
        <w:t>Nota 4</w:t>
      </w:r>
    </w:p>
    <w:p w:rsidR="005B5121" w:rsidRPr="005B5121" w:rsidRDefault="005B5121" w:rsidP="005B5121">
      <w:pPr>
        <w:pStyle w:val="Ttulo"/>
        <w:rPr>
          <w:rFonts w:asciiTheme="minorHAnsi" w:hAnsiTheme="minorHAnsi" w:cs="Calibri"/>
          <w:b/>
          <w:color w:val="auto"/>
          <w:sz w:val="20"/>
          <w:szCs w:val="20"/>
        </w:rPr>
      </w:pPr>
      <w:r w:rsidRPr="005B5121">
        <w:rPr>
          <w:rFonts w:asciiTheme="minorHAnsi" w:hAnsiTheme="minorHAnsi" w:cs="Calibri"/>
          <w:b/>
          <w:color w:val="auto"/>
          <w:sz w:val="20"/>
          <w:szCs w:val="20"/>
        </w:rPr>
        <w:t>Efectivo o Equivalente de Efectivo a Recibir</w:t>
      </w:r>
    </w:p>
    <w:p w:rsidR="005B5121" w:rsidRPr="005B5121" w:rsidRDefault="005B5121" w:rsidP="005B5121">
      <w:pPr>
        <w:pStyle w:val="Ttulo"/>
        <w:rPr>
          <w:rFonts w:asciiTheme="minorHAnsi" w:hAnsiTheme="minorHAnsi" w:cs="Calibri"/>
          <w:b/>
          <w:color w:val="auto"/>
          <w:sz w:val="20"/>
          <w:szCs w:val="20"/>
        </w:rPr>
      </w:pPr>
      <w:r w:rsidRPr="005B5121">
        <w:rPr>
          <w:rFonts w:asciiTheme="minorHAnsi" w:hAnsiTheme="minorHAnsi" w:cs="Calibri"/>
          <w:b/>
          <w:color w:val="auto"/>
          <w:sz w:val="20"/>
          <w:szCs w:val="20"/>
        </w:rPr>
        <w:t>CIFRAS EN PESOS</w:t>
      </w:r>
    </w:p>
    <w:p w:rsidR="005B5121" w:rsidRPr="005B5121" w:rsidRDefault="005B5121" w:rsidP="005B5121">
      <w:pPr>
        <w:jc w:val="both"/>
        <w:rPr>
          <w:rFonts w:asciiTheme="minorHAnsi" w:hAnsiTheme="minorHAnsi" w:cs="Calibri"/>
          <w:sz w:val="20"/>
          <w:szCs w:val="20"/>
        </w:rPr>
      </w:pPr>
      <w:r w:rsidRPr="005B5121">
        <w:rPr>
          <w:rFonts w:asciiTheme="minorHAnsi" w:hAnsiTheme="minorHAnsi" w:cs="Calibri"/>
          <w:sz w:val="20"/>
          <w:szCs w:val="20"/>
        </w:rPr>
        <w:t xml:space="preserve">El rubro de Efectivo o Equivalente de Efectivo al 31 de Marzo 2017, se encuentra integrado de la siguiente manera: </w:t>
      </w:r>
    </w:p>
    <w:tbl>
      <w:tblPr>
        <w:tblW w:w="8511" w:type="dxa"/>
        <w:tblInd w:w="55" w:type="dxa"/>
        <w:tblCellMar>
          <w:left w:w="70" w:type="dxa"/>
          <w:right w:w="70" w:type="dxa"/>
        </w:tblCellMar>
        <w:tblLook w:val="04A0" w:firstRow="1" w:lastRow="0" w:firstColumn="1" w:lastColumn="0" w:noHBand="0" w:noVBand="1"/>
      </w:tblPr>
      <w:tblGrid>
        <w:gridCol w:w="4305"/>
        <w:gridCol w:w="2340"/>
        <w:gridCol w:w="1866"/>
      </w:tblGrid>
      <w:tr w:rsidR="005B5121" w:rsidRPr="005B5121" w:rsidTr="00DD682B">
        <w:trPr>
          <w:trHeight w:val="399"/>
        </w:trPr>
        <w:tc>
          <w:tcPr>
            <w:tcW w:w="4305" w:type="dxa"/>
            <w:tcBorders>
              <w:top w:val="single" w:sz="8" w:space="0" w:color="auto"/>
              <w:left w:val="single" w:sz="8" w:space="0" w:color="auto"/>
              <w:bottom w:val="nil"/>
              <w:right w:val="single" w:sz="8" w:space="0" w:color="auto"/>
            </w:tcBorders>
            <w:shd w:val="clear" w:color="auto" w:fill="FFFFFF"/>
            <w:noWrap/>
            <w:vAlign w:val="center"/>
            <w:hideMark/>
          </w:tcPr>
          <w:p w:rsidR="005B5121" w:rsidRPr="005B5121" w:rsidRDefault="005B5121" w:rsidP="00DD682B">
            <w:pPr>
              <w:spacing w:after="0" w:line="240" w:lineRule="auto"/>
              <w:rPr>
                <w:rFonts w:asciiTheme="minorHAnsi" w:eastAsia="Times New Roman" w:hAnsiTheme="minorHAnsi" w:cs="Calibri"/>
                <w:sz w:val="20"/>
                <w:szCs w:val="20"/>
                <w:lang w:eastAsia="es-MX"/>
              </w:rPr>
            </w:pPr>
            <w:r w:rsidRPr="005B5121">
              <w:rPr>
                <w:rFonts w:asciiTheme="minorHAnsi" w:eastAsia="Times New Roman" w:hAnsiTheme="minorHAnsi" w:cs="Calibri"/>
                <w:sz w:val="20"/>
                <w:szCs w:val="20"/>
                <w:lang w:eastAsia="es-MX"/>
              </w:rPr>
              <w:t>Nombre</w:t>
            </w:r>
          </w:p>
        </w:tc>
        <w:tc>
          <w:tcPr>
            <w:tcW w:w="2340" w:type="dxa"/>
            <w:vMerge w:val="restart"/>
            <w:tcBorders>
              <w:top w:val="single" w:sz="8" w:space="0" w:color="auto"/>
              <w:left w:val="single" w:sz="8" w:space="0" w:color="auto"/>
              <w:bottom w:val="single" w:sz="8" w:space="0" w:color="000000"/>
              <w:right w:val="single" w:sz="8" w:space="0" w:color="auto"/>
            </w:tcBorders>
            <w:shd w:val="clear" w:color="auto" w:fill="FFFFFF"/>
            <w:noWrap/>
            <w:vAlign w:val="center"/>
            <w:hideMark/>
          </w:tcPr>
          <w:p w:rsidR="005B5121" w:rsidRPr="005B5121" w:rsidRDefault="005B5121" w:rsidP="00DD682B">
            <w:pPr>
              <w:spacing w:after="0" w:line="240" w:lineRule="auto"/>
              <w:jc w:val="center"/>
              <w:rPr>
                <w:rFonts w:asciiTheme="minorHAnsi" w:eastAsia="Times New Roman" w:hAnsiTheme="minorHAnsi" w:cs="Calibri"/>
                <w:sz w:val="20"/>
                <w:szCs w:val="20"/>
                <w:lang w:eastAsia="es-MX"/>
              </w:rPr>
            </w:pPr>
            <w:r w:rsidRPr="005B5121">
              <w:rPr>
                <w:rFonts w:asciiTheme="minorHAnsi" w:eastAsia="Times New Roman" w:hAnsiTheme="minorHAnsi" w:cs="Calibri"/>
                <w:sz w:val="20"/>
                <w:szCs w:val="20"/>
                <w:lang w:eastAsia="es-MX"/>
              </w:rPr>
              <w:t>31 de Marzo 2017</w:t>
            </w:r>
          </w:p>
        </w:tc>
        <w:tc>
          <w:tcPr>
            <w:tcW w:w="1866" w:type="dxa"/>
            <w:vMerge w:val="restart"/>
            <w:tcBorders>
              <w:top w:val="single" w:sz="8" w:space="0" w:color="auto"/>
              <w:left w:val="single" w:sz="8" w:space="0" w:color="auto"/>
              <w:bottom w:val="single" w:sz="8" w:space="0" w:color="000000"/>
              <w:right w:val="single" w:sz="8" w:space="0" w:color="auto"/>
            </w:tcBorders>
            <w:shd w:val="clear" w:color="auto" w:fill="FFFFFF"/>
            <w:noWrap/>
            <w:vAlign w:val="center"/>
            <w:hideMark/>
          </w:tcPr>
          <w:p w:rsidR="005B5121" w:rsidRPr="005B5121" w:rsidRDefault="005B5121" w:rsidP="00DD682B">
            <w:pPr>
              <w:spacing w:after="0" w:line="240" w:lineRule="auto"/>
              <w:jc w:val="center"/>
              <w:rPr>
                <w:rFonts w:asciiTheme="minorHAnsi" w:eastAsia="Times New Roman" w:hAnsiTheme="minorHAnsi" w:cs="Calibri"/>
                <w:sz w:val="20"/>
                <w:szCs w:val="20"/>
                <w:lang w:eastAsia="es-MX"/>
              </w:rPr>
            </w:pPr>
            <w:r w:rsidRPr="005B5121">
              <w:rPr>
                <w:rFonts w:asciiTheme="minorHAnsi" w:eastAsia="Times New Roman" w:hAnsiTheme="minorHAnsi" w:cs="Calibri"/>
                <w:sz w:val="20"/>
                <w:szCs w:val="20"/>
                <w:lang w:eastAsia="es-MX"/>
              </w:rPr>
              <w:t>31 de Marzo 2016</w:t>
            </w:r>
          </w:p>
        </w:tc>
      </w:tr>
      <w:tr w:rsidR="005B5121" w:rsidRPr="005B5121" w:rsidTr="00DD682B">
        <w:trPr>
          <w:trHeight w:val="325"/>
        </w:trPr>
        <w:tc>
          <w:tcPr>
            <w:tcW w:w="4305" w:type="dxa"/>
            <w:tcBorders>
              <w:top w:val="nil"/>
              <w:left w:val="single" w:sz="8" w:space="0" w:color="auto"/>
              <w:bottom w:val="single" w:sz="8" w:space="0" w:color="auto"/>
              <w:right w:val="single" w:sz="8" w:space="0" w:color="auto"/>
            </w:tcBorders>
            <w:shd w:val="clear" w:color="auto" w:fill="FFFFFF"/>
            <w:noWrap/>
            <w:vAlign w:val="center"/>
            <w:hideMark/>
          </w:tcPr>
          <w:p w:rsidR="005B5121" w:rsidRPr="005B5121" w:rsidRDefault="005B5121" w:rsidP="00DD682B">
            <w:pPr>
              <w:spacing w:after="0" w:line="240" w:lineRule="auto"/>
              <w:rPr>
                <w:rFonts w:asciiTheme="minorHAnsi" w:eastAsia="Times New Roman" w:hAnsiTheme="minorHAnsi" w:cs="Calibri"/>
                <w:sz w:val="20"/>
                <w:szCs w:val="20"/>
                <w:lang w:eastAsia="es-MX"/>
              </w:rPr>
            </w:pPr>
            <w:r w:rsidRPr="005B5121">
              <w:rPr>
                <w:rFonts w:asciiTheme="minorHAnsi" w:eastAsia="Times New Roman" w:hAnsiTheme="minorHAnsi" w:cs="Calibri"/>
                <w:sz w:val="20"/>
                <w:szCs w:val="20"/>
                <w:lang w:eastAsia="es-MX"/>
              </w:rPr>
              <w:t> </w:t>
            </w: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5B5121" w:rsidRPr="005B5121" w:rsidRDefault="005B5121" w:rsidP="00DD682B">
            <w:pPr>
              <w:spacing w:after="0" w:line="240" w:lineRule="auto"/>
              <w:rPr>
                <w:rFonts w:asciiTheme="minorHAnsi" w:eastAsia="Times New Roman" w:hAnsiTheme="minorHAnsi" w:cs="Calibri"/>
                <w:sz w:val="20"/>
                <w:szCs w:val="20"/>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5B5121" w:rsidRPr="005B5121" w:rsidRDefault="005B5121" w:rsidP="00DD682B">
            <w:pPr>
              <w:spacing w:after="0" w:line="240" w:lineRule="auto"/>
              <w:rPr>
                <w:rFonts w:asciiTheme="minorHAnsi" w:eastAsia="Times New Roman" w:hAnsiTheme="minorHAnsi" w:cs="Calibri"/>
                <w:sz w:val="20"/>
                <w:szCs w:val="20"/>
                <w:lang w:eastAsia="es-MX"/>
              </w:rPr>
            </w:pPr>
          </w:p>
        </w:tc>
      </w:tr>
      <w:tr w:rsidR="005B5121" w:rsidRPr="005B5121" w:rsidTr="00DD682B">
        <w:trPr>
          <w:trHeight w:val="325"/>
        </w:trPr>
        <w:tc>
          <w:tcPr>
            <w:tcW w:w="4305" w:type="dxa"/>
            <w:tcBorders>
              <w:top w:val="nil"/>
              <w:left w:val="single" w:sz="8" w:space="0" w:color="auto"/>
              <w:bottom w:val="single" w:sz="8" w:space="0" w:color="auto"/>
              <w:right w:val="single" w:sz="8" w:space="0" w:color="auto"/>
            </w:tcBorders>
            <w:shd w:val="clear" w:color="auto" w:fill="FFFFFF"/>
            <w:noWrap/>
            <w:vAlign w:val="center"/>
            <w:hideMark/>
          </w:tcPr>
          <w:p w:rsidR="005B5121" w:rsidRPr="005B5121" w:rsidRDefault="005B5121" w:rsidP="00DD682B">
            <w:pPr>
              <w:spacing w:after="0" w:line="240" w:lineRule="auto"/>
              <w:rPr>
                <w:rFonts w:asciiTheme="minorHAnsi" w:eastAsia="Times New Roman" w:hAnsiTheme="minorHAnsi" w:cs="Calibri"/>
                <w:sz w:val="20"/>
                <w:szCs w:val="20"/>
                <w:lang w:eastAsia="es-MX"/>
              </w:rPr>
            </w:pPr>
            <w:r w:rsidRPr="005B5121">
              <w:rPr>
                <w:rFonts w:asciiTheme="minorHAnsi" w:eastAsia="Times New Roman" w:hAnsiTheme="minorHAnsi" w:cs="Calibri"/>
                <w:sz w:val="20"/>
                <w:szCs w:val="20"/>
                <w:lang w:eastAsia="es-MX"/>
              </w:rPr>
              <w:t>Derechos a Recibir Efectivo o Equivalentes</w:t>
            </w:r>
          </w:p>
        </w:tc>
        <w:tc>
          <w:tcPr>
            <w:tcW w:w="2340" w:type="dxa"/>
            <w:tcBorders>
              <w:top w:val="nil"/>
              <w:left w:val="nil"/>
              <w:bottom w:val="single" w:sz="8" w:space="0" w:color="auto"/>
              <w:right w:val="single" w:sz="8" w:space="0" w:color="auto"/>
            </w:tcBorders>
            <w:shd w:val="clear" w:color="auto" w:fill="FFFFFF"/>
            <w:noWrap/>
            <w:hideMark/>
          </w:tcPr>
          <w:p w:rsidR="005B5121" w:rsidRPr="005B5121" w:rsidRDefault="005B5121" w:rsidP="00DD682B">
            <w:pPr>
              <w:rPr>
                <w:rFonts w:asciiTheme="minorHAnsi" w:hAnsiTheme="minorHAnsi" w:cs="Calibri"/>
                <w:sz w:val="20"/>
                <w:szCs w:val="20"/>
              </w:rPr>
            </w:pPr>
            <w:r w:rsidRPr="005B5121">
              <w:rPr>
                <w:rFonts w:asciiTheme="minorHAnsi" w:hAnsiTheme="minorHAnsi" w:cs="Calibri"/>
                <w:sz w:val="20"/>
                <w:szCs w:val="20"/>
              </w:rPr>
              <w:t xml:space="preserve">10,408,487.27 </w:t>
            </w:r>
          </w:p>
        </w:tc>
        <w:tc>
          <w:tcPr>
            <w:tcW w:w="1866" w:type="dxa"/>
            <w:tcBorders>
              <w:top w:val="nil"/>
              <w:left w:val="nil"/>
              <w:bottom w:val="single" w:sz="8" w:space="0" w:color="auto"/>
              <w:right w:val="single" w:sz="8" w:space="0" w:color="auto"/>
            </w:tcBorders>
            <w:shd w:val="clear" w:color="auto" w:fill="FFFFFF"/>
            <w:noWrap/>
            <w:hideMark/>
          </w:tcPr>
          <w:p w:rsidR="005B5121" w:rsidRPr="005B5121" w:rsidRDefault="005B5121" w:rsidP="00DD682B">
            <w:pPr>
              <w:rPr>
                <w:rFonts w:asciiTheme="minorHAnsi" w:hAnsiTheme="minorHAnsi" w:cs="Calibri"/>
                <w:sz w:val="20"/>
                <w:szCs w:val="20"/>
              </w:rPr>
            </w:pPr>
            <w:r w:rsidRPr="005B5121">
              <w:rPr>
                <w:rFonts w:asciiTheme="minorHAnsi" w:hAnsiTheme="minorHAnsi" w:cs="Calibri"/>
                <w:sz w:val="20"/>
                <w:szCs w:val="20"/>
              </w:rPr>
              <w:t xml:space="preserve">48,736,175.64 </w:t>
            </w:r>
          </w:p>
        </w:tc>
      </w:tr>
      <w:tr w:rsidR="005B5121" w:rsidRPr="005B5121" w:rsidTr="00DD682B">
        <w:trPr>
          <w:trHeight w:val="325"/>
        </w:trPr>
        <w:tc>
          <w:tcPr>
            <w:tcW w:w="4305" w:type="dxa"/>
            <w:tcBorders>
              <w:top w:val="nil"/>
              <w:left w:val="single" w:sz="8" w:space="0" w:color="auto"/>
              <w:bottom w:val="single" w:sz="8" w:space="0" w:color="auto"/>
              <w:right w:val="single" w:sz="8" w:space="0" w:color="auto"/>
            </w:tcBorders>
            <w:shd w:val="clear" w:color="auto" w:fill="FFFFFF"/>
            <w:noWrap/>
            <w:vAlign w:val="center"/>
            <w:hideMark/>
          </w:tcPr>
          <w:p w:rsidR="005B5121" w:rsidRPr="005B5121" w:rsidRDefault="005B5121" w:rsidP="00DD682B">
            <w:pPr>
              <w:spacing w:after="0" w:line="240" w:lineRule="auto"/>
              <w:rPr>
                <w:rFonts w:asciiTheme="minorHAnsi" w:eastAsia="Times New Roman" w:hAnsiTheme="minorHAnsi" w:cs="Calibri"/>
                <w:sz w:val="20"/>
                <w:szCs w:val="20"/>
                <w:lang w:eastAsia="es-MX"/>
              </w:rPr>
            </w:pPr>
            <w:r w:rsidRPr="005B5121">
              <w:rPr>
                <w:rFonts w:asciiTheme="minorHAnsi" w:eastAsia="Times New Roman" w:hAnsiTheme="minorHAnsi" w:cs="Calibri"/>
                <w:sz w:val="20"/>
                <w:szCs w:val="20"/>
                <w:lang w:eastAsia="es-MX"/>
              </w:rPr>
              <w:t>Derechos a Recibir Bienes o Servicios</w:t>
            </w:r>
          </w:p>
        </w:tc>
        <w:tc>
          <w:tcPr>
            <w:tcW w:w="2340" w:type="dxa"/>
            <w:tcBorders>
              <w:top w:val="nil"/>
              <w:left w:val="nil"/>
              <w:bottom w:val="single" w:sz="8" w:space="0" w:color="auto"/>
              <w:right w:val="single" w:sz="8" w:space="0" w:color="auto"/>
            </w:tcBorders>
            <w:shd w:val="clear" w:color="auto" w:fill="FFFFFF"/>
            <w:noWrap/>
            <w:hideMark/>
          </w:tcPr>
          <w:p w:rsidR="005B5121" w:rsidRPr="005B5121" w:rsidRDefault="005B5121" w:rsidP="00DD682B">
            <w:pPr>
              <w:rPr>
                <w:rFonts w:asciiTheme="minorHAnsi" w:hAnsiTheme="minorHAnsi" w:cs="Calibri"/>
                <w:sz w:val="20"/>
                <w:szCs w:val="20"/>
              </w:rPr>
            </w:pPr>
            <w:r w:rsidRPr="005B5121">
              <w:rPr>
                <w:rFonts w:asciiTheme="minorHAnsi" w:hAnsiTheme="minorHAnsi" w:cs="Calibri"/>
                <w:sz w:val="20"/>
                <w:szCs w:val="20"/>
              </w:rPr>
              <w:t xml:space="preserve">11,764,642.13 </w:t>
            </w:r>
          </w:p>
        </w:tc>
        <w:tc>
          <w:tcPr>
            <w:tcW w:w="1866" w:type="dxa"/>
            <w:tcBorders>
              <w:top w:val="nil"/>
              <w:left w:val="nil"/>
              <w:bottom w:val="single" w:sz="8" w:space="0" w:color="auto"/>
              <w:right w:val="single" w:sz="8" w:space="0" w:color="auto"/>
            </w:tcBorders>
            <w:shd w:val="clear" w:color="auto" w:fill="FFFFFF"/>
            <w:noWrap/>
            <w:hideMark/>
          </w:tcPr>
          <w:p w:rsidR="005B5121" w:rsidRPr="005B5121" w:rsidRDefault="005B5121" w:rsidP="00DD682B">
            <w:pPr>
              <w:rPr>
                <w:rFonts w:asciiTheme="minorHAnsi" w:hAnsiTheme="minorHAnsi" w:cs="Calibri"/>
                <w:sz w:val="20"/>
                <w:szCs w:val="20"/>
              </w:rPr>
            </w:pPr>
            <w:r w:rsidRPr="005B5121">
              <w:rPr>
                <w:rFonts w:asciiTheme="minorHAnsi" w:hAnsiTheme="minorHAnsi" w:cs="Calibri"/>
                <w:sz w:val="20"/>
                <w:szCs w:val="20"/>
              </w:rPr>
              <w:t xml:space="preserve">1,757,785.83 </w:t>
            </w:r>
          </w:p>
        </w:tc>
      </w:tr>
      <w:tr w:rsidR="005B5121" w:rsidRPr="005B5121" w:rsidTr="00DD682B">
        <w:trPr>
          <w:trHeight w:val="325"/>
        </w:trPr>
        <w:tc>
          <w:tcPr>
            <w:tcW w:w="4305" w:type="dxa"/>
            <w:tcBorders>
              <w:top w:val="nil"/>
              <w:left w:val="single" w:sz="8" w:space="0" w:color="auto"/>
              <w:bottom w:val="single" w:sz="8" w:space="0" w:color="auto"/>
              <w:right w:val="single" w:sz="8" w:space="0" w:color="auto"/>
            </w:tcBorders>
            <w:shd w:val="clear" w:color="auto" w:fill="FFFFFF"/>
            <w:noWrap/>
            <w:vAlign w:val="center"/>
            <w:hideMark/>
          </w:tcPr>
          <w:p w:rsidR="005B5121" w:rsidRPr="005B5121" w:rsidRDefault="005B5121" w:rsidP="00DD682B">
            <w:pPr>
              <w:spacing w:after="0" w:line="240" w:lineRule="auto"/>
              <w:rPr>
                <w:rFonts w:asciiTheme="minorHAnsi" w:eastAsia="Times New Roman" w:hAnsiTheme="minorHAnsi" w:cs="Calibri"/>
                <w:sz w:val="20"/>
                <w:szCs w:val="20"/>
                <w:lang w:eastAsia="es-MX"/>
              </w:rPr>
            </w:pPr>
            <w:r w:rsidRPr="005B5121">
              <w:rPr>
                <w:rFonts w:asciiTheme="minorHAnsi" w:eastAsia="Times New Roman" w:hAnsiTheme="minorHAnsi" w:cs="Calibri"/>
                <w:sz w:val="20"/>
                <w:szCs w:val="20"/>
                <w:lang w:eastAsia="es-MX"/>
              </w:rPr>
              <w:t>Total.</w:t>
            </w:r>
          </w:p>
        </w:tc>
        <w:tc>
          <w:tcPr>
            <w:tcW w:w="2340" w:type="dxa"/>
            <w:tcBorders>
              <w:top w:val="nil"/>
              <w:left w:val="nil"/>
              <w:bottom w:val="single" w:sz="8" w:space="0" w:color="auto"/>
              <w:right w:val="single" w:sz="8" w:space="0" w:color="auto"/>
            </w:tcBorders>
            <w:shd w:val="clear" w:color="auto" w:fill="FFFFFF"/>
            <w:noWrap/>
            <w:hideMark/>
          </w:tcPr>
          <w:p w:rsidR="005B5121" w:rsidRPr="005B5121" w:rsidRDefault="005B5121" w:rsidP="00DD682B">
            <w:pPr>
              <w:rPr>
                <w:rFonts w:asciiTheme="minorHAnsi" w:hAnsiTheme="minorHAnsi" w:cs="Calibri"/>
                <w:sz w:val="20"/>
                <w:szCs w:val="20"/>
              </w:rPr>
            </w:pPr>
            <w:r w:rsidRPr="005B5121">
              <w:rPr>
                <w:rFonts w:asciiTheme="minorHAnsi" w:hAnsiTheme="minorHAnsi" w:cs="Calibri"/>
                <w:sz w:val="20"/>
                <w:szCs w:val="20"/>
              </w:rPr>
              <w:t xml:space="preserve">22,173,129.40 </w:t>
            </w:r>
          </w:p>
        </w:tc>
        <w:tc>
          <w:tcPr>
            <w:tcW w:w="1866" w:type="dxa"/>
            <w:tcBorders>
              <w:top w:val="nil"/>
              <w:left w:val="nil"/>
              <w:bottom w:val="single" w:sz="8" w:space="0" w:color="auto"/>
              <w:right w:val="single" w:sz="8" w:space="0" w:color="auto"/>
            </w:tcBorders>
            <w:shd w:val="clear" w:color="auto" w:fill="FFFFFF"/>
            <w:noWrap/>
            <w:hideMark/>
          </w:tcPr>
          <w:p w:rsidR="005B5121" w:rsidRPr="005B5121" w:rsidRDefault="005B5121" w:rsidP="00DD682B">
            <w:pPr>
              <w:rPr>
                <w:rFonts w:asciiTheme="minorHAnsi" w:hAnsiTheme="minorHAnsi" w:cs="Calibri"/>
                <w:sz w:val="20"/>
                <w:szCs w:val="20"/>
              </w:rPr>
            </w:pPr>
            <w:r w:rsidRPr="005B5121">
              <w:rPr>
                <w:rFonts w:asciiTheme="minorHAnsi" w:hAnsiTheme="minorHAnsi" w:cs="Calibri"/>
                <w:sz w:val="20"/>
                <w:szCs w:val="20"/>
              </w:rPr>
              <w:t xml:space="preserve">50,493,961.47 </w:t>
            </w:r>
          </w:p>
        </w:tc>
      </w:tr>
    </w:tbl>
    <w:p w:rsidR="005B5121" w:rsidRPr="005B5121" w:rsidRDefault="005B5121" w:rsidP="005B5121">
      <w:pPr>
        <w:pStyle w:val="Ttulo"/>
        <w:rPr>
          <w:rFonts w:asciiTheme="minorHAnsi" w:hAnsiTheme="minorHAnsi" w:cs="Calibri"/>
          <w:b/>
          <w:color w:val="auto"/>
          <w:sz w:val="20"/>
          <w:szCs w:val="20"/>
        </w:rPr>
      </w:pPr>
      <w:r w:rsidRPr="005B5121">
        <w:rPr>
          <w:rFonts w:asciiTheme="minorHAnsi" w:hAnsiTheme="minorHAnsi" w:cs="Calibri"/>
          <w:b/>
          <w:color w:val="auto"/>
          <w:sz w:val="20"/>
          <w:szCs w:val="20"/>
        </w:rPr>
        <w:lastRenderedPageBreak/>
        <w:t xml:space="preserve">Nota 5     </w:t>
      </w:r>
    </w:p>
    <w:p w:rsidR="005B5121" w:rsidRPr="005B5121" w:rsidRDefault="005B5121" w:rsidP="005B5121">
      <w:pPr>
        <w:pStyle w:val="Ttulo"/>
        <w:rPr>
          <w:rFonts w:asciiTheme="minorHAnsi" w:hAnsiTheme="minorHAnsi" w:cs="Calibri"/>
          <w:b/>
          <w:color w:val="auto"/>
          <w:sz w:val="20"/>
          <w:szCs w:val="20"/>
        </w:rPr>
      </w:pPr>
      <w:r w:rsidRPr="005B5121">
        <w:rPr>
          <w:rFonts w:asciiTheme="minorHAnsi" w:hAnsiTheme="minorHAnsi" w:cs="Calibri"/>
          <w:b/>
          <w:color w:val="auto"/>
          <w:sz w:val="20"/>
          <w:szCs w:val="20"/>
        </w:rPr>
        <w:t>Activo No Circulante</w:t>
      </w:r>
    </w:p>
    <w:p w:rsidR="005B5121" w:rsidRPr="005B5121" w:rsidRDefault="005B5121" w:rsidP="005B5121">
      <w:pPr>
        <w:pStyle w:val="Ttulo"/>
        <w:rPr>
          <w:rFonts w:asciiTheme="minorHAnsi" w:hAnsiTheme="minorHAnsi" w:cs="Calibri"/>
          <w:b/>
          <w:color w:val="auto"/>
          <w:sz w:val="20"/>
          <w:szCs w:val="20"/>
        </w:rPr>
      </w:pPr>
      <w:r w:rsidRPr="005B5121">
        <w:rPr>
          <w:rFonts w:asciiTheme="minorHAnsi" w:hAnsiTheme="minorHAnsi" w:cs="Calibri"/>
          <w:b/>
          <w:color w:val="auto"/>
          <w:sz w:val="20"/>
          <w:szCs w:val="20"/>
        </w:rPr>
        <w:t>CIFRAS EN PESOS</w:t>
      </w:r>
    </w:p>
    <w:p w:rsidR="005B5121" w:rsidRPr="005B5121" w:rsidRDefault="005B5121" w:rsidP="005B5121">
      <w:pPr>
        <w:jc w:val="both"/>
        <w:rPr>
          <w:rFonts w:asciiTheme="minorHAnsi" w:hAnsiTheme="minorHAnsi" w:cs="Calibri"/>
          <w:sz w:val="20"/>
          <w:szCs w:val="20"/>
        </w:rPr>
      </w:pPr>
      <w:r w:rsidRPr="005B5121">
        <w:rPr>
          <w:rFonts w:asciiTheme="minorHAnsi" w:hAnsiTheme="minorHAnsi" w:cs="Calibri"/>
          <w:sz w:val="20"/>
          <w:szCs w:val="20"/>
        </w:rPr>
        <w:t xml:space="preserve">El saldo del rubro de Activo No Circulante que figura en el Estado de situación financiera  al 31 de Marzo 2017 se integra como sigue: </w:t>
      </w:r>
    </w:p>
    <w:tbl>
      <w:tblPr>
        <w:tblW w:w="8650" w:type="dxa"/>
        <w:tblCellMar>
          <w:left w:w="70" w:type="dxa"/>
          <w:right w:w="70" w:type="dxa"/>
        </w:tblCellMar>
        <w:tblLook w:val="04A0" w:firstRow="1" w:lastRow="0" w:firstColumn="1" w:lastColumn="0" w:noHBand="0" w:noVBand="1"/>
      </w:tblPr>
      <w:tblGrid>
        <w:gridCol w:w="4506"/>
        <w:gridCol w:w="2306"/>
        <w:gridCol w:w="1838"/>
      </w:tblGrid>
      <w:tr w:rsidR="005B5121" w:rsidRPr="005B5121" w:rsidTr="00DD682B">
        <w:trPr>
          <w:trHeight w:val="253"/>
        </w:trPr>
        <w:tc>
          <w:tcPr>
            <w:tcW w:w="4506" w:type="dxa"/>
            <w:tcBorders>
              <w:top w:val="single" w:sz="8" w:space="0" w:color="auto"/>
              <w:left w:val="single" w:sz="8" w:space="0" w:color="auto"/>
              <w:bottom w:val="single" w:sz="8" w:space="0" w:color="auto"/>
              <w:right w:val="single" w:sz="8" w:space="0" w:color="auto"/>
            </w:tcBorders>
            <w:shd w:val="clear" w:color="auto" w:fill="FFFFFF"/>
            <w:noWrap/>
            <w:vAlign w:val="center"/>
            <w:hideMark/>
          </w:tcPr>
          <w:p w:rsidR="005B5121" w:rsidRPr="005B5121" w:rsidRDefault="005B5121" w:rsidP="00DD682B">
            <w:pPr>
              <w:spacing w:after="0" w:line="240" w:lineRule="auto"/>
              <w:rPr>
                <w:rFonts w:asciiTheme="minorHAnsi" w:eastAsia="Times New Roman" w:hAnsiTheme="minorHAnsi" w:cs="Calibri"/>
                <w:sz w:val="20"/>
                <w:szCs w:val="20"/>
                <w:lang w:eastAsia="es-MX"/>
              </w:rPr>
            </w:pPr>
            <w:r w:rsidRPr="005B5121">
              <w:rPr>
                <w:rFonts w:asciiTheme="minorHAnsi" w:eastAsia="Times New Roman" w:hAnsiTheme="minorHAnsi" w:cs="Calibri"/>
                <w:sz w:val="20"/>
                <w:szCs w:val="20"/>
                <w:lang w:eastAsia="es-MX"/>
              </w:rPr>
              <w:t>Activo</w:t>
            </w:r>
          </w:p>
        </w:tc>
        <w:tc>
          <w:tcPr>
            <w:tcW w:w="2306" w:type="dxa"/>
            <w:tcBorders>
              <w:top w:val="single" w:sz="8" w:space="0" w:color="auto"/>
              <w:left w:val="nil"/>
              <w:bottom w:val="single" w:sz="8" w:space="0" w:color="auto"/>
              <w:right w:val="single" w:sz="8" w:space="0" w:color="auto"/>
            </w:tcBorders>
            <w:shd w:val="clear" w:color="auto" w:fill="FFFFFF"/>
            <w:noWrap/>
            <w:vAlign w:val="center"/>
            <w:hideMark/>
          </w:tcPr>
          <w:p w:rsidR="005B5121" w:rsidRPr="005B5121" w:rsidRDefault="005B5121" w:rsidP="00DD682B">
            <w:pPr>
              <w:spacing w:after="0" w:line="240" w:lineRule="auto"/>
              <w:jc w:val="center"/>
              <w:rPr>
                <w:rFonts w:asciiTheme="minorHAnsi" w:eastAsia="Times New Roman" w:hAnsiTheme="minorHAnsi" w:cs="Calibri"/>
                <w:sz w:val="20"/>
                <w:szCs w:val="20"/>
                <w:lang w:eastAsia="es-MX"/>
              </w:rPr>
            </w:pPr>
            <w:r w:rsidRPr="005B5121">
              <w:rPr>
                <w:rFonts w:asciiTheme="minorHAnsi" w:eastAsia="Times New Roman" w:hAnsiTheme="minorHAnsi" w:cs="Calibri"/>
                <w:sz w:val="20"/>
                <w:szCs w:val="20"/>
                <w:lang w:eastAsia="es-MX"/>
              </w:rPr>
              <w:t>31 de Marzo 2017</w:t>
            </w:r>
          </w:p>
        </w:tc>
        <w:tc>
          <w:tcPr>
            <w:tcW w:w="1838" w:type="dxa"/>
            <w:tcBorders>
              <w:top w:val="single" w:sz="8" w:space="0" w:color="auto"/>
              <w:left w:val="nil"/>
              <w:bottom w:val="single" w:sz="8" w:space="0" w:color="auto"/>
              <w:right w:val="single" w:sz="8" w:space="0" w:color="auto"/>
            </w:tcBorders>
            <w:shd w:val="clear" w:color="auto" w:fill="FFFFFF"/>
            <w:noWrap/>
            <w:vAlign w:val="center"/>
            <w:hideMark/>
          </w:tcPr>
          <w:p w:rsidR="005B5121" w:rsidRPr="005B5121" w:rsidRDefault="005B5121" w:rsidP="00DD682B">
            <w:pPr>
              <w:spacing w:after="0" w:line="240" w:lineRule="auto"/>
              <w:jc w:val="center"/>
              <w:rPr>
                <w:rFonts w:asciiTheme="minorHAnsi" w:eastAsia="Times New Roman" w:hAnsiTheme="minorHAnsi" w:cs="Calibri"/>
                <w:sz w:val="20"/>
                <w:szCs w:val="20"/>
                <w:lang w:eastAsia="es-MX"/>
              </w:rPr>
            </w:pPr>
            <w:r w:rsidRPr="005B5121">
              <w:rPr>
                <w:rFonts w:asciiTheme="minorHAnsi" w:eastAsia="Times New Roman" w:hAnsiTheme="minorHAnsi" w:cs="Calibri"/>
                <w:sz w:val="20"/>
                <w:szCs w:val="20"/>
                <w:lang w:eastAsia="es-MX"/>
              </w:rPr>
              <w:t>31 de Marzo 2016</w:t>
            </w:r>
          </w:p>
        </w:tc>
      </w:tr>
      <w:tr w:rsidR="005B5121" w:rsidRPr="005B5121" w:rsidTr="00DD682B">
        <w:trPr>
          <w:trHeight w:val="253"/>
        </w:trPr>
        <w:tc>
          <w:tcPr>
            <w:tcW w:w="4506" w:type="dxa"/>
            <w:tcBorders>
              <w:top w:val="nil"/>
              <w:left w:val="single" w:sz="8" w:space="0" w:color="auto"/>
              <w:bottom w:val="single" w:sz="8" w:space="0" w:color="auto"/>
              <w:right w:val="single" w:sz="8" w:space="0" w:color="auto"/>
            </w:tcBorders>
            <w:shd w:val="clear" w:color="auto" w:fill="FFFFFF"/>
            <w:noWrap/>
            <w:vAlign w:val="center"/>
            <w:hideMark/>
          </w:tcPr>
          <w:p w:rsidR="005B5121" w:rsidRPr="005B5121" w:rsidRDefault="005B5121" w:rsidP="00DD682B">
            <w:pPr>
              <w:spacing w:after="0" w:line="240" w:lineRule="auto"/>
              <w:rPr>
                <w:rFonts w:asciiTheme="minorHAnsi" w:eastAsia="Times New Roman" w:hAnsiTheme="minorHAnsi" w:cs="Calibri"/>
                <w:sz w:val="20"/>
                <w:szCs w:val="20"/>
                <w:lang w:eastAsia="es-MX"/>
              </w:rPr>
            </w:pPr>
            <w:r w:rsidRPr="005B5121">
              <w:rPr>
                <w:rFonts w:asciiTheme="minorHAnsi" w:eastAsia="Times New Roman" w:hAnsiTheme="minorHAnsi" w:cs="Calibri"/>
                <w:sz w:val="20"/>
                <w:szCs w:val="20"/>
                <w:lang w:eastAsia="es-MX"/>
              </w:rPr>
              <w:t>Derechos a Recibir Efectivo o Equivalentes a Largo Plazo</w:t>
            </w:r>
          </w:p>
        </w:tc>
        <w:tc>
          <w:tcPr>
            <w:tcW w:w="2306" w:type="dxa"/>
            <w:tcBorders>
              <w:top w:val="nil"/>
              <w:left w:val="nil"/>
              <w:bottom w:val="single" w:sz="8" w:space="0" w:color="auto"/>
              <w:right w:val="single" w:sz="8" w:space="0" w:color="auto"/>
            </w:tcBorders>
            <w:shd w:val="clear" w:color="auto" w:fill="FFFFFF"/>
            <w:noWrap/>
            <w:hideMark/>
          </w:tcPr>
          <w:p w:rsidR="005B5121" w:rsidRPr="005B5121" w:rsidRDefault="005B5121" w:rsidP="00DD682B">
            <w:pPr>
              <w:jc w:val="right"/>
              <w:rPr>
                <w:rFonts w:asciiTheme="minorHAnsi" w:hAnsiTheme="minorHAnsi" w:cs="Calibri"/>
                <w:sz w:val="20"/>
                <w:szCs w:val="20"/>
              </w:rPr>
            </w:pPr>
            <w:r w:rsidRPr="005B5121">
              <w:rPr>
                <w:rFonts w:asciiTheme="minorHAnsi" w:hAnsiTheme="minorHAnsi" w:cs="Calibri"/>
                <w:sz w:val="20"/>
                <w:szCs w:val="20"/>
              </w:rPr>
              <w:t xml:space="preserve">339,891.80 </w:t>
            </w:r>
          </w:p>
        </w:tc>
        <w:tc>
          <w:tcPr>
            <w:tcW w:w="1838" w:type="dxa"/>
            <w:tcBorders>
              <w:top w:val="nil"/>
              <w:left w:val="nil"/>
              <w:bottom w:val="single" w:sz="8" w:space="0" w:color="auto"/>
              <w:right w:val="single" w:sz="8" w:space="0" w:color="auto"/>
            </w:tcBorders>
            <w:shd w:val="clear" w:color="auto" w:fill="FFFFFF"/>
            <w:noWrap/>
            <w:hideMark/>
          </w:tcPr>
          <w:p w:rsidR="005B5121" w:rsidRPr="005B5121" w:rsidRDefault="005B5121" w:rsidP="00DD682B">
            <w:pPr>
              <w:jc w:val="right"/>
              <w:rPr>
                <w:rFonts w:asciiTheme="minorHAnsi" w:hAnsiTheme="minorHAnsi" w:cs="Calibri"/>
                <w:sz w:val="20"/>
                <w:szCs w:val="20"/>
              </w:rPr>
            </w:pPr>
            <w:r w:rsidRPr="005B5121">
              <w:rPr>
                <w:rFonts w:asciiTheme="minorHAnsi" w:hAnsiTheme="minorHAnsi" w:cs="Calibri"/>
                <w:sz w:val="20"/>
                <w:szCs w:val="20"/>
              </w:rPr>
              <w:t xml:space="preserve">339,891.80 </w:t>
            </w:r>
          </w:p>
        </w:tc>
      </w:tr>
      <w:tr w:rsidR="005B5121" w:rsidRPr="005B5121" w:rsidTr="00DD682B">
        <w:trPr>
          <w:trHeight w:val="253"/>
        </w:trPr>
        <w:tc>
          <w:tcPr>
            <w:tcW w:w="4506" w:type="dxa"/>
            <w:tcBorders>
              <w:top w:val="nil"/>
              <w:left w:val="single" w:sz="8" w:space="0" w:color="auto"/>
              <w:bottom w:val="single" w:sz="8" w:space="0" w:color="auto"/>
              <w:right w:val="single" w:sz="8" w:space="0" w:color="auto"/>
            </w:tcBorders>
            <w:shd w:val="clear" w:color="auto" w:fill="FFFFFF"/>
            <w:noWrap/>
            <w:vAlign w:val="center"/>
            <w:hideMark/>
          </w:tcPr>
          <w:p w:rsidR="005B5121" w:rsidRPr="005B5121" w:rsidRDefault="005B5121" w:rsidP="00DD682B">
            <w:pPr>
              <w:spacing w:after="0" w:line="240" w:lineRule="auto"/>
              <w:rPr>
                <w:rFonts w:asciiTheme="minorHAnsi" w:eastAsia="Times New Roman" w:hAnsiTheme="minorHAnsi" w:cs="Calibri"/>
                <w:sz w:val="20"/>
                <w:szCs w:val="20"/>
                <w:lang w:eastAsia="es-MX"/>
              </w:rPr>
            </w:pPr>
            <w:r w:rsidRPr="005B5121">
              <w:rPr>
                <w:rFonts w:asciiTheme="minorHAnsi" w:eastAsia="Times New Roman" w:hAnsiTheme="minorHAnsi" w:cs="Calibri"/>
                <w:sz w:val="20"/>
                <w:szCs w:val="20"/>
                <w:lang w:eastAsia="es-MX"/>
              </w:rPr>
              <w:t>Bienes Inmuebles, Infraestructura y Construcciones en Proceso</w:t>
            </w:r>
          </w:p>
        </w:tc>
        <w:tc>
          <w:tcPr>
            <w:tcW w:w="2306" w:type="dxa"/>
            <w:tcBorders>
              <w:top w:val="nil"/>
              <w:left w:val="nil"/>
              <w:bottom w:val="single" w:sz="8" w:space="0" w:color="auto"/>
              <w:right w:val="single" w:sz="8" w:space="0" w:color="auto"/>
            </w:tcBorders>
            <w:shd w:val="clear" w:color="auto" w:fill="FFFFFF"/>
            <w:noWrap/>
            <w:hideMark/>
          </w:tcPr>
          <w:p w:rsidR="005B5121" w:rsidRPr="005B5121" w:rsidRDefault="005B5121" w:rsidP="00DD682B">
            <w:pPr>
              <w:jc w:val="right"/>
              <w:rPr>
                <w:rFonts w:asciiTheme="minorHAnsi" w:hAnsiTheme="minorHAnsi" w:cs="Calibri"/>
                <w:sz w:val="20"/>
                <w:szCs w:val="20"/>
              </w:rPr>
            </w:pPr>
            <w:r w:rsidRPr="005B5121">
              <w:rPr>
                <w:rFonts w:asciiTheme="minorHAnsi" w:hAnsiTheme="minorHAnsi" w:cs="Calibri"/>
                <w:sz w:val="20"/>
                <w:szCs w:val="20"/>
              </w:rPr>
              <w:t xml:space="preserve">4,013,617,216.48 </w:t>
            </w:r>
          </w:p>
        </w:tc>
        <w:tc>
          <w:tcPr>
            <w:tcW w:w="1838" w:type="dxa"/>
            <w:tcBorders>
              <w:top w:val="nil"/>
              <w:left w:val="nil"/>
              <w:bottom w:val="single" w:sz="8" w:space="0" w:color="auto"/>
              <w:right w:val="single" w:sz="8" w:space="0" w:color="auto"/>
            </w:tcBorders>
            <w:shd w:val="clear" w:color="auto" w:fill="FFFFFF"/>
            <w:noWrap/>
            <w:hideMark/>
          </w:tcPr>
          <w:p w:rsidR="005B5121" w:rsidRPr="005B5121" w:rsidRDefault="005B5121" w:rsidP="00DD682B">
            <w:pPr>
              <w:jc w:val="right"/>
              <w:rPr>
                <w:rFonts w:asciiTheme="minorHAnsi" w:hAnsiTheme="minorHAnsi" w:cs="Calibri"/>
                <w:sz w:val="20"/>
                <w:szCs w:val="20"/>
              </w:rPr>
            </w:pPr>
            <w:r w:rsidRPr="005B5121">
              <w:rPr>
                <w:rFonts w:asciiTheme="minorHAnsi" w:hAnsiTheme="minorHAnsi" w:cs="Calibri"/>
                <w:sz w:val="20"/>
                <w:szCs w:val="20"/>
              </w:rPr>
              <w:t xml:space="preserve">3,552,160,623.30 </w:t>
            </w:r>
          </w:p>
        </w:tc>
      </w:tr>
      <w:tr w:rsidR="005B5121" w:rsidRPr="005B5121" w:rsidTr="00DD682B">
        <w:trPr>
          <w:trHeight w:val="253"/>
        </w:trPr>
        <w:tc>
          <w:tcPr>
            <w:tcW w:w="4506" w:type="dxa"/>
            <w:tcBorders>
              <w:top w:val="nil"/>
              <w:left w:val="single" w:sz="8" w:space="0" w:color="auto"/>
              <w:bottom w:val="single" w:sz="8" w:space="0" w:color="auto"/>
              <w:right w:val="single" w:sz="8" w:space="0" w:color="auto"/>
            </w:tcBorders>
            <w:shd w:val="clear" w:color="auto" w:fill="FFFFFF"/>
            <w:noWrap/>
            <w:vAlign w:val="center"/>
            <w:hideMark/>
          </w:tcPr>
          <w:p w:rsidR="005B5121" w:rsidRPr="005B5121" w:rsidRDefault="005B5121" w:rsidP="00DD682B">
            <w:pPr>
              <w:spacing w:after="0" w:line="240" w:lineRule="auto"/>
              <w:rPr>
                <w:rFonts w:asciiTheme="minorHAnsi" w:eastAsia="Times New Roman" w:hAnsiTheme="minorHAnsi" w:cs="Calibri"/>
                <w:sz w:val="20"/>
                <w:szCs w:val="20"/>
                <w:lang w:eastAsia="es-MX"/>
              </w:rPr>
            </w:pPr>
            <w:r w:rsidRPr="005B5121">
              <w:rPr>
                <w:rFonts w:asciiTheme="minorHAnsi" w:eastAsia="Times New Roman" w:hAnsiTheme="minorHAnsi" w:cs="Calibri"/>
                <w:sz w:val="20"/>
                <w:szCs w:val="20"/>
                <w:lang w:eastAsia="es-MX"/>
              </w:rPr>
              <w:t>Bienes Muebles</w:t>
            </w:r>
          </w:p>
        </w:tc>
        <w:tc>
          <w:tcPr>
            <w:tcW w:w="2306" w:type="dxa"/>
            <w:tcBorders>
              <w:top w:val="nil"/>
              <w:left w:val="nil"/>
              <w:bottom w:val="single" w:sz="8" w:space="0" w:color="auto"/>
              <w:right w:val="single" w:sz="8" w:space="0" w:color="auto"/>
            </w:tcBorders>
            <w:shd w:val="clear" w:color="auto" w:fill="FFFFFF"/>
            <w:noWrap/>
            <w:hideMark/>
          </w:tcPr>
          <w:p w:rsidR="005B5121" w:rsidRPr="005B5121" w:rsidRDefault="005B5121" w:rsidP="00DD682B">
            <w:pPr>
              <w:jc w:val="right"/>
              <w:rPr>
                <w:rFonts w:asciiTheme="minorHAnsi" w:hAnsiTheme="minorHAnsi" w:cs="Calibri"/>
                <w:sz w:val="20"/>
                <w:szCs w:val="20"/>
              </w:rPr>
            </w:pPr>
            <w:r w:rsidRPr="005B5121">
              <w:rPr>
                <w:rFonts w:asciiTheme="minorHAnsi" w:hAnsiTheme="minorHAnsi" w:cs="Calibri"/>
                <w:sz w:val="20"/>
                <w:szCs w:val="20"/>
              </w:rPr>
              <w:t xml:space="preserve">76,416,408.97 </w:t>
            </w:r>
          </w:p>
        </w:tc>
        <w:tc>
          <w:tcPr>
            <w:tcW w:w="1838" w:type="dxa"/>
            <w:tcBorders>
              <w:top w:val="nil"/>
              <w:left w:val="nil"/>
              <w:bottom w:val="single" w:sz="8" w:space="0" w:color="auto"/>
              <w:right w:val="single" w:sz="8" w:space="0" w:color="auto"/>
            </w:tcBorders>
            <w:shd w:val="clear" w:color="auto" w:fill="FFFFFF"/>
            <w:noWrap/>
            <w:hideMark/>
          </w:tcPr>
          <w:p w:rsidR="005B5121" w:rsidRPr="005B5121" w:rsidRDefault="005B5121" w:rsidP="00DD682B">
            <w:pPr>
              <w:jc w:val="right"/>
              <w:rPr>
                <w:rFonts w:asciiTheme="minorHAnsi" w:hAnsiTheme="minorHAnsi" w:cs="Calibri"/>
                <w:sz w:val="20"/>
                <w:szCs w:val="20"/>
              </w:rPr>
            </w:pPr>
            <w:r w:rsidRPr="005B5121">
              <w:rPr>
                <w:rFonts w:asciiTheme="minorHAnsi" w:hAnsiTheme="minorHAnsi" w:cs="Calibri"/>
                <w:sz w:val="20"/>
                <w:szCs w:val="20"/>
              </w:rPr>
              <w:t xml:space="preserve">75,552,809.59 </w:t>
            </w:r>
          </w:p>
        </w:tc>
      </w:tr>
      <w:tr w:rsidR="005B5121" w:rsidRPr="005B5121" w:rsidTr="00DD682B">
        <w:trPr>
          <w:trHeight w:val="253"/>
        </w:trPr>
        <w:tc>
          <w:tcPr>
            <w:tcW w:w="4506" w:type="dxa"/>
            <w:tcBorders>
              <w:top w:val="nil"/>
              <w:left w:val="single" w:sz="8" w:space="0" w:color="auto"/>
              <w:bottom w:val="single" w:sz="8" w:space="0" w:color="auto"/>
              <w:right w:val="single" w:sz="8" w:space="0" w:color="auto"/>
            </w:tcBorders>
            <w:shd w:val="clear" w:color="auto" w:fill="FFFFFF"/>
            <w:noWrap/>
            <w:vAlign w:val="center"/>
            <w:hideMark/>
          </w:tcPr>
          <w:p w:rsidR="005B5121" w:rsidRPr="005B5121" w:rsidRDefault="005B5121" w:rsidP="00DD682B">
            <w:pPr>
              <w:spacing w:after="0" w:line="240" w:lineRule="auto"/>
              <w:rPr>
                <w:rFonts w:asciiTheme="minorHAnsi" w:eastAsia="Times New Roman" w:hAnsiTheme="minorHAnsi" w:cs="Calibri"/>
                <w:sz w:val="20"/>
                <w:szCs w:val="20"/>
                <w:lang w:eastAsia="es-MX"/>
              </w:rPr>
            </w:pPr>
            <w:r w:rsidRPr="005B5121">
              <w:rPr>
                <w:rFonts w:asciiTheme="minorHAnsi" w:eastAsia="Times New Roman" w:hAnsiTheme="minorHAnsi" w:cs="Calibri"/>
                <w:sz w:val="20"/>
                <w:szCs w:val="20"/>
                <w:lang w:eastAsia="es-MX"/>
              </w:rPr>
              <w:t>Activos Intangibles</w:t>
            </w:r>
          </w:p>
        </w:tc>
        <w:tc>
          <w:tcPr>
            <w:tcW w:w="2306" w:type="dxa"/>
            <w:tcBorders>
              <w:top w:val="nil"/>
              <w:left w:val="nil"/>
              <w:bottom w:val="single" w:sz="8" w:space="0" w:color="auto"/>
              <w:right w:val="single" w:sz="8" w:space="0" w:color="auto"/>
            </w:tcBorders>
            <w:shd w:val="clear" w:color="auto" w:fill="FFFFFF"/>
            <w:noWrap/>
            <w:hideMark/>
          </w:tcPr>
          <w:p w:rsidR="005B5121" w:rsidRPr="005B5121" w:rsidRDefault="005B5121" w:rsidP="00DD682B">
            <w:pPr>
              <w:jc w:val="right"/>
              <w:rPr>
                <w:rFonts w:asciiTheme="minorHAnsi" w:hAnsiTheme="minorHAnsi" w:cs="Calibri"/>
                <w:sz w:val="20"/>
                <w:szCs w:val="20"/>
              </w:rPr>
            </w:pPr>
            <w:r w:rsidRPr="005B5121">
              <w:rPr>
                <w:rFonts w:asciiTheme="minorHAnsi" w:hAnsiTheme="minorHAnsi" w:cs="Calibri"/>
                <w:sz w:val="20"/>
                <w:szCs w:val="20"/>
              </w:rPr>
              <w:t xml:space="preserve">0.00 </w:t>
            </w:r>
          </w:p>
        </w:tc>
        <w:tc>
          <w:tcPr>
            <w:tcW w:w="1838" w:type="dxa"/>
            <w:tcBorders>
              <w:top w:val="nil"/>
              <w:left w:val="nil"/>
              <w:bottom w:val="single" w:sz="8" w:space="0" w:color="auto"/>
              <w:right w:val="single" w:sz="8" w:space="0" w:color="auto"/>
            </w:tcBorders>
            <w:shd w:val="clear" w:color="auto" w:fill="FFFFFF"/>
            <w:noWrap/>
            <w:hideMark/>
          </w:tcPr>
          <w:p w:rsidR="005B5121" w:rsidRPr="005B5121" w:rsidRDefault="005B5121" w:rsidP="00DD682B">
            <w:pPr>
              <w:jc w:val="right"/>
              <w:rPr>
                <w:rFonts w:asciiTheme="minorHAnsi" w:hAnsiTheme="minorHAnsi" w:cs="Calibri"/>
                <w:sz w:val="20"/>
                <w:szCs w:val="20"/>
              </w:rPr>
            </w:pPr>
            <w:r w:rsidRPr="005B5121">
              <w:rPr>
                <w:rFonts w:asciiTheme="minorHAnsi" w:hAnsiTheme="minorHAnsi" w:cs="Calibri"/>
                <w:sz w:val="20"/>
                <w:szCs w:val="20"/>
              </w:rPr>
              <w:t xml:space="preserve">0.00 </w:t>
            </w:r>
          </w:p>
        </w:tc>
      </w:tr>
      <w:tr w:rsidR="005B5121" w:rsidRPr="005B5121" w:rsidTr="00DD682B">
        <w:trPr>
          <w:trHeight w:val="253"/>
        </w:trPr>
        <w:tc>
          <w:tcPr>
            <w:tcW w:w="4506" w:type="dxa"/>
            <w:tcBorders>
              <w:top w:val="nil"/>
              <w:left w:val="single" w:sz="8" w:space="0" w:color="auto"/>
              <w:bottom w:val="single" w:sz="8" w:space="0" w:color="auto"/>
              <w:right w:val="single" w:sz="8" w:space="0" w:color="auto"/>
            </w:tcBorders>
            <w:shd w:val="clear" w:color="auto" w:fill="FFFFFF"/>
            <w:noWrap/>
            <w:vAlign w:val="center"/>
            <w:hideMark/>
          </w:tcPr>
          <w:p w:rsidR="005B5121" w:rsidRPr="005B5121" w:rsidRDefault="005B5121" w:rsidP="00DD682B">
            <w:pPr>
              <w:spacing w:after="0" w:line="240" w:lineRule="auto"/>
              <w:rPr>
                <w:rFonts w:asciiTheme="minorHAnsi" w:eastAsia="Times New Roman" w:hAnsiTheme="minorHAnsi" w:cs="Calibri"/>
                <w:sz w:val="20"/>
                <w:szCs w:val="20"/>
                <w:lang w:eastAsia="es-MX"/>
              </w:rPr>
            </w:pPr>
            <w:r w:rsidRPr="005B5121">
              <w:rPr>
                <w:rFonts w:asciiTheme="minorHAnsi" w:eastAsia="Times New Roman" w:hAnsiTheme="minorHAnsi" w:cs="Calibri"/>
                <w:sz w:val="20"/>
                <w:szCs w:val="20"/>
                <w:lang w:eastAsia="es-MX"/>
              </w:rPr>
              <w:t>Depreciación, Deterioro y Amortización Acumulada de Bienes</w:t>
            </w:r>
          </w:p>
        </w:tc>
        <w:tc>
          <w:tcPr>
            <w:tcW w:w="2306" w:type="dxa"/>
            <w:tcBorders>
              <w:top w:val="nil"/>
              <w:left w:val="nil"/>
              <w:bottom w:val="single" w:sz="8" w:space="0" w:color="auto"/>
              <w:right w:val="single" w:sz="8" w:space="0" w:color="auto"/>
            </w:tcBorders>
            <w:shd w:val="clear" w:color="auto" w:fill="FFFFFF"/>
            <w:noWrap/>
            <w:hideMark/>
          </w:tcPr>
          <w:p w:rsidR="005B5121" w:rsidRPr="005B5121" w:rsidRDefault="005B5121" w:rsidP="00DD682B">
            <w:pPr>
              <w:jc w:val="right"/>
              <w:rPr>
                <w:rFonts w:asciiTheme="minorHAnsi" w:hAnsiTheme="minorHAnsi" w:cs="Calibri"/>
                <w:sz w:val="20"/>
                <w:szCs w:val="20"/>
              </w:rPr>
            </w:pPr>
            <w:r w:rsidRPr="005B5121">
              <w:rPr>
                <w:rFonts w:asciiTheme="minorHAnsi" w:hAnsiTheme="minorHAnsi" w:cs="Calibri"/>
                <w:sz w:val="20"/>
                <w:szCs w:val="20"/>
              </w:rPr>
              <w:t xml:space="preserve">-484,730,547.00 </w:t>
            </w:r>
          </w:p>
        </w:tc>
        <w:tc>
          <w:tcPr>
            <w:tcW w:w="1838" w:type="dxa"/>
            <w:tcBorders>
              <w:top w:val="nil"/>
              <w:left w:val="nil"/>
              <w:bottom w:val="single" w:sz="8" w:space="0" w:color="auto"/>
              <w:right w:val="single" w:sz="8" w:space="0" w:color="auto"/>
            </w:tcBorders>
            <w:shd w:val="clear" w:color="auto" w:fill="FFFFFF"/>
            <w:noWrap/>
            <w:hideMark/>
          </w:tcPr>
          <w:p w:rsidR="005B5121" w:rsidRPr="005B5121" w:rsidRDefault="005B5121" w:rsidP="00DD682B">
            <w:pPr>
              <w:jc w:val="right"/>
              <w:rPr>
                <w:rFonts w:asciiTheme="minorHAnsi" w:hAnsiTheme="minorHAnsi" w:cs="Calibri"/>
                <w:sz w:val="20"/>
                <w:szCs w:val="20"/>
              </w:rPr>
            </w:pPr>
            <w:r w:rsidRPr="005B5121">
              <w:rPr>
                <w:rFonts w:asciiTheme="minorHAnsi" w:hAnsiTheme="minorHAnsi" w:cs="Calibri"/>
                <w:sz w:val="20"/>
                <w:szCs w:val="20"/>
              </w:rPr>
              <w:t xml:space="preserve">-340,180,937.00 </w:t>
            </w:r>
          </w:p>
        </w:tc>
      </w:tr>
      <w:tr w:rsidR="005B5121" w:rsidRPr="005B5121" w:rsidTr="00DD682B">
        <w:trPr>
          <w:trHeight w:val="253"/>
        </w:trPr>
        <w:tc>
          <w:tcPr>
            <w:tcW w:w="4506" w:type="dxa"/>
            <w:tcBorders>
              <w:top w:val="nil"/>
              <w:left w:val="single" w:sz="8" w:space="0" w:color="auto"/>
              <w:bottom w:val="single" w:sz="8" w:space="0" w:color="auto"/>
              <w:right w:val="single" w:sz="8" w:space="0" w:color="auto"/>
            </w:tcBorders>
            <w:shd w:val="clear" w:color="auto" w:fill="FFFFFF"/>
            <w:noWrap/>
            <w:vAlign w:val="center"/>
            <w:hideMark/>
          </w:tcPr>
          <w:p w:rsidR="005B5121" w:rsidRPr="005B5121" w:rsidRDefault="005B5121" w:rsidP="00DD682B">
            <w:pPr>
              <w:spacing w:after="0" w:line="240" w:lineRule="auto"/>
              <w:rPr>
                <w:rFonts w:asciiTheme="minorHAnsi" w:eastAsia="Times New Roman" w:hAnsiTheme="minorHAnsi" w:cs="Calibri"/>
                <w:sz w:val="20"/>
                <w:szCs w:val="20"/>
                <w:lang w:eastAsia="es-MX"/>
              </w:rPr>
            </w:pPr>
            <w:r w:rsidRPr="005B5121">
              <w:rPr>
                <w:rFonts w:asciiTheme="minorHAnsi" w:eastAsia="Times New Roman" w:hAnsiTheme="minorHAnsi" w:cs="Calibri"/>
                <w:sz w:val="20"/>
                <w:szCs w:val="20"/>
                <w:lang w:eastAsia="es-MX"/>
              </w:rPr>
              <w:t>Activos Diferidos</w:t>
            </w:r>
          </w:p>
        </w:tc>
        <w:tc>
          <w:tcPr>
            <w:tcW w:w="2306" w:type="dxa"/>
            <w:tcBorders>
              <w:top w:val="nil"/>
              <w:left w:val="nil"/>
              <w:bottom w:val="single" w:sz="8" w:space="0" w:color="auto"/>
              <w:right w:val="single" w:sz="8" w:space="0" w:color="auto"/>
            </w:tcBorders>
            <w:shd w:val="clear" w:color="auto" w:fill="FFFFFF"/>
            <w:noWrap/>
            <w:hideMark/>
          </w:tcPr>
          <w:p w:rsidR="005B5121" w:rsidRPr="005B5121" w:rsidRDefault="005B5121" w:rsidP="00DD682B">
            <w:pPr>
              <w:jc w:val="right"/>
              <w:rPr>
                <w:rFonts w:asciiTheme="minorHAnsi" w:hAnsiTheme="minorHAnsi" w:cs="Calibri"/>
                <w:sz w:val="20"/>
                <w:szCs w:val="20"/>
              </w:rPr>
            </w:pPr>
            <w:r w:rsidRPr="005B5121">
              <w:rPr>
                <w:rFonts w:asciiTheme="minorHAnsi" w:hAnsiTheme="minorHAnsi" w:cs="Calibri"/>
                <w:sz w:val="20"/>
                <w:szCs w:val="20"/>
              </w:rPr>
              <w:t xml:space="preserve">0.00 </w:t>
            </w:r>
          </w:p>
        </w:tc>
        <w:tc>
          <w:tcPr>
            <w:tcW w:w="1838" w:type="dxa"/>
            <w:tcBorders>
              <w:top w:val="nil"/>
              <w:left w:val="nil"/>
              <w:bottom w:val="single" w:sz="8" w:space="0" w:color="auto"/>
              <w:right w:val="single" w:sz="8" w:space="0" w:color="auto"/>
            </w:tcBorders>
            <w:shd w:val="clear" w:color="auto" w:fill="FFFFFF"/>
            <w:noWrap/>
            <w:hideMark/>
          </w:tcPr>
          <w:p w:rsidR="005B5121" w:rsidRPr="005B5121" w:rsidRDefault="005B5121" w:rsidP="00DD682B">
            <w:pPr>
              <w:jc w:val="right"/>
              <w:rPr>
                <w:rFonts w:asciiTheme="minorHAnsi" w:hAnsiTheme="minorHAnsi" w:cs="Calibri"/>
                <w:sz w:val="20"/>
                <w:szCs w:val="20"/>
              </w:rPr>
            </w:pPr>
            <w:r w:rsidRPr="005B5121">
              <w:rPr>
                <w:rFonts w:asciiTheme="minorHAnsi" w:hAnsiTheme="minorHAnsi" w:cs="Calibri"/>
                <w:sz w:val="20"/>
                <w:szCs w:val="20"/>
              </w:rPr>
              <w:t xml:space="preserve">0.00 </w:t>
            </w:r>
          </w:p>
        </w:tc>
      </w:tr>
      <w:tr w:rsidR="005B5121" w:rsidRPr="005B5121" w:rsidTr="00DD682B">
        <w:trPr>
          <w:trHeight w:val="253"/>
        </w:trPr>
        <w:tc>
          <w:tcPr>
            <w:tcW w:w="4506" w:type="dxa"/>
            <w:tcBorders>
              <w:top w:val="nil"/>
              <w:left w:val="single" w:sz="8" w:space="0" w:color="auto"/>
              <w:bottom w:val="single" w:sz="8" w:space="0" w:color="auto"/>
              <w:right w:val="single" w:sz="8" w:space="0" w:color="auto"/>
            </w:tcBorders>
            <w:shd w:val="clear" w:color="auto" w:fill="FFFFFF"/>
            <w:noWrap/>
            <w:vAlign w:val="center"/>
            <w:hideMark/>
          </w:tcPr>
          <w:p w:rsidR="005B5121" w:rsidRPr="005B5121" w:rsidRDefault="005B5121" w:rsidP="00DD682B">
            <w:pPr>
              <w:spacing w:after="0" w:line="240" w:lineRule="auto"/>
              <w:rPr>
                <w:rFonts w:asciiTheme="minorHAnsi" w:eastAsia="Times New Roman" w:hAnsiTheme="minorHAnsi" w:cs="Calibri"/>
                <w:sz w:val="20"/>
                <w:szCs w:val="20"/>
                <w:lang w:eastAsia="es-MX"/>
              </w:rPr>
            </w:pPr>
            <w:r w:rsidRPr="005B5121">
              <w:rPr>
                <w:rFonts w:asciiTheme="minorHAnsi" w:eastAsia="Times New Roman" w:hAnsiTheme="minorHAnsi" w:cs="Calibri"/>
                <w:sz w:val="20"/>
                <w:szCs w:val="20"/>
                <w:lang w:eastAsia="es-MX"/>
              </w:rPr>
              <w:t>Estimación por Pérdida o Deterioro de Activos no Circulantes</w:t>
            </w:r>
          </w:p>
        </w:tc>
        <w:tc>
          <w:tcPr>
            <w:tcW w:w="2306" w:type="dxa"/>
            <w:tcBorders>
              <w:top w:val="nil"/>
              <w:left w:val="nil"/>
              <w:bottom w:val="single" w:sz="8" w:space="0" w:color="auto"/>
              <w:right w:val="single" w:sz="8" w:space="0" w:color="auto"/>
            </w:tcBorders>
            <w:shd w:val="clear" w:color="auto" w:fill="FFFFFF"/>
            <w:noWrap/>
            <w:hideMark/>
          </w:tcPr>
          <w:p w:rsidR="005B5121" w:rsidRPr="005B5121" w:rsidRDefault="005B5121" w:rsidP="00DD682B">
            <w:pPr>
              <w:jc w:val="right"/>
              <w:rPr>
                <w:rFonts w:asciiTheme="minorHAnsi" w:hAnsiTheme="minorHAnsi" w:cs="Calibri"/>
                <w:sz w:val="20"/>
                <w:szCs w:val="20"/>
              </w:rPr>
            </w:pPr>
            <w:r w:rsidRPr="005B5121">
              <w:rPr>
                <w:rFonts w:asciiTheme="minorHAnsi" w:hAnsiTheme="minorHAnsi" w:cs="Calibri"/>
                <w:sz w:val="20"/>
                <w:szCs w:val="20"/>
              </w:rPr>
              <w:t xml:space="preserve">0.00 </w:t>
            </w:r>
          </w:p>
        </w:tc>
        <w:tc>
          <w:tcPr>
            <w:tcW w:w="1838" w:type="dxa"/>
            <w:tcBorders>
              <w:top w:val="nil"/>
              <w:left w:val="nil"/>
              <w:bottom w:val="single" w:sz="8" w:space="0" w:color="auto"/>
              <w:right w:val="single" w:sz="8" w:space="0" w:color="auto"/>
            </w:tcBorders>
            <w:shd w:val="clear" w:color="auto" w:fill="FFFFFF"/>
            <w:noWrap/>
            <w:hideMark/>
          </w:tcPr>
          <w:p w:rsidR="005B5121" w:rsidRPr="005B5121" w:rsidRDefault="005B5121" w:rsidP="00DD682B">
            <w:pPr>
              <w:jc w:val="right"/>
              <w:rPr>
                <w:rFonts w:asciiTheme="minorHAnsi" w:hAnsiTheme="minorHAnsi" w:cs="Calibri"/>
                <w:sz w:val="20"/>
                <w:szCs w:val="20"/>
              </w:rPr>
            </w:pPr>
            <w:r w:rsidRPr="005B5121">
              <w:rPr>
                <w:rFonts w:asciiTheme="minorHAnsi" w:hAnsiTheme="minorHAnsi" w:cs="Calibri"/>
                <w:sz w:val="20"/>
                <w:szCs w:val="20"/>
              </w:rPr>
              <w:t xml:space="preserve">0.00 </w:t>
            </w:r>
          </w:p>
        </w:tc>
      </w:tr>
      <w:tr w:rsidR="005B5121" w:rsidRPr="005B5121" w:rsidTr="00DD682B">
        <w:trPr>
          <w:trHeight w:val="253"/>
        </w:trPr>
        <w:tc>
          <w:tcPr>
            <w:tcW w:w="4506" w:type="dxa"/>
            <w:tcBorders>
              <w:top w:val="nil"/>
              <w:left w:val="single" w:sz="8" w:space="0" w:color="auto"/>
              <w:bottom w:val="single" w:sz="8" w:space="0" w:color="auto"/>
              <w:right w:val="single" w:sz="8" w:space="0" w:color="auto"/>
            </w:tcBorders>
            <w:shd w:val="clear" w:color="auto" w:fill="FFFFFF"/>
            <w:noWrap/>
            <w:vAlign w:val="center"/>
            <w:hideMark/>
          </w:tcPr>
          <w:p w:rsidR="005B5121" w:rsidRPr="005B5121" w:rsidRDefault="005B5121" w:rsidP="00DD682B">
            <w:pPr>
              <w:spacing w:after="0" w:line="240" w:lineRule="auto"/>
              <w:rPr>
                <w:rFonts w:asciiTheme="minorHAnsi" w:eastAsia="Times New Roman" w:hAnsiTheme="minorHAnsi" w:cs="Calibri"/>
                <w:sz w:val="20"/>
                <w:szCs w:val="20"/>
                <w:lang w:eastAsia="es-MX"/>
              </w:rPr>
            </w:pPr>
            <w:r w:rsidRPr="005B5121">
              <w:rPr>
                <w:rFonts w:asciiTheme="minorHAnsi" w:eastAsia="Times New Roman" w:hAnsiTheme="minorHAnsi" w:cs="Calibri"/>
                <w:sz w:val="20"/>
                <w:szCs w:val="20"/>
                <w:lang w:eastAsia="es-MX"/>
              </w:rPr>
              <w:t>Otros Activos no Circulantes</w:t>
            </w:r>
          </w:p>
        </w:tc>
        <w:tc>
          <w:tcPr>
            <w:tcW w:w="2306" w:type="dxa"/>
            <w:tcBorders>
              <w:top w:val="nil"/>
              <w:left w:val="nil"/>
              <w:bottom w:val="single" w:sz="8" w:space="0" w:color="auto"/>
              <w:right w:val="single" w:sz="8" w:space="0" w:color="auto"/>
            </w:tcBorders>
            <w:shd w:val="clear" w:color="auto" w:fill="FFFFFF"/>
            <w:noWrap/>
            <w:hideMark/>
          </w:tcPr>
          <w:p w:rsidR="005B5121" w:rsidRPr="005B5121" w:rsidRDefault="005B5121" w:rsidP="00DD682B">
            <w:pPr>
              <w:jc w:val="right"/>
              <w:rPr>
                <w:rFonts w:asciiTheme="minorHAnsi" w:hAnsiTheme="minorHAnsi" w:cs="Calibri"/>
                <w:sz w:val="20"/>
                <w:szCs w:val="20"/>
              </w:rPr>
            </w:pPr>
            <w:r w:rsidRPr="005B5121">
              <w:rPr>
                <w:rFonts w:asciiTheme="minorHAnsi" w:hAnsiTheme="minorHAnsi" w:cs="Calibri"/>
                <w:sz w:val="20"/>
                <w:szCs w:val="20"/>
              </w:rPr>
              <w:t xml:space="preserve">0.00 </w:t>
            </w:r>
          </w:p>
        </w:tc>
        <w:tc>
          <w:tcPr>
            <w:tcW w:w="1838" w:type="dxa"/>
            <w:tcBorders>
              <w:top w:val="nil"/>
              <w:left w:val="nil"/>
              <w:bottom w:val="single" w:sz="8" w:space="0" w:color="auto"/>
              <w:right w:val="single" w:sz="8" w:space="0" w:color="auto"/>
            </w:tcBorders>
            <w:shd w:val="clear" w:color="auto" w:fill="FFFFFF"/>
            <w:noWrap/>
            <w:hideMark/>
          </w:tcPr>
          <w:p w:rsidR="005B5121" w:rsidRPr="005B5121" w:rsidRDefault="005B5121" w:rsidP="00DD682B">
            <w:pPr>
              <w:jc w:val="right"/>
              <w:rPr>
                <w:rFonts w:asciiTheme="minorHAnsi" w:hAnsiTheme="minorHAnsi" w:cs="Calibri"/>
                <w:sz w:val="20"/>
                <w:szCs w:val="20"/>
              </w:rPr>
            </w:pPr>
            <w:r w:rsidRPr="005B5121">
              <w:rPr>
                <w:rFonts w:asciiTheme="minorHAnsi" w:hAnsiTheme="minorHAnsi" w:cs="Calibri"/>
                <w:sz w:val="20"/>
                <w:szCs w:val="20"/>
              </w:rPr>
              <w:t xml:space="preserve">0.00 </w:t>
            </w:r>
          </w:p>
        </w:tc>
      </w:tr>
      <w:tr w:rsidR="005B5121" w:rsidRPr="005B5121" w:rsidTr="00DD682B">
        <w:trPr>
          <w:trHeight w:val="253"/>
        </w:trPr>
        <w:tc>
          <w:tcPr>
            <w:tcW w:w="4506" w:type="dxa"/>
            <w:tcBorders>
              <w:top w:val="nil"/>
              <w:left w:val="single" w:sz="8" w:space="0" w:color="auto"/>
              <w:bottom w:val="single" w:sz="8" w:space="0" w:color="auto"/>
              <w:right w:val="single" w:sz="8" w:space="0" w:color="auto"/>
            </w:tcBorders>
            <w:shd w:val="clear" w:color="auto" w:fill="FFFFFF"/>
            <w:noWrap/>
            <w:vAlign w:val="center"/>
            <w:hideMark/>
          </w:tcPr>
          <w:p w:rsidR="005B5121" w:rsidRPr="005B5121" w:rsidRDefault="005B5121" w:rsidP="00DD682B">
            <w:pPr>
              <w:spacing w:after="0" w:line="240" w:lineRule="auto"/>
              <w:rPr>
                <w:rFonts w:asciiTheme="minorHAnsi" w:eastAsia="Times New Roman" w:hAnsiTheme="minorHAnsi" w:cs="Calibri"/>
                <w:sz w:val="20"/>
                <w:szCs w:val="20"/>
                <w:lang w:eastAsia="es-MX"/>
              </w:rPr>
            </w:pPr>
            <w:r w:rsidRPr="005B5121">
              <w:rPr>
                <w:rFonts w:asciiTheme="minorHAnsi" w:eastAsia="Times New Roman" w:hAnsiTheme="minorHAnsi" w:cs="Calibri"/>
                <w:sz w:val="20"/>
                <w:szCs w:val="20"/>
                <w:lang w:eastAsia="es-MX"/>
              </w:rPr>
              <w:t>Total</w:t>
            </w:r>
          </w:p>
        </w:tc>
        <w:tc>
          <w:tcPr>
            <w:tcW w:w="2306" w:type="dxa"/>
            <w:tcBorders>
              <w:top w:val="nil"/>
              <w:left w:val="nil"/>
              <w:bottom w:val="single" w:sz="8" w:space="0" w:color="auto"/>
              <w:right w:val="single" w:sz="8" w:space="0" w:color="auto"/>
            </w:tcBorders>
            <w:shd w:val="clear" w:color="auto" w:fill="FFFFFF"/>
            <w:noWrap/>
            <w:hideMark/>
          </w:tcPr>
          <w:p w:rsidR="005B5121" w:rsidRPr="005B5121" w:rsidRDefault="005B5121" w:rsidP="00DD682B">
            <w:pPr>
              <w:jc w:val="right"/>
              <w:rPr>
                <w:rFonts w:asciiTheme="minorHAnsi" w:hAnsiTheme="minorHAnsi" w:cs="Calibri"/>
                <w:sz w:val="20"/>
                <w:szCs w:val="20"/>
              </w:rPr>
            </w:pPr>
            <w:r w:rsidRPr="005B5121">
              <w:rPr>
                <w:rFonts w:asciiTheme="minorHAnsi" w:hAnsiTheme="minorHAnsi" w:cs="Calibri"/>
                <w:sz w:val="20"/>
                <w:szCs w:val="20"/>
              </w:rPr>
              <w:t>3,605,642,970.25</w:t>
            </w:r>
          </w:p>
        </w:tc>
        <w:tc>
          <w:tcPr>
            <w:tcW w:w="1838" w:type="dxa"/>
            <w:tcBorders>
              <w:top w:val="nil"/>
              <w:left w:val="nil"/>
              <w:bottom w:val="single" w:sz="8" w:space="0" w:color="auto"/>
              <w:right w:val="single" w:sz="8" w:space="0" w:color="auto"/>
            </w:tcBorders>
            <w:shd w:val="clear" w:color="auto" w:fill="FFFFFF"/>
            <w:noWrap/>
            <w:hideMark/>
          </w:tcPr>
          <w:p w:rsidR="005B5121" w:rsidRPr="005B5121" w:rsidRDefault="005B5121" w:rsidP="00DD682B">
            <w:pPr>
              <w:jc w:val="right"/>
              <w:rPr>
                <w:rFonts w:asciiTheme="minorHAnsi" w:hAnsiTheme="minorHAnsi" w:cs="Calibri"/>
                <w:sz w:val="20"/>
                <w:szCs w:val="20"/>
              </w:rPr>
            </w:pPr>
            <w:r w:rsidRPr="005B5121">
              <w:rPr>
                <w:rFonts w:asciiTheme="minorHAnsi" w:hAnsiTheme="minorHAnsi" w:cs="Calibri"/>
                <w:sz w:val="20"/>
                <w:szCs w:val="20"/>
              </w:rPr>
              <w:t>3,287,872,387.69</w:t>
            </w:r>
          </w:p>
        </w:tc>
      </w:tr>
    </w:tbl>
    <w:p w:rsidR="005B5121" w:rsidRPr="005B5121" w:rsidRDefault="005B5121" w:rsidP="005B5121">
      <w:pPr>
        <w:jc w:val="both"/>
        <w:rPr>
          <w:rFonts w:asciiTheme="minorHAnsi" w:hAnsiTheme="minorHAnsi" w:cs="Calibri"/>
          <w:sz w:val="20"/>
          <w:szCs w:val="20"/>
        </w:rPr>
      </w:pPr>
      <w:r w:rsidRPr="005B5121">
        <w:rPr>
          <w:rFonts w:asciiTheme="minorHAnsi" w:hAnsiTheme="minorHAnsi" w:cs="Calibri"/>
          <w:sz w:val="20"/>
          <w:szCs w:val="20"/>
        </w:rPr>
        <w:t xml:space="preserve">    Los bienes integrantes del presente rubro, fueron adquiridos durante el periodo 2003 al 2015, los cuales se realizaron con recursos resultantes de las economías obtenidas en el Gasto Operativo y Gasto Corriente del periodo antes mencionado. Así mismo cabe mencionar que actualmente se ha aplicado </w:t>
      </w:r>
      <w:proofErr w:type="spellStart"/>
      <w:r w:rsidRPr="005B5121">
        <w:rPr>
          <w:rFonts w:asciiTheme="minorHAnsi" w:hAnsiTheme="minorHAnsi" w:cs="Calibri"/>
          <w:sz w:val="20"/>
          <w:szCs w:val="20"/>
        </w:rPr>
        <w:t>metodos</w:t>
      </w:r>
      <w:proofErr w:type="spellEnd"/>
      <w:r w:rsidRPr="005B5121">
        <w:rPr>
          <w:rFonts w:asciiTheme="minorHAnsi" w:hAnsiTheme="minorHAnsi" w:cs="Calibri"/>
          <w:sz w:val="20"/>
          <w:szCs w:val="20"/>
        </w:rPr>
        <w:t xml:space="preserve"> de </w:t>
      </w:r>
      <w:proofErr w:type="spellStart"/>
      <w:r w:rsidRPr="005B5121">
        <w:rPr>
          <w:rFonts w:asciiTheme="minorHAnsi" w:hAnsiTheme="minorHAnsi" w:cs="Calibri"/>
          <w:sz w:val="20"/>
          <w:szCs w:val="20"/>
        </w:rPr>
        <w:t>depreciacion</w:t>
      </w:r>
      <w:proofErr w:type="spellEnd"/>
      <w:r w:rsidRPr="005B5121">
        <w:rPr>
          <w:rFonts w:asciiTheme="minorHAnsi" w:hAnsiTheme="minorHAnsi" w:cs="Calibri"/>
          <w:sz w:val="20"/>
          <w:szCs w:val="20"/>
        </w:rPr>
        <w:t xml:space="preserve"> de acuerdo a los lineamientos emitidos por la CONAC</w:t>
      </w:r>
    </w:p>
    <w:p w:rsidR="005B5121" w:rsidRPr="005B5121" w:rsidRDefault="005B5121" w:rsidP="005B5121">
      <w:pPr>
        <w:jc w:val="both"/>
        <w:rPr>
          <w:rFonts w:asciiTheme="minorHAnsi" w:hAnsiTheme="minorHAnsi" w:cs="Calibri"/>
          <w:sz w:val="20"/>
          <w:szCs w:val="20"/>
        </w:rPr>
      </w:pPr>
      <w:r w:rsidRPr="005B5121">
        <w:rPr>
          <w:rFonts w:asciiTheme="minorHAnsi" w:hAnsiTheme="minorHAnsi" w:cs="Calibri"/>
          <w:b/>
          <w:sz w:val="20"/>
          <w:szCs w:val="20"/>
        </w:rPr>
        <w:lastRenderedPageBreak/>
        <w:t xml:space="preserve">Nota  6     </w:t>
      </w:r>
    </w:p>
    <w:p w:rsidR="005B5121" w:rsidRPr="005B5121" w:rsidRDefault="005B5121" w:rsidP="005B5121">
      <w:pPr>
        <w:pStyle w:val="Ttulo"/>
        <w:rPr>
          <w:rFonts w:asciiTheme="minorHAnsi" w:hAnsiTheme="minorHAnsi" w:cs="Calibri"/>
          <w:b/>
          <w:color w:val="auto"/>
          <w:sz w:val="20"/>
          <w:szCs w:val="20"/>
        </w:rPr>
      </w:pPr>
      <w:r w:rsidRPr="005B5121">
        <w:rPr>
          <w:rFonts w:asciiTheme="minorHAnsi" w:hAnsiTheme="minorHAnsi" w:cs="Calibri"/>
          <w:b/>
          <w:color w:val="auto"/>
          <w:sz w:val="20"/>
          <w:szCs w:val="20"/>
        </w:rPr>
        <w:t>Pasivo Circulante</w:t>
      </w:r>
    </w:p>
    <w:p w:rsidR="005B5121" w:rsidRPr="005B5121" w:rsidRDefault="005B5121" w:rsidP="005B5121">
      <w:pPr>
        <w:pStyle w:val="Ttulo"/>
        <w:rPr>
          <w:rFonts w:asciiTheme="minorHAnsi" w:hAnsiTheme="minorHAnsi" w:cs="Calibri"/>
          <w:b/>
          <w:color w:val="auto"/>
          <w:sz w:val="20"/>
          <w:szCs w:val="20"/>
        </w:rPr>
      </w:pPr>
      <w:r w:rsidRPr="005B5121">
        <w:rPr>
          <w:rFonts w:asciiTheme="minorHAnsi" w:hAnsiTheme="minorHAnsi" w:cs="Calibri"/>
          <w:b/>
          <w:color w:val="auto"/>
          <w:sz w:val="20"/>
          <w:szCs w:val="20"/>
        </w:rPr>
        <w:t>CIFRAS EN PESOS</w:t>
      </w:r>
    </w:p>
    <w:p w:rsidR="005B5121" w:rsidRPr="005B5121" w:rsidRDefault="005B5121" w:rsidP="005B5121">
      <w:pPr>
        <w:jc w:val="both"/>
        <w:rPr>
          <w:rFonts w:asciiTheme="minorHAnsi" w:hAnsiTheme="minorHAnsi" w:cs="Calibri"/>
          <w:sz w:val="20"/>
          <w:szCs w:val="20"/>
        </w:rPr>
      </w:pPr>
      <w:r w:rsidRPr="005B5121">
        <w:rPr>
          <w:rFonts w:asciiTheme="minorHAnsi" w:hAnsiTheme="minorHAnsi" w:cs="Calibri"/>
          <w:sz w:val="20"/>
          <w:szCs w:val="20"/>
        </w:rPr>
        <w:t>El rubro de Pasivo Circulante  al 31 de Marzo 2017 se integra como sigue:</w:t>
      </w:r>
    </w:p>
    <w:tbl>
      <w:tblPr>
        <w:tblW w:w="8635" w:type="dxa"/>
        <w:tblInd w:w="55" w:type="dxa"/>
        <w:tblCellMar>
          <w:left w:w="70" w:type="dxa"/>
          <w:right w:w="70" w:type="dxa"/>
        </w:tblCellMar>
        <w:tblLook w:val="04A0" w:firstRow="1" w:lastRow="0" w:firstColumn="1" w:lastColumn="0" w:noHBand="0" w:noVBand="1"/>
      </w:tblPr>
      <w:tblGrid>
        <w:gridCol w:w="4367"/>
        <w:gridCol w:w="2374"/>
        <w:gridCol w:w="1894"/>
      </w:tblGrid>
      <w:tr w:rsidR="005B5121" w:rsidRPr="005B5121" w:rsidTr="00DD682B">
        <w:trPr>
          <w:trHeight w:val="488"/>
        </w:trPr>
        <w:tc>
          <w:tcPr>
            <w:tcW w:w="4367" w:type="dxa"/>
            <w:tcBorders>
              <w:top w:val="single" w:sz="8" w:space="0" w:color="auto"/>
              <w:left w:val="single" w:sz="8" w:space="0" w:color="auto"/>
              <w:bottom w:val="single" w:sz="8" w:space="0" w:color="auto"/>
              <w:right w:val="single" w:sz="8" w:space="0" w:color="auto"/>
            </w:tcBorders>
            <w:shd w:val="clear" w:color="auto" w:fill="FFFFFF"/>
            <w:noWrap/>
            <w:vAlign w:val="center"/>
            <w:hideMark/>
          </w:tcPr>
          <w:p w:rsidR="005B5121" w:rsidRPr="005B5121" w:rsidRDefault="005B5121" w:rsidP="00DD682B">
            <w:pPr>
              <w:spacing w:after="0" w:line="240" w:lineRule="auto"/>
              <w:rPr>
                <w:rFonts w:asciiTheme="minorHAnsi" w:eastAsia="Times New Roman" w:hAnsiTheme="minorHAnsi" w:cs="Calibri"/>
                <w:sz w:val="20"/>
                <w:szCs w:val="20"/>
                <w:lang w:eastAsia="es-MX"/>
              </w:rPr>
            </w:pPr>
            <w:r w:rsidRPr="005B5121">
              <w:rPr>
                <w:rFonts w:asciiTheme="minorHAnsi" w:eastAsia="Times New Roman" w:hAnsiTheme="minorHAnsi" w:cs="Calibri"/>
                <w:sz w:val="20"/>
                <w:szCs w:val="20"/>
                <w:lang w:eastAsia="es-MX"/>
              </w:rPr>
              <w:t>Nombre</w:t>
            </w:r>
          </w:p>
        </w:tc>
        <w:tc>
          <w:tcPr>
            <w:tcW w:w="2374" w:type="dxa"/>
            <w:tcBorders>
              <w:top w:val="single" w:sz="8" w:space="0" w:color="auto"/>
              <w:left w:val="nil"/>
              <w:bottom w:val="single" w:sz="8" w:space="0" w:color="auto"/>
              <w:right w:val="single" w:sz="8" w:space="0" w:color="auto"/>
            </w:tcBorders>
            <w:shd w:val="clear" w:color="auto" w:fill="FFFFFF"/>
            <w:noWrap/>
            <w:vAlign w:val="center"/>
            <w:hideMark/>
          </w:tcPr>
          <w:p w:rsidR="005B5121" w:rsidRPr="005B5121" w:rsidRDefault="005B5121" w:rsidP="00DD682B">
            <w:pPr>
              <w:spacing w:after="0" w:line="240" w:lineRule="auto"/>
              <w:jc w:val="center"/>
              <w:rPr>
                <w:rFonts w:asciiTheme="minorHAnsi" w:eastAsia="Times New Roman" w:hAnsiTheme="minorHAnsi" w:cs="Calibri"/>
                <w:sz w:val="20"/>
                <w:szCs w:val="20"/>
                <w:lang w:eastAsia="es-MX"/>
              </w:rPr>
            </w:pPr>
            <w:r w:rsidRPr="005B5121">
              <w:rPr>
                <w:rFonts w:asciiTheme="minorHAnsi" w:eastAsia="Times New Roman" w:hAnsiTheme="minorHAnsi" w:cs="Calibri"/>
                <w:sz w:val="20"/>
                <w:szCs w:val="20"/>
                <w:lang w:eastAsia="es-MX"/>
              </w:rPr>
              <w:t>31 de Marzo 2017</w:t>
            </w:r>
          </w:p>
        </w:tc>
        <w:tc>
          <w:tcPr>
            <w:tcW w:w="1894" w:type="dxa"/>
            <w:tcBorders>
              <w:top w:val="single" w:sz="8" w:space="0" w:color="auto"/>
              <w:left w:val="nil"/>
              <w:bottom w:val="single" w:sz="8" w:space="0" w:color="auto"/>
              <w:right w:val="single" w:sz="8" w:space="0" w:color="auto"/>
            </w:tcBorders>
            <w:shd w:val="clear" w:color="auto" w:fill="FFFFFF"/>
            <w:noWrap/>
            <w:vAlign w:val="center"/>
            <w:hideMark/>
          </w:tcPr>
          <w:p w:rsidR="005B5121" w:rsidRPr="005B5121" w:rsidRDefault="005B5121" w:rsidP="00DD682B">
            <w:pPr>
              <w:spacing w:after="0" w:line="240" w:lineRule="auto"/>
              <w:jc w:val="center"/>
              <w:rPr>
                <w:rFonts w:asciiTheme="minorHAnsi" w:eastAsia="Times New Roman" w:hAnsiTheme="minorHAnsi" w:cs="Calibri"/>
                <w:sz w:val="20"/>
                <w:szCs w:val="20"/>
                <w:lang w:eastAsia="es-MX"/>
              </w:rPr>
            </w:pPr>
            <w:r w:rsidRPr="005B5121">
              <w:rPr>
                <w:rFonts w:asciiTheme="minorHAnsi" w:eastAsia="Times New Roman" w:hAnsiTheme="minorHAnsi" w:cs="Calibri"/>
                <w:sz w:val="20"/>
                <w:szCs w:val="20"/>
                <w:lang w:eastAsia="es-MX"/>
              </w:rPr>
              <w:t>31 de Marzo 2016</w:t>
            </w:r>
          </w:p>
        </w:tc>
      </w:tr>
      <w:tr w:rsidR="005B5121" w:rsidRPr="005B5121" w:rsidTr="00DD682B">
        <w:trPr>
          <w:trHeight w:val="488"/>
        </w:trPr>
        <w:tc>
          <w:tcPr>
            <w:tcW w:w="4367" w:type="dxa"/>
            <w:tcBorders>
              <w:top w:val="nil"/>
              <w:left w:val="single" w:sz="8" w:space="0" w:color="auto"/>
              <w:bottom w:val="single" w:sz="8" w:space="0" w:color="auto"/>
              <w:right w:val="single" w:sz="8" w:space="0" w:color="auto"/>
            </w:tcBorders>
            <w:shd w:val="clear" w:color="auto" w:fill="FFFFFF"/>
            <w:noWrap/>
            <w:vAlign w:val="center"/>
            <w:hideMark/>
          </w:tcPr>
          <w:p w:rsidR="005B5121" w:rsidRPr="005B5121" w:rsidRDefault="005B5121" w:rsidP="00DD682B">
            <w:pPr>
              <w:spacing w:after="0" w:line="240" w:lineRule="auto"/>
              <w:rPr>
                <w:rFonts w:asciiTheme="minorHAnsi" w:eastAsia="Times New Roman" w:hAnsiTheme="minorHAnsi" w:cs="Calibri"/>
                <w:sz w:val="20"/>
                <w:szCs w:val="20"/>
                <w:lang w:eastAsia="es-MX"/>
              </w:rPr>
            </w:pPr>
            <w:r w:rsidRPr="005B5121">
              <w:rPr>
                <w:rFonts w:asciiTheme="minorHAnsi" w:eastAsia="Times New Roman" w:hAnsiTheme="minorHAnsi" w:cs="Calibri"/>
                <w:sz w:val="20"/>
                <w:szCs w:val="20"/>
                <w:lang w:eastAsia="es-MX"/>
              </w:rPr>
              <w:t>Cuentas por Pagar a Corto Plazo</w:t>
            </w:r>
          </w:p>
        </w:tc>
        <w:tc>
          <w:tcPr>
            <w:tcW w:w="2374" w:type="dxa"/>
            <w:tcBorders>
              <w:top w:val="nil"/>
              <w:left w:val="nil"/>
              <w:bottom w:val="single" w:sz="8" w:space="0" w:color="auto"/>
              <w:right w:val="nil"/>
            </w:tcBorders>
            <w:shd w:val="clear" w:color="auto" w:fill="FFFFFF"/>
            <w:noWrap/>
            <w:hideMark/>
          </w:tcPr>
          <w:p w:rsidR="005B5121" w:rsidRPr="005B5121" w:rsidRDefault="005B5121" w:rsidP="00DD682B">
            <w:pPr>
              <w:jc w:val="right"/>
              <w:rPr>
                <w:rFonts w:asciiTheme="minorHAnsi" w:hAnsiTheme="minorHAnsi" w:cs="Calibri"/>
                <w:sz w:val="20"/>
                <w:szCs w:val="20"/>
              </w:rPr>
            </w:pPr>
            <w:r w:rsidRPr="005B5121">
              <w:rPr>
                <w:rFonts w:asciiTheme="minorHAnsi" w:hAnsiTheme="minorHAnsi" w:cs="Calibri"/>
                <w:sz w:val="20"/>
                <w:szCs w:val="20"/>
              </w:rPr>
              <w:t>42,814,785.99</w:t>
            </w:r>
          </w:p>
        </w:tc>
        <w:tc>
          <w:tcPr>
            <w:tcW w:w="1894" w:type="dxa"/>
            <w:tcBorders>
              <w:top w:val="nil"/>
              <w:left w:val="single" w:sz="8" w:space="0" w:color="auto"/>
              <w:bottom w:val="single" w:sz="8" w:space="0" w:color="auto"/>
              <w:right w:val="single" w:sz="8" w:space="0" w:color="auto"/>
            </w:tcBorders>
            <w:shd w:val="clear" w:color="auto" w:fill="FFFFFF"/>
            <w:noWrap/>
            <w:hideMark/>
          </w:tcPr>
          <w:p w:rsidR="005B5121" w:rsidRPr="005B5121" w:rsidRDefault="005B5121" w:rsidP="00DD682B">
            <w:pPr>
              <w:jc w:val="right"/>
              <w:rPr>
                <w:rFonts w:asciiTheme="minorHAnsi" w:hAnsiTheme="minorHAnsi" w:cs="Calibri"/>
                <w:sz w:val="20"/>
                <w:szCs w:val="20"/>
              </w:rPr>
            </w:pPr>
            <w:r w:rsidRPr="005B5121">
              <w:rPr>
                <w:rFonts w:asciiTheme="minorHAnsi" w:hAnsiTheme="minorHAnsi" w:cs="Calibri"/>
                <w:sz w:val="20"/>
                <w:szCs w:val="20"/>
              </w:rPr>
              <w:t>8,669,217.51</w:t>
            </w:r>
          </w:p>
        </w:tc>
      </w:tr>
      <w:tr w:rsidR="005B5121" w:rsidRPr="005B5121" w:rsidTr="00DD682B">
        <w:trPr>
          <w:trHeight w:val="488"/>
        </w:trPr>
        <w:tc>
          <w:tcPr>
            <w:tcW w:w="4367" w:type="dxa"/>
            <w:tcBorders>
              <w:top w:val="nil"/>
              <w:left w:val="single" w:sz="8" w:space="0" w:color="auto"/>
              <w:bottom w:val="single" w:sz="8" w:space="0" w:color="auto"/>
              <w:right w:val="single" w:sz="8" w:space="0" w:color="auto"/>
            </w:tcBorders>
            <w:shd w:val="clear" w:color="auto" w:fill="FFFFFF"/>
            <w:noWrap/>
            <w:vAlign w:val="center"/>
            <w:hideMark/>
          </w:tcPr>
          <w:p w:rsidR="005B5121" w:rsidRPr="005B5121" w:rsidRDefault="005B5121" w:rsidP="00DD682B">
            <w:pPr>
              <w:spacing w:after="0" w:line="240" w:lineRule="auto"/>
              <w:rPr>
                <w:rFonts w:asciiTheme="minorHAnsi" w:eastAsia="Times New Roman" w:hAnsiTheme="minorHAnsi" w:cs="Calibri"/>
                <w:sz w:val="20"/>
                <w:szCs w:val="20"/>
                <w:lang w:eastAsia="es-MX"/>
              </w:rPr>
            </w:pPr>
            <w:r w:rsidRPr="005B5121">
              <w:rPr>
                <w:rFonts w:asciiTheme="minorHAnsi" w:eastAsia="Times New Roman" w:hAnsiTheme="minorHAnsi" w:cs="Calibri"/>
                <w:sz w:val="20"/>
                <w:szCs w:val="20"/>
                <w:lang w:eastAsia="es-MX"/>
              </w:rPr>
              <w:t>Total</w:t>
            </w:r>
          </w:p>
        </w:tc>
        <w:tc>
          <w:tcPr>
            <w:tcW w:w="2374" w:type="dxa"/>
            <w:tcBorders>
              <w:top w:val="nil"/>
              <w:left w:val="nil"/>
              <w:bottom w:val="single" w:sz="8" w:space="0" w:color="auto"/>
              <w:right w:val="nil"/>
            </w:tcBorders>
            <w:shd w:val="clear" w:color="auto" w:fill="FFFFFF"/>
            <w:noWrap/>
            <w:hideMark/>
          </w:tcPr>
          <w:p w:rsidR="005B5121" w:rsidRPr="005B5121" w:rsidRDefault="005B5121" w:rsidP="00DD682B">
            <w:pPr>
              <w:jc w:val="right"/>
              <w:rPr>
                <w:rFonts w:asciiTheme="minorHAnsi" w:hAnsiTheme="minorHAnsi" w:cs="Calibri"/>
                <w:sz w:val="20"/>
                <w:szCs w:val="20"/>
              </w:rPr>
            </w:pPr>
            <w:r w:rsidRPr="005B5121">
              <w:rPr>
                <w:rFonts w:asciiTheme="minorHAnsi" w:hAnsiTheme="minorHAnsi" w:cs="Calibri"/>
                <w:sz w:val="20"/>
                <w:szCs w:val="20"/>
              </w:rPr>
              <w:t>42,814,785.99</w:t>
            </w:r>
          </w:p>
        </w:tc>
        <w:tc>
          <w:tcPr>
            <w:tcW w:w="1894" w:type="dxa"/>
            <w:tcBorders>
              <w:top w:val="nil"/>
              <w:left w:val="single" w:sz="8" w:space="0" w:color="auto"/>
              <w:bottom w:val="single" w:sz="8" w:space="0" w:color="auto"/>
              <w:right w:val="nil"/>
            </w:tcBorders>
            <w:shd w:val="clear" w:color="auto" w:fill="FFFFFF"/>
            <w:noWrap/>
            <w:hideMark/>
          </w:tcPr>
          <w:p w:rsidR="005B5121" w:rsidRPr="005B5121" w:rsidRDefault="005B5121" w:rsidP="00DD682B">
            <w:pPr>
              <w:jc w:val="right"/>
              <w:rPr>
                <w:rFonts w:asciiTheme="minorHAnsi" w:hAnsiTheme="minorHAnsi" w:cs="Calibri"/>
                <w:sz w:val="20"/>
                <w:szCs w:val="20"/>
              </w:rPr>
            </w:pPr>
            <w:r w:rsidRPr="005B5121">
              <w:rPr>
                <w:rFonts w:asciiTheme="minorHAnsi" w:hAnsiTheme="minorHAnsi" w:cs="Calibri"/>
                <w:sz w:val="20"/>
                <w:szCs w:val="20"/>
              </w:rPr>
              <w:t>8,669,217.51</w:t>
            </w:r>
          </w:p>
        </w:tc>
      </w:tr>
    </w:tbl>
    <w:p w:rsidR="005B5121" w:rsidRPr="005B5121" w:rsidRDefault="005B5121" w:rsidP="005B5121">
      <w:pPr>
        <w:jc w:val="both"/>
        <w:rPr>
          <w:rFonts w:asciiTheme="minorHAnsi" w:hAnsiTheme="minorHAnsi" w:cs="Calibri"/>
          <w:sz w:val="20"/>
          <w:szCs w:val="20"/>
        </w:rPr>
      </w:pPr>
      <w:r w:rsidRPr="005B5121">
        <w:rPr>
          <w:rFonts w:asciiTheme="minorHAnsi" w:hAnsiTheme="minorHAnsi" w:cs="Calibri"/>
          <w:sz w:val="20"/>
          <w:szCs w:val="20"/>
        </w:rPr>
        <w:t xml:space="preserve">      La cuenta de Retenciones y Contribuciones por Pagar (Acreedores Diversos e Impuestos por Pagar ) se compone en su mayoría, por los distintos conceptos de retenciones efectuados a los trabajadores por compromisos con terceros como pueden ser créditos comerciales, sindicales, cuotas diversas, retenciones, etc., en estas se incluyen las retenciones derivadas del pago de servicios personales subordinados de esta Dependencia </w:t>
      </w:r>
      <w:proofErr w:type="spellStart"/>
      <w:r w:rsidRPr="005B5121">
        <w:rPr>
          <w:rFonts w:asciiTheme="minorHAnsi" w:hAnsiTheme="minorHAnsi" w:cs="Calibri"/>
          <w:sz w:val="20"/>
          <w:szCs w:val="20"/>
        </w:rPr>
        <w:t>asi</w:t>
      </w:r>
      <w:proofErr w:type="spellEnd"/>
      <w:r w:rsidRPr="005B5121">
        <w:rPr>
          <w:rFonts w:asciiTheme="minorHAnsi" w:hAnsiTheme="minorHAnsi" w:cs="Calibri"/>
          <w:sz w:val="20"/>
          <w:szCs w:val="20"/>
        </w:rPr>
        <w:t xml:space="preserve"> como de los servicios profesionales prestados por terceros, son efectuados en estricto apego a la Ley Vigentes del Impuesto Sobre la Renta y su Reglamento. </w:t>
      </w:r>
    </w:p>
    <w:p w:rsidR="005B5121" w:rsidRPr="005B5121" w:rsidRDefault="005B5121" w:rsidP="005B5121">
      <w:pPr>
        <w:jc w:val="both"/>
        <w:rPr>
          <w:rFonts w:asciiTheme="minorHAnsi" w:hAnsiTheme="minorHAnsi" w:cs="Calibri"/>
          <w:sz w:val="20"/>
          <w:szCs w:val="20"/>
        </w:rPr>
      </w:pPr>
      <w:r w:rsidRPr="005B5121">
        <w:rPr>
          <w:rFonts w:asciiTheme="minorHAnsi" w:hAnsiTheme="minorHAnsi" w:cs="Calibri"/>
          <w:sz w:val="20"/>
          <w:szCs w:val="20"/>
        </w:rPr>
        <w:t>La cuenta de proveedores presenta únicamente las provisiones pendientes de ser pagadas a los servidores de diversos productos y servicios, los cuales gradualmente en relación a las políticas establecidas se realizan sus respectivos pagos.</w:t>
      </w:r>
    </w:p>
    <w:p w:rsidR="005B5121" w:rsidRPr="005B5121" w:rsidRDefault="005B5121" w:rsidP="005B5121">
      <w:pPr>
        <w:jc w:val="both"/>
        <w:rPr>
          <w:rFonts w:asciiTheme="minorHAnsi" w:hAnsiTheme="minorHAnsi" w:cs="Calibri"/>
          <w:sz w:val="20"/>
          <w:szCs w:val="20"/>
        </w:rPr>
      </w:pPr>
      <w:r w:rsidRPr="005B5121">
        <w:rPr>
          <w:rFonts w:asciiTheme="minorHAnsi" w:hAnsiTheme="minorHAnsi" w:cs="Calibri"/>
          <w:sz w:val="20"/>
          <w:szCs w:val="20"/>
        </w:rPr>
        <w:t xml:space="preserve">      La cuenta de Otras Cuentas por Pagar se compone por los rendimientos bancarios generados por las cuentas bancarias de esta Dependencia, de los cuales los que son generados de Recursos Federales y del Ramo 33 son reintegrados a la Secretaria de Hacienda y los de Recursos Propios pasan a formar parte de los Ingresos Propios de esta Dependencia.</w:t>
      </w:r>
    </w:p>
    <w:p w:rsidR="005B5121" w:rsidRPr="005B5121" w:rsidRDefault="005B5121" w:rsidP="005B5121">
      <w:pPr>
        <w:jc w:val="both"/>
        <w:rPr>
          <w:rFonts w:asciiTheme="minorHAnsi" w:hAnsiTheme="minorHAnsi" w:cs="Calibri"/>
          <w:sz w:val="20"/>
          <w:szCs w:val="20"/>
        </w:rPr>
      </w:pPr>
    </w:p>
    <w:p w:rsidR="005B5121" w:rsidRPr="005B5121" w:rsidRDefault="005B5121" w:rsidP="005B5121">
      <w:pPr>
        <w:jc w:val="both"/>
        <w:rPr>
          <w:rFonts w:asciiTheme="minorHAnsi" w:hAnsiTheme="minorHAnsi" w:cs="Calibri"/>
          <w:sz w:val="20"/>
          <w:szCs w:val="20"/>
        </w:rPr>
      </w:pPr>
    </w:p>
    <w:p w:rsidR="005B5121" w:rsidRPr="005B5121" w:rsidRDefault="005B5121" w:rsidP="005B5121">
      <w:pPr>
        <w:pStyle w:val="Ttulo"/>
        <w:rPr>
          <w:rFonts w:asciiTheme="minorHAnsi" w:hAnsiTheme="minorHAnsi" w:cs="Calibri"/>
          <w:b/>
          <w:color w:val="auto"/>
          <w:sz w:val="20"/>
          <w:szCs w:val="20"/>
        </w:rPr>
      </w:pPr>
      <w:r w:rsidRPr="005B5121">
        <w:rPr>
          <w:rFonts w:asciiTheme="minorHAnsi" w:hAnsiTheme="minorHAnsi" w:cs="Calibri"/>
          <w:b/>
          <w:color w:val="auto"/>
          <w:sz w:val="20"/>
          <w:szCs w:val="20"/>
        </w:rPr>
        <w:lastRenderedPageBreak/>
        <w:t>Nota 7</w:t>
      </w:r>
    </w:p>
    <w:p w:rsidR="005B5121" w:rsidRPr="005B5121" w:rsidRDefault="005B5121" w:rsidP="005B5121">
      <w:pPr>
        <w:pStyle w:val="Ttulo"/>
        <w:rPr>
          <w:rFonts w:asciiTheme="minorHAnsi" w:hAnsiTheme="minorHAnsi" w:cs="Calibri"/>
          <w:b/>
          <w:color w:val="auto"/>
          <w:sz w:val="20"/>
          <w:szCs w:val="20"/>
        </w:rPr>
      </w:pPr>
      <w:r w:rsidRPr="005B5121">
        <w:rPr>
          <w:rFonts w:asciiTheme="minorHAnsi" w:hAnsiTheme="minorHAnsi" w:cs="Calibri"/>
          <w:b/>
          <w:color w:val="auto"/>
          <w:sz w:val="20"/>
          <w:szCs w:val="20"/>
        </w:rPr>
        <w:t>Hacienda Pública/Patrimonio</w:t>
      </w:r>
    </w:p>
    <w:p w:rsidR="005B5121" w:rsidRPr="005B5121" w:rsidRDefault="005B5121" w:rsidP="005B5121">
      <w:pPr>
        <w:pStyle w:val="Ttulo"/>
        <w:rPr>
          <w:rFonts w:asciiTheme="minorHAnsi" w:hAnsiTheme="minorHAnsi" w:cs="Calibri"/>
          <w:b/>
          <w:color w:val="auto"/>
          <w:sz w:val="20"/>
          <w:szCs w:val="20"/>
        </w:rPr>
      </w:pPr>
      <w:r w:rsidRPr="005B5121">
        <w:rPr>
          <w:rFonts w:asciiTheme="minorHAnsi" w:hAnsiTheme="minorHAnsi" w:cs="Calibri"/>
          <w:b/>
          <w:color w:val="auto"/>
          <w:sz w:val="20"/>
          <w:szCs w:val="20"/>
        </w:rPr>
        <w:t>CIFRAS EN PESOS</w:t>
      </w:r>
    </w:p>
    <w:p w:rsidR="005B5121" w:rsidRPr="005B5121" w:rsidRDefault="005B5121" w:rsidP="005B5121">
      <w:pPr>
        <w:jc w:val="both"/>
        <w:rPr>
          <w:rFonts w:asciiTheme="minorHAnsi" w:hAnsiTheme="minorHAnsi" w:cs="Calibri"/>
          <w:sz w:val="20"/>
          <w:szCs w:val="20"/>
        </w:rPr>
      </w:pPr>
      <w:r w:rsidRPr="005B5121">
        <w:rPr>
          <w:rFonts w:asciiTheme="minorHAnsi" w:hAnsiTheme="minorHAnsi" w:cs="Calibri"/>
          <w:sz w:val="20"/>
          <w:szCs w:val="20"/>
        </w:rPr>
        <w:t>El saldo de la cuenta de Hacienda Pública/Patrimonio al 31 de Marzo 2017 se integra como sigue:</w:t>
      </w:r>
    </w:p>
    <w:tbl>
      <w:tblPr>
        <w:tblW w:w="8634" w:type="dxa"/>
        <w:tblInd w:w="55" w:type="dxa"/>
        <w:tblCellMar>
          <w:left w:w="70" w:type="dxa"/>
          <w:right w:w="70" w:type="dxa"/>
        </w:tblCellMar>
        <w:tblLook w:val="04A0" w:firstRow="1" w:lastRow="0" w:firstColumn="1" w:lastColumn="0" w:noHBand="0" w:noVBand="1"/>
      </w:tblPr>
      <w:tblGrid>
        <w:gridCol w:w="4367"/>
        <w:gridCol w:w="2374"/>
        <w:gridCol w:w="1893"/>
      </w:tblGrid>
      <w:tr w:rsidR="005B5121" w:rsidRPr="005B5121" w:rsidTr="00DD682B">
        <w:trPr>
          <w:trHeight w:val="820"/>
        </w:trPr>
        <w:tc>
          <w:tcPr>
            <w:tcW w:w="4367" w:type="dxa"/>
            <w:tcBorders>
              <w:top w:val="single" w:sz="8" w:space="0" w:color="auto"/>
              <w:left w:val="single" w:sz="8" w:space="0" w:color="auto"/>
              <w:bottom w:val="nil"/>
              <w:right w:val="single" w:sz="8" w:space="0" w:color="auto"/>
            </w:tcBorders>
            <w:shd w:val="clear" w:color="auto" w:fill="FFFFFF"/>
            <w:noWrap/>
            <w:vAlign w:val="center"/>
            <w:hideMark/>
          </w:tcPr>
          <w:p w:rsidR="005B5121" w:rsidRPr="005B5121" w:rsidRDefault="005B5121" w:rsidP="00DD682B">
            <w:pPr>
              <w:spacing w:after="0" w:line="240" w:lineRule="auto"/>
              <w:rPr>
                <w:rFonts w:asciiTheme="minorHAnsi" w:eastAsia="Times New Roman" w:hAnsiTheme="minorHAnsi" w:cs="Calibri"/>
                <w:sz w:val="20"/>
                <w:szCs w:val="20"/>
                <w:lang w:eastAsia="es-MX"/>
              </w:rPr>
            </w:pPr>
            <w:r w:rsidRPr="005B5121">
              <w:rPr>
                <w:rFonts w:asciiTheme="minorHAnsi" w:eastAsia="Times New Roman" w:hAnsiTheme="minorHAnsi" w:cs="Calibri"/>
                <w:sz w:val="20"/>
                <w:szCs w:val="20"/>
                <w:lang w:eastAsia="es-MX"/>
              </w:rPr>
              <w:t>Nombre</w:t>
            </w:r>
          </w:p>
        </w:tc>
        <w:tc>
          <w:tcPr>
            <w:tcW w:w="2374" w:type="dxa"/>
            <w:vMerge w:val="restart"/>
            <w:tcBorders>
              <w:top w:val="single" w:sz="8" w:space="0" w:color="auto"/>
              <w:left w:val="single" w:sz="8" w:space="0" w:color="auto"/>
              <w:bottom w:val="single" w:sz="8" w:space="0" w:color="000000"/>
              <w:right w:val="single" w:sz="8" w:space="0" w:color="auto"/>
            </w:tcBorders>
            <w:shd w:val="clear" w:color="auto" w:fill="FFFFFF"/>
            <w:noWrap/>
            <w:vAlign w:val="center"/>
            <w:hideMark/>
          </w:tcPr>
          <w:p w:rsidR="005B5121" w:rsidRPr="005B5121" w:rsidRDefault="005B5121" w:rsidP="00DD682B">
            <w:pPr>
              <w:spacing w:after="0" w:line="240" w:lineRule="auto"/>
              <w:jc w:val="center"/>
              <w:rPr>
                <w:rFonts w:asciiTheme="minorHAnsi" w:eastAsia="Times New Roman" w:hAnsiTheme="minorHAnsi" w:cs="Calibri"/>
                <w:sz w:val="20"/>
                <w:szCs w:val="20"/>
                <w:lang w:eastAsia="es-MX"/>
              </w:rPr>
            </w:pPr>
            <w:r w:rsidRPr="005B5121">
              <w:rPr>
                <w:rFonts w:asciiTheme="minorHAnsi" w:eastAsia="Times New Roman" w:hAnsiTheme="minorHAnsi" w:cs="Calibri"/>
                <w:sz w:val="20"/>
                <w:szCs w:val="20"/>
                <w:lang w:eastAsia="es-MX"/>
              </w:rPr>
              <w:t>31 de Marzo 2017</w:t>
            </w:r>
          </w:p>
        </w:tc>
        <w:tc>
          <w:tcPr>
            <w:tcW w:w="1893" w:type="dxa"/>
            <w:vMerge w:val="restart"/>
            <w:tcBorders>
              <w:top w:val="single" w:sz="8" w:space="0" w:color="auto"/>
              <w:left w:val="single" w:sz="8" w:space="0" w:color="auto"/>
              <w:bottom w:val="single" w:sz="8" w:space="0" w:color="000000"/>
              <w:right w:val="single" w:sz="8" w:space="0" w:color="auto"/>
            </w:tcBorders>
            <w:shd w:val="clear" w:color="auto" w:fill="FFFFFF"/>
            <w:noWrap/>
            <w:vAlign w:val="center"/>
            <w:hideMark/>
          </w:tcPr>
          <w:p w:rsidR="005B5121" w:rsidRPr="005B5121" w:rsidRDefault="005B5121" w:rsidP="00DD682B">
            <w:pPr>
              <w:spacing w:after="0" w:line="240" w:lineRule="auto"/>
              <w:jc w:val="center"/>
              <w:rPr>
                <w:rFonts w:asciiTheme="minorHAnsi" w:eastAsia="Times New Roman" w:hAnsiTheme="minorHAnsi" w:cs="Calibri"/>
                <w:sz w:val="20"/>
                <w:szCs w:val="20"/>
                <w:lang w:eastAsia="es-MX"/>
              </w:rPr>
            </w:pPr>
            <w:r w:rsidRPr="005B5121">
              <w:rPr>
                <w:rFonts w:asciiTheme="minorHAnsi" w:eastAsia="Times New Roman" w:hAnsiTheme="minorHAnsi" w:cs="Calibri"/>
                <w:sz w:val="20"/>
                <w:szCs w:val="20"/>
                <w:lang w:eastAsia="es-MX"/>
              </w:rPr>
              <w:t>31 de Marzo 2016</w:t>
            </w:r>
          </w:p>
        </w:tc>
      </w:tr>
      <w:tr w:rsidR="005B5121" w:rsidRPr="005B5121" w:rsidTr="00DD682B">
        <w:trPr>
          <w:trHeight w:val="328"/>
        </w:trPr>
        <w:tc>
          <w:tcPr>
            <w:tcW w:w="4367" w:type="dxa"/>
            <w:tcBorders>
              <w:top w:val="nil"/>
              <w:left w:val="single" w:sz="8" w:space="0" w:color="auto"/>
              <w:bottom w:val="single" w:sz="8" w:space="0" w:color="auto"/>
              <w:right w:val="single" w:sz="8" w:space="0" w:color="auto"/>
            </w:tcBorders>
            <w:shd w:val="clear" w:color="auto" w:fill="FFFFFF"/>
            <w:noWrap/>
            <w:vAlign w:val="center"/>
            <w:hideMark/>
          </w:tcPr>
          <w:p w:rsidR="005B5121" w:rsidRPr="005B5121" w:rsidRDefault="005B5121" w:rsidP="00DD682B">
            <w:pPr>
              <w:spacing w:after="0" w:line="240" w:lineRule="auto"/>
              <w:rPr>
                <w:rFonts w:asciiTheme="minorHAnsi" w:eastAsia="Times New Roman" w:hAnsiTheme="minorHAnsi" w:cs="Calibri"/>
                <w:sz w:val="20"/>
                <w:szCs w:val="20"/>
                <w:lang w:eastAsia="es-MX"/>
              </w:rPr>
            </w:pPr>
            <w:r w:rsidRPr="005B5121">
              <w:rPr>
                <w:rFonts w:asciiTheme="minorHAnsi" w:eastAsia="Times New Roman" w:hAnsiTheme="minorHAnsi" w:cs="Calibri"/>
                <w:sz w:val="20"/>
                <w:szCs w:val="20"/>
                <w:lang w:eastAsia="es-MX"/>
              </w:rPr>
              <w:t> </w:t>
            </w: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5B5121" w:rsidRPr="005B5121" w:rsidRDefault="005B5121" w:rsidP="00DD682B">
            <w:pPr>
              <w:spacing w:after="0" w:line="240" w:lineRule="auto"/>
              <w:rPr>
                <w:rFonts w:asciiTheme="minorHAnsi" w:eastAsia="Times New Roman" w:hAnsiTheme="minorHAnsi" w:cs="Calibri"/>
                <w:sz w:val="20"/>
                <w:szCs w:val="20"/>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5B5121" w:rsidRPr="005B5121" w:rsidRDefault="005B5121" w:rsidP="00DD682B">
            <w:pPr>
              <w:spacing w:after="0" w:line="240" w:lineRule="auto"/>
              <w:rPr>
                <w:rFonts w:asciiTheme="minorHAnsi" w:eastAsia="Times New Roman" w:hAnsiTheme="minorHAnsi" w:cs="Calibri"/>
                <w:sz w:val="20"/>
                <w:szCs w:val="20"/>
                <w:lang w:eastAsia="es-MX"/>
              </w:rPr>
            </w:pPr>
          </w:p>
        </w:tc>
      </w:tr>
      <w:tr w:rsidR="005B5121" w:rsidRPr="005B5121" w:rsidTr="00DD682B">
        <w:trPr>
          <w:trHeight w:val="328"/>
        </w:trPr>
        <w:tc>
          <w:tcPr>
            <w:tcW w:w="4367" w:type="dxa"/>
            <w:tcBorders>
              <w:top w:val="nil"/>
              <w:left w:val="single" w:sz="8" w:space="0" w:color="auto"/>
              <w:bottom w:val="single" w:sz="8" w:space="0" w:color="auto"/>
              <w:right w:val="single" w:sz="8" w:space="0" w:color="auto"/>
            </w:tcBorders>
            <w:shd w:val="clear" w:color="auto" w:fill="FFFFFF"/>
            <w:noWrap/>
            <w:vAlign w:val="center"/>
            <w:hideMark/>
          </w:tcPr>
          <w:p w:rsidR="005B5121" w:rsidRPr="005B5121" w:rsidRDefault="005B5121" w:rsidP="00DD682B">
            <w:pPr>
              <w:spacing w:after="0" w:line="240" w:lineRule="auto"/>
              <w:rPr>
                <w:rFonts w:asciiTheme="minorHAnsi" w:eastAsia="Times New Roman" w:hAnsiTheme="minorHAnsi" w:cs="Calibri"/>
                <w:b/>
                <w:bCs/>
                <w:i/>
                <w:iCs/>
                <w:sz w:val="20"/>
                <w:szCs w:val="20"/>
                <w:lang w:eastAsia="es-MX"/>
              </w:rPr>
            </w:pPr>
            <w:r w:rsidRPr="005B5121">
              <w:rPr>
                <w:rFonts w:asciiTheme="minorHAnsi" w:eastAsia="Times New Roman" w:hAnsiTheme="minorHAnsi" w:cs="Calibri"/>
                <w:b/>
                <w:bCs/>
                <w:i/>
                <w:iCs/>
                <w:sz w:val="20"/>
                <w:szCs w:val="20"/>
                <w:lang w:eastAsia="es-MX"/>
              </w:rPr>
              <w:t>Hacienda Pública/Patrimonio Contribuido</w:t>
            </w:r>
          </w:p>
        </w:tc>
        <w:tc>
          <w:tcPr>
            <w:tcW w:w="2374" w:type="dxa"/>
            <w:tcBorders>
              <w:top w:val="nil"/>
              <w:left w:val="nil"/>
              <w:bottom w:val="single" w:sz="8" w:space="0" w:color="auto"/>
              <w:right w:val="single" w:sz="8" w:space="0" w:color="auto"/>
            </w:tcBorders>
            <w:shd w:val="clear" w:color="auto" w:fill="FFFFFF"/>
            <w:noWrap/>
            <w:hideMark/>
          </w:tcPr>
          <w:p w:rsidR="005B5121" w:rsidRPr="005B5121" w:rsidRDefault="005B5121" w:rsidP="00DD682B">
            <w:pPr>
              <w:spacing w:after="0"/>
              <w:rPr>
                <w:rFonts w:asciiTheme="minorHAnsi" w:hAnsiTheme="minorHAnsi" w:cs="Calibri"/>
                <w:sz w:val="20"/>
                <w:szCs w:val="20"/>
              </w:rPr>
            </w:pPr>
          </w:p>
        </w:tc>
        <w:tc>
          <w:tcPr>
            <w:tcW w:w="1893" w:type="dxa"/>
            <w:tcBorders>
              <w:top w:val="nil"/>
              <w:left w:val="nil"/>
              <w:bottom w:val="single" w:sz="8" w:space="0" w:color="auto"/>
              <w:right w:val="single" w:sz="8" w:space="0" w:color="auto"/>
            </w:tcBorders>
            <w:shd w:val="clear" w:color="auto" w:fill="FFFFFF"/>
            <w:noWrap/>
            <w:hideMark/>
          </w:tcPr>
          <w:p w:rsidR="005B5121" w:rsidRPr="005B5121" w:rsidRDefault="005B5121" w:rsidP="00DD682B">
            <w:pPr>
              <w:spacing w:after="0"/>
              <w:rPr>
                <w:rFonts w:asciiTheme="minorHAnsi" w:hAnsiTheme="minorHAnsi" w:cs="Calibri"/>
                <w:sz w:val="20"/>
                <w:szCs w:val="20"/>
              </w:rPr>
            </w:pPr>
          </w:p>
        </w:tc>
      </w:tr>
      <w:tr w:rsidR="005B5121" w:rsidRPr="005B5121" w:rsidTr="00DD682B">
        <w:trPr>
          <w:trHeight w:val="328"/>
        </w:trPr>
        <w:tc>
          <w:tcPr>
            <w:tcW w:w="4367" w:type="dxa"/>
            <w:tcBorders>
              <w:top w:val="nil"/>
              <w:left w:val="single" w:sz="8" w:space="0" w:color="auto"/>
              <w:bottom w:val="single" w:sz="8" w:space="0" w:color="auto"/>
              <w:right w:val="single" w:sz="8" w:space="0" w:color="auto"/>
            </w:tcBorders>
            <w:shd w:val="clear" w:color="auto" w:fill="FFFFFF"/>
            <w:noWrap/>
            <w:vAlign w:val="center"/>
            <w:hideMark/>
          </w:tcPr>
          <w:p w:rsidR="005B5121" w:rsidRPr="005B5121" w:rsidRDefault="005B5121" w:rsidP="00DD682B">
            <w:pPr>
              <w:spacing w:after="0" w:line="240" w:lineRule="auto"/>
              <w:rPr>
                <w:rFonts w:asciiTheme="minorHAnsi" w:eastAsia="Times New Roman" w:hAnsiTheme="minorHAnsi" w:cs="Calibri"/>
                <w:sz w:val="20"/>
                <w:szCs w:val="20"/>
                <w:lang w:eastAsia="es-MX"/>
              </w:rPr>
            </w:pPr>
            <w:r w:rsidRPr="005B5121">
              <w:rPr>
                <w:rFonts w:asciiTheme="minorHAnsi" w:eastAsia="Times New Roman" w:hAnsiTheme="minorHAnsi" w:cs="Calibri"/>
                <w:sz w:val="20"/>
                <w:szCs w:val="20"/>
                <w:lang w:eastAsia="es-MX"/>
              </w:rPr>
              <w:t>Aportaciones</w:t>
            </w:r>
          </w:p>
        </w:tc>
        <w:tc>
          <w:tcPr>
            <w:tcW w:w="2374" w:type="dxa"/>
            <w:tcBorders>
              <w:top w:val="nil"/>
              <w:left w:val="nil"/>
              <w:bottom w:val="single" w:sz="8" w:space="0" w:color="auto"/>
              <w:right w:val="single" w:sz="8" w:space="0" w:color="auto"/>
            </w:tcBorders>
            <w:shd w:val="clear" w:color="auto" w:fill="FFFFFF"/>
            <w:noWrap/>
            <w:hideMark/>
          </w:tcPr>
          <w:p w:rsidR="005B5121" w:rsidRPr="005B5121" w:rsidRDefault="005B5121" w:rsidP="00DD682B">
            <w:pPr>
              <w:rPr>
                <w:rFonts w:asciiTheme="minorHAnsi" w:hAnsiTheme="minorHAnsi" w:cs="Calibri"/>
                <w:sz w:val="20"/>
                <w:szCs w:val="20"/>
              </w:rPr>
            </w:pPr>
            <w:r w:rsidRPr="005B5121">
              <w:rPr>
                <w:rFonts w:asciiTheme="minorHAnsi" w:hAnsiTheme="minorHAnsi" w:cs="Calibri"/>
                <w:sz w:val="20"/>
                <w:szCs w:val="20"/>
              </w:rPr>
              <w:t>2,556,093,825.12</w:t>
            </w:r>
          </w:p>
        </w:tc>
        <w:tc>
          <w:tcPr>
            <w:tcW w:w="1893" w:type="dxa"/>
            <w:tcBorders>
              <w:top w:val="nil"/>
              <w:left w:val="nil"/>
              <w:bottom w:val="single" w:sz="8" w:space="0" w:color="auto"/>
              <w:right w:val="single" w:sz="8" w:space="0" w:color="auto"/>
            </w:tcBorders>
            <w:shd w:val="clear" w:color="auto" w:fill="FFFFFF"/>
            <w:noWrap/>
            <w:hideMark/>
          </w:tcPr>
          <w:p w:rsidR="005B5121" w:rsidRPr="005B5121" w:rsidRDefault="005B5121" w:rsidP="00DD682B">
            <w:pPr>
              <w:rPr>
                <w:rFonts w:asciiTheme="minorHAnsi" w:hAnsiTheme="minorHAnsi" w:cs="Calibri"/>
                <w:sz w:val="20"/>
                <w:szCs w:val="20"/>
              </w:rPr>
            </w:pPr>
            <w:r w:rsidRPr="005B5121">
              <w:rPr>
                <w:rFonts w:asciiTheme="minorHAnsi" w:hAnsiTheme="minorHAnsi" w:cs="Calibri"/>
                <w:sz w:val="20"/>
                <w:szCs w:val="20"/>
              </w:rPr>
              <w:t>2,700,643,435.12</w:t>
            </w:r>
          </w:p>
        </w:tc>
      </w:tr>
      <w:tr w:rsidR="005B5121" w:rsidRPr="005B5121" w:rsidTr="00DD682B">
        <w:trPr>
          <w:trHeight w:val="328"/>
        </w:trPr>
        <w:tc>
          <w:tcPr>
            <w:tcW w:w="4367" w:type="dxa"/>
            <w:tcBorders>
              <w:top w:val="nil"/>
              <w:left w:val="single" w:sz="8" w:space="0" w:color="auto"/>
              <w:bottom w:val="single" w:sz="8" w:space="0" w:color="auto"/>
              <w:right w:val="single" w:sz="8" w:space="0" w:color="auto"/>
            </w:tcBorders>
            <w:shd w:val="clear" w:color="auto" w:fill="FFFFFF"/>
            <w:noWrap/>
            <w:vAlign w:val="center"/>
            <w:hideMark/>
          </w:tcPr>
          <w:p w:rsidR="005B5121" w:rsidRPr="005B5121" w:rsidRDefault="005B5121" w:rsidP="00DD682B">
            <w:pPr>
              <w:spacing w:after="0" w:line="240" w:lineRule="auto"/>
              <w:rPr>
                <w:rFonts w:asciiTheme="minorHAnsi" w:eastAsia="Times New Roman" w:hAnsiTheme="minorHAnsi" w:cs="Calibri"/>
                <w:sz w:val="20"/>
                <w:szCs w:val="20"/>
                <w:lang w:eastAsia="es-MX"/>
              </w:rPr>
            </w:pPr>
            <w:r w:rsidRPr="005B5121">
              <w:rPr>
                <w:rFonts w:asciiTheme="minorHAnsi" w:eastAsia="Times New Roman" w:hAnsiTheme="minorHAnsi" w:cs="Calibri"/>
                <w:sz w:val="20"/>
                <w:szCs w:val="20"/>
                <w:lang w:eastAsia="es-MX"/>
              </w:rPr>
              <w:t> </w:t>
            </w:r>
          </w:p>
        </w:tc>
        <w:tc>
          <w:tcPr>
            <w:tcW w:w="2374" w:type="dxa"/>
            <w:tcBorders>
              <w:top w:val="nil"/>
              <w:left w:val="nil"/>
              <w:bottom w:val="single" w:sz="8" w:space="0" w:color="auto"/>
              <w:right w:val="single" w:sz="8" w:space="0" w:color="auto"/>
            </w:tcBorders>
            <w:shd w:val="clear" w:color="auto" w:fill="FFFFFF"/>
            <w:noWrap/>
            <w:hideMark/>
          </w:tcPr>
          <w:p w:rsidR="005B5121" w:rsidRPr="005B5121" w:rsidRDefault="005B5121" w:rsidP="00DD682B">
            <w:pPr>
              <w:spacing w:after="0"/>
              <w:rPr>
                <w:rFonts w:asciiTheme="minorHAnsi" w:hAnsiTheme="minorHAnsi" w:cs="Calibri"/>
                <w:sz w:val="20"/>
                <w:szCs w:val="20"/>
              </w:rPr>
            </w:pPr>
          </w:p>
        </w:tc>
        <w:tc>
          <w:tcPr>
            <w:tcW w:w="1893" w:type="dxa"/>
            <w:tcBorders>
              <w:top w:val="nil"/>
              <w:left w:val="nil"/>
              <w:bottom w:val="single" w:sz="8" w:space="0" w:color="auto"/>
              <w:right w:val="single" w:sz="8" w:space="0" w:color="auto"/>
            </w:tcBorders>
            <w:shd w:val="clear" w:color="auto" w:fill="FFFFFF"/>
            <w:noWrap/>
            <w:hideMark/>
          </w:tcPr>
          <w:p w:rsidR="005B5121" w:rsidRPr="005B5121" w:rsidRDefault="005B5121" w:rsidP="00DD682B">
            <w:pPr>
              <w:spacing w:after="0"/>
              <w:rPr>
                <w:rFonts w:asciiTheme="minorHAnsi" w:hAnsiTheme="minorHAnsi" w:cs="Calibri"/>
                <w:sz w:val="20"/>
                <w:szCs w:val="20"/>
              </w:rPr>
            </w:pPr>
          </w:p>
        </w:tc>
      </w:tr>
      <w:tr w:rsidR="005B5121" w:rsidRPr="005B5121" w:rsidTr="00DD682B">
        <w:trPr>
          <w:trHeight w:val="328"/>
        </w:trPr>
        <w:tc>
          <w:tcPr>
            <w:tcW w:w="4367" w:type="dxa"/>
            <w:tcBorders>
              <w:top w:val="nil"/>
              <w:left w:val="single" w:sz="8" w:space="0" w:color="auto"/>
              <w:bottom w:val="single" w:sz="8" w:space="0" w:color="auto"/>
              <w:right w:val="single" w:sz="8" w:space="0" w:color="auto"/>
            </w:tcBorders>
            <w:shd w:val="clear" w:color="auto" w:fill="FFFFFF"/>
            <w:noWrap/>
            <w:vAlign w:val="center"/>
            <w:hideMark/>
          </w:tcPr>
          <w:p w:rsidR="005B5121" w:rsidRPr="005B5121" w:rsidRDefault="005B5121" w:rsidP="00DD682B">
            <w:pPr>
              <w:spacing w:after="0" w:line="240" w:lineRule="auto"/>
              <w:rPr>
                <w:rFonts w:asciiTheme="minorHAnsi" w:eastAsia="Times New Roman" w:hAnsiTheme="minorHAnsi" w:cs="Calibri"/>
                <w:b/>
                <w:bCs/>
                <w:i/>
                <w:iCs/>
                <w:sz w:val="20"/>
                <w:szCs w:val="20"/>
                <w:lang w:eastAsia="es-MX"/>
              </w:rPr>
            </w:pPr>
            <w:r w:rsidRPr="005B5121">
              <w:rPr>
                <w:rFonts w:asciiTheme="minorHAnsi" w:eastAsia="Times New Roman" w:hAnsiTheme="minorHAnsi" w:cs="Calibri"/>
                <w:b/>
                <w:bCs/>
                <w:i/>
                <w:iCs/>
                <w:sz w:val="20"/>
                <w:szCs w:val="20"/>
                <w:lang w:eastAsia="es-MX"/>
              </w:rPr>
              <w:t>Hacienda Pública/Patrimonio Generado</w:t>
            </w:r>
          </w:p>
        </w:tc>
        <w:tc>
          <w:tcPr>
            <w:tcW w:w="2374" w:type="dxa"/>
            <w:tcBorders>
              <w:top w:val="nil"/>
              <w:left w:val="nil"/>
              <w:bottom w:val="single" w:sz="8" w:space="0" w:color="auto"/>
              <w:right w:val="single" w:sz="8" w:space="0" w:color="auto"/>
            </w:tcBorders>
            <w:shd w:val="clear" w:color="auto" w:fill="FFFFFF"/>
            <w:noWrap/>
            <w:hideMark/>
          </w:tcPr>
          <w:p w:rsidR="005B5121" w:rsidRPr="005B5121" w:rsidRDefault="005B5121" w:rsidP="00DD682B">
            <w:pPr>
              <w:spacing w:after="0"/>
              <w:rPr>
                <w:rFonts w:asciiTheme="minorHAnsi" w:hAnsiTheme="minorHAnsi" w:cs="Calibri"/>
                <w:sz w:val="20"/>
                <w:szCs w:val="20"/>
              </w:rPr>
            </w:pPr>
          </w:p>
        </w:tc>
        <w:tc>
          <w:tcPr>
            <w:tcW w:w="1893" w:type="dxa"/>
            <w:tcBorders>
              <w:top w:val="nil"/>
              <w:left w:val="nil"/>
              <w:bottom w:val="single" w:sz="8" w:space="0" w:color="auto"/>
              <w:right w:val="single" w:sz="8" w:space="0" w:color="auto"/>
            </w:tcBorders>
            <w:shd w:val="clear" w:color="auto" w:fill="FFFFFF"/>
            <w:noWrap/>
            <w:hideMark/>
          </w:tcPr>
          <w:p w:rsidR="005B5121" w:rsidRPr="005B5121" w:rsidRDefault="005B5121" w:rsidP="00DD682B">
            <w:pPr>
              <w:spacing w:after="0"/>
              <w:rPr>
                <w:rFonts w:asciiTheme="minorHAnsi" w:hAnsiTheme="minorHAnsi" w:cs="Calibri"/>
                <w:sz w:val="20"/>
                <w:szCs w:val="20"/>
              </w:rPr>
            </w:pPr>
          </w:p>
        </w:tc>
      </w:tr>
      <w:tr w:rsidR="005B5121" w:rsidRPr="005B5121" w:rsidTr="00DD682B">
        <w:trPr>
          <w:trHeight w:val="328"/>
        </w:trPr>
        <w:tc>
          <w:tcPr>
            <w:tcW w:w="4367" w:type="dxa"/>
            <w:tcBorders>
              <w:top w:val="nil"/>
              <w:left w:val="single" w:sz="8" w:space="0" w:color="auto"/>
              <w:bottom w:val="single" w:sz="8" w:space="0" w:color="auto"/>
              <w:right w:val="single" w:sz="8" w:space="0" w:color="auto"/>
            </w:tcBorders>
            <w:shd w:val="clear" w:color="auto" w:fill="FFFFFF"/>
            <w:noWrap/>
            <w:vAlign w:val="center"/>
            <w:hideMark/>
          </w:tcPr>
          <w:p w:rsidR="005B5121" w:rsidRPr="005B5121" w:rsidRDefault="005B5121" w:rsidP="00DD682B">
            <w:pPr>
              <w:spacing w:after="0" w:line="240" w:lineRule="auto"/>
              <w:rPr>
                <w:rFonts w:asciiTheme="minorHAnsi" w:eastAsia="Times New Roman" w:hAnsiTheme="minorHAnsi" w:cs="Calibri"/>
                <w:sz w:val="20"/>
                <w:szCs w:val="20"/>
                <w:lang w:eastAsia="es-MX"/>
              </w:rPr>
            </w:pPr>
            <w:r w:rsidRPr="005B5121">
              <w:rPr>
                <w:rFonts w:asciiTheme="minorHAnsi" w:eastAsia="Times New Roman" w:hAnsiTheme="minorHAnsi" w:cs="Calibri"/>
                <w:sz w:val="20"/>
                <w:szCs w:val="20"/>
                <w:lang w:eastAsia="es-MX"/>
              </w:rPr>
              <w:t>Resultados del Ejercicio (Ahorro / Desahorro)</w:t>
            </w:r>
          </w:p>
        </w:tc>
        <w:tc>
          <w:tcPr>
            <w:tcW w:w="2374" w:type="dxa"/>
            <w:tcBorders>
              <w:top w:val="nil"/>
              <w:left w:val="nil"/>
              <w:bottom w:val="single" w:sz="8" w:space="0" w:color="auto"/>
              <w:right w:val="single" w:sz="8" w:space="0" w:color="auto"/>
            </w:tcBorders>
            <w:shd w:val="clear" w:color="auto" w:fill="FFFFFF"/>
            <w:noWrap/>
            <w:hideMark/>
          </w:tcPr>
          <w:p w:rsidR="005B5121" w:rsidRPr="005B5121" w:rsidRDefault="005B5121" w:rsidP="00DD682B">
            <w:pPr>
              <w:rPr>
                <w:rFonts w:asciiTheme="minorHAnsi" w:hAnsiTheme="minorHAnsi" w:cs="Calibri"/>
                <w:sz w:val="20"/>
                <w:szCs w:val="20"/>
              </w:rPr>
            </w:pPr>
            <w:r w:rsidRPr="005B5121">
              <w:rPr>
                <w:rFonts w:asciiTheme="minorHAnsi" w:hAnsiTheme="minorHAnsi" w:cs="Calibri"/>
                <w:sz w:val="20"/>
                <w:szCs w:val="20"/>
              </w:rPr>
              <w:t>43,277,421.25</w:t>
            </w:r>
          </w:p>
        </w:tc>
        <w:tc>
          <w:tcPr>
            <w:tcW w:w="1893" w:type="dxa"/>
            <w:tcBorders>
              <w:top w:val="nil"/>
              <w:left w:val="nil"/>
              <w:bottom w:val="single" w:sz="8" w:space="0" w:color="auto"/>
              <w:right w:val="single" w:sz="8" w:space="0" w:color="auto"/>
            </w:tcBorders>
            <w:shd w:val="clear" w:color="auto" w:fill="FFFFFF"/>
            <w:noWrap/>
            <w:hideMark/>
          </w:tcPr>
          <w:p w:rsidR="005B5121" w:rsidRPr="005B5121" w:rsidRDefault="005B5121" w:rsidP="00DD682B">
            <w:pPr>
              <w:rPr>
                <w:rFonts w:asciiTheme="minorHAnsi" w:hAnsiTheme="minorHAnsi" w:cs="Calibri"/>
                <w:sz w:val="20"/>
                <w:szCs w:val="20"/>
              </w:rPr>
            </w:pPr>
            <w:r w:rsidRPr="005B5121">
              <w:rPr>
                <w:rFonts w:asciiTheme="minorHAnsi" w:hAnsiTheme="minorHAnsi" w:cs="Calibri"/>
                <w:sz w:val="20"/>
                <w:szCs w:val="20"/>
              </w:rPr>
              <w:t>107,492,041.35</w:t>
            </w:r>
          </w:p>
        </w:tc>
      </w:tr>
      <w:tr w:rsidR="005B5121" w:rsidRPr="005B5121" w:rsidTr="00DD682B">
        <w:trPr>
          <w:trHeight w:val="328"/>
        </w:trPr>
        <w:tc>
          <w:tcPr>
            <w:tcW w:w="4367" w:type="dxa"/>
            <w:tcBorders>
              <w:top w:val="nil"/>
              <w:left w:val="single" w:sz="8" w:space="0" w:color="auto"/>
              <w:bottom w:val="single" w:sz="8" w:space="0" w:color="auto"/>
              <w:right w:val="single" w:sz="8" w:space="0" w:color="auto"/>
            </w:tcBorders>
            <w:shd w:val="clear" w:color="auto" w:fill="FFFFFF"/>
            <w:noWrap/>
            <w:vAlign w:val="center"/>
            <w:hideMark/>
          </w:tcPr>
          <w:p w:rsidR="005B5121" w:rsidRPr="005B5121" w:rsidRDefault="005B5121" w:rsidP="00DD682B">
            <w:pPr>
              <w:spacing w:after="0" w:line="240" w:lineRule="auto"/>
              <w:rPr>
                <w:rFonts w:asciiTheme="minorHAnsi" w:eastAsia="Times New Roman" w:hAnsiTheme="minorHAnsi" w:cs="Calibri"/>
                <w:sz w:val="20"/>
                <w:szCs w:val="20"/>
                <w:lang w:eastAsia="es-MX"/>
              </w:rPr>
            </w:pPr>
            <w:r w:rsidRPr="005B5121">
              <w:rPr>
                <w:rFonts w:asciiTheme="minorHAnsi" w:eastAsia="Times New Roman" w:hAnsiTheme="minorHAnsi" w:cs="Calibri"/>
                <w:sz w:val="20"/>
                <w:szCs w:val="20"/>
                <w:lang w:eastAsia="es-MX"/>
              </w:rPr>
              <w:t>Resultados de Ejercicios Anteriores</w:t>
            </w:r>
          </w:p>
        </w:tc>
        <w:tc>
          <w:tcPr>
            <w:tcW w:w="2374" w:type="dxa"/>
            <w:tcBorders>
              <w:top w:val="nil"/>
              <w:left w:val="nil"/>
              <w:bottom w:val="single" w:sz="8" w:space="0" w:color="auto"/>
              <w:right w:val="single" w:sz="8" w:space="0" w:color="auto"/>
            </w:tcBorders>
            <w:shd w:val="clear" w:color="auto" w:fill="FFFFFF"/>
            <w:noWrap/>
            <w:hideMark/>
          </w:tcPr>
          <w:p w:rsidR="005B5121" w:rsidRPr="005B5121" w:rsidRDefault="005B5121" w:rsidP="00DD682B">
            <w:pPr>
              <w:rPr>
                <w:rFonts w:asciiTheme="minorHAnsi" w:hAnsiTheme="minorHAnsi" w:cs="Calibri"/>
                <w:sz w:val="20"/>
                <w:szCs w:val="20"/>
              </w:rPr>
            </w:pPr>
            <w:r w:rsidRPr="005B5121">
              <w:rPr>
                <w:rFonts w:asciiTheme="minorHAnsi" w:hAnsiTheme="minorHAnsi" w:cs="Calibri"/>
                <w:sz w:val="20"/>
                <w:szCs w:val="20"/>
              </w:rPr>
              <w:t>1,164,069,859.38</w:t>
            </w:r>
          </w:p>
        </w:tc>
        <w:tc>
          <w:tcPr>
            <w:tcW w:w="1893" w:type="dxa"/>
            <w:tcBorders>
              <w:top w:val="nil"/>
              <w:left w:val="nil"/>
              <w:bottom w:val="single" w:sz="8" w:space="0" w:color="auto"/>
              <w:right w:val="single" w:sz="8" w:space="0" w:color="auto"/>
            </w:tcBorders>
            <w:shd w:val="clear" w:color="auto" w:fill="FFFFFF"/>
            <w:noWrap/>
            <w:hideMark/>
          </w:tcPr>
          <w:p w:rsidR="005B5121" w:rsidRPr="005B5121" w:rsidRDefault="005B5121" w:rsidP="00DD682B">
            <w:pPr>
              <w:rPr>
                <w:rFonts w:asciiTheme="minorHAnsi" w:hAnsiTheme="minorHAnsi" w:cs="Calibri"/>
                <w:sz w:val="20"/>
                <w:szCs w:val="20"/>
              </w:rPr>
            </w:pPr>
            <w:r w:rsidRPr="005B5121">
              <w:rPr>
                <w:rFonts w:asciiTheme="minorHAnsi" w:hAnsiTheme="minorHAnsi" w:cs="Calibri"/>
                <w:sz w:val="20"/>
                <w:szCs w:val="20"/>
              </w:rPr>
              <w:t>611,459,003.37</w:t>
            </w:r>
          </w:p>
        </w:tc>
      </w:tr>
      <w:tr w:rsidR="005B5121" w:rsidRPr="005B5121" w:rsidTr="00DD682B">
        <w:trPr>
          <w:trHeight w:val="328"/>
        </w:trPr>
        <w:tc>
          <w:tcPr>
            <w:tcW w:w="4367" w:type="dxa"/>
            <w:tcBorders>
              <w:top w:val="nil"/>
              <w:left w:val="single" w:sz="8" w:space="0" w:color="auto"/>
              <w:bottom w:val="single" w:sz="8" w:space="0" w:color="auto"/>
              <w:right w:val="single" w:sz="8" w:space="0" w:color="auto"/>
            </w:tcBorders>
            <w:shd w:val="clear" w:color="auto" w:fill="FFFFFF"/>
            <w:noWrap/>
            <w:vAlign w:val="center"/>
            <w:hideMark/>
          </w:tcPr>
          <w:p w:rsidR="005B5121" w:rsidRPr="005B5121" w:rsidRDefault="005B5121" w:rsidP="00DD682B">
            <w:pPr>
              <w:spacing w:after="0" w:line="240" w:lineRule="auto"/>
              <w:rPr>
                <w:rFonts w:asciiTheme="minorHAnsi" w:eastAsia="Times New Roman" w:hAnsiTheme="minorHAnsi" w:cs="Calibri"/>
                <w:sz w:val="20"/>
                <w:szCs w:val="20"/>
                <w:lang w:eastAsia="es-MX"/>
              </w:rPr>
            </w:pPr>
            <w:r w:rsidRPr="005B5121">
              <w:rPr>
                <w:rFonts w:asciiTheme="minorHAnsi" w:eastAsia="Times New Roman" w:hAnsiTheme="minorHAnsi" w:cs="Calibri"/>
                <w:sz w:val="20"/>
                <w:szCs w:val="20"/>
                <w:lang w:eastAsia="es-MX"/>
              </w:rPr>
              <w:t> </w:t>
            </w:r>
          </w:p>
        </w:tc>
        <w:tc>
          <w:tcPr>
            <w:tcW w:w="2374" w:type="dxa"/>
            <w:tcBorders>
              <w:top w:val="nil"/>
              <w:left w:val="nil"/>
              <w:bottom w:val="single" w:sz="8" w:space="0" w:color="auto"/>
              <w:right w:val="single" w:sz="8" w:space="0" w:color="auto"/>
            </w:tcBorders>
            <w:shd w:val="clear" w:color="auto" w:fill="FFFFFF"/>
            <w:noWrap/>
            <w:hideMark/>
          </w:tcPr>
          <w:p w:rsidR="005B5121" w:rsidRPr="005B5121" w:rsidRDefault="005B5121" w:rsidP="00DD682B">
            <w:pPr>
              <w:spacing w:after="0"/>
              <w:rPr>
                <w:rFonts w:asciiTheme="minorHAnsi" w:hAnsiTheme="minorHAnsi" w:cs="Calibri"/>
                <w:sz w:val="20"/>
                <w:szCs w:val="20"/>
              </w:rPr>
            </w:pPr>
          </w:p>
        </w:tc>
        <w:tc>
          <w:tcPr>
            <w:tcW w:w="1893" w:type="dxa"/>
            <w:tcBorders>
              <w:top w:val="nil"/>
              <w:left w:val="nil"/>
              <w:bottom w:val="single" w:sz="8" w:space="0" w:color="auto"/>
              <w:right w:val="single" w:sz="8" w:space="0" w:color="auto"/>
            </w:tcBorders>
            <w:shd w:val="clear" w:color="auto" w:fill="FFFFFF"/>
            <w:noWrap/>
            <w:hideMark/>
          </w:tcPr>
          <w:p w:rsidR="005B5121" w:rsidRPr="005B5121" w:rsidRDefault="005B5121" w:rsidP="00DD682B">
            <w:pPr>
              <w:spacing w:after="0"/>
              <w:rPr>
                <w:rFonts w:asciiTheme="minorHAnsi" w:hAnsiTheme="minorHAnsi" w:cs="Calibri"/>
                <w:sz w:val="20"/>
                <w:szCs w:val="20"/>
              </w:rPr>
            </w:pPr>
          </w:p>
        </w:tc>
      </w:tr>
      <w:tr w:rsidR="005B5121" w:rsidRPr="005B5121" w:rsidTr="00DD682B">
        <w:trPr>
          <w:trHeight w:val="328"/>
        </w:trPr>
        <w:tc>
          <w:tcPr>
            <w:tcW w:w="4367" w:type="dxa"/>
            <w:tcBorders>
              <w:top w:val="nil"/>
              <w:left w:val="single" w:sz="8" w:space="0" w:color="auto"/>
              <w:bottom w:val="single" w:sz="8" w:space="0" w:color="auto"/>
              <w:right w:val="single" w:sz="8" w:space="0" w:color="auto"/>
            </w:tcBorders>
            <w:shd w:val="clear" w:color="auto" w:fill="FFFFFF"/>
            <w:noWrap/>
            <w:vAlign w:val="center"/>
            <w:hideMark/>
          </w:tcPr>
          <w:p w:rsidR="005B5121" w:rsidRPr="005B5121" w:rsidRDefault="005B5121" w:rsidP="00DD682B">
            <w:pPr>
              <w:spacing w:after="0" w:line="240" w:lineRule="auto"/>
              <w:rPr>
                <w:rFonts w:asciiTheme="minorHAnsi" w:eastAsia="Times New Roman" w:hAnsiTheme="minorHAnsi" w:cs="Calibri"/>
                <w:sz w:val="20"/>
                <w:szCs w:val="20"/>
                <w:lang w:eastAsia="es-MX"/>
              </w:rPr>
            </w:pPr>
            <w:r w:rsidRPr="005B5121">
              <w:rPr>
                <w:rFonts w:asciiTheme="minorHAnsi" w:eastAsia="Times New Roman" w:hAnsiTheme="minorHAnsi" w:cs="Calibri"/>
                <w:sz w:val="20"/>
                <w:szCs w:val="20"/>
                <w:lang w:eastAsia="es-MX"/>
              </w:rPr>
              <w:t>Total</w:t>
            </w:r>
          </w:p>
        </w:tc>
        <w:tc>
          <w:tcPr>
            <w:tcW w:w="2374" w:type="dxa"/>
            <w:tcBorders>
              <w:top w:val="nil"/>
              <w:left w:val="nil"/>
              <w:bottom w:val="single" w:sz="8" w:space="0" w:color="auto"/>
              <w:right w:val="single" w:sz="8" w:space="0" w:color="auto"/>
            </w:tcBorders>
            <w:shd w:val="clear" w:color="auto" w:fill="FFFFFF"/>
            <w:noWrap/>
            <w:hideMark/>
          </w:tcPr>
          <w:p w:rsidR="005B5121" w:rsidRPr="005B5121" w:rsidRDefault="005B5121" w:rsidP="00DD682B">
            <w:pPr>
              <w:rPr>
                <w:rFonts w:asciiTheme="minorHAnsi" w:hAnsiTheme="minorHAnsi" w:cs="Calibri"/>
                <w:sz w:val="20"/>
                <w:szCs w:val="20"/>
              </w:rPr>
            </w:pPr>
            <w:r w:rsidRPr="005B5121">
              <w:rPr>
                <w:rFonts w:asciiTheme="minorHAnsi" w:hAnsiTheme="minorHAnsi" w:cs="Calibri"/>
                <w:sz w:val="20"/>
                <w:szCs w:val="20"/>
              </w:rPr>
              <w:t>3,763,441,105.75</w:t>
            </w:r>
          </w:p>
        </w:tc>
        <w:tc>
          <w:tcPr>
            <w:tcW w:w="1893" w:type="dxa"/>
            <w:tcBorders>
              <w:top w:val="nil"/>
              <w:left w:val="nil"/>
              <w:bottom w:val="single" w:sz="8" w:space="0" w:color="auto"/>
              <w:right w:val="single" w:sz="8" w:space="0" w:color="auto"/>
            </w:tcBorders>
            <w:shd w:val="clear" w:color="auto" w:fill="FFFFFF"/>
            <w:noWrap/>
            <w:hideMark/>
          </w:tcPr>
          <w:p w:rsidR="005B5121" w:rsidRPr="005B5121" w:rsidRDefault="005B5121" w:rsidP="00DD682B">
            <w:pPr>
              <w:rPr>
                <w:rFonts w:asciiTheme="minorHAnsi" w:hAnsiTheme="minorHAnsi" w:cs="Calibri"/>
                <w:sz w:val="20"/>
                <w:szCs w:val="20"/>
              </w:rPr>
            </w:pPr>
            <w:r w:rsidRPr="005B5121">
              <w:rPr>
                <w:rFonts w:asciiTheme="minorHAnsi" w:hAnsiTheme="minorHAnsi" w:cs="Calibri"/>
                <w:sz w:val="20"/>
                <w:szCs w:val="20"/>
              </w:rPr>
              <w:t>3,419,594,479.84</w:t>
            </w:r>
          </w:p>
        </w:tc>
      </w:tr>
    </w:tbl>
    <w:p w:rsidR="005B5121" w:rsidRPr="005B5121" w:rsidRDefault="005B5121" w:rsidP="005B5121">
      <w:pPr>
        <w:jc w:val="both"/>
        <w:rPr>
          <w:rFonts w:asciiTheme="minorHAnsi" w:hAnsiTheme="minorHAnsi" w:cs="Calibri"/>
          <w:sz w:val="20"/>
          <w:szCs w:val="20"/>
        </w:rPr>
      </w:pPr>
      <w:r w:rsidRPr="005B5121">
        <w:rPr>
          <w:rFonts w:asciiTheme="minorHAnsi" w:hAnsiTheme="minorHAnsi" w:cs="Calibri"/>
          <w:sz w:val="20"/>
          <w:szCs w:val="20"/>
        </w:rPr>
        <w:t>El importe de las aportaciones refleja el total de los activos adquiridos y obras de infraestructura concluidas y en proceso que son reconocidos como Patrimonio Propio por el Instituto de Infraestructura Carretera de Yucatán. Sin embargo en el ejercicio 2015 y de acuerdo a los lineamientos de la CONAC se registraron todos los gastos de obra en proceso en la cuenta de activo denominada “Obra en proceso</w:t>
      </w:r>
      <w:r>
        <w:rPr>
          <w:rFonts w:asciiTheme="minorHAnsi" w:hAnsiTheme="minorHAnsi" w:cs="Calibri"/>
          <w:sz w:val="20"/>
          <w:szCs w:val="20"/>
        </w:rPr>
        <w:t>” y al cierre de año se registró</w:t>
      </w:r>
      <w:r w:rsidRPr="005B5121">
        <w:rPr>
          <w:rFonts w:asciiTheme="minorHAnsi" w:hAnsiTheme="minorHAnsi" w:cs="Calibri"/>
          <w:sz w:val="20"/>
          <w:szCs w:val="20"/>
        </w:rPr>
        <w:t xml:space="preserve"> un asiento de reclasificación en la cuenta de activo Infraestructura 2016, esto para  reconocer la obra terminada en el ejercicio y enviarlo al respectivo rubro de infraestructura.  Al cambiar el método y enviarlo directamente a la cuenta de infraestructura en el momento en que se va ejerciendo ya no se realiza el asiento contable de reconocimiento de patrimonio  donde se </w:t>
      </w:r>
      <w:r w:rsidRPr="005B5121">
        <w:rPr>
          <w:rFonts w:asciiTheme="minorHAnsi" w:hAnsiTheme="minorHAnsi" w:cs="Calibri"/>
          <w:sz w:val="20"/>
          <w:szCs w:val="20"/>
        </w:rPr>
        <w:lastRenderedPageBreak/>
        <w:t xml:space="preserve">registraba el activo y en contra partida en la cuenta de aportaciones se registraba la Infraestructura del Ejercicio vigente, ya que esta misma se encuentra contemplada en la cuenta de ahorro/ desahorro del ejercicio. Derivado de este nuevo método El ahorro/desahorro del ejercicio se </w:t>
      </w:r>
      <w:proofErr w:type="spellStart"/>
      <w:r w:rsidRPr="005B5121">
        <w:rPr>
          <w:rFonts w:asciiTheme="minorHAnsi" w:hAnsiTheme="minorHAnsi" w:cs="Calibri"/>
          <w:sz w:val="20"/>
          <w:szCs w:val="20"/>
        </w:rPr>
        <w:t>incremento</w:t>
      </w:r>
      <w:proofErr w:type="spellEnd"/>
      <w:r w:rsidRPr="005B5121">
        <w:rPr>
          <w:rFonts w:asciiTheme="minorHAnsi" w:hAnsiTheme="minorHAnsi" w:cs="Calibri"/>
          <w:sz w:val="20"/>
          <w:szCs w:val="20"/>
        </w:rPr>
        <w:t xml:space="preserve"> con respecto a otros años porque en ese monto se encuentra contemplada la infraestructura del ejercicio ya capitalizada. El  ingreso entra en la partida 4000 y el gasto de obra se ejecuta contablemente en las cuentas 1200</w:t>
      </w:r>
      <w:proofErr w:type="gramStart"/>
      <w:r w:rsidRPr="005B5121">
        <w:rPr>
          <w:rFonts w:asciiTheme="minorHAnsi" w:hAnsiTheme="minorHAnsi" w:cs="Calibri"/>
          <w:sz w:val="20"/>
          <w:szCs w:val="20"/>
        </w:rPr>
        <w:t>,por</w:t>
      </w:r>
      <w:proofErr w:type="gramEnd"/>
      <w:r w:rsidRPr="005B5121">
        <w:rPr>
          <w:rFonts w:asciiTheme="minorHAnsi" w:hAnsiTheme="minorHAnsi" w:cs="Calibri"/>
          <w:sz w:val="20"/>
          <w:szCs w:val="20"/>
        </w:rPr>
        <w:t xml:space="preserve"> lo tanto en la cuenta de aportaciones se dejara de reflejar el monto de infraestructura del ejercicio y ese monto se quedara reflejado en el ahorro/desahorro del ejercicio fiscal respectivo. </w:t>
      </w:r>
    </w:p>
    <w:p w:rsidR="005B5121" w:rsidRPr="005B5121" w:rsidRDefault="005B5121" w:rsidP="005B5121">
      <w:pPr>
        <w:pStyle w:val="Ttulo"/>
        <w:rPr>
          <w:rFonts w:asciiTheme="minorHAnsi" w:hAnsiTheme="minorHAnsi" w:cs="Calibri"/>
          <w:b/>
          <w:color w:val="auto"/>
          <w:sz w:val="20"/>
          <w:szCs w:val="20"/>
        </w:rPr>
      </w:pPr>
      <w:r w:rsidRPr="005B5121">
        <w:rPr>
          <w:rFonts w:asciiTheme="minorHAnsi" w:hAnsiTheme="minorHAnsi" w:cs="Calibri"/>
          <w:b/>
          <w:color w:val="auto"/>
          <w:sz w:val="20"/>
          <w:szCs w:val="20"/>
        </w:rPr>
        <w:t>Nota 8</w:t>
      </w:r>
    </w:p>
    <w:p w:rsidR="005B5121" w:rsidRPr="005B5121" w:rsidRDefault="005B5121" w:rsidP="005B5121">
      <w:pPr>
        <w:pStyle w:val="Ttulo"/>
        <w:rPr>
          <w:rFonts w:asciiTheme="minorHAnsi" w:hAnsiTheme="minorHAnsi" w:cs="Calibri"/>
          <w:b/>
          <w:color w:val="auto"/>
          <w:sz w:val="20"/>
          <w:szCs w:val="20"/>
        </w:rPr>
      </w:pPr>
      <w:r w:rsidRPr="005B5121">
        <w:rPr>
          <w:rFonts w:asciiTheme="minorHAnsi" w:hAnsiTheme="minorHAnsi" w:cs="Calibri"/>
          <w:b/>
          <w:color w:val="auto"/>
          <w:sz w:val="20"/>
          <w:szCs w:val="20"/>
        </w:rPr>
        <w:t>Estado de Actividades</w:t>
      </w:r>
    </w:p>
    <w:p w:rsidR="005B5121" w:rsidRPr="005B5121" w:rsidRDefault="005B5121" w:rsidP="005B5121">
      <w:pPr>
        <w:pStyle w:val="Ttulo"/>
        <w:rPr>
          <w:rFonts w:asciiTheme="minorHAnsi" w:hAnsiTheme="minorHAnsi" w:cs="Calibri"/>
          <w:b/>
          <w:color w:val="auto"/>
          <w:sz w:val="20"/>
          <w:szCs w:val="20"/>
        </w:rPr>
      </w:pPr>
      <w:r w:rsidRPr="005B5121">
        <w:rPr>
          <w:rFonts w:asciiTheme="minorHAnsi" w:hAnsiTheme="minorHAnsi" w:cs="Calibri"/>
          <w:b/>
          <w:color w:val="auto"/>
          <w:sz w:val="20"/>
          <w:szCs w:val="20"/>
        </w:rPr>
        <w:t>CIFRAS EN PESOS</w:t>
      </w:r>
    </w:p>
    <w:p w:rsidR="005B5121" w:rsidRPr="005B5121" w:rsidRDefault="005B5121" w:rsidP="005B5121">
      <w:pPr>
        <w:jc w:val="both"/>
        <w:rPr>
          <w:rFonts w:asciiTheme="minorHAnsi" w:hAnsiTheme="minorHAnsi" w:cs="Calibri"/>
          <w:sz w:val="20"/>
          <w:szCs w:val="20"/>
        </w:rPr>
      </w:pPr>
      <w:r w:rsidRPr="005B5121">
        <w:rPr>
          <w:rFonts w:asciiTheme="minorHAnsi" w:hAnsiTheme="minorHAnsi" w:cs="Calibri"/>
          <w:sz w:val="20"/>
          <w:szCs w:val="20"/>
        </w:rPr>
        <w:t xml:space="preserve">            El Estado de Actividades se adjunta con la finalidad de especificar de forma detallada la integración de las operaciones que conforman el Resultado del Ejercicio que se registra en la cuenta de Hacienda </w:t>
      </w:r>
      <w:proofErr w:type="spellStart"/>
      <w:r w:rsidRPr="005B5121">
        <w:rPr>
          <w:rFonts w:asciiTheme="minorHAnsi" w:hAnsiTheme="minorHAnsi" w:cs="Calibri"/>
          <w:sz w:val="20"/>
          <w:szCs w:val="20"/>
        </w:rPr>
        <w:t>Publica</w:t>
      </w:r>
      <w:proofErr w:type="spellEnd"/>
      <w:r w:rsidRPr="005B5121">
        <w:rPr>
          <w:rFonts w:asciiTheme="minorHAnsi" w:hAnsiTheme="minorHAnsi" w:cs="Calibri"/>
          <w:sz w:val="20"/>
          <w:szCs w:val="20"/>
        </w:rPr>
        <w:t>/Patrimonio del Estado de Situación Financiera.</w:t>
      </w:r>
    </w:p>
    <w:p w:rsidR="005B5121" w:rsidRPr="005B5121" w:rsidRDefault="005B5121" w:rsidP="005B5121">
      <w:pPr>
        <w:jc w:val="both"/>
        <w:rPr>
          <w:rFonts w:asciiTheme="minorHAnsi" w:hAnsiTheme="minorHAnsi" w:cs="Calibri"/>
          <w:sz w:val="20"/>
          <w:szCs w:val="20"/>
        </w:rPr>
      </w:pPr>
      <w:r w:rsidRPr="005B5121">
        <w:rPr>
          <w:rFonts w:asciiTheme="minorHAnsi" w:hAnsiTheme="minorHAnsi" w:cs="Calibri"/>
          <w:sz w:val="20"/>
          <w:szCs w:val="20"/>
        </w:rPr>
        <w:t xml:space="preserve">       Con respecto a la cuenta de Ingresos por Gestión, en la cuenta de Ingresos Propios, estos son ingresos que la propia Dependencia está obteniendo por diversos servicios o por Estímulos fiscales que la Secretaria de Hacienda está otorgando, a continuación se desglosa estos ingresos:</w:t>
      </w:r>
    </w:p>
    <w:tbl>
      <w:tblPr>
        <w:tblW w:w="8120" w:type="dxa"/>
        <w:tblInd w:w="55" w:type="dxa"/>
        <w:tblCellMar>
          <w:left w:w="70" w:type="dxa"/>
          <w:right w:w="70" w:type="dxa"/>
        </w:tblCellMar>
        <w:tblLook w:val="04A0" w:firstRow="1" w:lastRow="0" w:firstColumn="1" w:lastColumn="0" w:noHBand="0" w:noVBand="1"/>
      </w:tblPr>
      <w:tblGrid>
        <w:gridCol w:w="5260"/>
        <w:gridCol w:w="2860"/>
      </w:tblGrid>
      <w:tr w:rsidR="005B5121" w:rsidRPr="005B5121" w:rsidTr="00DD682B">
        <w:trPr>
          <w:trHeight w:val="330"/>
        </w:trPr>
        <w:tc>
          <w:tcPr>
            <w:tcW w:w="5260" w:type="dxa"/>
            <w:tcBorders>
              <w:top w:val="single" w:sz="8" w:space="0" w:color="auto"/>
              <w:left w:val="single" w:sz="8" w:space="0" w:color="auto"/>
              <w:bottom w:val="single" w:sz="8" w:space="0" w:color="auto"/>
              <w:right w:val="single" w:sz="8" w:space="0" w:color="auto"/>
            </w:tcBorders>
            <w:shd w:val="clear" w:color="auto" w:fill="FFFFFF"/>
            <w:noWrap/>
            <w:vAlign w:val="center"/>
            <w:hideMark/>
          </w:tcPr>
          <w:p w:rsidR="005B5121" w:rsidRPr="005B5121" w:rsidRDefault="005B5121" w:rsidP="00DD682B">
            <w:pPr>
              <w:spacing w:after="0" w:line="240" w:lineRule="auto"/>
              <w:rPr>
                <w:rFonts w:asciiTheme="minorHAnsi" w:eastAsia="Times New Roman" w:hAnsiTheme="minorHAnsi" w:cs="Calibri"/>
                <w:sz w:val="20"/>
                <w:szCs w:val="20"/>
                <w:lang w:eastAsia="es-MX"/>
              </w:rPr>
            </w:pPr>
            <w:r w:rsidRPr="005B5121">
              <w:rPr>
                <w:rFonts w:asciiTheme="minorHAnsi" w:eastAsia="Times New Roman" w:hAnsiTheme="minorHAnsi" w:cs="Calibri"/>
                <w:sz w:val="20"/>
                <w:szCs w:val="20"/>
                <w:lang w:eastAsia="es-MX"/>
              </w:rPr>
              <w:t>Nombre</w:t>
            </w:r>
          </w:p>
        </w:tc>
        <w:tc>
          <w:tcPr>
            <w:tcW w:w="2860" w:type="dxa"/>
            <w:tcBorders>
              <w:top w:val="single" w:sz="8" w:space="0" w:color="auto"/>
              <w:left w:val="nil"/>
              <w:bottom w:val="single" w:sz="8" w:space="0" w:color="auto"/>
              <w:right w:val="single" w:sz="8" w:space="0" w:color="auto"/>
            </w:tcBorders>
            <w:shd w:val="clear" w:color="auto" w:fill="FFFFFF"/>
            <w:noWrap/>
            <w:vAlign w:val="center"/>
            <w:hideMark/>
          </w:tcPr>
          <w:p w:rsidR="005B5121" w:rsidRPr="005B5121" w:rsidRDefault="005B5121" w:rsidP="00DD682B">
            <w:pPr>
              <w:spacing w:after="0" w:line="240" w:lineRule="auto"/>
              <w:jc w:val="center"/>
              <w:rPr>
                <w:rFonts w:asciiTheme="minorHAnsi" w:eastAsia="Times New Roman" w:hAnsiTheme="minorHAnsi" w:cs="Calibri"/>
                <w:sz w:val="20"/>
                <w:szCs w:val="20"/>
                <w:lang w:eastAsia="es-MX"/>
              </w:rPr>
            </w:pPr>
            <w:r w:rsidRPr="005B5121">
              <w:rPr>
                <w:rFonts w:asciiTheme="minorHAnsi" w:eastAsia="Times New Roman" w:hAnsiTheme="minorHAnsi" w:cs="Calibri"/>
                <w:sz w:val="20"/>
                <w:szCs w:val="20"/>
                <w:lang w:eastAsia="es-MX"/>
              </w:rPr>
              <w:t>Importe</w:t>
            </w:r>
          </w:p>
        </w:tc>
      </w:tr>
      <w:tr w:rsidR="005B5121" w:rsidRPr="005B5121" w:rsidTr="00DD682B">
        <w:trPr>
          <w:trHeight w:val="330"/>
        </w:trPr>
        <w:tc>
          <w:tcPr>
            <w:tcW w:w="5260" w:type="dxa"/>
            <w:tcBorders>
              <w:top w:val="nil"/>
              <w:left w:val="single" w:sz="8" w:space="0" w:color="auto"/>
              <w:bottom w:val="single" w:sz="8" w:space="0" w:color="auto"/>
              <w:right w:val="single" w:sz="8" w:space="0" w:color="auto"/>
            </w:tcBorders>
            <w:shd w:val="clear" w:color="auto" w:fill="FFFFFF"/>
            <w:noWrap/>
            <w:vAlign w:val="center"/>
            <w:hideMark/>
          </w:tcPr>
          <w:p w:rsidR="005B5121" w:rsidRPr="005B5121" w:rsidRDefault="005B5121" w:rsidP="00DD682B">
            <w:pPr>
              <w:spacing w:after="0" w:line="240" w:lineRule="auto"/>
              <w:rPr>
                <w:rFonts w:asciiTheme="minorHAnsi" w:eastAsia="Times New Roman" w:hAnsiTheme="minorHAnsi" w:cs="Calibri"/>
                <w:sz w:val="20"/>
                <w:szCs w:val="20"/>
                <w:lang w:eastAsia="es-MX"/>
              </w:rPr>
            </w:pPr>
            <w:r w:rsidRPr="005B5121">
              <w:rPr>
                <w:rFonts w:asciiTheme="minorHAnsi" w:eastAsia="Times New Roman" w:hAnsiTheme="minorHAnsi" w:cs="Calibri"/>
                <w:sz w:val="20"/>
                <w:szCs w:val="20"/>
                <w:lang w:eastAsia="es-MX"/>
              </w:rPr>
              <w:t>Aprovechamientos de Tipo Corriente</w:t>
            </w:r>
          </w:p>
        </w:tc>
        <w:tc>
          <w:tcPr>
            <w:tcW w:w="2860" w:type="dxa"/>
            <w:tcBorders>
              <w:top w:val="nil"/>
              <w:left w:val="nil"/>
              <w:bottom w:val="single" w:sz="8" w:space="0" w:color="auto"/>
              <w:right w:val="single" w:sz="8" w:space="0" w:color="auto"/>
            </w:tcBorders>
            <w:shd w:val="clear" w:color="auto" w:fill="FFFFFF"/>
            <w:noWrap/>
            <w:hideMark/>
          </w:tcPr>
          <w:p w:rsidR="005B5121" w:rsidRPr="005B5121" w:rsidRDefault="005B5121" w:rsidP="00DD682B">
            <w:pPr>
              <w:rPr>
                <w:rFonts w:asciiTheme="minorHAnsi" w:hAnsiTheme="minorHAnsi" w:cs="Calibri"/>
                <w:sz w:val="20"/>
                <w:szCs w:val="20"/>
              </w:rPr>
            </w:pPr>
            <w:r w:rsidRPr="005B5121">
              <w:rPr>
                <w:rFonts w:asciiTheme="minorHAnsi" w:hAnsiTheme="minorHAnsi" w:cs="Calibri"/>
                <w:sz w:val="20"/>
                <w:szCs w:val="20"/>
              </w:rPr>
              <w:t xml:space="preserve">685,609.08 </w:t>
            </w:r>
          </w:p>
        </w:tc>
      </w:tr>
      <w:tr w:rsidR="005B5121" w:rsidRPr="005B5121" w:rsidTr="00DD682B">
        <w:trPr>
          <w:trHeight w:val="330"/>
        </w:trPr>
        <w:tc>
          <w:tcPr>
            <w:tcW w:w="5260" w:type="dxa"/>
            <w:tcBorders>
              <w:top w:val="nil"/>
              <w:left w:val="single" w:sz="8" w:space="0" w:color="auto"/>
              <w:bottom w:val="single" w:sz="8" w:space="0" w:color="auto"/>
              <w:right w:val="single" w:sz="8" w:space="0" w:color="auto"/>
            </w:tcBorders>
            <w:shd w:val="clear" w:color="auto" w:fill="FFFFFF"/>
            <w:noWrap/>
            <w:vAlign w:val="center"/>
            <w:hideMark/>
          </w:tcPr>
          <w:p w:rsidR="005B5121" w:rsidRPr="005B5121" w:rsidRDefault="005B5121" w:rsidP="00DD682B">
            <w:pPr>
              <w:spacing w:after="0" w:line="240" w:lineRule="auto"/>
              <w:rPr>
                <w:rFonts w:asciiTheme="minorHAnsi" w:eastAsia="Times New Roman" w:hAnsiTheme="minorHAnsi" w:cs="Calibri"/>
                <w:sz w:val="20"/>
                <w:szCs w:val="20"/>
                <w:lang w:eastAsia="es-MX"/>
              </w:rPr>
            </w:pPr>
            <w:r w:rsidRPr="005B5121">
              <w:rPr>
                <w:rFonts w:asciiTheme="minorHAnsi" w:eastAsia="Times New Roman" w:hAnsiTheme="minorHAnsi" w:cs="Calibri"/>
                <w:sz w:val="20"/>
                <w:szCs w:val="20"/>
                <w:lang w:eastAsia="es-MX"/>
              </w:rPr>
              <w:t>Total</w:t>
            </w:r>
          </w:p>
        </w:tc>
        <w:tc>
          <w:tcPr>
            <w:tcW w:w="2860" w:type="dxa"/>
            <w:tcBorders>
              <w:top w:val="nil"/>
              <w:left w:val="nil"/>
              <w:bottom w:val="single" w:sz="8" w:space="0" w:color="auto"/>
              <w:right w:val="single" w:sz="8" w:space="0" w:color="auto"/>
            </w:tcBorders>
            <w:shd w:val="clear" w:color="auto" w:fill="FFFFFF"/>
            <w:noWrap/>
            <w:hideMark/>
          </w:tcPr>
          <w:p w:rsidR="005B5121" w:rsidRPr="005B5121" w:rsidRDefault="005B5121" w:rsidP="00DD682B">
            <w:pPr>
              <w:rPr>
                <w:rFonts w:asciiTheme="minorHAnsi" w:hAnsiTheme="minorHAnsi" w:cs="Calibri"/>
                <w:sz w:val="20"/>
                <w:szCs w:val="20"/>
              </w:rPr>
            </w:pPr>
            <w:r w:rsidRPr="005B5121">
              <w:rPr>
                <w:rFonts w:asciiTheme="minorHAnsi" w:hAnsiTheme="minorHAnsi" w:cs="Calibri"/>
                <w:sz w:val="20"/>
                <w:szCs w:val="20"/>
              </w:rPr>
              <w:t xml:space="preserve">685,609.08 </w:t>
            </w:r>
          </w:p>
        </w:tc>
      </w:tr>
    </w:tbl>
    <w:p w:rsidR="005B5121" w:rsidRPr="005B5121" w:rsidRDefault="005B5121" w:rsidP="005B5121">
      <w:pPr>
        <w:jc w:val="both"/>
        <w:rPr>
          <w:rFonts w:asciiTheme="minorHAnsi" w:hAnsiTheme="minorHAnsi" w:cs="Calibri"/>
          <w:sz w:val="20"/>
          <w:szCs w:val="20"/>
        </w:rPr>
      </w:pPr>
      <w:r w:rsidRPr="005B5121">
        <w:rPr>
          <w:rFonts w:asciiTheme="minorHAnsi" w:hAnsiTheme="minorHAnsi" w:cs="Calibri"/>
          <w:sz w:val="20"/>
          <w:szCs w:val="20"/>
        </w:rPr>
        <w:t xml:space="preserve">   Con respecto a los Ingresos por Transferencias, son los recursos que la Secretaria de Administración y Finanzas, nos otorga cada mes, mediante la elaboración de las cuentas por Pagar, a continuación se relacionan los Ingresos por Recursos, recibidos durante este periodo: </w:t>
      </w:r>
    </w:p>
    <w:tbl>
      <w:tblPr>
        <w:tblW w:w="8120" w:type="dxa"/>
        <w:tblInd w:w="55" w:type="dxa"/>
        <w:tblCellMar>
          <w:left w:w="70" w:type="dxa"/>
          <w:right w:w="70" w:type="dxa"/>
        </w:tblCellMar>
        <w:tblLook w:val="04A0" w:firstRow="1" w:lastRow="0" w:firstColumn="1" w:lastColumn="0" w:noHBand="0" w:noVBand="1"/>
      </w:tblPr>
      <w:tblGrid>
        <w:gridCol w:w="5260"/>
        <w:gridCol w:w="2860"/>
      </w:tblGrid>
      <w:tr w:rsidR="005B5121" w:rsidRPr="005B5121" w:rsidTr="00DD682B">
        <w:trPr>
          <w:trHeight w:val="330"/>
        </w:trPr>
        <w:tc>
          <w:tcPr>
            <w:tcW w:w="526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5B5121" w:rsidRPr="005B5121" w:rsidRDefault="005B5121" w:rsidP="00DD682B">
            <w:pPr>
              <w:spacing w:after="0" w:line="240" w:lineRule="auto"/>
              <w:jc w:val="center"/>
              <w:rPr>
                <w:rFonts w:asciiTheme="minorHAnsi" w:eastAsia="Times New Roman" w:hAnsiTheme="minorHAnsi" w:cs="Calibri"/>
                <w:sz w:val="20"/>
                <w:szCs w:val="20"/>
                <w:lang w:eastAsia="es-MX"/>
              </w:rPr>
            </w:pPr>
            <w:r w:rsidRPr="005B5121">
              <w:rPr>
                <w:rFonts w:asciiTheme="minorHAnsi" w:eastAsia="Times New Roman" w:hAnsiTheme="minorHAnsi" w:cs="Calibri"/>
                <w:sz w:val="20"/>
                <w:szCs w:val="20"/>
                <w:lang w:eastAsia="es-MX"/>
              </w:rPr>
              <w:t>RECURSOS</w:t>
            </w:r>
          </w:p>
        </w:tc>
        <w:tc>
          <w:tcPr>
            <w:tcW w:w="2860" w:type="dxa"/>
            <w:tcBorders>
              <w:top w:val="single" w:sz="8" w:space="0" w:color="auto"/>
              <w:left w:val="nil"/>
              <w:bottom w:val="single" w:sz="8" w:space="0" w:color="auto"/>
              <w:right w:val="single" w:sz="8" w:space="0" w:color="auto"/>
            </w:tcBorders>
            <w:shd w:val="clear" w:color="auto" w:fill="FFFFFF"/>
            <w:vAlign w:val="center"/>
            <w:hideMark/>
          </w:tcPr>
          <w:p w:rsidR="005B5121" w:rsidRPr="005B5121" w:rsidRDefault="005B5121" w:rsidP="00DD682B">
            <w:pPr>
              <w:spacing w:after="0" w:line="240" w:lineRule="auto"/>
              <w:jc w:val="center"/>
              <w:rPr>
                <w:rFonts w:asciiTheme="minorHAnsi" w:eastAsia="Times New Roman" w:hAnsiTheme="minorHAnsi" w:cs="Calibri"/>
                <w:sz w:val="20"/>
                <w:szCs w:val="20"/>
                <w:lang w:eastAsia="es-MX"/>
              </w:rPr>
            </w:pPr>
            <w:r w:rsidRPr="005B5121">
              <w:rPr>
                <w:rFonts w:asciiTheme="minorHAnsi" w:eastAsia="Times New Roman" w:hAnsiTheme="minorHAnsi" w:cs="Calibri"/>
                <w:sz w:val="20"/>
                <w:szCs w:val="20"/>
                <w:lang w:eastAsia="es-MX"/>
              </w:rPr>
              <w:t>TRANSFERENCIAS</w:t>
            </w:r>
          </w:p>
        </w:tc>
      </w:tr>
      <w:tr w:rsidR="005B5121" w:rsidRPr="005B5121" w:rsidTr="00DD682B">
        <w:trPr>
          <w:trHeight w:val="330"/>
        </w:trPr>
        <w:tc>
          <w:tcPr>
            <w:tcW w:w="5260" w:type="dxa"/>
            <w:tcBorders>
              <w:top w:val="nil"/>
              <w:left w:val="single" w:sz="8" w:space="0" w:color="auto"/>
              <w:bottom w:val="single" w:sz="8" w:space="0" w:color="auto"/>
              <w:right w:val="single" w:sz="8" w:space="0" w:color="auto"/>
            </w:tcBorders>
            <w:shd w:val="clear" w:color="auto" w:fill="FFFFFF"/>
            <w:noWrap/>
            <w:vAlign w:val="center"/>
            <w:hideMark/>
          </w:tcPr>
          <w:p w:rsidR="005B5121" w:rsidRPr="005B5121" w:rsidRDefault="005B5121" w:rsidP="00DD682B">
            <w:pPr>
              <w:rPr>
                <w:rFonts w:asciiTheme="minorHAnsi" w:hAnsiTheme="minorHAnsi" w:cs="Calibri"/>
                <w:sz w:val="20"/>
                <w:szCs w:val="20"/>
              </w:rPr>
            </w:pPr>
            <w:r w:rsidRPr="005B5121">
              <w:rPr>
                <w:rFonts w:asciiTheme="minorHAnsi" w:hAnsiTheme="minorHAnsi" w:cs="Calibri"/>
                <w:sz w:val="20"/>
                <w:szCs w:val="20"/>
              </w:rPr>
              <w:t>Transferencias, Asignaciones, Subsidios y Otras ayudas</w:t>
            </w:r>
          </w:p>
        </w:tc>
        <w:tc>
          <w:tcPr>
            <w:tcW w:w="2860" w:type="dxa"/>
            <w:tcBorders>
              <w:top w:val="nil"/>
              <w:left w:val="nil"/>
              <w:bottom w:val="single" w:sz="8" w:space="0" w:color="auto"/>
              <w:right w:val="single" w:sz="8" w:space="0" w:color="auto"/>
            </w:tcBorders>
            <w:shd w:val="clear" w:color="auto" w:fill="FFFFFF"/>
            <w:noWrap/>
            <w:vAlign w:val="center"/>
            <w:hideMark/>
          </w:tcPr>
          <w:p w:rsidR="005B5121" w:rsidRPr="005B5121" w:rsidRDefault="005B5121" w:rsidP="00DD682B">
            <w:pPr>
              <w:jc w:val="right"/>
              <w:rPr>
                <w:rFonts w:asciiTheme="minorHAnsi" w:hAnsiTheme="minorHAnsi" w:cs="Calibri"/>
                <w:sz w:val="20"/>
                <w:szCs w:val="20"/>
              </w:rPr>
            </w:pPr>
            <w:r w:rsidRPr="005B5121">
              <w:rPr>
                <w:rFonts w:asciiTheme="minorHAnsi" w:hAnsiTheme="minorHAnsi" w:cs="Calibri"/>
                <w:sz w:val="20"/>
                <w:szCs w:val="20"/>
              </w:rPr>
              <w:t>52,664,331.58</w:t>
            </w:r>
          </w:p>
        </w:tc>
      </w:tr>
    </w:tbl>
    <w:p w:rsidR="005B5121" w:rsidRPr="005B5121" w:rsidRDefault="005B5121" w:rsidP="005B5121">
      <w:pPr>
        <w:jc w:val="both"/>
        <w:rPr>
          <w:rFonts w:asciiTheme="minorHAnsi" w:hAnsiTheme="minorHAnsi" w:cs="Calibri"/>
          <w:sz w:val="20"/>
          <w:szCs w:val="20"/>
        </w:rPr>
      </w:pPr>
      <w:r w:rsidRPr="005B5121">
        <w:rPr>
          <w:rFonts w:asciiTheme="minorHAnsi" w:hAnsiTheme="minorHAnsi" w:cs="Calibri"/>
          <w:sz w:val="20"/>
          <w:szCs w:val="20"/>
        </w:rPr>
        <w:lastRenderedPageBreak/>
        <w:t xml:space="preserve">  En la cuenta de Gastos y Otras Perdidas, se reflejan los recursos ejercidos por esta Dependencia en cada uno de los periodos que se están presentando, a continuación se relaciona cada uno de los recursos ejercidos con sus respectivas partidas:</w:t>
      </w:r>
    </w:p>
    <w:tbl>
      <w:tblPr>
        <w:tblW w:w="8715" w:type="dxa"/>
        <w:tblLayout w:type="fixed"/>
        <w:tblCellMar>
          <w:left w:w="70" w:type="dxa"/>
          <w:right w:w="70" w:type="dxa"/>
        </w:tblCellMar>
        <w:tblLook w:val="04A0" w:firstRow="1" w:lastRow="0" w:firstColumn="1" w:lastColumn="0" w:noHBand="0" w:noVBand="1"/>
      </w:tblPr>
      <w:tblGrid>
        <w:gridCol w:w="1629"/>
        <w:gridCol w:w="1416"/>
        <w:gridCol w:w="1276"/>
        <w:gridCol w:w="1276"/>
        <w:gridCol w:w="1134"/>
        <w:gridCol w:w="567"/>
        <w:gridCol w:w="1417"/>
      </w:tblGrid>
      <w:tr w:rsidR="005B5121" w:rsidRPr="005B5121" w:rsidTr="00DD682B">
        <w:trPr>
          <w:trHeight w:val="258"/>
        </w:trPr>
        <w:tc>
          <w:tcPr>
            <w:tcW w:w="1630" w:type="dxa"/>
            <w:tcBorders>
              <w:top w:val="single" w:sz="8" w:space="0" w:color="auto"/>
              <w:left w:val="single" w:sz="8" w:space="0" w:color="auto"/>
              <w:bottom w:val="single" w:sz="8" w:space="0" w:color="auto"/>
              <w:right w:val="single" w:sz="8" w:space="0" w:color="auto"/>
            </w:tcBorders>
            <w:shd w:val="clear" w:color="auto" w:fill="FFFFFF"/>
            <w:noWrap/>
            <w:vAlign w:val="center"/>
            <w:hideMark/>
          </w:tcPr>
          <w:p w:rsidR="005B5121" w:rsidRPr="005B5121" w:rsidRDefault="005B5121" w:rsidP="00DD682B">
            <w:pPr>
              <w:spacing w:after="0" w:line="240" w:lineRule="auto"/>
              <w:rPr>
                <w:rFonts w:asciiTheme="minorHAnsi" w:eastAsia="Times New Roman" w:hAnsiTheme="minorHAnsi" w:cs="Calibri"/>
                <w:sz w:val="20"/>
                <w:szCs w:val="20"/>
                <w:lang w:eastAsia="es-MX"/>
              </w:rPr>
            </w:pPr>
            <w:r w:rsidRPr="005B5121">
              <w:rPr>
                <w:rFonts w:asciiTheme="minorHAnsi" w:eastAsia="Times New Roman" w:hAnsiTheme="minorHAnsi" w:cs="Calibri"/>
                <w:sz w:val="20"/>
                <w:szCs w:val="20"/>
                <w:lang w:eastAsia="es-MX"/>
              </w:rPr>
              <w:t>Recurso</w:t>
            </w:r>
          </w:p>
        </w:tc>
        <w:tc>
          <w:tcPr>
            <w:tcW w:w="1417" w:type="dxa"/>
            <w:tcBorders>
              <w:top w:val="single" w:sz="8" w:space="0" w:color="auto"/>
              <w:left w:val="nil"/>
              <w:bottom w:val="single" w:sz="8" w:space="0" w:color="auto"/>
              <w:right w:val="single" w:sz="8" w:space="0" w:color="auto"/>
            </w:tcBorders>
            <w:shd w:val="clear" w:color="auto" w:fill="FFFFFF"/>
            <w:noWrap/>
            <w:vAlign w:val="center"/>
            <w:hideMark/>
          </w:tcPr>
          <w:p w:rsidR="005B5121" w:rsidRPr="005B5121" w:rsidRDefault="005B5121" w:rsidP="00DD682B">
            <w:pPr>
              <w:spacing w:after="0" w:line="240" w:lineRule="auto"/>
              <w:jc w:val="center"/>
              <w:rPr>
                <w:rFonts w:asciiTheme="minorHAnsi" w:eastAsia="Times New Roman" w:hAnsiTheme="minorHAnsi" w:cs="Calibri"/>
                <w:sz w:val="20"/>
                <w:szCs w:val="20"/>
                <w:lang w:eastAsia="es-MX"/>
              </w:rPr>
            </w:pPr>
            <w:r w:rsidRPr="005B5121">
              <w:rPr>
                <w:rFonts w:asciiTheme="minorHAnsi" w:eastAsia="Times New Roman" w:hAnsiTheme="minorHAnsi" w:cs="Calibri"/>
                <w:sz w:val="20"/>
                <w:szCs w:val="20"/>
                <w:lang w:eastAsia="es-MX"/>
              </w:rPr>
              <w:t>1000</w:t>
            </w:r>
          </w:p>
        </w:tc>
        <w:tc>
          <w:tcPr>
            <w:tcW w:w="1276" w:type="dxa"/>
            <w:tcBorders>
              <w:top w:val="single" w:sz="8" w:space="0" w:color="auto"/>
              <w:left w:val="nil"/>
              <w:bottom w:val="single" w:sz="8" w:space="0" w:color="auto"/>
              <w:right w:val="single" w:sz="8" w:space="0" w:color="auto"/>
            </w:tcBorders>
            <w:shd w:val="clear" w:color="auto" w:fill="FFFFFF"/>
            <w:noWrap/>
            <w:vAlign w:val="center"/>
            <w:hideMark/>
          </w:tcPr>
          <w:p w:rsidR="005B5121" w:rsidRPr="005B5121" w:rsidRDefault="005B5121" w:rsidP="00DD682B">
            <w:pPr>
              <w:spacing w:after="0" w:line="240" w:lineRule="auto"/>
              <w:jc w:val="center"/>
              <w:rPr>
                <w:rFonts w:asciiTheme="minorHAnsi" w:eastAsia="Times New Roman" w:hAnsiTheme="minorHAnsi" w:cs="Calibri"/>
                <w:sz w:val="20"/>
                <w:szCs w:val="20"/>
                <w:lang w:eastAsia="es-MX"/>
              </w:rPr>
            </w:pPr>
            <w:r w:rsidRPr="005B5121">
              <w:rPr>
                <w:rFonts w:asciiTheme="minorHAnsi" w:eastAsia="Times New Roman" w:hAnsiTheme="minorHAnsi" w:cs="Calibri"/>
                <w:sz w:val="20"/>
                <w:szCs w:val="20"/>
                <w:lang w:eastAsia="es-MX"/>
              </w:rPr>
              <w:t>2000</w:t>
            </w:r>
          </w:p>
        </w:tc>
        <w:tc>
          <w:tcPr>
            <w:tcW w:w="1276" w:type="dxa"/>
            <w:tcBorders>
              <w:top w:val="single" w:sz="8" w:space="0" w:color="auto"/>
              <w:left w:val="nil"/>
              <w:bottom w:val="single" w:sz="8" w:space="0" w:color="auto"/>
              <w:right w:val="single" w:sz="8" w:space="0" w:color="auto"/>
            </w:tcBorders>
            <w:shd w:val="clear" w:color="auto" w:fill="FFFFFF"/>
            <w:noWrap/>
            <w:vAlign w:val="center"/>
            <w:hideMark/>
          </w:tcPr>
          <w:p w:rsidR="005B5121" w:rsidRPr="005B5121" w:rsidRDefault="005B5121" w:rsidP="00DD682B">
            <w:pPr>
              <w:spacing w:after="0" w:line="240" w:lineRule="auto"/>
              <w:jc w:val="center"/>
              <w:rPr>
                <w:rFonts w:asciiTheme="minorHAnsi" w:eastAsia="Times New Roman" w:hAnsiTheme="minorHAnsi" w:cs="Calibri"/>
                <w:sz w:val="20"/>
                <w:szCs w:val="20"/>
                <w:lang w:eastAsia="es-MX"/>
              </w:rPr>
            </w:pPr>
            <w:r w:rsidRPr="005B5121">
              <w:rPr>
                <w:rFonts w:asciiTheme="minorHAnsi" w:eastAsia="Times New Roman" w:hAnsiTheme="minorHAnsi" w:cs="Calibri"/>
                <w:sz w:val="20"/>
                <w:szCs w:val="20"/>
                <w:lang w:eastAsia="es-MX"/>
              </w:rPr>
              <w:t>3000</w:t>
            </w:r>
          </w:p>
        </w:tc>
        <w:tc>
          <w:tcPr>
            <w:tcW w:w="1134" w:type="dxa"/>
            <w:tcBorders>
              <w:top w:val="single" w:sz="8" w:space="0" w:color="auto"/>
              <w:left w:val="nil"/>
              <w:bottom w:val="single" w:sz="8" w:space="0" w:color="auto"/>
              <w:right w:val="single" w:sz="8" w:space="0" w:color="auto"/>
            </w:tcBorders>
            <w:shd w:val="clear" w:color="auto" w:fill="FFFFFF"/>
            <w:noWrap/>
            <w:vAlign w:val="center"/>
            <w:hideMark/>
          </w:tcPr>
          <w:p w:rsidR="005B5121" w:rsidRPr="005B5121" w:rsidRDefault="005B5121" w:rsidP="00DD682B">
            <w:pPr>
              <w:spacing w:after="0" w:line="240" w:lineRule="auto"/>
              <w:jc w:val="center"/>
              <w:rPr>
                <w:rFonts w:asciiTheme="minorHAnsi" w:eastAsia="Times New Roman" w:hAnsiTheme="minorHAnsi" w:cs="Calibri"/>
                <w:sz w:val="20"/>
                <w:szCs w:val="20"/>
                <w:lang w:eastAsia="es-MX"/>
              </w:rPr>
            </w:pPr>
            <w:r w:rsidRPr="005B5121">
              <w:rPr>
                <w:rFonts w:asciiTheme="minorHAnsi" w:eastAsia="Times New Roman" w:hAnsiTheme="minorHAnsi" w:cs="Calibri"/>
                <w:sz w:val="20"/>
                <w:szCs w:val="20"/>
                <w:lang w:eastAsia="es-MX"/>
              </w:rPr>
              <w:t>5000</w:t>
            </w:r>
          </w:p>
        </w:tc>
        <w:tc>
          <w:tcPr>
            <w:tcW w:w="567" w:type="dxa"/>
            <w:tcBorders>
              <w:top w:val="single" w:sz="8" w:space="0" w:color="auto"/>
              <w:left w:val="nil"/>
              <w:bottom w:val="single" w:sz="8" w:space="0" w:color="auto"/>
              <w:right w:val="single" w:sz="8" w:space="0" w:color="auto"/>
            </w:tcBorders>
            <w:shd w:val="clear" w:color="auto" w:fill="FFFFFF"/>
            <w:noWrap/>
            <w:vAlign w:val="center"/>
            <w:hideMark/>
          </w:tcPr>
          <w:p w:rsidR="005B5121" w:rsidRPr="005B5121" w:rsidRDefault="005B5121" w:rsidP="00DD682B">
            <w:pPr>
              <w:spacing w:after="0" w:line="240" w:lineRule="auto"/>
              <w:jc w:val="center"/>
              <w:rPr>
                <w:rFonts w:asciiTheme="minorHAnsi" w:eastAsia="Times New Roman" w:hAnsiTheme="minorHAnsi" w:cs="Calibri"/>
                <w:sz w:val="20"/>
                <w:szCs w:val="20"/>
                <w:lang w:eastAsia="es-MX"/>
              </w:rPr>
            </w:pPr>
            <w:r w:rsidRPr="005B5121">
              <w:rPr>
                <w:rFonts w:asciiTheme="minorHAnsi" w:eastAsia="Times New Roman" w:hAnsiTheme="minorHAnsi" w:cs="Calibri"/>
                <w:sz w:val="20"/>
                <w:szCs w:val="20"/>
                <w:lang w:eastAsia="es-MX"/>
              </w:rPr>
              <w:t>6000</w:t>
            </w:r>
          </w:p>
        </w:tc>
        <w:tc>
          <w:tcPr>
            <w:tcW w:w="1417" w:type="dxa"/>
            <w:tcBorders>
              <w:top w:val="single" w:sz="8" w:space="0" w:color="auto"/>
              <w:left w:val="nil"/>
              <w:bottom w:val="single" w:sz="8" w:space="0" w:color="auto"/>
              <w:right w:val="single" w:sz="8" w:space="0" w:color="auto"/>
            </w:tcBorders>
            <w:shd w:val="clear" w:color="auto" w:fill="FFFFFF"/>
            <w:noWrap/>
            <w:vAlign w:val="center"/>
            <w:hideMark/>
          </w:tcPr>
          <w:p w:rsidR="005B5121" w:rsidRPr="005B5121" w:rsidRDefault="005B5121" w:rsidP="00DD682B">
            <w:pPr>
              <w:spacing w:after="0" w:line="240" w:lineRule="auto"/>
              <w:jc w:val="center"/>
              <w:rPr>
                <w:rFonts w:asciiTheme="minorHAnsi" w:eastAsia="Times New Roman" w:hAnsiTheme="minorHAnsi" w:cs="Calibri"/>
                <w:sz w:val="20"/>
                <w:szCs w:val="20"/>
                <w:lang w:eastAsia="es-MX"/>
              </w:rPr>
            </w:pPr>
            <w:r w:rsidRPr="005B5121">
              <w:rPr>
                <w:rFonts w:asciiTheme="minorHAnsi" w:eastAsia="Times New Roman" w:hAnsiTheme="minorHAnsi" w:cs="Calibri"/>
                <w:sz w:val="20"/>
                <w:szCs w:val="20"/>
                <w:lang w:eastAsia="es-MX"/>
              </w:rPr>
              <w:t>Total</w:t>
            </w:r>
          </w:p>
        </w:tc>
      </w:tr>
      <w:tr w:rsidR="005B5121" w:rsidRPr="005B5121" w:rsidTr="00DD682B">
        <w:trPr>
          <w:trHeight w:val="258"/>
        </w:trPr>
        <w:tc>
          <w:tcPr>
            <w:tcW w:w="1630" w:type="dxa"/>
            <w:tcBorders>
              <w:top w:val="nil"/>
              <w:left w:val="single" w:sz="8" w:space="0" w:color="auto"/>
              <w:bottom w:val="single" w:sz="8" w:space="0" w:color="auto"/>
              <w:right w:val="single" w:sz="8" w:space="0" w:color="auto"/>
            </w:tcBorders>
            <w:shd w:val="clear" w:color="auto" w:fill="FFFFFF"/>
            <w:noWrap/>
            <w:vAlign w:val="center"/>
            <w:hideMark/>
          </w:tcPr>
          <w:p w:rsidR="005B5121" w:rsidRPr="005B5121" w:rsidRDefault="005B5121" w:rsidP="00DD682B">
            <w:pPr>
              <w:spacing w:after="0" w:line="240" w:lineRule="auto"/>
              <w:rPr>
                <w:rFonts w:asciiTheme="minorHAnsi" w:eastAsia="Times New Roman" w:hAnsiTheme="minorHAnsi" w:cs="Calibri"/>
                <w:sz w:val="20"/>
                <w:szCs w:val="20"/>
                <w:lang w:eastAsia="es-MX"/>
              </w:rPr>
            </w:pPr>
            <w:r w:rsidRPr="005B5121">
              <w:rPr>
                <w:rFonts w:asciiTheme="minorHAnsi" w:eastAsia="Times New Roman" w:hAnsiTheme="minorHAnsi" w:cs="Calibri"/>
                <w:sz w:val="20"/>
                <w:szCs w:val="20"/>
                <w:lang w:eastAsia="es-MX"/>
              </w:rPr>
              <w:t xml:space="preserve">Servicios Personales  </w:t>
            </w:r>
          </w:p>
        </w:tc>
        <w:tc>
          <w:tcPr>
            <w:tcW w:w="1417" w:type="dxa"/>
            <w:tcBorders>
              <w:top w:val="nil"/>
              <w:left w:val="nil"/>
              <w:bottom w:val="single" w:sz="8" w:space="0" w:color="auto"/>
              <w:right w:val="single" w:sz="8" w:space="0" w:color="auto"/>
            </w:tcBorders>
            <w:shd w:val="clear" w:color="auto" w:fill="FFFFFF"/>
            <w:noWrap/>
            <w:hideMark/>
          </w:tcPr>
          <w:p w:rsidR="005B5121" w:rsidRPr="005B5121" w:rsidRDefault="005B5121" w:rsidP="00DD682B">
            <w:pPr>
              <w:rPr>
                <w:rFonts w:asciiTheme="minorHAnsi" w:hAnsiTheme="minorHAnsi" w:cs="Calibri"/>
                <w:sz w:val="20"/>
                <w:szCs w:val="20"/>
              </w:rPr>
            </w:pPr>
            <w:r w:rsidRPr="005B5121">
              <w:rPr>
                <w:rFonts w:asciiTheme="minorHAnsi" w:hAnsiTheme="minorHAnsi" w:cs="Calibri"/>
                <w:sz w:val="20"/>
                <w:szCs w:val="20"/>
              </w:rPr>
              <w:t xml:space="preserve">6,463,418.66 </w:t>
            </w:r>
          </w:p>
        </w:tc>
        <w:tc>
          <w:tcPr>
            <w:tcW w:w="1276" w:type="dxa"/>
            <w:tcBorders>
              <w:top w:val="nil"/>
              <w:left w:val="nil"/>
              <w:bottom w:val="single" w:sz="8" w:space="0" w:color="auto"/>
              <w:right w:val="single" w:sz="8" w:space="0" w:color="auto"/>
            </w:tcBorders>
            <w:shd w:val="clear" w:color="auto" w:fill="FFFFFF"/>
            <w:noWrap/>
            <w:hideMark/>
          </w:tcPr>
          <w:p w:rsidR="005B5121" w:rsidRPr="005B5121" w:rsidRDefault="005B5121" w:rsidP="00DD682B">
            <w:pPr>
              <w:spacing w:after="0"/>
              <w:rPr>
                <w:rFonts w:asciiTheme="minorHAnsi" w:hAnsiTheme="minorHAnsi" w:cs="Calibri"/>
                <w:sz w:val="20"/>
                <w:szCs w:val="20"/>
              </w:rPr>
            </w:pPr>
          </w:p>
        </w:tc>
        <w:tc>
          <w:tcPr>
            <w:tcW w:w="1276" w:type="dxa"/>
            <w:tcBorders>
              <w:top w:val="nil"/>
              <w:left w:val="nil"/>
              <w:bottom w:val="single" w:sz="8" w:space="0" w:color="auto"/>
              <w:right w:val="single" w:sz="8" w:space="0" w:color="auto"/>
            </w:tcBorders>
            <w:shd w:val="clear" w:color="auto" w:fill="FFFFFF"/>
            <w:noWrap/>
            <w:hideMark/>
          </w:tcPr>
          <w:p w:rsidR="005B5121" w:rsidRPr="005B5121" w:rsidRDefault="005B5121" w:rsidP="00DD682B">
            <w:pPr>
              <w:spacing w:after="0"/>
              <w:rPr>
                <w:rFonts w:asciiTheme="minorHAnsi" w:hAnsiTheme="minorHAnsi" w:cs="Calibri"/>
                <w:sz w:val="20"/>
                <w:szCs w:val="20"/>
              </w:rPr>
            </w:pPr>
          </w:p>
        </w:tc>
        <w:tc>
          <w:tcPr>
            <w:tcW w:w="1134" w:type="dxa"/>
            <w:tcBorders>
              <w:top w:val="nil"/>
              <w:left w:val="nil"/>
              <w:bottom w:val="single" w:sz="8" w:space="0" w:color="auto"/>
              <w:right w:val="single" w:sz="8" w:space="0" w:color="auto"/>
            </w:tcBorders>
            <w:shd w:val="clear" w:color="auto" w:fill="FFFFFF"/>
            <w:noWrap/>
            <w:hideMark/>
          </w:tcPr>
          <w:p w:rsidR="005B5121" w:rsidRPr="005B5121" w:rsidRDefault="005B5121" w:rsidP="00DD682B">
            <w:pPr>
              <w:spacing w:after="0"/>
              <w:rPr>
                <w:rFonts w:asciiTheme="minorHAnsi" w:hAnsiTheme="minorHAnsi" w:cs="Calibri"/>
                <w:sz w:val="20"/>
                <w:szCs w:val="20"/>
              </w:rPr>
            </w:pPr>
          </w:p>
        </w:tc>
        <w:tc>
          <w:tcPr>
            <w:tcW w:w="567" w:type="dxa"/>
            <w:tcBorders>
              <w:top w:val="nil"/>
              <w:left w:val="nil"/>
              <w:bottom w:val="single" w:sz="8" w:space="0" w:color="auto"/>
              <w:right w:val="single" w:sz="8" w:space="0" w:color="auto"/>
            </w:tcBorders>
            <w:shd w:val="clear" w:color="auto" w:fill="FFFFFF"/>
            <w:noWrap/>
            <w:hideMark/>
          </w:tcPr>
          <w:p w:rsidR="005B5121" w:rsidRPr="005B5121" w:rsidRDefault="005B5121" w:rsidP="00DD682B">
            <w:pPr>
              <w:spacing w:after="0"/>
              <w:rPr>
                <w:rFonts w:asciiTheme="minorHAnsi" w:hAnsiTheme="minorHAnsi" w:cs="Calibri"/>
                <w:sz w:val="20"/>
                <w:szCs w:val="20"/>
              </w:rPr>
            </w:pPr>
          </w:p>
        </w:tc>
        <w:tc>
          <w:tcPr>
            <w:tcW w:w="1417" w:type="dxa"/>
            <w:tcBorders>
              <w:top w:val="nil"/>
              <w:left w:val="nil"/>
              <w:bottom w:val="single" w:sz="8" w:space="0" w:color="auto"/>
              <w:right w:val="single" w:sz="8" w:space="0" w:color="auto"/>
            </w:tcBorders>
            <w:shd w:val="clear" w:color="auto" w:fill="FFFFFF"/>
            <w:noWrap/>
            <w:hideMark/>
          </w:tcPr>
          <w:p w:rsidR="005B5121" w:rsidRPr="005B5121" w:rsidRDefault="005B5121" w:rsidP="00DD682B">
            <w:pPr>
              <w:rPr>
                <w:rFonts w:asciiTheme="minorHAnsi" w:hAnsiTheme="minorHAnsi" w:cs="Calibri"/>
                <w:sz w:val="20"/>
                <w:szCs w:val="20"/>
              </w:rPr>
            </w:pPr>
            <w:r w:rsidRPr="005B5121">
              <w:rPr>
                <w:rFonts w:asciiTheme="minorHAnsi" w:hAnsiTheme="minorHAnsi" w:cs="Calibri"/>
                <w:sz w:val="20"/>
                <w:szCs w:val="20"/>
              </w:rPr>
              <w:t xml:space="preserve">6,463,418.66 </w:t>
            </w:r>
          </w:p>
        </w:tc>
      </w:tr>
      <w:tr w:rsidR="005B5121" w:rsidRPr="005B5121" w:rsidTr="00DD682B">
        <w:trPr>
          <w:trHeight w:val="258"/>
        </w:trPr>
        <w:tc>
          <w:tcPr>
            <w:tcW w:w="1630" w:type="dxa"/>
            <w:tcBorders>
              <w:top w:val="nil"/>
              <w:left w:val="single" w:sz="8" w:space="0" w:color="auto"/>
              <w:bottom w:val="single" w:sz="8" w:space="0" w:color="auto"/>
              <w:right w:val="single" w:sz="8" w:space="0" w:color="auto"/>
            </w:tcBorders>
            <w:shd w:val="clear" w:color="auto" w:fill="FFFFFF"/>
            <w:noWrap/>
            <w:vAlign w:val="center"/>
            <w:hideMark/>
          </w:tcPr>
          <w:p w:rsidR="005B5121" w:rsidRPr="005B5121" w:rsidRDefault="005B5121" w:rsidP="00DD682B">
            <w:pPr>
              <w:spacing w:after="0" w:line="240" w:lineRule="auto"/>
              <w:rPr>
                <w:rFonts w:asciiTheme="minorHAnsi" w:eastAsia="Times New Roman" w:hAnsiTheme="minorHAnsi" w:cs="Calibri"/>
                <w:sz w:val="20"/>
                <w:szCs w:val="20"/>
                <w:lang w:eastAsia="es-MX"/>
              </w:rPr>
            </w:pPr>
            <w:r w:rsidRPr="005B5121">
              <w:rPr>
                <w:rFonts w:asciiTheme="minorHAnsi" w:eastAsia="Times New Roman" w:hAnsiTheme="minorHAnsi" w:cs="Calibri"/>
                <w:sz w:val="20"/>
                <w:szCs w:val="20"/>
                <w:lang w:eastAsia="es-MX"/>
              </w:rPr>
              <w:t>Materiales y Suministros</w:t>
            </w:r>
          </w:p>
        </w:tc>
        <w:tc>
          <w:tcPr>
            <w:tcW w:w="1417" w:type="dxa"/>
            <w:tcBorders>
              <w:top w:val="nil"/>
              <w:left w:val="nil"/>
              <w:bottom w:val="single" w:sz="8" w:space="0" w:color="auto"/>
              <w:right w:val="single" w:sz="8" w:space="0" w:color="auto"/>
            </w:tcBorders>
            <w:shd w:val="clear" w:color="auto" w:fill="FFFFFF"/>
            <w:noWrap/>
            <w:hideMark/>
          </w:tcPr>
          <w:p w:rsidR="005B5121" w:rsidRPr="005B5121" w:rsidRDefault="005B5121" w:rsidP="00DD682B">
            <w:pPr>
              <w:spacing w:after="0"/>
              <w:rPr>
                <w:rFonts w:asciiTheme="minorHAnsi" w:hAnsiTheme="minorHAnsi" w:cs="Calibri"/>
                <w:sz w:val="20"/>
                <w:szCs w:val="20"/>
              </w:rPr>
            </w:pPr>
          </w:p>
        </w:tc>
        <w:tc>
          <w:tcPr>
            <w:tcW w:w="1276" w:type="dxa"/>
            <w:tcBorders>
              <w:top w:val="nil"/>
              <w:left w:val="nil"/>
              <w:bottom w:val="single" w:sz="8" w:space="0" w:color="auto"/>
              <w:right w:val="single" w:sz="8" w:space="0" w:color="auto"/>
            </w:tcBorders>
            <w:shd w:val="clear" w:color="auto" w:fill="FFFFFF"/>
            <w:noWrap/>
            <w:hideMark/>
          </w:tcPr>
          <w:p w:rsidR="005B5121" w:rsidRPr="005B5121" w:rsidRDefault="005B5121" w:rsidP="00DD682B">
            <w:pPr>
              <w:rPr>
                <w:rFonts w:asciiTheme="minorHAnsi" w:hAnsiTheme="minorHAnsi" w:cs="Calibri"/>
                <w:sz w:val="20"/>
                <w:szCs w:val="20"/>
              </w:rPr>
            </w:pPr>
            <w:r w:rsidRPr="005B5121">
              <w:rPr>
                <w:rFonts w:asciiTheme="minorHAnsi" w:hAnsiTheme="minorHAnsi" w:cs="Calibri"/>
                <w:sz w:val="20"/>
                <w:szCs w:val="20"/>
              </w:rPr>
              <w:t xml:space="preserve">775,408.27 </w:t>
            </w:r>
          </w:p>
        </w:tc>
        <w:tc>
          <w:tcPr>
            <w:tcW w:w="1276" w:type="dxa"/>
            <w:tcBorders>
              <w:top w:val="nil"/>
              <w:left w:val="nil"/>
              <w:bottom w:val="single" w:sz="8" w:space="0" w:color="auto"/>
              <w:right w:val="single" w:sz="8" w:space="0" w:color="auto"/>
            </w:tcBorders>
            <w:shd w:val="clear" w:color="auto" w:fill="FFFFFF"/>
            <w:noWrap/>
            <w:hideMark/>
          </w:tcPr>
          <w:p w:rsidR="005B5121" w:rsidRPr="005B5121" w:rsidRDefault="005B5121" w:rsidP="00DD682B">
            <w:pPr>
              <w:spacing w:after="0"/>
              <w:rPr>
                <w:rFonts w:asciiTheme="minorHAnsi" w:hAnsiTheme="minorHAnsi" w:cs="Calibri"/>
                <w:sz w:val="20"/>
                <w:szCs w:val="20"/>
              </w:rPr>
            </w:pPr>
          </w:p>
        </w:tc>
        <w:tc>
          <w:tcPr>
            <w:tcW w:w="1134" w:type="dxa"/>
            <w:tcBorders>
              <w:top w:val="nil"/>
              <w:left w:val="nil"/>
              <w:bottom w:val="single" w:sz="8" w:space="0" w:color="auto"/>
              <w:right w:val="single" w:sz="8" w:space="0" w:color="auto"/>
            </w:tcBorders>
            <w:shd w:val="clear" w:color="auto" w:fill="FFFFFF"/>
            <w:noWrap/>
            <w:hideMark/>
          </w:tcPr>
          <w:p w:rsidR="005B5121" w:rsidRPr="005B5121" w:rsidRDefault="005B5121" w:rsidP="00DD682B">
            <w:pPr>
              <w:spacing w:after="0"/>
              <w:rPr>
                <w:rFonts w:asciiTheme="minorHAnsi" w:hAnsiTheme="minorHAnsi" w:cs="Calibri"/>
                <w:sz w:val="20"/>
                <w:szCs w:val="20"/>
              </w:rPr>
            </w:pPr>
          </w:p>
        </w:tc>
        <w:tc>
          <w:tcPr>
            <w:tcW w:w="567" w:type="dxa"/>
            <w:tcBorders>
              <w:top w:val="nil"/>
              <w:left w:val="nil"/>
              <w:bottom w:val="single" w:sz="8" w:space="0" w:color="auto"/>
              <w:right w:val="single" w:sz="8" w:space="0" w:color="auto"/>
            </w:tcBorders>
            <w:shd w:val="clear" w:color="auto" w:fill="FFFFFF"/>
            <w:noWrap/>
            <w:hideMark/>
          </w:tcPr>
          <w:p w:rsidR="005B5121" w:rsidRPr="005B5121" w:rsidRDefault="005B5121" w:rsidP="00DD682B">
            <w:pPr>
              <w:spacing w:after="0"/>
              <w:rPr>
                <w:rFonts w:asciiTheme="minorHAnsi" w:hAnsiTheme="minorHAnsi" w:cs="Calibri"/>
                <w:sz w:val="20"/>
                <w:szCs w:val="20"/>
              </w:rPr>
            </w:pPr>
          </w:p>
        </w:tc>
        <w:tc>
          <w:tcPr>
            <w:tcW w:w="1417" w:type="dxa"/>
            <w:tcBorders>
              <w:top w:val="nil"/>
              <w:left w:val="nil"/>
              <w:bottom w:val="single" w:sz="8" w:space="0" w:color="auto"/>
              <w:right w:val="single" w:sz="8" w:space="0" w:color="auto"/>
            </w:tcBorders>
            <w:shd w:val="clear" w:color="auto" w:fill="FFFFFF"/>
            <w:noWrap/>
            <w:hideMark/>
          </w:tcPr>
          <w:p w:rsidR="005B5121" w:rsidRPr="005B5121" w:rsidRDefault="005B5121" w:rsidP="00DD682B">
            <w:pPr>
              <w:rPr>
                <w:rFonts w:asciiTheme="minorHAnsi" w:hAnsiTheme="minorHAnsi" w:cs="Calibri"/>
                <w:sz w:val="20"/>
                <w:szCs w:val="20"/>
              </w:rPr>
            </w:pPr>
            <w:r w:rsidRPr="005B5121">
              <w:rPr>
                <w:rFonts w:asciiTheme="minorHAnsi" w:hAnsiTheme="minorHAnsi" w:cs="Calibri"/>
                <w:sz w:val="20"/>
                <w:szCs w:val="20"/>
              </w:rPr>
              <w:t xml:space="preserve">775,408.27 </w:t>
            </w:r>
          </w:p>
        </w:tc>
      </w:tr>
      <w:tr w:rsidR="005B5121" w:rsidRPr="005B5121" w:rsidTr="00DD682B">
        <w:trPr>
          <w:trHeight w:val="258"/>
        </w:trPr>
        <w:tc>
          <w:tcPr>
            <w:tcW w:w="1630" w:type="dxa"/>
            <w:tcBorders>
              <w:top w:val="nil"/>
              <w:left w:val="single" w:sz="8" w:space="0" w:color="auto"/>
              <w:bottom w:val="single" w:sz="8" w:space="0" w:color="auto"/>
              <w:right w:val="single" w:sz="8" w:space="0" w:color="auto"/>
            </w:tcBorders>
            <w:shd w:val="clear" w:color="auto" w:fill="FFFFFF"/>
            <w:noWrap/>
            <w:vAlign w:val="center"/>
            <w:hideMark/>
          </w:tcPr>
          <w:p w:rsidR="005B5121" w:rsidRPr="005B5121" w:rsidRDefault="005B5121" w:rsidP="00DD682B">
            <w:pPr>
              <w:spacing w:after="0" w:line="240" w:lineRule="auto"/>
              <w:rPr>
                <w:rFonts w:asciiTheme="minorHAnsi" w:eastAsia="Times New Roman" w:hAnsiTheme="minorHAnsi" w:cs="Calibri"/>
                <w:sz w:val="20"/>
                <w:szCs w:val="20"/>
                <w:lang w:eastAsia="es-MX"/>
              </w:rPr>
            </w:pPr>
            <w:r w:rsidRPr="005B5121">
              <w:rPr>
                <w:rFonts w:asciiTheme="minorHAnsi" w:eastAsia="Times New Roman" w:hAnsiTheme="minorHAnsi" w:cs="Calibri"/>
                <w:sz w:val="20"/>
                <w:szCs w:val="20"/>
                <w:lang w:eastAsia="es-MX"/>
              </w:rPr>
              <w:t>Servicios Generales</w:t>
            </w:r>
          </w:p>
        </w:tc>
        <w:tc>
          <w:tcPr>
            <w:tcW w:w="1417" w:type="dxa"/>
            <w:tcBorders>
              <w:top w:val="nil"/>
              <w:left w:val="nil"/>
              <w:bottom w:val="single" w:sz="8" w:space="0" w:color="auto"/>
              <w:right w:val="single" w:sz="8" w:space="0" w:color="auto"/>
            </w:tcBorders>
            <w:shd w:val="clear" w:color="auto" w:fill="FFFFFF"/>
            <w:noWrap/>
            <w:hideMark/>
          </w:tcPr>
          <w:p w:rsidR="005B5121" w:rsidRPr="005B5121" w:rsidRDefault="005B5121" w:rsidP="00DD682B">
            <w:pPr>
              <w:spacing w:after="0"/>
              <w:rPr>
                <w:rFonts w:asciiTheme="minorHAnsi" w:hAnsiTheme="minorHAnsi" w:cs="Calibri"/>
                <w:sz w:val="20"/>
                <w:szCs w:val="20"/>
              </w:rPr>
            </w:pPr>
          </w:p>
        </w:tc>
        <w:tc>
          <w:tcPr>
            <w:tcW w:w="1276" w:type="dxa"/>
            <w:tcBorders>
              <w:top w:val="nil"/>
              <w:left w:val="nil"/>
              <w:bottom w:val="single" w:sz="8" w:space="0" w:color="auto"/>
              <w:right w:val="single" w:sz="8" w:space="0" w:color="auto"/>
            </w:tcBorders>
            <w:shd w:val="clear" w:color="auto" w:fill="FFFFFF"/>
            <w:noWrap/>
            <w:hideMark/>
          </w:tcPr>
          <w:p w:rsidR="005B5121" w:rsidRPr="005B5121" w:rsidRDefault="005B5121" w:rsidP="00DD682B">
            <w:pPr>
              <w:spacing w:after="0"/>
              <w:rPr>
                <w:rFonts w:asciiTheme="minorHAnsi" w:hAnsiTheme="minorHAnsi" w:cs="Calibri"/>
                <w:sz w:val="20"/>
                <w:szCs w:val="20"/>
              </w:rPr>
            </w:pPr>
          </w:p>
        </w:tc>
        <w:tc>
          <w:tcPr>
            <w:tcW w:w="1276" w:type="dxa"/>
            <w:tcBorders>
              <w:top w:val="nil"/>
              <w:left w:val="nil"/>
              <w:bottom w:val="single" w:sz="8" w:space="0" w:color="auto"/>
              <w:right w:val="single" w:sz="8" w:space="0" w:color="auto"/>
            </w:tcBorders>
            <w:shd w:val="clear" w:color="auto" w:fill="FFFFFF"/>
            <w:noWrap/>
            <w:hideMark/>
          </w:tcPr>
          <w:p w:rsidR="005B5121" w:rsidRPr="005B5121" w:rsidRDefault="005B5121" w:rsidP="00DD682B">
            <w:pPr>
              <w:rPr>
                <w:rFonts w:asciiTheme="minorHAnsi" w:hAnsiTheme="minorHAnsi" w:cs="Calibri"/>
                <w:sz w:val="20"/>
                <w:szCs w:val="20"/>
              </w:rPr>
            </w:pPr>
            <w:r w:rsidRPr="005B5121">
              <w:rPr>
                <w:rFonts w:asciiTheme="minorHAnsi" w:hAnsiTheme="minorHAnsi" w:cs="Calibri"/>
                <w:sz w:val="20"/>
                <w:szCs w:val="20"/>
              </w:rPr>
              <w:t xml:space="preserve">2,724,138.84 </w:t>
            </w:r>
          </w:p>
        </w:tc>
        <w:tc>
          <w:tcPr>
            <w:tcW w:w="1134" w:type="dxa"/>
            <w:tcBorders>
              <w:top w:val="nil"/>
              <w:left w:val="nil"/>
              <w:bottom w:val="single" w:sz="8" w:space="0" w:color="auto"/>
              <w:right w:val="single" w:sz="8" w:space="0" w:color="auto"/>
            </w:tcBorders>
            <w:shd w:val="clear" w:color="auto" w:fill="FFFFFF"/>
            <w:noWrap/>
            <w:hideMark/>
          </w:tcPr>
          <w:p w:rsidR="005B5121" w:rsidRPr="005B5121" w:rsidRDefault="005B5121" w:rsidP="00DD682B">
            <w:pPr>
              <w:spacing w:after="0"/>
              <w:rPr>
                <w:rFonts w:asciiTheme="minorHAnsi" w:hAnsiTheme="minorHAnsi" w:cs="Calibri"/>
                <w:sz w:val="20"/>
                <w:szCs w:val="20"/>
              </w:rPr>
            </w:pPr>
          </w:p>
        </w:tc>
        <w:tc>
          <w:tcPr>
            <w:tcW w:w="567" w:type="dxa"/>
            <w:tcBorders>
              <w:top w:val="nil"/>
              <w:left w:val="nil"/>
              <w:bottom w:val="single" w:sz="8" w:space="0" w:color="auto"/>
              <w:right w:val="single" w:sz="8" w:space="0" w:color="auto"/>
            </w:tcBorders>
            <w:shd w:val="clear" w:color="auto" w:fill="FFFFFF"/>
            <w:noWrap/>
            <w:hideMark/>
          </w:tcPr>
          <w:p w:rsidR="005B5121" w:rsidRPr="005B5121" w:rsidRDefault="005B5121" w:rsidP="00DD682B">
            <w:pPr>
              <w:spacing w:after="0"/>
              <w:rPr>
                <w:rFonts w:asciiTheme="minorHAnsi" w:hAnsiTheme="minorHAnsi" w:cs="Calibri"/>
                <w:sz w:val="20"/>
                <w:szCs w:val="20"/>
              </w:rPr>
            </w:pPr>
          </w:p>
        </w:tc>
        <w:tc>
          <w:tcPr>
            <w:tcW w:w="1417" w:type="dxa"/>
            <w:tcBorders>
              <w:top w:val="nil"/>
              <w:left w:val="nil"/>
              <w:bottom w:val="single" w:sz="8" w:space="0" w:color="auto"/>
              <w:right w:val="single" w:sz="8" w:space="0" w:color="auto"/>
            </w:tcBorders>
            <w:shd w:val="clear" w:color="auto" w:fill="FFFFFF"/>
            <w:noWrap/>
            <w:hideMark/>
          </w:tcPr>
          <w:p w:rsidR="005B5121" w:rsidRPr="005B5121" w:rsidRDefault="005B5121" w:rsidP="00DD682B">
            <w:pPr>
              <w:rPr>
                <w:rFonts w:asciiTheme="minorHAnsi" w:hAnsiTheme="minorHAnsi" w:cs="Calibri"/>
                <w:sz w:val="20"/>
                <w:szCs w:val="20"/>
              </w:rPr>
            </w:pPr>
            <w:r w:rsidRPr="005B5121">
              <w:rPr>
                <w:rFonts w:asciiTheme="minorHAnsi" w:hAnsiTheme="minorHAnsi" w:cs="Calibri"/>
                <w:sz w:val="20"/>
                <w:szCs w:val="20"/>
              </w:rPr>
              <w:t xml:space="preserve">2,724,138.84 </w:t>
            </w:r>
          </w:p>
        </w:tc>
      </w:tr>
      <w:tr w:rsidR="005B5121" w:rsidRPr="005B5121" w:rsidTr="00DD682B">
        <w:trPr>
          <w:trHeight w:val="258"/>
        </w:trPr>
        <w:tc>
          <w:tcPr>
            <w:tcW w:w="1630" w:type="dxa"/>
            <w:tcBorders>
              <w:top w:val="nil"/>
              <w:left w:val="single" w:sz="8" w:space="0" w:color="auto"/>
              <w:bottom w:val="single" w:sz="8" w:space="0" w:color="auto"/>
              <w:right w:val="single" w:sz="8" w:space="0" w:color="auto"/>
            </w:tcBorders>
            <w:shd w:val="clear" w:color="auto" w:fill="FFFFFF"/>
            <w:noWrap/>
            <w:vAlign w:val="center"/>
            <w:hideMark/>
          </w:tcPr>
          <w:p w:rsidR="005B5121" w:rsidRPr="005B5121" w:rsidRDefault="005B5121" w:rsidP="00DD682B">
            <w:pPr>
              <w:spacing w:after="0" w:line="240" w:lineRule="auto"/>
              <w:rPr>
                <w:rFonts w:asciiTheme="minorHAnsi" w:eastAsia="Times New Roman" w:hAnsiTheme="minorHAnsi" w:cs="Calibri"/>
                <w:sz w:val="20"/>
                <w:szCs w:val="20"/>
                <w:lang w:eastAsia="es-MX"/>
              </w:rPr>
            </w:pPr>
            <w:r w:rsidRPr="005B5121">
              <w:rPr>
                <w:rFonts w:asciiTheme="minorHAnsi" w:eastAsia="Times New Roman" w:hAnsiTheme="minorHAnsi" w:cs="Calibri"/>
                <w:sz w:val="20"/>
                <w:szCs w:val="20"/>
                <w:lang w:eastAsia="es-MX"/>
              </w:rPr>
              <w:t>Estimaciones, Depreciaciones, Deterioros, Obsolescencia y Amortizaciones</w:t>
            </w:r>
          </w:p>
        </w:tc>
        <w:tc>
          <w:tcPr>
            <w:tcW w:w="1417" w:type="dxa"/>
            <w:tcBorders>
              <w:top w:val="nil"/>
              <w:left w:val="nil"/>
              <w:bottom w:val="single" w:sz="8" w:space="0" w:color="auto"/>
              <w:right w:val="single" w:sz="8" w:space="0" w:color="auto"/>
            </w:tcBorders>
            <w:shd w:val="clear" w:color="auto" w:fill="FFFFFF"/>
            <w:noWrap/>
            <w:hideMark/>
          </w:tcPr>
          <w:p w:rsidR="005B5121" w:rsidRPr="005B5121" w:rsidRDefault="005B5121" w:rsidP="00DD682B">
            <w:pPr>
              <w:spacing w:after="0"/>
              <w:rPr>
                <w:rFonts w:asciiTheme="minorHAnsi" w:hAnsiTheme="minorHAnsi" w:cs="Calibri"/>
                <w:sz w:val="20"/>
                <w:szCs w:val="20"/>
              </w:rPr>
            </w:pPr>
          </w:p>
        </w:tc>
        <w:tc>
          <w:tcPr>
            <w:tcW w:w="1276" w:type="dxa"/>
            <w:tcBorders>
              <w:top w:val="nil"/>
              <w:left w:val="nil"/>
              <w:bottom w:val="single" w:sz="8" w:space="0" w:color="auto"/>
              <w:right w:val="single" w:sz="8" w:space="0" w:color="auto"/>
            </w:tcBorders>
            <w:shd w:val="clear" w:color="auto" w:fill="FFFFFF"/>
            <w:noWrap/>
            <w:hideMark/>
          </w:tcPr>
          <w:p w:rsidR="005B5121" w:rsidRPr="005B5121" w:rsidRDefault="005B5121" w:rsidP="00DD682B">
            <w:pPr>
              <w:spacing w:after="0"/>
              <w:rPr>
                <w:rFonts w:asciiTheme="minorHAnsi" w:hAnsiTheme="minorHAnsi" w:cs="Calibri"/>
                <w:sz w:val="20"/>
                <w:szCs w:val="20"/>
              </w:rPr>
            </w:pPr>
          </w:p>
        </w:tc>
        <w:tc>
          <w:tcPr>
            <w:tcW w:w="1276" w:type="dxa"/>
            <w:tcBorders>
              <w:top w:val="nil"/>
              <w:left w:val="nil"/>
              <w:bottom w:val="single" w:sz="8" w:space="0" w:color="auto"/>
              <w:right w:val="single" w:sz="8" w:space="0" w:color="auto"/>
            </w:tcBorders>
            <w:shd w:val="clear" w:color="auto" w:fill="FFFFFF"/>
            <w:noWrap/>
            <w:hideMark/>
          </w:tcPr>
          <w:p w:rsidR="005B5121" w:rsidRPr="005B5121" w:rsidRDefault="005B5121" w:rsidP="00DD682B">
            <w:pPr>
              <w:spacing w:after="0"/>
              <w:rPr>
                <w:rFonts w:asciiTheme="minorHAnsi" w:hAnsiTheme="minorHAnsi" w:cs="Calibri"/>
                <w:sz w:val="20"/>
                <w:szCs w:val="20"/>
              </w:rPr>
            </w:pPr>
          </w:p>
        </w:tc>
        <w:tc>
          <w:tcPr>
            <w:tcW w:w="1134" w:type="dxa"/>
            <w:tcBorders>
              <w:top w:val="nil"/>
              <w:left w:val="nil"/>
              <w:bottom w:val="single" w:sz="8" w:space="0" w:color="auto"/>
              <w:right w:val="single" w:sz="8" w:space="0" w:color="auto"/>
            </w:tcBorders>
            <w:shd w:val="clear" w:color="auto" w:fill="FFFFFF"/>
            <w:noWrap/>
            <w:hideMark/>
          </w:tcPr>
          <w:p w:rsidR="005B5121" w:rsidRPr="005B5121" w:rsidRDefault="005B5121" w:rsidP="00DD682B">
            <w:pPr>
              <w:rPr>
                <w:rFonts w:asciiTheme="minorHAnsi" w:hAnsiTheme="minorHAnsi" w:cs="Calibri"/>
                <w:sz w:val="20"/>
                <w:szCs w:val="20"/>
              </w:rPr>
            </w:pPr>
            <w:r w:rsidRPr="005B5121">
              <w:rPr>
                <w:rFonts w:asciiTheme="minorHAnsi" w:hAnsiTheme="minorHAnsi" w:cs="Calibri"/>
                <w:sz w:val="20"/>
                <w:szCs w:val="20"/>
              </w:rPr>
              <w:t xml:space="preserve">109,554.64 </w:t>
            </w:r>
          </w:p>
        </w:tc>
        <w:tc>
          <w:tcPr>
            <w:tcW w:w="567" w:type="dxa"/>
            <w:tcBorders>
              <w:top w:val="nil"/>
              <w:left w:val="nil"/>
              <w:bottom w:val="single" w:sz="8" w:space="0" w:color="auto"/>
              <w:right w:val="single" w:sz="8" w:space="0" w:color="auto"/>
            </w:tcBorders>
            <w:shd w:val="clear" w:color="auto" w:fill="FFFFFF"/>
            <w:noWrap/>
            <w:hideMark/>
          </w:tcPr>
          <w:p w:rsidR="005B5121" w:rsidRPr="005B5121" w:rsidRDefault="005B5121" w:rsidP="00DD682B">
            <w:pPr>
              <w:spacing w:after="0"/>
              <w:rPr>
                <w:rFonts w:asciiTheme="minorHAnsi" w:hAnsiTheme="minorHAnsi" w:cs="Calibri"/>
                <w:sz w:val="20"/>
                <w:szCs w:val="20"/>
              </w:rPr>
            </w:pPr>
          </w:p>
        </w:tc>
        <w:tc>
          <w:tcPr>
            <w:tcW w:w="1417" w:type="dxa"/>
            <w:tcBorders>
              <w:top w:val="nil"/>
              <w:left w:val="nil"/>
              <w:bottom w:val="single" w:sz="8" w:space="0" w:color="auto"/>
              <w:right w:val="single" w:sz="8" w:space="0" w:color="auto"/>
            </w:tcBorders>
            <w:shd w:val="clear" w:color="auto" w:fill="FFFFFF"/>
            <w:noWrap/>
            <w:hideMark/>
          </w:tcPr>
          <w:p w:rsidR="005B5121" w:rsidRPr="005B5121" w:rsidRDefault="005B5121" w:rsidP="00DD682B">
            <w:pPr>
              <w:rPr>
                <w:rFonts w:asciiTheme="minorHAnsi" w:hAnsiTheme="minorHAnsi" w:cs="Calibri"/>
                <w:sz w:val="20"/>
                <w:szCs w:val="20"/>
              </w:rPr>
            </w:pPr>
            <w:r w:rsidRPr="005B5121">
              <w:rPr>
                <w:rFonts w:asciiTheme="minorHAnsi" w:hAnsiTheme="minorHAnsi" w:cs="Calibri"/>
                <w:sz w:val="20"/>
                <w:szCs w:val="20"/>
              </w:rPr>
              <w:t xml:space="preserve">109,554.64 </w:t>
            </w:r>
          </w:p>
        </w:tc>
      </w:tr>
      <w:tr w:rsidR="005B5121" w:rsidRPr="005B5121" w:rsidTr="00DD682B">
        <w:trPr>
          <w:trHeight w:val="258"/>
        </w:trPr>
        <w:tc>
          <w:tcPr>
            <w:tcW w:w="1630" w:type="dxa"/>
            <w:tcBorders>
              <w:top w:val="nil"/>
              <w:left w:val="single" w:sz="8" w:space="0" w:color="auto"/>
              <w:bottom w:val="single" w:sz="8" w:space="0" w:color="auto"/>
              <w:right w:val="single" w:sz="8" w:space="0" w:color="auto"/>
            </w:tcBorders>
            <w:shd w:val="clear" w:color="auto" w:fill="FFFFFF"/>
            <w:noWrap/>
            <w:vAlign w:val="center"/>
            <w:hideMark/>
          </w:tcPr>
          <w:p w:rsidR="005B5121" w:rsidRPr="005B5121" w:rsidRDefault="005B5121" w:rsidP="00DD682B">
            <w:pPr>
              <w:spacing w:after="0" w:line="240" w:lineRule="auto"/>
              <w:rPr>
                <w:rFonts w:asciiTheme="minorHAnsi" w:eastAsia="Times New Roman" w:hAnsiTheme="minorHAnsi" w:cs="Calibri"/>
                <w:sz w:val="20"/>
                <w:szCs w:val="20"/>
                <w:lang w:eastAsia="es-MX"/>
              </w:rPr>
            </w:pPr>
            <w:r w:rsidRPr="005B5121">
              <w:rPr>
                <w:rFonts w:asciiTheme="minorHAnsi" w:eastAsia="Times New Roman" w:hAnsiTheme="minorHAnsi" w:cs="Calibri"/>
                <w:sz w:val="20"/>
                <w:szCs w:val="20"/>
                <w:lang w:eastAsia="es-MX"/>
              </w:rPr>
              <w:t xml:space="preserve">Inversión Pública no Capitalizable </w:t>
            </w:r>
          </w:p>
        </w:tc>
        <w:tc>
          <w:tcPr>
            <w:tcW w:w="1417" w:type="dxa"/>
            <w:tcBorders>
              <w:top w:val="nil"/>
              <w:left w:val="nil"/>
              <w:bottom w:val="single" w:sz="8" w:space="0" w:color="auto"/>
              <w:right w:val="single" w:sz="8" w:space="0" w:color="auto"/>
            </w:tcBorders>
            <w:shd w:val="clear" w:color="auto" w:fill="FFFFFF"/>
            <w:noWrap/>
            <w:hideMark/>
          </w:tcPr>
          <w:p w:rsidR="005B5121" w:rsidRPr="005B5121" w:rsidRDefault="005B5121" w:rsidP="00DD682B">
            <w:pPr>
              <w:spacing w:after="0"/>
              <w:rPr>
                <w:rFonts w:asciiTheme="minorHAnsi" w:hAnsiTheme="minorHAnsi" w:cs="Calibri"/>
                <w:sz w:val="20"/>
                <w:szCs w:val="20"/>
              </w:rPr>
            </w:pPr>
          </w:p>
        </w:tc>
        <w:tc>
          <w:tcPr>
            <w:tcW w:w="1276" w:type="dxa"/>
            <w:tcBorders>
              <w:top w:val="nil"/>
              <w:left w:val="nil"/>
              <w:bottom w:val="single" w:sz="8" w:space="0" w:color="auto"/>
              <w:right w:val="single" w:sz="8" w:space="0" w:color="auto"/>
            </w:tcBorders>
            <w:shd w:val="clear" w:color="auto" w:fill="FFFFFF"/>
            <w:noWrap/>
            <w:hideMark/>
          </w:tcPr>
          <w:p w:rsidR="005B5121" w:rsidRPr="005B5121" w:rsidRDefault="005B5121" w:rsidP="00DD682B">
            <w:pPr>
              <w:spacing w:after="0"/>
              <w:rPr>
                <w:rFonts w:asciiTheme="minorHAnsi" w:hAnsiTheme="minorHAnsi" w:cs="Calibri"/>
                <w:sz w:val="20"/>
                <w:szCs w:val="20"/>
              </w:rPr>
            </w:pPr>
          </w:p>
        </w:tc>
        <w:tc>
          <w:tcPr>
            <w:tcW w:w="1276" w:type="dxa"/>
            <w:tcBorders>
              <w:top w:val="nil"/>
              <w:left w:val="nil"/>
              <w:bottom w:val="single" w:sz="8" w:space="0" w:color="auto"/>
              <w:right w:val="single" w:sz="8" w:space="0" w:color="auto"/>
            </w:tcBorders>
            <w:shd w:val="clear" w:color="auto" w:fill="FFFFFF"/>
            <w:noWrap/>
            <w:hideMark/>
          </w:tcPr>
          <w:p w:rsidR="005B5121" w:rsidRPr="005B5121" w:rsidRDefault="005B5121" w:rsidP="00DD682B">
            <w:pPr>
              <w:spacing w:after="0"/>
              <w:rPr>
                <w:rFonts w:asciiTheme="minorHAnsi" w:hAnsiTheme="minorHAnsi" w:cs="Calibri"/>
                <w:sz w:val="20"/>
                <w:szCs w:val="20"/>
              </w:rPr>
            </w:pPr>
          </w:p>
        </w:tc>
        <w:tc>
          <w:tcPr>
            <w:tcW w:w="1134" w:type="dxa"/>
            <w:tcBorders>
              <w:top w:val="nil"/>
              <w:left w:val="nil"/>
              <w:bottom w:val="single" w:sz="8" w:space="0" w:color="auto"/>
              <w:right w:val="single" w:sz="8" w:space="0" w:color="auto"/>
            </w:tcBorders>
            <w:shd w:val="clear" w:color="auto" w:fill="FFFFFF"/>
            <w:noWrap/>
            <w:hideMark/>
          </w:tcPr>
          <w:p w:rsidR="005B5121" w:rsidRPr="005B5121" w:rsidRDefault="005B5121" w:rsidP="00DD682B">
            <w:pPr>
              <w:spacing w:after="0"/>
              <w:rPr>
                <w:rFonts w:asciiTheme="minorHAnsi" w:hAnsiTheme="minorHAnsi" w:cs="Calibri"/>
                <w:sz w:val="20"/>
                <w:szCs w:val="20"/>
              </w:rPr>
            </w:pPr>
          </w:p>
        </w:tc>
        <w:tc>
          <w:tcPr>
            <w:tcW w:w="567" w:type="dxa"/>
            <w:tcBorders>
              <w:top w:val="nil"/>
              <w:left w:val="nil"/>
              <w:bottom w:val="single" w:sz="8" w:space="0" w:color="auto"/>
              <w:right w:val="single" w:sz="8" w:space="0" w:color="auto"/>
            </w:tcBorders>
            <w:shd w:val="clear" w:color="auto" w:fill="FFFFFF"/>
            <w:noWrap/>
            <w:hideMark/>
          </w:tcPr>
          <w:p w:rsidR="005B5121" w:rsidRPr="005B5121" w:rsidRDefault="005B5121" w:rsidP="00DD682B">
            <w:pPr>
              <w:rPr>
                <w:rFonts w:asciiTheme="minorHAnsi" w:hAnsiTheme="minorHAnsi" w:cs="Calibri"/>
                <w:sz w:val="20"/>
                <w:szCs w:val="20"/>
              </w:rPr>
            </w:pPr>
            <w:r w:rsidRPr="005B5121">
              <w:rPr>
                <w:rFonts w:asciiTheme="minorHAnsi" w:hAnsiTheme="minorHAnsi" w:cs="Calibri"/>
                <w:sz w:val="20"/>
                <w:szCs w:val="20"/>
              </w:rPr>
              <w:t xml:space="preserve">0.00 </w:t>
            </w:r>
          </w:p>
        </w:tc>
        <w:tc>
          <w:tcPr>
            <w:tcW w:w="1417" w:type="dxa"/>
            <w:tcBorders>
              <w:top w:val="nil"/>
              <w:left w:val="nil"/>
              <w:bottom w:val="single" w:sz="8" w:space="0" w:color="auto"/>
              <w:right w:val="single" w:sz="8" w:space="0" w:color="auto"/>
            </w:tcBorders>
            <w:shd w:val="clear" w:color="auto" w:fill="FFFFFF"/>
            <w:noWrap/>
            <w:hideMark/>
          </w:tcPr>
          <w:p w:rsidR="005B5121" w:rsidRPr="005B5121" w:rsidRDefault="005B5121" w:rsidP="00DD682B">
            <w:pPr>
              <w:rPr>
                <w:rFonts w:asciiTheme="minorHAnsi" w:hAnsiTheme="minorHAnsi" w:cs="Calibri"/>
                <w:sz w:val="20"/>
                <w:szCs w:val="20"/>
              </w:rPr>
            </w:pPr>
            <w:r w:rsidRPr="005B5121">
              <w:rPr>
                <w:rFonts w:asciiTheme="minorHAnsi" w:hAnsiTheme="minorHAnsi" w:cs="Calibri"/>
                <w:sz w:val="20"/>
                <w:szCs w:val="20"/>
              </w:rPr>
              <w:t xml:space="preserve">0.00 </w:t>
            </w:r>
          </w:p>
        </w:tc>
      </w:tr>
      <w:tr w:rsidR="005B5121" w:rsidRPr="005B5121" w:rsidTr="00DD682B">
        <w:trPr>
          <w:trHeight w:val="258"/>
        </w:trPr>
        <w:tc>
          <w:tcPr>
            <w:tcW w:w="1630" w:type="dxa"/>
            <w:tcBorders>
              <w:top w:val="nil"/>
              <w:left w:val="single" w:sz="8" w:space="0" w:color="auto"/>
              <w:bottom w:val="single" w:sz="8" w:space="0" w:color="auto"/>
              <w:right w:val="single" w:sz="8" w:space="0" w:color="auto"/>
            </w:tcBorders>
            <w:shd w:val="clear" w:color="auto" w:fill="FFFFFF"/>
            <w:noWrap/>
            <w:vAlign w:val="center"/>
            <w:hideMark/>
          </w:tcPr>
          <w:p w:rsidR="005B5121" w:rsidRPr="005B5121" w:rsidRDefault="005B5121" w:rsidP="00DD682B">
            <w:pPr>
              <w:spacing w:after="0" w:line="240" w:lineRule="auto"/>
              <w:rPr>
                <w:rFonts w:asciiTheme="minorHAnsi" w:eastAsia="Times New Roman" w:hAnsiTheme="minorHAnsi" w:cs="Calibri"/>
                <w:sz w:val="20"/>
                <w:szCs w:val="20"/>
                <w:lang w:eastAsia="es-MX"/>
              </w:rPr>
            </w:pPr>
            <w:r w:rsidRPr="005B5121">
              <w:rPr>
                <w:rFonts w:asciiTheme="minorHAnsi" w:eastAsia="Times New Roman" w:hAnsiTheme="minorHAnsi" w:cs="Calibri"/>
                <w:sz w:val="20"/>
                <w:szCs w:val="20"/>
                <w:lang w:eastAsia="es-MX"/>
              </w:rPr>
              <w:t>Total</w:t>
            </w:r>
          </w:p>
        </w:tc>
        <w:tc>
          <w:tcPr>
            <w:tcW w:w="1417" w:type="dxa"/>
            <w:tcBorders>
              <w:top w:val="nil"/>
              <w:left w:val="nil"/>
              <w:bottom w:val="single" w:sz="8" w:space="0" w:color="auto"/>
              <w:right w:val="single" w:sz="8" w:space="0" w:color="auto"/>
            </w:tcBorders>
            <w:shd w:val="clear" w:color="auto" w:fill="FFFFFF"/>
            <w:noWrap/>
            <w:hideMark/>
          </w:tcPr>
          <w:p w:rsidR="005B5121" w:rsidRPr="005B5121" w:rsidRDefault="005B5121" w:rsidP="00DD682B">
            <w:pPr>
              <w:rPr>
                <w:rFonts w:asciiTheme="minorHAnsi" w:hAnsiTheme="minorHAnsi" w:cs="Calibri"/>
                <w:sz w:val="20"/>
                <w:szCs w:val="20"/>
              </w:rPr>
            </w:pPr>
            <w:r w:rsidRPr="005B5121">
              <w:rPr>
                <w:rFonts w:asciiTheme="minorHAnsi" w:hAnsiTheme="minorHAnsi" w:cs="Calibri"/>
                <w:sz w:val="20"/>
                <w:szCs w:val="20"/>
              </w:rPr>
              <w:t xml:space="preserve">6,463,418.66 </w:t>
            </w:r>
          </w:p>
        </w:tc>
        <w:tc>
          <w:tcPr>
            <w:tcW w:w="1276" w:type="dxa"/>
            <w:tcBorders>
              <w:top w:val="nil"/>
              <w:left w:val="nil"/>
              <w:bottom w:val="single" w:sz="8" w:space="0" w:color="auto"/>
              <w:right w:val="single" w:sz="8" w:space="0" w:color="auto"/>
            </w:tcBorders>
            <w:shd w:val="clear" w:color="auto" w:fill="FFFFFF"/>
            <w:noWrap/>
            <w:hideMark/>
          </w:tcPr>
          <w:p w:rsidR="005B5121" w:rsidRPr="005B5121" w:rsidRDefault="005B5121" w:rsidP="00DD682B">
            <w:pPr>
              <w:rPr>
                <w:rFonts w:asciiTheme="minorHAnsi" w:hAnsiTheme="minorHAnsi" w:cs="Calibri"/>
                <w:sz w:val="20"/>
                <w:szCs w:val="20"/>
              </w:rPr>
            </w:pPr>
            <w:r w:rsidRPr="005B5121">
              <w:rPr>
                <w:rFonts w:asciiTheme="minorHAnsi" w:hAnsiTheme="minorHAnsi" w:cs="Calibri"/>
                <w:sz w:val="20"/>
                <w:szCs w:val="20"/>
              </w:rPr>
              <w:t xml:space="preserve">775,408.27 </w:t>
            </w:r>
          </w:p>
        </w:tc>
        <w:tc>
          <w:tcPr>
            <w:tcW w:w="1276" w:type="dxa"/>
            <w:tcBorders>
              <w:top w:val="nil"/>
              <w:left w:val="nil"/>
              <w:bottom w:val="single" w:sz="8" w:space="0" w:color="auto"/>
              <w:right w:val="single" w:sz="8" w:space="0" w:color="auto"/>
            </w:tcBorders>
            <w:shd w:val="clear" w:color="auto" w:fill="FFFFFF"/>
            <w:noWrap/>
            <w:hideMark/>
          </w:tcPr>
          <w:p w:rsidR="005B5121" w:rsidRPr="005B5121" w:rsidRDefault="005B5121" w:rsidP="00DD682B">
            <w:pPr>
              <w:rPr>
                <w:rFonts w:asciiTheme="minorHAnsi" w:hAnsiTheme="minorHAnsi" w:cs="Calibri"/>
                <w:sz w:val="20"/>
                <w:szCs w:val="20"/>
              </w:rPr>
            </w:pPr>
            <w:r w:rsidRPr="005B5121">
              <w:rPr>
                <w:rFonts w:asciiTheme="minorHAnsi" w:hAnsiTheme="minorHAnsi" w:cs="Calibri"/>
                <w:sz w:val="20"/>
                <w:szCs w:val="20"/>
              </w:rPr>
              <w:t xml:space="preserve">2,724,138.84 </w:t>
            </w:r>
          </w:p>
        </w:tc>
        <w:tc>
          <w:tcPr>
            <w:tcW w:w="1134" w:type="dxa"/>
            <w:tcBorders>
              <w:top w:val="nil"/>
              <w:left w:val="nil"/>
              <w:bottom w:val="single" w:sz="8" w:space="0" w:color="auto"/>
              <w:right w:val="single" w:sz="8" w:space="0" w:color="auto"/>
            </w:tcBorders>
            <w:shd w:val="clear" w:color="auto" w:fill="FFFFFF"/>
            <w:noWrap/>
            <w:hideMark/>
          </w:tcPr>
          <w:p w:rsidR="005B5121" w:rsidRPr="005B5121" w:rsidRDefault="005B5121" w:rsidP="00DD682B">
            <w:pPr>
              <w:rPr>
                <w:rFonts w:asciiTheme="minorHAnsi" w:hAnsiTheme="minorHAnsi" w:cs="Calibri"/>
                <w:sz w:val="20"/>
                <w:szCs w:val="20"/>
              </w:rPr>
            </w:pPr>
            <w:r w:rsidRPr="005B5121">
              <w:rPr>
                <w:rFonts w:asciiTheme="minorHAnsi" w:hAnsiTheme="minorHAnsi" w:cs="Calibri"/>
                <w:sz w:val="20"/>
                <w:szCs w:val="20"/>
              </w:rPr>
              <w:t xml:space="preserve">109,554.64 </w:t>
            </w:r>
          </w:p>
        </w:tc>
        <w:tc>
          <w:tcPr>
            <w:tcW w:w="567" w:type="dxa"/>
            <w:tcBorders>
              <w:top w:val="nil"/>
              <w:left w:val="nil"/>
              <w:bottom w:val="single" w:sz="8" w:space="0" w:color="auto"/>
              <w:right w:val="single" w:sz="8" w:space="0" w:color="auto"/>
            </w:tcBorders>
            <w:shd w:val="clear" w:color="auto" w:fill="FFFFFF"/>
            <w:noWrap/>
            <w:hideMark/>
          </w:tcPr>
          <w:p w:rsidR="005B5121" w:rsidRPr="005B5121" w:rsidRDefault="005B5121" w:rsidP="00DD682B">
            <w:pPr>
              <w:rPr>
                <w:rFonts w:asciiTheme="minorHAnsi" w:hAnsiTheme="minorHAnsi" w:cs="Calibri"/>
                <w:sz w:val="20"/>
                <w:szCs w:val="20"/>
              </w:rPr>
            </w:pPr>
            <w:r w:rsidRPr="005B5121">
              <w:rPr>
                <w:rFonts w:asciiTheme="minorHAnsi" w:hAnsiTheme="minorHAnsi" w:cs="Calibri"/>
                <w:sz w:val="20"/>
                <w:szCs w:val="20"/>
              </w:rPr>
              <w:t xml:space="preserve">0.00 </w:t>
            </w:r>
          </w:p>
        </w:tc>
        <w:tc>
          <w:tcPr>
            <w:tcW w:w="1417" w:type="dxa"/>
            <w:tcBorders>
              <w:top w:val="nil"/>
              <w:left w:val="nil"/>
              <w:bottom w:val="single" w:sz="8" w:space="0" w:color="auto"/>
              <w:right w:val="single" w:sz="8" w:space="0" w:color="auto"/>
            </w:tcBorders>
            <w:shd w:val="clear" w:color="auto" w:fill="FFFFFF"/>
            <w:noWrap/>
            <w:hideMark/>
          </w:tcPr>
          <w:p w:rsidR="005B5121" w:rsidRPr="005B5121" w:rsidRDefault="005B5121" w:rsidP="00DD682B">
            <w:pPr>
              <w:rPr>
                <w:rFonts w:asciiTheme="minorHAnsi" w:hAnsiTheme="minorHAnsi" w:cs="Calibri"/>
                <w:sz w:val="20"/>
                <w:szCs w:val="20"/>
              </w:rPr>
            </w:pPr>
            <w:r w:rsidRPr="005B5121">
              <w:rPr>
                <w:rFonts w:asciiTheme="minorHAnsi" w:hAnsiTheme="minorHAnsi" w:cs="Calibri"/>
                <w:sz w:val="20"/>
                <w:szCs w:val="20"/>
              </w:rPr>
              <w:t xml:space="preserve">10,072,520.41 </w:t>
            </w:r>
          </w:p>
        </w:tc>
      </w:tr>
    </w:tbl>
    <w:p w:rsidR="005B5121" w:rsidRDefault="005B5121" w:rsidP="005B5121">
      <w:pPr>
        <w:jc w:val="both"/>
        <w:rPr>
          <w:rFonts w:cs="Calibri"/>
          <w:sz w:val="20"/>
          <w:szCs w:val="20"/>
        </w:rPr>
      </w:pPr>
    </w:p>
    <w:p w:rsidR="005B5121" w:rsidRDefault="005B5121" w:rsidP="005B5121">
      <w:pPr>
        <w:jc w:val="both"/>
        <w:rPr>
          <w:rFonts w:cs="Calibri"/>
          <w:sz w:val="20"/>
          <w:szCs w:val="20"/>
        </w:rPr>
      </w:pPr>
    </w:p>
    <w:p w:rsidR="005B5121" w:rsidRDefault="005B5121" w:rsidP="005B5121">
      <w:pPr>
        <w:jc w:val="both"/>
        <w:rPr>
          <w:rFonts w:cs="Calibri"/>
          <w:sz w:val="20"/>
          <w:szCs w:val="20"/>
        </w:rPr>
      </w:pPr>
    </w:p>
    <w:p w:rsidR="005B5121" w:rsidRPr="005B5121" w:rsidRDefault="005B5121" w:rsidP="005B5121">
      <w:pPr>
        <w:jc w:val="both"/>
        <w:rPr>
          <w:rFonts w:cs="Calibri"/>
          <w:sz w:val="20"/>
          <w:szCs w:val="20"/>
        </w:rPr>
      </w:pPr>
      <w:r w:rsidRPr="005B5121">
        <w:rPr>
          <w:rFonts w:cs="Calibri"/>
          <w:sz w:val="20"/>
          <w:szCs w:val="20"/>
        </w:rPr>
        <w:t>Bajo protesta de decir verdad declaramos que los Estados Financieros y sus notas son razonablemente correctos y responsabilidad del emisor.</w:t>
      </w:r>
    </w:p>
    <w:sectPr w:rsidR="005B5121" w:rsidRPr="005B5121" w:rsidSect="00F43E85">
      <w:pgSz w:w="15840" w:h="12240" w:orient="landscape"/>
      <w:pgMar w:top="2835"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CEE" w:rsidRDefault="007C1CEE" w:rsidP="001D0119">
      <w:pPr>
        <w:spacing w:after="0" w:line="240" w:lineRule="auto"/>
      </w:pPr>
      <w:r>
        <w:separator/>
      </w:r>
    </w:p>
  </w:endnote>
  <w:endnote w:type="continuationSeparator" w:id="0">
    <w:p w:rsidR="007C1CEE" w:rsidRDefault="007C1CEE" w:rsidP="001D0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CEE" w:rsidRDefault="007C1CEE" w:rsidP="001D0119">
      <w:pPr>
        <w:spacing w:after="0" w:line="240" w:lineRule="auto"/>
      </w:pPr>
      <w:r>
        <w:separator/>
      </w:r>
    </w:p>
  </w:footnote>
  <w:footnote w:type="continuationSeparator" w:id="0">
    <w:p w:rsidR="007C1CEE" w:rsidRDefault="007C1CEE" w:rsidP="001D01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A485B"/>
    <w:multiLevelType w:val="hybridMultilevel"/>
    <w:tmpl w:val="D6C27EFA"/>
    <w:lvl w:ilvl="0" w:tplc="FFFFFFFF">
      <w:start w:val="1"/>
      <w:numFmt w:val="lowerLetter"/>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0748"/>
    <w:rsid w:val="000773CA"/>
    <w:rsid w:val="001376E1"/>
    <w:rsid w:val="00166DA4"/>
    <w:rsid w:val="001D0119"/>
    <w:rsid w:val="002C58EF"/>
    <w:rsid w:val="002E7997"/>
    <w:rsid w:val="003129FF"/>
    <w:rsid w:val="003D373C"/>
    <w:rsid w:val="003E2DC9"/>
    <w:rsid w:val="003E5BEC"/>
    <w:rsid w:val="0042645E"/>
    <w:rsid w:val="004F2FE7"/>
    <w:rsid w:val="005620D4"/>
    <w:rsid w:val="00594617"/>
    <w:rsid w:val="005B5121"/>
    <w:rsid w:val="00626DFB"/>
    <w:rsid w:val="00634599"/>
    <w:rsid w:val="0067300E"/>
    <w:rsid w:val="006F0BF0"/>
    <w:rsid w:val="006F3019"/>
    <w:rsid w:val="00771634"/>
    <w:rsid w:val="007C1CEE"/>
    <w:rsid w:val="008672A1"/>
    <w:rsid w:val="00915AD7"/>
    <w:rsid w:val="009F0748"/>
    <w:rsid w:val="00A65D2F"/>
    <w:rsid w:val="00B03E2C"/>
    <w:rsid w:val="00B246A8"/>
    <w:rsid w:val="00B56042"/>
    <w:rsid w:val="00BF6CAF"/>
    <w:rsid w:val="00C2270F"/>
    <w:rsid w:val="00D0685A"/>
    <w:rsid w:val="00D83798"/>
    <w:rsid w:val="00EB72BD"/>
    <w:rsid w:val="00F248AB"/>
    <w:rsid w:val="00F43E85"/>
    <w:rsid w:val="00FF1B86"/>
    <w:rsid w:val="00FF3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85A"/>
    <w:pPr>
      <w:spacing w:after="200" w:line="276" w:lineRule="auto"/>
    </w:pPr>
    <w:rPr>
      <w:lang w:val="es-MX"/>
    </w:rPr>
  </w:style>
  <w:style w:type="paragraph" w:styleId="Ttulo1">
    <w:name w:val="heading 1"/>
    <w:basedOn w:val="Normal"/>
    <w:next w:val="Normal"/>
    <w:link w:val="Ttulo1Car"/>
    <w:uiPriority w:val="99"/>
    <w:qFormat/>
    <w:rsid w:val="00FF3901"/>
    <w:pPr>
      <w:keepNext/>
      <w:spacing w:after="0" w:line="240" w:lineRule="auto"/>
      <w:outlineLvl w:val="0"/>
    </w:pPr>
    <w:rPr>
      <w:rFonts w:ascii="Times New Roman" w:eastAsia="Times New Roman" w:hAnsi="Times New Roman"/>
      <w:b/>
      <w:bCs/>
      <w:sz w:val="24"/>
      <w:szCs w:val="24"/>
      <w:lang w:eastAsia="es-ES"/>
    </w:rPr>
  </w:style>
  <w:style w:type="paragraph" w:styleId="Ttulo6">
    <w:name w:val="heading 6"/>
    <w:basedOn w:val="Normal"/>
    <w:next w:val="Normal"/>
    <w:link w:val="Ttulo6Car"/>
    <w:uiPriority w:val="99"/>
    <w:qFormat/>
    <w:rsid w:val="00FF3901"/>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Arial" w:eastAsia="Times New Roman" w:hAnsi="Arial"/>
      <w:b/>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FF3901"/>
    <w:rPr>
      <w:rFonts w:ascii="Times New Roman" w:hAnsi="Times New Roman" w:cs="Times New Roman"/>
      <w:b/>
      <w:bCs/>
      <w:sz w:val="24"/>
      <w:szCs w:val="24"/>
      <w:lang w:eastAsia="es-ES"/>
    </w:rPr>
  </w:style>
  <w:style w:type="character" w:customStyle="1" w:styleId="Ttulo6Car">
    <w:name w:val="Título 6 Car"/>
    <w:basedOn w:val="Fuentedeprrafopredeter"/>
    <w:link w:val="Ttulo6"/>
    <w:uiPriority w:val="99"/>
    <w:locked/>
    <w:rsid w:val="00FF3901"/>
    <w:rPr>
      <w:rFonts w:ascii="Arial" w:hAnsi="Arial" w:cs="Times New Roman"/>
      <w:b/>
      <w:sz w:val="24"/>
      <w:szCs w:val="24"/>
      <w:lang w:eastAsia="es-ES"/>
    </w:rPr>
  </w:style>
  <w:style w:type="paragraph" w:styleId="Sangradetextonormal">
    <w:name w:val="Body Text Indent"/>
    <w:basedOn w:val="Normal"/>
    <w:link w:val="SangradetextonormalCar"/>
    <w:uiPriority w:val="99"/>
    <w:rsid w:val="00FF3901"/>
    <w:pPr>
      <w:spacing w:after="0" w:line="240" w:lineRule="auto"/>
      <w:ind w:left="180"/>
    </w:pPr>
    <w:rPr>
      <w:rFonts w:ascii="Times New Roman" w:eastAsia="Times New Roman" w:hAnsi="Times New Roman"/>
      <w:sz w:val="24"/>
      <w:szCs w:val="24"/>
      <w:lang w:eastAsia="es-ES"/>
    </w:rPr>
  </w:style>
  <w:style w:type="character" w:customStyle="1" w:styleId="SangradetextonormalCar">
    <w:name w:val="Sangría de texto normal Car"/>
    <w:basedOn w:val="Fuentedeprrafopredeter"/>
    <w:link w:val="Sangradetextonormal"/>
    <w:uiPriority w:val="99"/>
    <w:locked/>
    <w:rsid w:val="00FF3901"/>
    <w:rPr>
      <w:rFonts w:ascii="Times New Roman" w:hAnsi="Times New Roman" w:cs="Times New Roman"/>
      <w:sz w:val="24"/>
      <w:szCs w:val="24"/>
      <w:lang w:eastAsia="es-ES"/>
    </w:rPr>
  </w:style>
  <w:style w:type="table" w:styleId="Tablaconcuadrcula">
    <w:name w:val="Table Grid"/>
    <w:basedOn w:val="Tablanormal"/>
    <w:uiPriority w:val="99"/>
    <w:rsid w:val="00FF3901"/>
    <w:rPr>
      <w:rFonts w:ascii="Times New Roman" w:eastAsia="Times New Roman" w:hAnsi="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tulo">
    <w:name w:val="Title"/>
    <w:basedOn w:val="Normal"/>
    <w:next w:val="Normal"/>
    <w:link w:val="TtuloCar"/>
    <w:uiPriority w:val="99"/>
    <w:qFormat/>
    <w:rsid w:val="001D0119"/>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tuloCar">
    <w:name w:val="Título Car"/>
    <w:basedOn w:val="Fuentedeprrafopredeter"/>
    <w:link w:val="Ttulo"/>
    <w:uiPriority w:val="99"/>
    <w:locked/>
    <w:rsid w:val="001D0119"/>
    <w:rPr>
      <w:rFonts w:ascii="Cambria" w:hAnsi="Cambria" w:cs="Times New Roman"/>
      <w:color w:val="17365D"/>
      <w:spacing w:val="5"/>
      <w:kern w:val="28"/>
      <w:sz w:val="52"/>
      <w:szCs w:val="52"/>
    </w:rPr>
  </w:style>
  <w:style w:type="paragraph" w:styleId="Encabezado">
    <w:name w:val="header"/>
    <w:basedOn w:val="Normal"/>
    <w:link w:val="EncabezadoCar"/>
    <w:uiPriority w:val="99"/>
    <w:rsid w:val="001D011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locked/>
    <w:rsid w:val="001D0119"/>
    <w:rPr>
      <w:rFonts w:cs="Times New Roman"/>
    </w:rPr>
  </w:style>
  <w:style w:type="paragraph" w:styleId="Piedepgina">
    <w:name w:val="footer"/>
    <w:basedOn w:val="Normal"/>
    <w:link w:val="PiedepginaCar"/>
    <w:uiPriority w:val="99"/>
    <w:rsid w:val="001D011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locked/>
    <w:rsid w:val="001D0119"/>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9</Pages>
  <Words>2023</Words>
  <Characters>11130</Characters>
  <Application>Microsoft Office Word</Application>
  <DocSecurity>0</DocSecurity>
  <Lines>92</Lines>
  <Paragraphs>26</Paragraphs>
  <ScaleCrop>false</ScaleCrop>
  <Company/>
  <LinksUpToDate>false</LinksUpToDate>
  <CharactersWithSpaces>13127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Cuenta Pública 2015</dc:title>
  <dc:subject/>
  <dc:creator>Rita A. Hernandez Cruz</dc:creator>
  <cp:keywords/>
  <dc:description/>
  <cp:lastModifiedBy>Eduar Raul Chi Santana</cp:lastModifiedBy>
  <cp:revision>4</cp:revision>
  <cp:lastPrinted>2018-05-09T15:59:00Z</cp:lastPrinted>
  <dcterms:created xsi:type="dcterms:W3CDTF">2016-03-23T20:24:00Z</dcterms:created>
  <dcterms:modified xsi:type="dcterms:W3CDTF">2018-05-09T16:02:00Z</dcterms:modified>
</cp:coreProperties>
</file>