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D8" w:rsidRDefault="006F3019" w:rsidP="00F10FD8">
      <w:pPr>
        <w:spacing w:line="240" w:lineRule="auto"/>
        <w:jc w:val="center"/>
        <w:rPr>
          <w:rFonts w:cs="Arial"/>
          <w:b/>
          <w:sz w:val="20"/>
          <w:szCs w:val="20"/>
        </w:rPr>
      </w:pPr>
      <w:r w:rsidRPr="003E2DC9">
        <w:rPr>
          <w:rFonts w:cs="Arial"/>
          <w:b/>
          <w:sz w:val="20"/>
          <w:szCs w:val="20"/>
        </w:rPr>
        <w:t>Cuenta Pública</w:t>
      </w:r>
      <w:r w:rsidR="00F10FD8">
        <w:rPr>
          <w:rFonts w:cs="Arial"/>
          <w:b/>
          <w:sz w:val="20"/>
          <w:szCs w:val="20"/>
        </w:rPr>
        <w:t xml:space="preserve"> 2017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B13FEC">
        <w:rPr>
          <w:rFonts w:cs="Arial"/>
          <w:b/>
          <w:sz w:val="20"/>
          <w:szCs w:val="20"/>
        </w:rPr>
        <w:t>l 31 de Marzo</w:t>
      </w:r>
      <w:r w:rsidR="00F10FD8">
        <w:rPr>
          <w:rFonts w:cs="Arial"/>
          <w:b/>
          <w:sz w:val="20"/>
          <w:szCs w:val="20"/>
        </w:rPr>
        <w:t xml:space="preserve"> de 2017</w:t>
      </w:r>
    </w:p>
    <w:p w:rsidR="006F3019" w:rsidRPr="003E2DC9" w:rsidRDefault="006F3019" w:rsidP="009474AA">
      <w:pPr>
        <w:spacing w:line="240" w:lineRule="auto"/>
        <w:jc w:val="center"/>
        <w:rPr>
          <w:rFonts w:cs="Arial"/>
          <w:b/>
          <w:sz w:val="20"/>
          <w:szCs w:val="20"/>
        </w:rPr>
      </w:pPr>
      <w:r w:rsidRPr="003E2DC9">
        <w:rPr>
          <w:rFonts w:cs="Arial"/>
          <w:b/>
          <w:sz w:val="20"/>
          <w:szCs w:val="20"/>
        </w:rPr>
        <w:t>(Pesos)</w:t>
      </w:r>
    </w:p>
    <w:p w:rsidR="00594617" w:rsidRDefault="00DB2888" w:rsidP="006F3019">
      <w:pPr>
        <w:spacing w:line="240" w:lineRule="auto"/>
        <w:rPr>
          <w:rFonts w:cs="Arial"/>
          <w:b/>
          <w:sz w:val="20"/>
          <w:szCs w:val="20"/>
        </w:rPr>
      </w:pPr>
      <w:r>
        <w:rPr>
          <w:rFonts w:cs="Arial"/>
          <w:b/>
          <w:sz w:val="20"/>
          <w:szCs w:val="20"/>
        </w:rPr>
        <w:t>Ente Público</w:t>
      </w:r>
      <w:proofErr w:type="gramStart"/>
      <w:r>
        <w:rPr>
          <w:rFonts w:cs="Arial"/>
          <w:b/>
          <w:sz w:val="20"/>
          <w:szCs w:val="20"/>
        </w:rPr>
        <w:t>:  FÁ</w:t>
      </w:r>
      <w:r w:rsidR="00C22245">
        <w:rPr>
          <w:rFonts w:cs="Arial"/>
          <w:b/>
          <w:sz w:val="20"/>
          <w:szCs w:val="20"/>
        </w:rPr>
        <w:t>BRICA</w:t>
      </w:r>
      <w:proofErr w:type="gramEnd"/>
      <w:r w:rsidR="00C22245">
        <w:rPr>
          <w:rFonts w:cs="Arial"/>
          <w:b/>
          <w:sz w:val="20"/>
          <w:szCs w:val="20"/>
        </w:rPr>
        <w:t xml:space="preserve"> DE POSTES YUCATÁN SA DE CV</w:t>
      </w:r>
      <w:r w:rsidR="005620D4">
        <w:rPr>
          <w:rFonts w:cs="Arial"/>
          <w:b/>
          <w:sz w:val="20"/>
          <w:szCs w:val="20"/>
        </w:rPr>
        <w:t xml:space="preserve">  </w:t>
      </w:r>
    </w:p>
    <w:p w:rsidR="00594617" w:rsidRDefault="00594617" w:rsidP="006F3019">
      <w:pPr>
        <w:spacing w:line="240" w:lineRule="auto"/>
        <w:rPr>
          <w:rFonts w:cs="Arial"/>
          <w:b/>
          <w:sz w:val="20"/>
          <w:szCs w:val="20"/>
        </w:rPr>
      </w:pPr>
      <w:r>
        <w:rPr>
          <w:rFonts w:cs="Arial"/>
          <w:b/>
          <w:sz w:val="20"/>
          <w:szCs w:val="20"/>
        </w:rPr>
        <w:t>NOTAS DE GESTIÓN ADMINISTRATIVO</w:t>
      </w:r>
    </w:p>
    <w:p w:rsidR="0046749A" w:rsidRPr="00582375" w:rsidRDefault="0046749A" w:rsidP="0046749A">
      <w:pPr>
        <w:pStyle w:val="Default"/>
        <w:rPr>
          <w:i/>
          <w:sz w:val="18"/>
          <w:szCs w:val="18"/>
        </w:rPr>
      </w:pPr>
      <w:r w:rsidRPr="00582375">
        <w:rPr>
          <w:i/>
          <w:sz w:val="18"/>
          <w:szCs w:val="18"/>
        </w:rPr>
        <w:t>1.- Introducción</w:t>
      </w:r>
    </w:p>
    <w:p w:rsidR="0046749A" w:rsidRPr="00582375" w:rsidRDefault="0046749A" w:rsidP="0046749A">
      <w:pPr>
        <w:pStyle w:val="Default"/>
        <w:rPr>
          <w:sz w:val="18"/>
          <w:szCs w:val="18"/>
        </w:rPr>
      </w:pPr>
      <w:r w:rsidRPr="00582375">
        <w:rPr>
          <w:sz w:val="18"/>
          <w:szCs w:val="18"/>
        </w:rPr>
        <w:t>Los estados financieros de los entes públicos, proveen de información financiera a los principales usuarios de la misma, al congreso y a los ciudadanos</w:t>
      </w:r>
    </w:p>
    <w:p w:rsidR="0046749A" w:rsidRPr="00582375" w:rsidRDefault="0046749A" w:rsidP="0046749A">
      <w:pPr>
        <w:pStyle w:val="Default"/>
        <w:rPr>
          <w:i/>
          <w:sz w:val="18"/>
          <w:szCs w:val="18"/>
        </w:rPr>
      </w:pPr>
    </w:p>
    <w:p w:rsidR="0046749A" w:rsidRPr="00582375" w:rsidRDefault="0046749A" w:rsidP="0046749A">
      <w:pPr>
        <w:pStyle w:val="Default"/>
        <w:rPr>
          <w:i/>
          <w:sz w:val="18"/>
          <w:szCs w:val="18"/>
        </w:rPr>
      </w:pPr>
      <w:r w:rsidRPr="00582375">
        <w:rPr>
          <w:i/>
          <w:sz w:val="18"/>
          <w:szCs w:val="18"/>
        </w:rPr>
        <w:t>2.- Panorama Económico y Financiero</w:t>
      </w:r>
    </w:p>
    <w:p w:rsidR="0046749A" w:rsidRPr="00582375" w:rsidRDefault="0046749A" w:rsidP="0046749A">
      <w:pPr>
        <w:pStyle w:val="Default"/>
        <w:rPr>
          <w:sz w:val="18"/>
          <w:szCs w:val="18"/>
        </w:rPr>
      </w:pPr>
      <w:r w:rsidRPr="00582375">
        <w:rPr>
          <w:sz w:val="18"/>
          <w:szCs w:val="18"/>
        </w:rPr>
        <w:t>La única fuente de financiamiento que tiene esta empresa de participación estatal mayoritaria, son ingresos propios por la venta de bienes</w:t>
      </w:r>
    </w:p>
    <w:p w:rsidR="0046749A" w:rsidRPr="00582375" w:rsidRDefault="0046749A" w:rsidP="0046749A">
      <w:pPr>
        <w:pStyle w:val="Default"/>
        <w:rPr>
          <w:i/>
          <w:sz w:val="18"/>
          <w:szCs w:val="18"/>
        </w:rPr>
      </w:pPr>
    </w:p>
    <w:p w:rsidR="0046749A" w:rsidRPr="00582375" w:rsidRDefault="0046749A" w:rsidP="0046749A">
      <w:pPr>
        <w:pStyle w:val="Default"/>
        <w:rPr>
          <w:sz w:val="18"/>
          <w:szCs w:val="18"/>
        </w:rPr>
      </w:pPr>
      <w:r w:rsidRPr="00582375">
        <w:rPr>
          <w:i/>
          <w:sz w:val="18"/>
          <w:szCs w:val="18"/>
        </w:rPr>
        <w:t>3. Autorización e historia</w:t>
      </w:r>
      <w:r w:rsidRPr="00582375">
        <w:rPr>
          <w:sz w:val="18"/>
          <w:szCs w:val="18"/>
        </w:rPr>
        <w:t xml:space="preserve">  </w:t>
      </w:r>
    </w:p>
    <w:p w:rsidR="0046749A" w:rsidRPr="00582375" w:rsidRDefault="0046749A" w:rsidP="0046749A">
      <w:pPr>
        <w:pStyle w:val="Default"/>
        <w:jc w:val="both"/>
        <w:rPr>
          <w:sz w:val="18"/>
          <w:szCs w:val="18"/>
        </w:rPr>
      </w:pPr>
      <w:r w:rsidRPr="00582375">
        <w:rPr>
          <w:sz w:val="18"/>
          <w:szCs w:val="18"/>
        </w:rPr>
        <w:t xml:space="preserve">La compañía se constituyó el día 29 de octubre de 1990, ante la fe del notario público Lic. Rafael José Ramos Vázquez titular de la notaria publica número ochenta y uno con residencia en la ciudad de </w:t>
      </w:r>
      <w:proofErr w:type="spellStart"/>
      <w:r w:rsidRPr="00582375">
        <w:rPr>
          <w:sz w:val="18"/>
          <w:szCs w:val="18"/>
        </w:rPr>
        <w:t>Tekax</w:t>
      </w:r>
      <w:proofErr w:type="spellEnd"/>
      <w:r w:rsidRPr="00582375">
        <w:rPr>
          <w:sz w:val="18"/>
          <w:szCs w:val="18"/>
        </w:rPr>
        <w:t xml:space="preserve">, Yucatán, en cumplimiento del decreto número cuatrocientos uno publicado en el Diario Oficial del Estado de fecha veintitrés de enero de mil novecientos ochenta y siete, en el cual se decretó la liquidación de la empresa paraestatal “ Unidad de Fomento Industrial de Yucatán” en pago de las setenta y ocho mil trescientos noventa y seis acciones con un valor nominal de diez Mil pesos (antiguos) cada una y que hacen la suma de setecientos ochenta y tres mil novecientos sesenta pesos, moneda nacional (antiguos) que suscribieron, enajenan a título de aportación y a favor de la “ Fabrica de Postes Yucatán “Sociedad Anónima de Capital Variable. Por la tenencia accionaria por parte del Gobierno del Estado de Yucatán se concluye que la sociedad forma parte de la Estructura del Gobierno del Estado de Yucatán, por lo que la contabilidad de la misma se rige por la Ley del Presupuesto, Contabilidad y Gasto Público del Estado de Yucatán, en la observancia de que esta Ley es de orden público y de observancia general en el Estado de Yucatán. </w:t>
      </w:r>
    </w:p>
    <w:p w:rsidR="0046749A" w:rsidRPr="00582375" w:rsidRDefault="0046749A" w:rsidP="0046749A">
      <w:pPr>
        <w:pStyle w:val="Default"/>
        <w:jc w:val="both"/>
        <w:rPr>
          <w:sz w:val="18"/>
          <w:szCs w:val="18"/>
        </w:rPr>
      </w:pPr>
    </w:p>
    <w:p w:rsidR="0046749A" w:rsidRPr="00582375" w:rsidRDefault="0046749A" w:rsidP="0046749A">
      <w:pPr>
        <w:pStyle w:val="Default"/>
        <w:jc w:val="both"/>
        <w:rPr>
          <w:i/>
          <w:sz w:val="18"/>
          <w:szCs w:val="18"/>
        </w:rPr>
      </w:pPr>
      <w:r w:rsidRPr="00582375">
        <w:rPr>
          <w:i/>
          <w:sz w:val="18"/>
          <w:szCs w:val="18"/>
        </w:rPr>
        <w:t>4.-organización y objeto social</w:t>
      </w:r>
    </w:p>
    <w:p w:rsidR="00D3096C" w:rsidRDefault="00D3096C"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Objeto social</w:t>
      </w:r>
    </w:p>
    <w:p w:rsidR="0046749A" w:rsidRPr="00582375" w:rsidRDefault="0046749A" w:rsidP="0046749A">
      <w:pPr>
        <w:pStyle w:val="Default"/>
        <w:jc w:val="both"/>
        <w:rPr>
          <w:sz w:val="18"/>
          <w:szCs w:val="18"/>
        </w:rPr>
      </w:pPr>
      <w:r w:rsidRPr="00582375">
        <w:rPr>
          <w:sz w:val="18"/>
          <w:szCs w:val="18"/>
        </w:rPr>
        <w:t xml:space="preserve">El objeto preponderante de la sociedad es la fabricación de postes de concreto para alumbrado público y de líneas y redes de conducción de electricidad en zonas urbanas, rural y costeras. </w:t>
      </w:r>
    </w:p>
    <w:p w:rsidR="0046749A" w:rsidRDefault="0046749A" w:rsidP="0046749A">
      <w:pPr>
        <w:spacing w:after="0" w:line="240" w:lineRule="auto"/>
        <w:rPr>
          <w:rFonts w:ascii="Arial" w:eastAsia="Times New Roman" w:hAnsi="Arial" w:cs="Arial"/>
          <w:i/>
          <w:sz w:val="18"/>
          <w:szCs w:val="18"/>
          <w:lang w:eastAsia="es-MX"/>
        </w:rPr>
      </w:pP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b) Principal actividad</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 xml:space="preserve"> Fabricación y venta de postes de concreto reforzado tipo costa de diferentes medidas, registros de concreto subterráneos, muretes, señalamientos verticales (fantasmas) y diferentes productos elaborados con concreto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c) Ejercicio fiscal</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Del 1º DE Enero al 31 de Diciem</w:t>
      </w:r>
      <w:r w:rsidR="00F10FD8">
        <w:rPr>
          <w:rFonts w:ascii="Arial" w:eastAsia="Times New Roman" w:hAnsi="Arial" w:cs="Arial"/>
          <w:sz w:val="18"/>
          <w:szCs w:val="18"/>
          <w:lang w:eastAsia="es-MX"/>
        </w:rPr>
        <w:t>bre de 2017</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d) Régimen jurídico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Perso</w:t>
      </w:r>
      <w:r w:rsidR="009474AA">
        <w:rPr>
          <w:rFonts w:ascii="Arial" w:eastAsia="Times New Roman" w:hAnsi="Arial" w:cs="Arial"/>
          <w:sz w:val="18"/>
          <w:szCs w:val="18"/>
          <w:lang w:eastAsia="es-MX"/>
        </w:rPr>
        <w:t xml:space="preserve">nas Morales con fines </w:t>
      </w:r>
      <w:r w:rsidR="003F5113">
        <w:rPr>
          <w:rFonts w:ascii="Arial" w:eastAsia="Times New Roman" w:hAnsi="Arial" w:cs="Arial"/>
          <w:sz w:val="18"/>
          <w:szCs w:val="18"/>
          <w:lang w:eastAsia="es-MX"/>
        </w:rPr>
        <w:t>lucrativos</w:t>
      </w: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e) Consideraciones fiscales del ente:</w:t>
      </w: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IMPUESTO SOBRE LA RENTA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provisional mensual de pagos de ISR</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provisional mensual de retenciones ISR por sueldos y salarios.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anual de ISR</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anual de ISR Retenciones (pagos y retenciones de servicios profesionales, fletes y acarreos).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Presentar declaración anual sobre retenciones de los trabajadores que recibieron sueldos y salarios </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la declaración informativa anual de subsidio para el empleo.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IMPUESTO AL VALOR AGREGADO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definitivo mensual de pagos del IVA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definitivo mensual de pagos de Retenciones Efectuadas de IVA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informativa mensual de operaciones con terceros (proveedores)</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 xml:space="preserve">IMPUESTO ESTATAL SOBRE NOMINAS DEL 2.5% + 1.5% POR DECRETO </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Presentación de la declaración mensual sobre erogaciones al personal subordinado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IMPUESTO POR APROVECHAMIENTO DE AGUAS NACIONALES Y DESCARGAR RESIDUALES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la declaración y pago definitivo trimestral</w:t>
      </w:r>
    </w:p>
    <w:p w:rsidR="00D3096C" w:rsidRDefault="00D3096C"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B2888" w:rsidRDefault="00DB2888" w:rsidP="0046749A">
      <w:pPr>
        <w:spacing w:after="0" w:line="240" w:lineRule="auto"/>
        <w:rPr>
          <w:rFonts w:ascii="Arial" w:eastAsia="Times New Roman" w:hAnsi="Arial" w:cs="Arial"/>
          <w:sz w:val="18"/>
          <w:szCs w:val="18"/>
          <w:lang w:eastAsia="es-MX"/>
        </w:rPr>
      </w:pPr>
    </w:p>
    <w:p w:rsidR="00D3096C"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f) Estructura organizacional básica</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hAnsi="Arial" w:cs="Arial"/>
          <w:noProof/>
          <w:sz w:val="18"/>
          <w:szCs w:val="18"/>
          <w:lang w:eastAsia="es-MX"/>
        </w:rPr>
        <mc:AlternateContent>
          <mc:Choice Requires="wps">
            <w:drawing>
              <wp:anchor distT="0" distB="0" distL="114300" distR="114300" simplePos="0" relativeHeight="251659264" behindDoc="0" locked="0" layoutInCell="1" allowOverlap="1" wp14:anchorId="1128B35A" wp14:editId="61753D50">
                <wp:simplePos x="0" y="0"/>
                <wp:positionH relativeFrom="column">
                  <wp:posOffset>1362060</wp:posOffset>
                </wp:positionH>
                <wp:positionV relativeFrom="paragraph">
                  <wp:posOffset>92710</wp:posOffset>
                </wp:positionV>
                <wp:extent cx="3177540" cy="342900"/>
                <wp:effectExtent l="0" t="0" r="381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9A" w:rsidRPr="007A266A" w:rsidRDefault="0046749A" w:rsidP="0046749A">
                            <w:pPr>
                              <w:jc w:val="center"/>
                              <w:rPr>
                                <w:b/>
                              </w:rPr>
                            </w:pPr>
                            <w:r>
                              <w:rPr>
                                <w:b/>
                              </w:rPr>
                              <w:t>Fábrica de Postes Yucatán S.A. de C.V.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1" o:spid="_x0000_s1026" type="#_x0000_t202" style="position:absolute;margin-left:107.25pt;margin-top:7.3pt;width:250.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" stroked="f">
                <v:textbox>
                  <w:txbxContent>
                    <w:p w:rsidR="0046749A" w:rsidRPr="007A266A" w:rsidRDefault="0046749A" w:rsidP="0046749A">
                      <w:pPr>
                        <w:jc w:val="center"/>
                        <w:rPr>
                          <w:b/>
                        </w:rPr>
                      </w:pPr>
                      <w:r>
                        <w:rPr>
                          <w:b/>
                        </w:rPr>
                        <w:t>Fábrica de Postes Yucatán S.A. de C.V.</w:t>
                      </w:r>
                    </w:p>
                  </w:txbxContent>
                </v:textbox>
              </v:shape>
            </w:pict>
          </mc:Fallback>
        </mc:AlternateContent>
      </w:r>
    </w:p>
    <w:p w:rsidR="0046749A" w:rsidRDefault="0046749A" w:rsidP="0046749A">
      <w:pPr>
        <w:spacing w:after="0" w:line="240" w:lineRule="auto"/>
        <w:rPr>
          <w:rFonts w:ascii="Arial" w:eastAsia="Times New Roman" w:hAnsi="Arial" w:cs="Arial"/>
          <w:sz w:val="18"/>
          <w:szCs w:val="18"/>
          <w:lang w:eastAsia="es-MX"/>
        </w:rPr>
      </w:pPr>
    </w:p>
    <w:p w:rsidR="0046749A" w:rsidRDefault="0046749A" w:rsidP="0046749A">
      <w:pPr>
        <w:spacing w:after="0" w:line="240" w:lineRule="auto"/>
        <w:rPr>
          <w:rFonts w:ascii="Arial" w:eastAsia="Times New Roman" w:hAnsi="Arial" w:cs="Arial"/>
          <w:sz w:val="18"/>
          <w:szCs w:val="18"/>
          <w:lang w:eastAsia="es-MX"/>
        </w:rPr>
      </w:pPr>
    </w:p>
    <w:p w:rsidR="0046749A" w:rsidRPr="009474AA" w:rsidRDefault="009474AA" w:rsidP="009474AA">
      <w:pPr>
        <w:spacing w:after="0" w:line="240" w:lineRule="auto"/>
        <w:rPr>
          <w:rFonts w:ascii="Arial" w:eastAsia="Times New Roman" w:hAnsi="Arial" w:cs="Arial"/>
          <w:sz w:val="18"/>
          <w:szCs w:val="18"/>
          <w:lang w:eastAsia="es-MX"/>
        </w:rPr>
      </w:pPr>
      <w:r>
        <w:rPr>
          <w:rFonts w:ascii="Arial" w:hAnsi="Arial" w:cs="Arial"/>
          <w:noProof/>
          <w:sz w:val="18"/>
          <w:szCs w:val="18"/>
          <w:lang w:eastAsia="es-MX"/>
        </w:rPr>
        <w:drawing>
          <wp:inline distT="0" distB="0" distL="0" distR="0" wp14:anchorId="31D50287" wp14:editId="53CEBBB3">
            <wp:extent cx="6057900" cy="28003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0" cy="2800350"/>
                    </a:xfrm>
                    <a:prstGeom prst="rect">
                      <a:avLst/>
                    </a:prstGeom>
                    <a:noFill/>
                  </pic:spPr>
                </pic:pic>
              </a:graphicData>
            </a:graphic>
          </wp:inline>
        </w:drawing>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g) Fideicomisos, mandatos y análogos de los cuales es fideicomitente o fiduciario.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Default="0046749A" w:rsidP="0046749A">
      <w:pPr>
        <w:jc w:val="both"/>
        <w:rPr>
          <w:rFonts w:ascii="Arial" w:eastAsia="Times New Roman" w:hAnsi="Arial" w:cs="Arial"/>
          <w:b/>
          <w:color w:val="333333"/>
          <w:sz w:val="18"/>
          <w:szCs w:val="18"/>
          <w:lang w:eastAsia="es-ES"/>
        </w:rPr>
      </w:pP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5. Base para la Preparación de estados financieros</w:t>
      </w:r>
    </w:p>
    <w:p w:rsidR="0046749A" w:rsidRDefault="0046749A" w:rsidP="0046749A">
      <w:pPr>
        <w:jc w:val="both"/>
        <w:rPr>
          <w:rFonts w:ascii="Arial" w:hAnsi="Arial" w:cs="Arial"/>
          <w:color w:val="000000"/>
          <w:sz w:val="18"/>
          <w:szCs w:val="18"/>
        </w:rPr>
      </w:pPr>
      <w:r w:rsidRPr="00582375">
        <w:rPr>
          <w:rFonts w:ascii="Arial" w:hAnsi="Arial" w:cs="Arial"/>
          <w:color w:val="000000"/>
          <w:sz w:val="18"/>
          <w:szCs w:val="18"/>
        </w:rPr>
        <w:t xml:space="preserve"> En cumplimiento a lo previsto en el artículo cuarto transitorio de la Ley General de Contabilidad Gubernamental, realizan sus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lastRenderedPageBreak/>
        <w:t>6. Principales Políticas y Prácticas Contables</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Efectivo y equivalentes de efectivo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Esta cuenta se encuentra representada principalmente por depósitos y retiros bancarios en cuenta de cheques e inversiones, cuyos rendimientos y comisiones se reconocen en los resultados del ejercicio. El efectivo se presenta a valor nominal.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Cuentas por cobrar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Esta cuenta se presenta de acuerdo a su valor nominal de recuperación liquida, sin reconocimiento en los estados financieros de una estimación para aquellos saldos de dudosa recuperación. </w:t>
      </w:r>
    </w:p>
    <w:p w:rsidR="0046749A" w:rsidRPr="00D318FE"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Inventario y Costo de Ventas</w:t>
      </w: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Los Inventarios Se Presentan a su costo de Adquisición y/o producción, y las salidas se evalúan por el método de promedios</w:t>
      </w: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Pagos Anticipados</w:t>
      </w:r>
    </w:p>
    <w:p w:rsidR="0046749A" w:rsidRDefault="0046749A" w:rsidP="0046749A">
      <w:pPr>
        <w:jc w:val="both"/>
        <w:rPr>
          <w:rFonts w:ascii="Arial" w:hAnsi="Arial" w:cs="Arial"/>
          <w:color w:val="000000"/>
          <w:sz w:val="18"/>
          <w:szCs w:val="18"/>
        </w:rPr>
      </w:pPr>
      <w:r w:rsidRPr="00582375">
        <w:rPr>
          <w:rFonts w:ascii="Arial" w:hAnsi="Arial" w:cs="Arial"/>
          <w:color w:val="000000"/>
          <w:sz w:val="18"/>
          <w:szCs w:val="18"/>
        </w:rPr>
        <w:t>Estas partidas se registraran a su costo de adquisición y se aplican a resultados en el periodo durante el cual se consumen los bienes, se devengan los servicios o se obtienen los beneficios del pago hecho por anticipado</w:t>
      </w: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 xml:space="preserve">Inmuebles, Maquinaria y Equipos </w:t>
      </w:r>
    </w:p>
    <w:p w:rsidR="0046749A" w:rsidRPr="00582375" w:rsidRDefault="0046749A" w:rsidP="0046749A">
      <w:pPr>
        <w:jc w:val="both"/>
        <w:rPr>
          <w:rFonts w:ascii="Arial" w:hAnsi="Arial" w:cs="Arial"/>
          <w:sz w:val="18"/>
          <w:szCs w:val="18"/>
        </w:rPr>
      </w:pPr>
      <w:r w:rsidRPr="00582375">
        <w:rPr>
          <w:rFonts w:ascii="Arial" w:hAnsi="Arial" w:cs="Arial"/>
          <w:sz w:val="18"/>
          <w:szCs w:val="18"/>
        </w:rPr>
        <w:t>Las inversiones de activo fijo se registran a su costo de adquisición estos se deprecian bajo el método de línea recta, utilizando los siguientes porcentajes anuales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3353"/>
      </w:tblGrid>
      <w:tr w:rsidR="0046749A" w:rsidRPr="00582375" w:rsidTr="004F5E9F">
        <w:trPr>
          <w:trHeight w:val="207"/>
        </w:trPr>
        <w:tc>
          <w:tcPr>
            <w:tcW w:w="3353" w:type="dxa"/>
            <w:vAlign w:val="bottom"/>
          </w:tcPr>
          <w:p w:rsidR="0046749A" w:rsidRPr="00582375" w:rsidRDefault="0046749A" w:rsidP="004F5E9F">
            <w:pPr>
              <w:jc w:val="center"/>
              <w:rPr>
                <w:rFonts w:ascii="Arial" w:hAnsi="Arial" w:cs="Arial"/>
                <w:sz w:val="18"/>
                <w:szCs w:val="18"/>
              </w:rPr>
            </w:pPr>
            <w:r w:rsidRPr="00582375">
              <w:rPr>
                <w:rFonts w:ascii="Arial" w:hAnsi="Arial" w:cs="Arial"/>
                <w:sz w:val="18"/>
                <w:szCs w:val="18"/>
              </w:rPr>
              <w:t>INVERSIONES</w:t>
            </w:r>
          </w:p>
        </w:tc>
        <w:tc>
          <w:tcPr>
            <w:tcW w:w="3353" w:type="dxa"/>
            <w:vAlign w:val="bottom"/>
          </w:tcPr>
          <w:p w:rsidR="0046749A" w:rsidRPr="00582375" w:rsidRDefault="0046749A" w:rsidP="004F5E9F">
            <w:pPr>
              <w:jc w:val="center"/>
              <w:rPr>
                <w:rFonts w:ascii="Arial" w:hAnsi="Arial" w:cs="Arial"/>
                <w:sz w:val="18"/>
                <w:szCs w:val="18"/>
              </w:rPr>
            </w:pPr>
            <w:r w:rsidRPr="00582375">
              <w:rPr>
                <w:rFonts w:ascii="Arial" w:hAnsi="Arial" w:cs="Arial"/>
                <w:sz w:val="18"/>
                <w:szCs w:val="18"/>
              </w:rPr>
              <w:t>TASA</w:t>
            </w:r>
          </w:p>
        </w:tc>
      </w:tr>
      <w:tr w:rsidR="0046749A" w:rsidRPr="00582375" w:rsidTr="004F5E9F">
        <w:trPr>
          <w:trHeight w:val="20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EDIFICIOS</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5 %</w:t>
            </w:r>
          </w:p>
        </w:tc>
      </w:tr>
      <w:tr w:rsidR="0046749A" w:rsidRPr="00582375" w:rsidTr="004F5E9F">
        <w:trPr>
          <w:trHeight w:val="20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MAQ Y EQUIPO</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10 %</w:t>
            </w:r>
          </w:p>
        </w:tc>
      </w:tr>
      <w:tr w:rsidR="0046749A" w:rsidRPr="00582375" w:rsidTr="004F5E9F">
        <w:trPr>
          <w:trHeight w:val="20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MOB Y EQUIPO DE OF</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10 %</w:t>
            </w:r>
          </w:p>
        </w:tc>
      </w:tr>
      <w:tr w:rsidR="0046749A" w:rsidRPr="00582375" w:rsidTr="004F5E9F">
        <w:trPr>
          <w:trHeight w:val="20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EQUIPO DE TRANSPORTE</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20 %</w:t>
            </w:r>
          </w:p>
        </w:tc>
      </w:tr>
      <w:tr w:rsidR="0046749A" w:rsidRPr="00582375" w:rsidTr="004F5E9F">
        <w:trPr>
          <w:trHeight w:val="20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lastRenderedPageBreak/>
              <w:t>EQUIPO DE LABORATORIO</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10 %</w:t>
            </w:r>
          </w:p>
        </w:tc>
      </w:tr>
      <w:tr w:rsidR="0046749A" w:rsidRPr="00582375" w:rsidTr="004F5E9F">
        <w:trPr>
          <w:trHeight w:val="20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EQUIPO DE COMPUTO</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30 %</w:t>
            </w:r>
          </w:p>
        </w:tc>
      </w:tr>
    </w:tbl>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Costo Histórico.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Las operaciones contables que se presentan fueron registradas a su valor histórico de adquisición sin incluir los efectos de re-evaluación por inflación. </w:t>
      </w:r>
    </w:p>
    <w:p w:rsidR="0046749A" w:rsidRPr="00582375" w:rsidRDefault="0046749A" w:rsidP="0046749A">
      <w:pPr>
        <w:autoSpaceDE w:val="0"/>
        <w:autoSpaceDN w:val="0"/>
        <w:adjustRightInd w:val="0"/>
        <w:spacing w:after="0" w:line="240" w:lineRule="auto"/>
        <w:rPr>
          <w:rFonts w:ascii="Arial" w:hAnsi="Arial" w:cs="Arial"/>
          <w:b/>
          <w:bCs/>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Registro de los Ingresos.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rPr>
          <w:rFonts w:ascii="Arial" w:hAnsi="Arial" w:cs="Arial"/>
          <w:sz w:val="18"/>
          <w:szCs w:val="18"/>
        </w:rPr>
      </w:pPr>
      <w:r w:rsidRPr="00582375">
        <w:rPr>
          <w:rFonts w:ascii="Arial" w:hAnsi="Arial" w:cs="Arial"/>
          <w:sz w:val="18"/>
          <w:szCs w:val="18"/>
        </w:rPr>
        <w:t>Los ingresos son registrados cuando se de cualquiera de los siguientes supuestos, el que ocurra primero:</w:t>
      </w:r>
    </w:p>
    <w:p w:rsidR="0046749A" w:rsidRPr="00582375" w:rsidRDefault="0046749A" w:rsidP="0046749A">
      <w:pPr>
        <w:pStyle w:val="Sinespaciado"/>
        <w:rPr>
          <w:rFonts w:ascii="Arial" w:hAnsi="Arial" w:cs="Arial"/>
          <w:sz w:val="18"/>
          <w:szCs w:val="18"/>
        </w:rPr>
      </w:pPr>
      <w:r w:rsidRPr="00582375">
        <w:rPr>
          <w:rFonts w:ascii="Arial" w:hAnsi="Arial" w:cs="Arial"/>
          <w:sz w:val="18"/>
          <w:szCs w:val="18"/>
        </w:rPr>
        <w:t>-Se expida el comprobante que ampare el precio o la contraprestación  pactada</w:t>
      </w:r>
    </w:p>
    <w:p w:rsidR="0046749A" w:rsidRPr="00582375" w:rsidRDefault="0046749A" w:rsidP="0046749A">
      <w:pPr>
        <w:pStyle w:val="Sinespaciado"/>
        <w:rPr>
          <w:rFonts w:ascii="Arial" w:hAnsi="Arial" w:cs="Arial"/>
          <w:sz w:val="18"/>
          <w:szCs w:val="18"/>
        </w:rPr>
      </w:pPr>
      <w:r w:rsidRPr="00582375">
        <w:rPr>
          <w:rFonts w:ascii="Arial" w:hAnsi="Arial" w:cs="Arial"/>
          <w:sz w:val="18"/>
          <w:szCs w:val="18"/>
        </w:rPr>
        <w:t>-Se envíe o entregue materialmente el bien</w:t>
      </w:r>
    </w:p>
    <w:p w:rsidR="0046749A" w:rsidRPr="00582375" w:rsidRDefault="0046749A" w:rsidP="0046749A">
      <w:pPr>
        <w:pStyle w:val="Sinespaciado"/>
        <w:rPr>
          <w:rFonts w:ascii="Arial" w:hAnsi="Arial" w:cs="Arial"/>
          <w:sz w:val="18"/>
          <w:szCs w:val="18"/>
        </w:rPr>
      </w:pPr>
      <w:r w:rsidRPr="00582375">
        <w:rPr>
          <w:rFonts w:ascii="Arial" w:hAnsi="Arial" w:cs="Arial"/>
          <w:sz w:val="18"/>
          <w:szCs w:val="18"/>
        </w:rPr>
        <w:t>-Se cobre o sea exigible total o parcialmente el precio o la contra prestación pactada aun cuando  provenga de anticipos</w:t>
      </w:r>
    </w:p>
    <w:p w:rsidR="0046749A" w:rsidRPr="00582375" w:rsidRDefault="0046749A" w:rsidP="0046749A">
      <w:pPr>
        <w:pStyle w:val="Sinespaciado"/>
        <w:rPr>
          <w:rFonts w:ascii="Arial" w:hAnsi="Arial" w:cs="Arial"/>
          <w:sz w:val="18"/>
          <w:szCs w:val="18"/>
        </w:rPr>
      </w:pPr>
    </w:p>
    <w:p w:rsidR="0046749A"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Registro de los egresos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Los egresos se registran en el momento que las cuentas por Cobrar son autorizadas por el Director General y a la cuenta por pagar se adjuntan los documentos que amparan la adquisición de los bienes o la prestación de los servicios.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Las adquisiciones de materias primas y materiales se registran directamente al almacén y posteriormente cuando se utilizan y se transforman se traspasan a la cuenta de productos terminados, para posteriormente cuando el producto se vende, se traspasa de producto terminado a la cuenta de costo de lo vendido.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Las adquisiciones de bienes y suministros son consideradas directamente como gastos y su utilización es generalmente inmediata.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Capital Social</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Integración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El capital social de la compañía es variable, con un mínimo fijo sin derecho a retiro de $784,000.00MN. </w:t>
      </w:r>
      <w:proofErr w:type="gramStart"/>
      <w:r w:rsidRPr="00582375">
        <w:rPr>
          <w:rFonts w:ascii="Arial" w:hAnsi="Arial" w:cs="Arial"/>
          <w:color w:val="000000"/>
          <w:sz w:val="18"/>
          <w:szCs w:val="18"/>
        </w:rPr>
        <w:t>y</w:t>
      </w:r>
      <w:proofErr w:type="gramEnd"/>
      <w:r w:rsidRPr="00582375">
        <w:rPr>
          <w:rFonts w:ascii="Arial" w:hAnsi="Arial" w:cs="Arial"/>
          <w:color w:val="000000"/>
          <w:sz w:val="18"/>
          <w:szCs w:val="18"/>
        </w:rPr>
        <w:t xml:space="preserve"> un máximo ilimi</w:t>
      </w:r>
      <w:r w:rsidR="00C44C49">
        <w:rPr>
          <w:rFonts w:ascii="Arial" w:hAnsi="Arial" w:cs="Arial"/>
          <w:color w:val="000000"/>
          <w:sz w:val="18"/>
          <w:szCs w:val="18"/>
        </w:rPr>
        <w:t>tado. Al 31 de diciembre de 2016</w:t>
      </w:r>
      <w:r w:rsidRPr="00582375">
        <w:rPr>
          <w:rFonts w:ascii="Arial" w:hAnsi="Arial" w:cs="Arial"/>
          <w:color w:val="000000"/>
          <w:sz w:val="18"/>
          <w:szCs w:val="18"/>
        </w:rPr>
        <w:t xml:space="preserve">, el capital social está representado de acuerdo a lo siguiente: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2366"/>
        <w:gridCol w:w="1183"/>
        <w:gridCol w:w="1183"/>
        <w:gridCol w:w="2366"/>
      </w:tblGrid>
      <w:tr w:rsidR="0046749A" w:rsidRPr="00582375" w:rsidTr="004F5E9F">
        <w:trPr>
          <w:trHeight w:val="249"/>
        </w:trPr>
        <w:tc>
          <w:tcPr>
            <w:tcW w:w="3549" w:type="dxa"/>
            <w:gridSpan w:val="2"/>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                       Número de Acciones </w:t>
            </w:r>
          </w:p>
        </w:tc>
        <w:tc>
          <w:tcPr>
            <w:tcW w:w="3549" w:type="dxa"/>
            <w:gridSpan w:val="2"/>
          </w:tcPr>
          <w:p w:rsidR="0046749A" w:rsidRPr="00582375" w:rsidRDefault="0046749A" w:rsidP="004F5E9F">
            <w:pPr>
              <w:autoSpaceDE w:val="0"/>
              <w:autoSpaceDN w:val="0"/>
              <w:adjustRightInd w:val="0"/>
              <w:spacing w:after="0" w:line="240" w:lineRule="auto"/>
              <w:jc w:val="center"/>
              <w:rPr>
                <w:rFonts w:ascii="Arial" w:hAnsi="Arial" w:cs="Arial"/>
                <w:color w:val="000000"/>
                <w:sz w:val="18"/>
                <w:szCs w:val="18"/>
              </w:rPr>
            </w:pPr>
            <w:r w:rsidRPr="00582375">
              <w:rPr>
                <w:rFonts w:ascii="Arial" w:hAnsi="Arial" w:cs="Arial"/>
                <w:color w:val="000000"/>
                <w:sz w:val="18"/>
                <w:szCs w:val="18"/>
              </w:rPr>
              <w:t>Importe</w:t>
            </w:r>
          </w:p>
        </w:tc>
      </w:tr>
      <w:tr w:rsidR="0046749A" w:rsidRPr="00582375" w:rsidTr="004F5E9F">
        <w:trPr>
          <w:trHeight w:val="112"/>
        </w:trPr>
        <w:tc>
          <w:tcPr>
            <w:tcW w:w="2366" w:type="dxa"/>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Capital Fijo </w:t>
            </w:r>
          </w:p>
        </w:tc>
        <w:tc>
          <w:tcPr>
            <w:tcW w:w="2366" w:type="dxa"/>
            <w:gridSpan w:val="2"/>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78,400 </w:t>
            </w:r>
          </w:p>
        </w:tc>
        <w:tc>
          <w:tcPr>
            <w:tcW w:w="2366" w:type="dxa"/>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$784,000.00 </w:t>
            </w:r>
          </w:p>
        </w:tc>
      </w:tr>
      <w:tr w:rsidR="0046749A" w:rsidRPr="00582375" w:rsidTr="004F5E9F">
        <w:trPr>
          <w:trHeight w:val="112"/>
        </w:trPr>
        <w:tc>
          <w:tcPr>
            <w:tcW w:w="2366" w:type="dxa"/>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b/>
                <w:bCs/>
                <w:color w:val="000000"/>
                <w:sz w:val="18"/>
                <w:szCs w:val="18"/>
              </w:rPr>
              <w:t xml:space="preserve">TOTAL </w:t>
            </w:r>
          </w:p>
        </w:tc>
        <w:tc>
          <w:tcPr>
            <w:tcW w:w="2366" w:type="dxa"/>
            <w:gridSpan w:val="2"/>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b/>
                <w:bCs/>
                <w:color w:val="000000"/>
                <w:sz w:val="18"/>
                <w:szCs w:val="18"/>
              </w:rPr>
              <w:t xml:space="preserve">78,400 </w:t>
            </w:r>
          </w:p>
        </w:tc>
        <w:tc>
          <w:tcPr>
            <w:tcW w:w="2366" w:type="dxa"/>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b/>
                <w:bCs/>
                <w:color w:val="000000"/>
                <w:sz w:val="18"/>
                <w:szCs w:val="18"/>
              </w:rPr>
              <w:t xml:space="preserve">$784,000.00 </w:t>
            </w:r>
          </w:p>
        </w:tc>
      </w:tr>
    </w:tbl>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El valor del capital social expresado a pesos de poder adquisit</w:t>
      </w:r>
      <w:r w:rsidR="00C44C49">
        <w:rPr>
          <w:rFonts w:ascii="Arial" w:hAnsi="Arial" w:cs="Arial"/>
          <w:color w:val="000000"/>
          <w:sz w:val="18"/>
          <w:szCs w:val="18"/>
        </w:rPr>
        <w:t>ivo del 31 de diciembre del 2016</w:t>
      </w:r>
      <w:r w:rsidRPr="00582375">
        <w:rPr>
          <w:rFonts w:ascii="Arial" w:hAnsi="Arial" w:cs="Arial"/>
          <w:color w:val="000000"/>
          <w:sz w:val="18"/>
          <w:szCs w:val="18"/>
        </w:rPr>
        <w:t xml:space="preserve"> es el que se muestra en el estado de situación financiera. </w:t>
      </w:r>
    </w:p>
    <w:p w:rsidR="002A4351"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lastRenderedPageBreak/>
        <w:t xml:space="preserve"> Impuesto sobre la renta en caso de Reducción de capital social.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De conformidad con lo establecido en la Ley del Impuesto Sobre la Renta, las personas morales podrán reducir su capital social a valores constantes; sin que dicha reducción se considere pago por distribución de utilidades y por ello sin causación del citado gravamen, hasta una cantidad equivalente al capital de aportación actualizado, que define el artículo </w:t>
      </w:r>
      <w:r w:rsidRPr="00582375">
        <w:rPr>
          <w:rFonts w:ascii="Arial" w:hAnsi="Arial" w:cs="Arial"/>
          <w:sz w:val="18"/>
          <w:szCs w:val="18"/>
        </w:rPr>
        <w:t xml:space="preserve">89 de ordenamiento citado,  cuyo </w:t>
      </w:r>
      <w:r w:rsidR="00C44C49">
        <w:rPr>
          <w:rFonts w:ascii="Arial" w:hAnsi="Arial" w:cs="Arial"/>
          <w:sz w:val="18"/>
          <w:szCs w:val="18"/>
        </w:rPr>
        <w:t>monto al 31 de diciembre de 2016</w:t>
      </w:r>
      <w:r>
        <w:rPr>
          <w:rFonts w:ascii="Arial" w:hAnsi="Arial" w:cs="Arial"/>
          <w:sz w:val="18"/>
          <w:szCs w:val="18"/>
        </w:rPr>
        <w:t xml:space="preserve"> asciende a $2</w:t>
      </w:r>
      <w:proofErr w:type="gramStart"/>
      <w:r>
        <w:rPr>
          <w:rFonts w:ascii="Arial" w:hAnsi="Arial" w:cs="Arial"/>
          <w:sz w:val="18"/>
          <w:szCs w:val="18"/>
        </w:rPr>
        <w:t>,531,997</w:t>
      </w:r>
      <w:proofErr w:type="gramEnd"/>
      <w:r w:rsidRPr="00582375">
        <w:rPr>
          <w:rFonts w:ascii="Arial" w:hAnsi="Arial" w:cs="Arial"/>
          <w:sz w:val="18"/>
          <w:szCs w:val="18"/>
        </w:rPr>
        <w:t xml:space="preserve"> MN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Utilidades acumuladas.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De conformidad con lo dispuesto por la Ley del Impuesto Sobre la Renta vigente a partir de 1999, las personas morales podrán decretar dividendos con cargo a la cuenta utilidad fiscal neta reinvertida o de la cuenta utilidad fiscal neta, por lo que en materia del citado impuesto, los dividendos que se distribuyan estarán sujetos a los siguientes lineamientos: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a) Dividendos que se distribuyan con cargo a la cuenta de utilidad fiscal neta reinvertida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Cuando los dividendos que se paguen provengan de la cuenta de utilidad fiscal neta reinvertida, la compañía deberá pagar el impuesto causado que para efectos fiscales haya diferido a partir del ejercicio 1999, debiendo aplicar la tasa de 3% al resultado de multiplicar el monto del dividendo distribuido para el factor de 1.3889 si las utilidades que se distribuyen corresponden al ejercicio 1999, o bien, de 5% si las utilidades que se distribuyen corresponden a los ejercicios 2000 o 2001.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A partir del 1º. De enero de 2002, la Ley del Impuesto Sobre la Renta ya no considera la determinación de este concepto.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b) Dividendos que se distribuyan con cargo a la cuenta de utilidad fiscal neta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Cuando los dividendos que se paguen provengan de la cuenta de utilidad fiscal neta, no causarán ni procederá retención d</w:t>
      </w:r>
      <w:r>
        <w:rPr>
          <w:rFonts w:ascii="Arial" w:hAnsi="Arial" w:cs="Arial"/>
          <w:sz w:val="18"/>
          <w:szCs w:val="18"/>
        </w:rPr>
        <w:t xml:space="preserve">e impuesto sobre la renta.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c) Dividendos que se distribuyan y que no provengan de la cuenta de utilidad fiscal neta reinvertida o utilidad fiscal neta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Los dividendos que se paguen, tanto a personas físicas o morales, que no provengan de la cuenta señalada en el inciso a) anterior, causarán impuesto sobre la renta a cargo de la empresa, a la tasa de 30%, la cual deberá aplicarse a la cantidad que se obtenga de multiplicar los dividendos distribuidos por el factor de 1.4286. El impuesto pagado podrá acreditarse contra el impuesto sobre la renta a cargo de la compañía, en los tres ejercicios siguientes a aquél en que se cause el impuesto correspondiente a las utilidades distribuidas.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d) Límite a la distribución de dividendos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El importe que se distribuya como dividendo en ningún caso debe exceder de las utilidades contables repartibles, según los dispone la Ley General de Sociedades Mercantiles. Asimismo, las utilidades que la empresa obtenga se encuentran sujetas a una separación de 5% para incrementar la reserva legal, hasta que ésta sea igual a 20% del capital social que se presenta en el estado de situación financiera.</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7. Posición en Moneda Extranjera y Protección por Riesgo Cambiario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Activos en moneda extranjera: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Pasivos en moneda extranjera: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 Posición en moneda extranjera: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2A4351"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 Tipo de cambio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 Equivalente en moneda nacional:</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Lo anterior por cada tipo de moneda extranjera que se encuentre en los rubros de activo y pasivo. Adicionalmente se informará sobre los métodos de protección de riesgo por variaciones en el tipo de cambio.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8. Reporte Analítico del Activo: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Vida útil o porcentajes de depreciación, deterioro o amortización utilizados en los diferentes tipos de activos:</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INVERSIONES                                              TASA</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EDIFICIOS                                                         5%</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MAQUINARIA Y EQUIPO                             10%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MOBILIARIO Y EQUIPO DE OFICINA          10%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EQUIPO DE TRANSPORTE                           20%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EQUIPO DE LABORATORIO                         10%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EQUIPO DE CÓMPUTO                                30%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Cambios en el porcentaje de depreciación o valor residual de los activos: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2A4351" w:rsidRDefault="002A4351"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 Importe de los gastos capitalizados en el ejercicio, tanto financieros como de investigación y desarrollo: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 Riegos por tipo de cambio o tipo de interés de las inversiones financieras: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 Valor activado en el ejercicio de los bienes construidos por la entidad:</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f) Otras circunstancias de carácter significativo que afecten el activo, tales como bienes en garantía, señalados en embargos, litigios, títulos de inversiones entregados en garantías, baja significativa del valor de inversiones financieras, etc.</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No existe una circunstancia que afecte al activo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g) Desmantelamiento de Activos, procedimientos, implicaciones, efectos contables: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h) Administración de activos; planeación con el objetivo de que el ente los utilice de manera más efectiva: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Los Activos se usan de la manera más efectiva </w:t>
      </w:r>
    </w:p>
    <w:p w:rsidR="0046749A" w:rsidRPr="00582375" w:rsidRDefault="0046749A" w:rsidP="0046749A">
      <w:pPr>
        <w:spacing w:after="0" w:line="240" w:lineRule="auto"/>
        <w:rPr>
          <w:rFonts w:ascii="Arial" w:eastAsia="Times New Roman" w:hAnsi="Arial" w:cs="Arial"/>
          <w:sz w:val="18"/>
          <w:szCs w:val="18"/>
          <w:lang w:eastAsia="es-MX"/>
        </w:rPr>
      </w:pPr>
    </w:p>
    <w:p w:rsidR="002A4351" w:rsidRDefault="002A4351" w:rsidP="0046749A">
      <w:pPr>
        <w:spacing w:after="0" w:line="240" w:lineRule="auto"/>
        <w:rPr>
          <w:rFonts w:ascii="Arial" w:eastAsia="Times New Roman" w:hAnsi="Arial" w:cs="Arial"/>
          <w:sz w:val="18"/>
          <w:szCs w:val="18"/>
          <w:lang w:eastAsia="es-MX"/>
        </w:rPr>
      </w:pPr>
    </w:p>
    <w:p w:rsidR="002A4351" w:rsidRDefault="002A4351"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Adicionalmente, se deben incluir las explicaciones de las principales variaciones en el activo, en cuadros comparativos como sigue:</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Inversiones en valores: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Esta Información se presenta en las Notas de Información Financiera</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Patrimonio de Organismos descentralizados de Control Presupuestario Indirecto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 Inversiones en empresas de participación mayoritaria: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 Inversiones en empresas de participación minoritaria: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 Patrimonio de organismos descentralizados de control presupuestario directo, según corresponda: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9. Fideicomisos, Mandatos y Análogos:</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Por ramo administrativo que los reporta: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Enlistar los de mayor monto de disponibilidad, relacionando aquéllos que conforman el 80% de las disponibilidades: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10. Reporte de la Recaudación:</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Análisis del comportamiento de la recaudación correspondiente al ente público o cualquier tipo de ingreso, de forma separada los ingresos locales de los federales: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Esta Información se presenta en las Notas de Información Financiera</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Proyección de la recaudación e ingresos en el mediano plazo: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Utilizar al menos los siguientes indicadores: deuda respecto al PIB y deuda respecto a la recaudación tomando, como mínimo, un período igual o menor a 5 años.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No Aplica para Fábrica de Postes Yucatán SA de CV, debido a que no cuenta con Deuda Pública.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Información de manera agrupada por tipo de valor gubernamental o instrumento financiero en la que se considere intereses, comisiones, tasa, perfil de vencimiento y otros gastos de la deuda.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No Aplica para Fábrica de Postes Yucatán SA de CV, debido a que no cuenta con Deuda Pública.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12. Calificaciones otorgadas: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Informar, tanto del ente público como cualquier transacción realizada, que haya sido sujeta a una calificación crediticia: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13. Proceso de Mejora: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Se informará de:</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Principales Políticas de control interno:</w:t>
      </w:r>
      <w:r w:rsidR="000A1FD3">
        <w:rPr>
          <w:rFonts w:ascii="Arial" w:eastAsia="Times New Roman" w:hAnsi="Arial" w:cs="Arial"/>
          <w:sz w:val="18"/>
          <w:szCs w:val="18"/>
          <w:lang w:eastAsia="es-MX"/>
        </w:rPr>
        <w:t xml:space="preserve"> </w:t>
      </w:r>
      <w:r w:rsidRPr="00582375">
        <w:rPr>
          <w:rFonts w:ascii="Arial" w:eastAsia="Times New Roman" w:hAnsi="Arial" w:cs="Arial"/>
          <w:sz w:val="18"/>
          <w:szCs w:val="18"/>
          <w:lang w:eastAsia="es-MX"/>
        </w:rPr>
        <w:t>Se está actualizando los Manuales de Procedimientos y de Organización con los que cuenta la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Medidas de desempeño financiero, metas y alcance:</w:t>
      </w:r>
    </w:p>
    <w:p w:rsidR="0046749A" w:rsidRPr="00582375" w:rsidRDefault="0046749A" w:rsidP="0046749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No aplica para Fábrica de Postes Yucatán SA de CV</w:t>
      </w:r>
      <w:r w:rsidRPr="00582375">
        <w:rPr>
          <w:rFonts w:ascii="Arial" w:eastAsia="Times New Roman" w:hAnsi="Arial" w:cs="Arial"/>
          <w:sz w:val="18"/>
          <w:szCs w:val="18"/>
          <w:lang w:eastAsia="es-MX"/>
        </w:rPr>
        <w:t>.</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14. Información por Segmentos: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Cuando se considere necesario se podrá revelar la información financiera de manera segmentada debido a la diversidad de las actividades y operaciones que realizan los entes públicos, ya que la misma proporciona </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Consecuentemente, esta información contribuye al análisis más preciso de la situación financiera, grados y fuentes de riesgo y crecimiento potencial de negocio.</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D95EE6"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15. Eventos Posteriores al Cierre:</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Se realizara cuando ocurran estos hechos</w:t>
      </w:r>
    </w:p>
    <w:p w:rsidR="0046749A"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16. Partes Relacionadas: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Se debe establecer por escrito que no existen partes relacionadas que pudieran ejercer influencia significativa sobre la toma de decisiones financieras y operativas:</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D3096C" w:rsidRDefault="00D3096C"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17. Responsabilidad sobre la presentación razonable de los Estados Financieros: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Los Estados Financieros deberán estar rubricados en cada página de los mismos e incluir al final la siguiente leyenda: “Bajo protesta de decir verdad declaramos que los Estados Financieros y sus notas, son razonablemente correctos y son responsabilidad del emisor. </w:t>
      </w:r>
    </w:p>
    <w:p w:rsidR="00594617" w:rsidRDefault="0046749A" w:rsidP="006F3019">
      <w:pPr>
        <w:spacing w:line="240" w:lineRule="auto"/>
        <w:rPr>
          <w:rFonts w:cs="Arial"/>
          <w:b/>
          <w:sz w:val="20"/>
          <w:szCs w:val="20"/>
        </w:rPr>
      </w:pPr>
      <w:r w:rsidRPr="00582375">
        <w:rPr>
          <w:rFonts w:ascii="Arial" w:eastAsia="Times New Roman" w:hAnsi="Arial" w:cs="Arial"/>
          <w:sz w:val="18"/>
          <w:szCs w:val="18"/>
          <w:lang w:eastAsia="es-MX"/>
        </w:rPr>
        <w:t>Todos los Estados Financieros presentan la leyenda descrita.</w:t>
      </w:r>
    </w:p>
    <w:p w:rsidR="00594617" w:rsidRDefault="00594617" w:rsidP="006F3019">
      <w:pPr>
        <w:spacing w:line="240" w:lineRule="auto"/>
        <w:rPr>
          <w:rFonts w:cs="Arial"/>
          <w:b/>
          <w:sz w:val="20"/>
          <w:szCs w:val="20"/>
        </w:rPr>
      </w:pPr>
      <w:r>
        <w:rPr>
          <w:rFonts w:cs="Arial"/>
          <w:b/>
          <w:sz w:val="20"/>
          <w:szCs w:val="20"/>
        </w:rPr>
        <w:t>NOTAS DE DESGLOSE</w:t>
      </w:r>
    </w:p>
    <w:p w:rsidR="0046749A" w:rsidRPr="00582375" w:rsidRDefault="0046749A" w:rsidP="0046749A">
      <w:pPr>
        <w:pStyle w:val="Default"/>
        <w:rPr>
          <w:sz w:val="18"/>
          <w:szCs w:val="18"/>
        </w:rPr>
      </w:pPr>
      <w:r w:rsidRPr="00582375">
        <w:rPr>
          <w:bCs/>
          <w:sz w:val="18"/>
          <w:szCs w:val="18"/>
        </w:rPr>
        <w:t>En este apartado son reveladas las cuentas que tuvieron movimiento durante</w:t>
      </w:r>
      <w:r>
        <w:rPr>
          <w:bCs/>
          <w:sz w:val="18"/>
          <w:szCs w:val="18"/>
        </w:rPr>
        <w:t xml:space="preserve"> e</w:t>
      </w:r>
      <w:r w:rsidR="00B13FEC">
        <w:rPr>
          <w:bCs/>
          <w:sz w:val="18"/>
          <w:szCs w:val="18"/>
        </w:rPr>
        <w:t>l periodo del 1 al 31 de Marzo</w:t>
      </w:r>
      <w:r w:rsidR="00F10FD8">
        <w:rPr>
          <w:bCs/>
          <w:sz w:val="18"/>
          <w:szCs w:val="18"/>
        </w:rPr>
        <w:t xml:space="preserve"> de 2017</w:t>
      </w:r>
      <w:r w:rsidRPr="00582375">
        <w:rPr>
          <w:bCs/>
          <w:sz w:val="18"/>
          <w:szCs w:val="18"/>
        </w:rPr>
        <w:t xml:space="preserve"> que se presenta, las cuales son derivadas de las opera</w:t>
      </w:r>
      <w:r>
        <w:rPr>
          <w:bCs/>
          <w:sz w:val="18"/>
          <w:szCs w:val="18"/>
        </w:rPr>
        <w:t>ciones financieras de la entidad</w:t>
      </w:r>
    </w:p>
    <w:p w:rsidR="0046749A" w:rsidRPr="00582375" w:rsidRDefault="0046749A" w:rsidP="0046749A">
      <w:pPr>
        <w:pStyle w:val="Default"/>
        <w:rPr>
          <w:sz w:val="18"/>
          <w:szCs w:val="18"/>
        </w:rPr>
      </w:pPr>
    </w:p>
    <w:p w:rsidR="009474AA" w:rsidRDefault="009474AA" w:rsidP="0046749A">
      <w:pPr>
        <w:rPr>
          <w:rFonts w:ascii="Arial" w:hAnsi="Arial" w:cs="Arial"/>
          <w:b/>
          <w:sz w:val="18"/>
          <w:szCs w:val="18"/>
        </w:rPr>
      </w:pPr>
    </w:p>
    <w:p w:rsidR="009474AA" w:rsidRDefault="009474AA" w:rsidP="0046749A">
      <w:pPr>
        <w:rPr>
          <w:rFonts w:ascii="Arial" w:hAnsi="Arial" w:cs="Arial"/>
          <w:b/>
          <w:sz w:val="18"/>
          <w:szCs w:val="18"/>
        </w:rPr>
      </w:pPr>
    </w:p>
    <w:p w:rsidR="001146DE" w:rsidRDefault="001146DE" w:rsidP="0046749A">
      <w:pPr>
        <w:rPr>
          <w:rFonts w:ascii="Arial" w:hAnsi="Arial" w:cs="Arial"/>
          <w:b/>
          <w:sz w:val="18"/>
          <w:szCs w:val="18"/>
        </w:rPr>
      </w:pPr>
    </w:p>
    <w:p w:rsidR="001146DE" w:rsidRDefault="001146DE" w:rsidP="0046749A">
      <w:pPr>
        <w:rPr>
          <w:rFonts w:ascii="Arial" w:hAnsi="Arial" w:cs="Arial"/>
          <w:b/>
          <w:sz w:val="18"/>
          <w:szCs w:val="18"/>
        </w:rPr>
      </w:pPr>
    </w:p>
    <w:p w:rsidR="001146DE" w:rsidRDefault="001146DE" w:rsidP="0046749A">
      <w:pPr>
        <w:rPr>
          <w:rFonts w:ascii="Arial" w:hAnsi="Arial" w:cs="Arial"/>
          <w:b/>
          <w:sz w:val="18"/>
          <w:szCs w:val="18"/>
        </w:rPr>
      </w:pPr>
    </w:p>
    <w:p w:rsidR="001146DE" w:rsidRDefault="001146DE" w:rsidP="0046749A">
      <w:pPr>
        <w:rPr>
          <w:rFonts w:ascii="Arial" w:hAnsi="Arial" w:cs="Arial"/>
          <w:b/>
          <w:sz w:val="18"/>
          <w:szCs w:val="18"/>
        </w:rPr>
      </w:pPr>
    </w:p>
    <w:p w:rsidR="001146DE" w:rsidRDefault="001146DE" w:rsidP="0046749A">
      <w:pPr>
        <w:rPr>
          <w:rFonts w:ascii="Arial" w:hAnsi="Arial" w:cs="Arial"/>
          <w:b/>
          <w:sz w:val="18"/>
          <w:szCs w:val="18"/>
        </w:rPr>
      </w:pPr>
    </w:p>
    <w:p w:rsidR="009474AA" w:rsidRDefault="009474AA" w:rsidP="0046749A">
      <w:pPr>
        <w:rPr>
          <w:rFonts w:ascii="Arial" w:hAnsi="Arial" w:cs="Arial"/>
          <w:b/>
          <w:sz w:val="18"/>
          <w:szCs w:val="18"/>
        </w:rPr>
      </w:pPr>
    </w:p>
    <w:p w:rsidR="002A4351" w:rsidRDefault="002A4351" w:rsidP="0046749A">
      <w:pPr>
        <w:rPr>
          <w:rFonts w:ascii="Arial" w:hAnsi="Arial" w:cs="Arial"/>
          <w:b/>
          <w:sz w:val="18"/>
          <w:szCs w:val="18"/>
        </w:rPr>
      </w:pPr>
    </w:p>
    <w:p w:rsidR="00EE0C48" w:rsidRDefault="0046749A" w:rsidP="0046749A">
      <w:pPr>
        <w:rPr>
          <w:rFonts w:ascii="Arial" w:hAnsi="Arial" w:cs="Arial"/>
          <w:b/>
          <w:sz w:val="18"/>
          <w:szCs w:val="18"/>
        </w:rPr>
      </w:pPr>
      <w:r w:rsidRPr="00582375">
        <w:rPr>
          <w:rFonts w:ascii="Arial" w:hAnsi="Arial" w:cs="Arial"/>
          <w:b/>
          <w:sz w:val="18"/>
          <w:szCs w:val="18"/>
        </w:rPr>
        <w:lastRenderedPageBreak/>
        <w:t>Notas al estado de situación financiera</w:t>
      </w:r>
    </w:p>
    <w:p w:rsidR="00EE0C48" w:rsidRPr="00EE0C48" w:rsidRDefault="00EE0C48" w:rsidP="00EE0C48">
      <w:r w:rsidRPr="00582375">
        <w:rPr>
          <w:rFonts w:ascii="Arial" w:hAnsi="Arial" w:cs="Arial"/>
          <w:sz w:val="18"/>
          <w:szCs w:val="18"/>
        </w:rPr>
        <w:t>Los Efectivos y Equivalentes están integrados de la siguiente manera:</w:t>
      </w:r>
      <w:r>
        <w:rPr>
          <w:rFonts w:ascii="Arial" w:hAnsi="Arial" w:cs="Arial"/>
          <w:sz w:val="18"/>
          <w:szCs w:val="18"/>
        </w:rPr>
        <w:tab/>
      </w:r>
      <w:r>
        <w:rPr>
          <w:rFonts w:ascii="Arial" w:hAnsi="Arial" w:cs="Arial"/>
          <w:sz w:val="18"/>
          <w:szCs w:val="18"/>
        </w:rPr>
        <w:tab/>
      </w:r>
    </w:p>
    <w:p w:rsidR="0046749A" w:rsidRPr="00357942" w:rsidRDefault="00B13FEC" w:rsidP="0046749A">
      <w:pPr>
        <w:rPr>
          <w:rFonts w:ascii="Arial" w:hAnsi="Arial" w:cs="Arial"/>
          <w:b/>
          <w:sz w:val="18"/>
          <w:szCs w:val="18"/>
        </w:rPr>
      </w:pPr>
      <w:r w:rsidRPr="00B13FEC">
        <w:rPr>
          <w:noProof/>
          <w:lang w:eastAsia="es-MX"/>
        </w:rPr>
        <w:drawing>
          <wp:inline distT="0" distB="0" distL="0" distR="0">
            <wp:extent cx="5229225" cy="86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866775"/>
                    </a:xfrm>
                    <a:prstGeom prst="rect">
                      <a:avLst/>
                    </a:prstGeom>
                    <a:noFill/>
                    <a:ln>
                      <a:noFill/>
                    </a:ln>
                  </pic:spPr>
                </pic:pic>
              </a:graphicData>
            </a:graphic>
          </wp:inline>
        </w:drawing>
      </w:r>
    </w:p>
    <w:p w:rsidR="0046749A" w:rsidRPr="00582375" w:rsidRDefault="0046749A" w:rsidP="0046749A">
      <w:pPr>
        <w:rPr>
          <w:rFonts w:ascii="Arial" w:hAnsi="Arial" w:cs="Arial"/>
          <w:sz w:val="18"/>
          <w:szCs w:val="18"/>
        </w:rPr>
      </w:pPr>
      <w:r w:rsidRPr="00582375">
        <w:rPr>
          <w:rFonts w:ascii="Arial" w:hAnsi="Arial" w:cs="Arial"/>
          <w:sz w:val="18"/>
          <w:szCs w:val="18"/>
        </w:rPr>
        <w:t>Los Derechos a Recibir efectivo y equivalentes y Bienes y/o Servicios a recibir están  integrados de la siguiente manera.</w:t>
      </w:r>
    </w:p>
    <w:p w:rsidR="00D3096C" w:rsidRDefault="00B13FEC" w:rsidP="009474AA">
      <w:pPr>
        <w:rPr>
          <w:rFonts w:ascii="Arial" w:hAnsi="Arial" w:cs="Arial"/>
          <w:sz w:val="18"/>
          <w:szCs w:val="18"/>
        </w:rPr>
      </w:pPr>
      <w:r w:rsidRPr="00B13FEC">
        <w:rPr>
          <w:noProof/>
          <w:lang w:eastAsia="es-MX"/>
        </w:rPr>
        <w:drawing>
          <wp:inline distT="0" distB="0" distL="0" distR="0">
            <wp:extent cx="7898130" cy="62628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8130" cy="626283"/>
                    </a:xfrm>
                    <a:prstGeom prst="rect">
                      <a:avLst/>
                    </a:prstGeom>
                    <a:noFill/>
                    <a:ln>
                      <a:noFill/>
                    </a:ln>
                  </pic:spPr>
                </pic:pic>
              </a:graphicData>
            </a:graphic>
          </wp:inline>
        </w:drawing>
      </w:r>
    </w:p>
    <w:p w:rsidR="0046749A" w:rsidRPr="00582375" w:rsidRDefault="0046749A" w:rsidP="0046749A">
      <w:pPr>
        <w:tabs>
          <w:tab w:val="left" w:pos="3881"/>
        </w:tabs>
        <w:rPr>
          <w:rFonts w:ascii="Arial" w:hAnsi="Arial" w:cs="Arial"/>
          <w:sz w:val="18"/>
          <w:szCs w:val="18"/>
        </w:rPr>
      </w:pPr>
      <w:r w:rsidRPr="00582375">
        <w:rPr>
          <w:rFonts w:ascii="Arial" w:hAnsi="Arial" w:cs="Arial"/>
          <w:sz w:val="18"/>
          <w:szCs w:val="18"/>
        </w:rPr>
        <w:t>Los Bienes disponibles para su transformación (inventarios) se encuentran integrados de la siguiente forma:</w:t>
      </w:r>
    </w:p>
    <w:p w:rsidR="0035651B" w:rsidRDefault="00B13FEC" w:rsidP="0046749A">
      <w:pPr>
        <w:ind w:right="-1085"/>
        <w:rPr>
          <w:rFonts w:ascii="Arial" w:hAnsi="Arial" w:cs="Arial"/>
          <w:sz w:val="18"/>
          <w:szCs w:val="18"/>
        </w:rPr>
      </w:pPr>
      <w:r w:rsidRPr="00B13FEC">
        <w:rPr>
          <w:noProof/>
          <w:lang w:eastAsia="es-MX"/>
        </w:rPr>
        <w:drawing>
          <wp:inline distT="0" distB="0" distL="0" distR="0">
            <wp:extent cx="7898130" cy="76545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8130" cy="765458"/>
                    </a:xfrm>
                    <a:prstGeom prst="rect">
                      <a:avLst/>
                    </a:prstGeom>
                    <a:noFill/>
                    <a:ln>
                      <a:noFill/>
                    </a:ln>
                  </pic:spPr>
                </pic:pic>
              </a:graphicData>
            </a:graphic>
          </wp:inline>
        </w:drawing>
      </w:r>
    </w:p>
    <w:p w:rsidR="0046749A" w:rsidRDefault="0046749A" w:rsidP="0046749A">
      <w:pPr>
        <w:ind w:right="-1085"/>
        <w:rPr>
          <w:rFonts w:ascii="Arial" w:hAnsi="Arial" w:cs="Arial"/>
          <w:sz w:val="18"/>
          <w:szCs w:val="18"/>
        </w:rPr>
      </w:pPr>
      <w:r w:rsidRPr="00582375">
        <w:rPr>
          <w:rFonts w:ascii="Arial" w:hAnsi="Arial" w:cs="Arial"/>
          <w:sz w:val="18"/>
          <w:szCs w:val="18"/>
        </w:rPr>
        <w:t>Los Bienes Muebles e Inmuebles se integran de la siguiente manera:</w:t>
      </w:r>
    </w:p>
    <w:p w:rsidR="00D3096C" w:rsidRDefault="00B13FEC" w:rsidP="00D3096C">
      <w:pPr>
        <w:ind w:right="-1085"/>
        <w:rPr>
          <w:rFonts w:ascii="Arial" w:hAnsi="Arial" w:cs="Arial"/>
          <w:sz w:val="18"/>
          <w:szCs w:val="18"/>
        </w:rPr>
      </w:pPr>
      <w:r w:rsidRPr="00B13FEC">
        <w:rPr>
          <w:noProof/>
          <w:lang w:eastAsia="es-MX"/>
        </w:rPr>
        <w:lastRenderedPageBreak/>
        <w:drawing>
          <wp:inline distT="0" distB="0" distL="0" distR="0">
            <wp:extent cx="7898130" cy="1852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98130" cy="1852755"/>
                    </a:xfrm>
                    <a:prstGeom prst="rect">
                      <a:avLst/>
                    </a:prstGeom>
                    <a:noFill/>
                    <a:ln>
                      <a:noFill/>
                    </a:ln>
                  </pic:spPr>
                </pic:pic>
              </a:graphicData>
            </a:graphic>
          </wp:inline>
        </w:drawing>
      </w:r>
    </w:p>
    <w:p w:rsidR="0046749A" w:rsidRDefault="0046749A" w:rsidP="0046749A">
      <w:pPr>
        <w:tabs>
          <w:tab w:val="left" w:pos="2476"/>
        </w:tabs>
        <w:rPr>
          <w:rFonts w:ascii="Arial" w:hAnsi="Arial" w:cs="Arial"/>
          <w:sz w:val="18"/>
          <w:szCs w:val="18"/>
        </w:rPr>
      </w:pPr>
      <w:r w:rsidRPr="00582375">
        <w:rPr>
          <w:rFonts w:ascii="Arial" w:hAnsi="Arial" w:cs="Arial"/>
          <w:sz w:val="18"/>
          <w:szCs w:val="18"/>
        </w:rPr>
        <w:t>Los Otros Activos Circulantes se integran de la siguiente manera</w:t>
      </w:r>
    </w:p>
    <w:p w:rsidR="0046749A" w:rsidRDefault="00B13FEC" w:rsidP="0046749A">
      <w:pPr>
        <w:tabs>
          <w:tab w:val="left" w:pos="2476"/>
        </w:tabs>
        <w:rPr>
          <w:rFonts w:ascii="Arial" w:hAnsi="Arial" w:cs="Arial"/>
          <w:sz w:val="18"/>
          <w:szCs w:val="18"/>
        </w:rPr>
      </w:pPr>
      <w:r w:rsidRPr="00B13FEC">
        <w:rPr>
          <w:noProof/>
          <w:lang w:eastAsia="es-MX"/>
        </w:rPr>
        <w:drawing>
          <wp:inline distT="0" distB="0" distL="0" distR="0">
            <wp:extent cx="3914775" cy="9810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4775" cy="981075"/>
                    </a:xfrm>
                    <a:prstGeom prst="rect">
                      <a:avLst/>
                    </a:prstGeom>
                    <a:noFill/>
                    <a:ln>
                      <a:noFill/>
                    </a:ln>
                  </pic:spPr>
                </pic:pic>
              </a:graphicData>
            </a:graphic>
          </wp:inline>
        </w:drawing>
      </w:r>
    </w:p>
    <w:p w:rsidR="00D3096C" w:rsidRDefault="00B13FEC" w:rsidP="0046749A">
      <w:pPr>
        <w:tabs>
          <w:tab w:val="left" w:pos="2476"/>
        </w:tabs>
        <w:rPr>
          <w:rFonts w:ascii="Arial" w:hAnsi="Arial" w:cs="Arial"/>
          <w:b/>
          <w:sz w:val="18"/>
          <w:szCs w:val="18"/>
        </w:rPr>
      </w:pPr>
      <w:r w:rsidRPr="00B13FEC">
        <w:rPr>
          <w:noProof/>
          <w:lang w:eastAsia="es-MX"/>
        </w:rPr>
        <w:lastRenderedPageBreak/>
        <w:drawing>
          <wp:inline distT="0" distB="0" distL="0" distR="0">
            <wp:extent cx="7898130" cy="165269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98130" cy="1652692"/>
                    </a:xfrm>
                    <a:prstGeom prst="rect">
                      <a:avLst/>
                    </a:prstGeom>
                    <a:noFill/>
                    <a:ln>
                      <a:noFill/>
                    </a:ln>
                  </pic:spPr>
                </pic:pic>
              </a:graphicData>
            </a:graphic>
          </wp:inline>
        </w:drawing>
      </w:r>
    </w:p>
    <w:p w:rsidR="00D3096C" w:rsidRDefault="0046749A" w:rsidP="0046749A">
      <w:pPr>
        <w:tabs>
          <w:tab w:val="left" w:pos="2476"/>
        </w:tabs>
        <w:rPr>
          <w:rFonts w:ascii="Arial" w:hAnsi="Arial" w:cs="Arial"/>
          <w:b/>
          <w:sz w:val="18"/>
          <w:szCs w:val="18"/>
        </w:rPr>
      </w:pPr>
      <w:r w:rsidRPr="00582375">
        <w:rPr>
          <w:rFonts w:ascii="Arial" w:hAnsi="Arial" w:cs="Arial"/>
          <w:b/>
          <w:sz w:val="18"/>
          <w:szCs w:val="18"/>
        </w:rPr>
        <w:t>NOTAS AL ESTADO DE ACTIVIDADES</w:t>
      </w:r>
    </w:p>
    <w:p w:rsidR="00D3096C" w:rsidRDefault="0046749A" w:rsidP="0046749A">
      <w:pPr>
        <w:tabs>
          <w:tab w:val="left" w:pos="2476"/>
        </w:tabs>
        <w:rPr>
          <w:rFonts w:ascii="Arial" w:hAnsi="Arial" w:cs="Arial"/>
          <w:b/>
          <w:sz w:val="18"/>
          <w:szCs w:val="18"/>
        </w:rPr>
      </w:pPr>
      <w:r w:rsidRPr="00582375">
        <w:rPr>
          <w:rFonts w:ascii="Arial" w:hAnsi="Arial" w:cs="Arial"/>
          <w:b/>
          <w:sz w:val="18"/>
          <w:szCs w:val="18"/>
        </w:rPr>
        <w:t>Los Ingresos están conformados de la siguiente manera</w:t>
      </w:r>
    </w:p>
    <w:p w:rsidR="00EE0C48" w:rsidRDefault="00104912" w:rsidP="00F02F89">
      <w:pPr>
        <w:tabs>
          <w:tab w:val="left" w:pos="2476"/>
        </w:tabs>
        <w:rPr>
          <w:rFonts w:ascii="Arial" w:hAnsi="Arial" w:cs="Arial"/>
          <w:b/>
          <w:sz w:val="18"/>
          <w:szCs w:val="18"/>
        </w:rPr>
      </w:pPr>
      <w:r w:rsidRPr="00104912">
        <w:rPr>
          <w:noProof/>
          <w:lang w:eastAsia="es-MX"/>
        </w:rPr>
        <w:drawing>
          <wp:inline distT="0" distB="0" distL="0" distR="0">
            <wp:extent cx="5876925" cy="6572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6925" cy="657225"/>
                    </a:xfrm>
                    <a:prstGeom prst="rect">
                      <a:avLst/>
                    </a:prstGeom>
                    <a:noFill/>
                    <a:ln>
                      <a:noFill/>
                    </a:ln>
                  </pic:spPr>
                </pic:pic>
              </a:graphicData>
            </a:graphic>
          </wp:inline>
        </w:drawing>
      </w:r>
    </w:p>
    <w:p w:rsidR="0046749A" w:rsidRDefault="0046749A" w:rsidP="0046749A">
      <w:pPr>
        <w:tabs>
          <w:tab w:val="left" w:pos="948"/>
        </w:tabs>
        <w:rPr>
          <w:rFonts w:ascii="Arial" w:hAnsi="Arial" w:cs="Arial"/>
          <w:sz w:val="18"/>
          <w:szCs w:val="18"/>
        </w:rPr>
      </w:pPr>
      <w:r w:rsidRPr="00582375">
        <w:rPr>
          <w:rFonts w:ascii="Arial" w:hAnsi="Arial" w:cs="Arial"/>
          <w:sz w:val="18"/>
          <w:szCs w:val="18"/>
        </w:rPr>
        <w:t>Gastos y Otras Pérdidas  están conformados de la siguiente forma:</w:t>
      </w:r>
    </w:p>
    <w:p w:rsidR="00357942" w:rsidRPr="008F1D06" w:rsidRDefault="00104912" w:rsidP="0046749A">
      <w:pPr>
        <w:tabs>
          <w:tab w:val="left" w:pos="948"/>
        </w:tabs>
        <w:rPr>
          <w:rFonts w:ascii="Arial" w:hAnsi="Arial" w:cs="Arial"/>
          <w:noProof/>
          <w:sz w:val="18"/>
          <w:szCs w:val="18"/>
          <w:lang w:eastAsia="es-MX"/>
        </w:rPr>
      </w:pPr>
      <w:r w:rsidRPr="00104912">
        <w:rPr>
          <w:noProof/>
          <w:lang w:eastAsia="es-MX"/>
        </w:rPr>
        <w:lastRenderedPageBreak/>
        <w:drawing>
          <wp:inline distT="0" distB="0" distL="0" distR="0">
            <wp:extent cx="5876925" cy="20669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6925" cy="2066925"/>
                    </a:xfrm>
                    <a:prstGeom prst="rect">
                      <a:avLst/>
                    </a:prstGeom>
                    <a:noFill/>
                    <a:ln>
                      <a:noFill/>
                    </a:ln>
                  </pic:spPr>
                </pic:pic>
              </a:graphicData>
            </a:graphic>
          </wp:inline>
        </w:drawing>
      </w:r>
    </w:p>
    <w:p w:rsidR="00D3096C" w:rsidRDefault="00D3096C" w:rsidP="0046749A">
      <w:pPr>
        <w:tabs>
          <w:tab w:val="left" w:pos="948"/>
        </w:tabs>
        <w:rPr>
          <w:rFonts w:ascii="Arial" w:hAnsi="Arial" w:cs="Arial"/>
          <w:b/>
          <w:sz w:val="18"/>
          <w:szCs w:val="18"/>
        </w:rPr>
      </w:pPr>
    </w:p>
    <w:p w:rsidR="009905F3" w:rsidRDefault="009905F3" w:rsidP="0046749A">
      <w:pPr>
        <w:tabs>
          <w:tab w:val="left" w:pos="948"/>
        </w:tabs>
        <w:rPr>
          <w:rFonts w:ascii="Arial" w:hAnsi="Arial" w:cs="Arial"/>
          <w:b/>
          <w:sz w:val="18"/>
          <w:szCs w:val="18"/>
        </w:rPr>
      </w:pPr>
      <w:r>
        <w:rPr>
          <w:rFonts w:ascii="Arial" w:hAnsi="Arial" w:cs="Arial"/>
          <w:b/>
          <w:sz w:val="18"/>
          <w:szCs w:val="18"/>
        </w:rPr>
        <w:t>Notas al Flujo de Efectivo</w:t>
      </w:r>
    </w:p>
    <w:p w:rsidR="00D3096C" w:rsidRPr="00582375" w:rsidRDefault="00104912" w:rsidP="0046749A">
      <w:pPr>
        <w:tabs>
          <w:tab w:val="left" w:pos="948"/>
        </w:tabs>
        <w:rPr>
          <w:rFonts w:ascii="Arial" w:hAnsi="Arial" w:cs="Arial"/>
          <w:b/>
          <w:sz w:val="18"/>
          <w:szCs w:val="18"/>
        </w:rPr>
      </w:pPr>
      <w:r w:rsidRPr="00104912">
        <w:rPr>
          <w:noProof/>
          <w:lang w:eastAsia="es-MX"/>
        </w:rPr>
        <w:drawing>
          <wp:inline distT="0" distB="0" distL="0" distR="0">
            <wp:extent cx="6810375" cy="14763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0375" cy="1476375"/>
                    </a:xfrm>
                    <a:prstGeom prst="rect">
                      <a:avLst/>
                    </a:prstGeom>
                    <a:noFill/>
                    <a:ln>
                      <a:noFill/>
                    </a:ln>
                  </pic:spPr>
                </pic:pic>
              </a:graphicData>
            </a:graphic>
          </wp:inline>
        </w:drawing>
      </w:r>
    </w:p>
    <w:p w:rsidR="0046749A" w:rsidRDefault="000B7D3C" w:rsidP="0046749A">
      <w:pPr>
        <w:tabs>
          <w:tab w:val="left" w:pos="948"/>
        </w:tabs>
        <w:rPr>
          <w:rFonts w:ascii="Arial" w:hAnsi="Arial" w:cs="Arial"/>
          <w:sz w:val="18"/>
          <w:szCs w:val="18"/>
        </w:rPr>
      </w:pPr>
      <w:r w:rsidRPr="000B7D3C">
        <w:rPr>
          <w:noProof/>
          <w:lang w:eastAsia="es-MX"/>
        </w:rPr>
        <w:lastRenderedPageBreak/>
        <w:drawing>
          <wp:inline distT="0" distB="0" distL="0" distR="0">
            <wp:extent cx="5000625" cy="22669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25" cy="2266950"/>
                    </a:xfrm>
                    <a:prstGeom prst="rect">
                      <a:avLst/>
                    </a:prstGeom>
                    <a:noFill/>
                    <a:ln>
                      <a:noFill/>
                    </a:ln>
                  </pic:spPr>
                </pic:pic>
              </a:graphicData>
            </a:graphic>
          </wp:inline>
        </w:drawing>
      </w:r>
    </w:p>
    <w:p w:rsidR="0046749A" w:rsidRDefault="0046749A" w:rsidP="0046749A">
      <w:pPr>
        <w:tabs>
          <w:tab w:val="left" w:pos="948"/>
        </w:tabs>
        <w:rPr>
          <w:rFonts w:ascii="Arial" w:hAnsi="Arial" w:cs="Arial"/>
          <w:sz w:val="18"/>
          <w:szCs w:val="18"/>
        </w:rPr>
      </w:pPr>
    </w:p>
    <w:p w:rsidR="0046749A" w:rsidRPr="00A118AD" w:rsidRDefault="00104912" w:rsidP="00A118AD">
      <w:pPr>
        <w:tabs>
          <w:tab w:val="left" w:pos="948"/>
        </w:tabs>
        <w:rPr>
          <w:rFonts w:ascii="Arial" w:hAnsi="Arial" w:cs="Arial"/>
          <w:sz w:val="18"/>
          <w:szCs w:val="18"/>
        </w:rPr>
      </w:pPr>
      <w:r w:rsidRPr="00104912">
        <w:rPr>
          <w:noProof/>
          <w:lang w:eastAsia="es-MX"/>
        </w:rPr>
        <w:lastRenderedPageBreak/>
        <w:drawing>
          <wp:inline distT="0" distB="0" distL="0" distR="0">
            <wp:extent cx="6048375" cy="24574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8375" cy="2457450"/>
                    </a:xfrm>
                    <a:prstGeom prst="rect">
                      <a:avLst/>
                    </a:prstGeom>
                    <a:noFill/>
                    <a:ln>
                      <a:noFill/>
                    </a:ln>
                  </pic:spPr>
                </pic:pic>
              </a:graphicData>
            </a:graphic>
          </wp:inline>
        </w:drawing>
      </w:r>
    </w:p>
    <w:p w:rsidR="009474AA" w:rsidRDefault="009474AA" w:rsidP="0046749A">
      <w:pPr>
        <w:pStyle w:val="Sinespaciado"/>
      </w:pPr>
    </w:p>
    <w:p w:rsidR="009474AA" w:rsidRDefault="009474AA" w:rsidP="0046749A">
      <w:pPr>
        <w:pStyle w:val="Sinespaciado"/>
      </w:pPr>
    </w:p>
    <w:p w:rsidR="009474AA" w:rsidRDefault="009474AA" w:rsidP="0046749A">
      <w:pPr>
        <w:pStyle w:val="Sinespaciado"/>
      </w:pPr>
    </w:p>
    <w:p w:rsidR="0046749A" w:rsidRDefault="0046749A" w:rsidP="0046749A">
      <w:pPr>
        <w:pStyle w:val="Sinespaciado"/>
      </w:pPr>
      <w:r w:rsidRPr="00C91971">
        <w:t>Notas al costo de ventas</w:t>
      </w:r>
    </w:p>
    <w:p w:rsidR="00F02F89" w:rsidRPr="00B546BB" w:rsidRDefault="0046749A" w:rsidP="00B546BB">
      <w:pPr>
        <w:tabs>
          <w:tab w:val="left" w:pos="960"/>
        </w:tabs>
        <w:rPr>
          <w:rFonts w:ascii="Arial" w:hAnsi="Arial" w:cs="Arial"/>
          <w:b/>
          <w:sz w:val="18"/>
          <w:szCs w:val="18"/>
        </w:rPr>
      </w:pPr>
      <w:r w:rsidRPr="00582375">
        <w:rPr>
          <w:rFonts w:ascii="Arial" w:hAnsi="Arial" w:cs="Arial"/>
          <w:sz w:val="18"/>
          <w:szCs w:val="18"/>
        </w:rPr>
        <w:t xml:space="preserve">Se detalla la integración del costo de ventas con el estado de actividades </w:t>
      </w:r>
    </w:p>
    <w:p w:rsidR="004153D0" w:rsidRDefault="00104912" w:rsidP="0035651B">
      <w:pPr>
        <w:tabs>
          <w:tab w:val="left" w:pos="960"/>
        </w:tabs>
        <w:spacing w:line="240" w:lineRule="auto"/>
        <w:rPr>
          <w:rFonts w:cs="Arial"/>
          <w:b/>
          <w:sz w:val="20"/>
          <w:szCs w:val="20"/>
        </w:rPr>
      </w:pPr>
      <w:r w:rsidRPr="00104912">
        <w:rPr>
          <w:noProof/>
          <w:lang w:eastAsia="es-MX"/>
        </w:rPr>
        <w:lastRenderedPageBreak/>
        <w:drawing>
          <wp:inline distT="0" distB="0" distL="0" distR="0">
            <wp:extent cx="7898130" cy="4135464"/>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98130" cy="4135464"/>
                    </a:xfrm>
                    <a:prstGeom prst="rect">
                      <a:avLst/>
                    </a:prstGeom>
                    <a:noFill/>
                    <a:ln>
                      <a:noFill/>
                    </a:ln>
                  </pic:spPr>
                </pic:pic>
              </a:graphicData>
            </a:graphic>
          </wp:inline>
        </w:drawing>
      </w:r>
    </w:p>
    <w:p w:rsidR="00DF38B6" w:rsidRDefault="00DF38B6" w:rsidP="006F3019">
      <w:pPr>
        <w:spacing w:line="240" w:lineRule="auto"/>
        <w:rPr>
          <w:rFonts w:cs="Arial"/>
          <w:b/>
          <w:sz w:val="20"/>
          <w:szCs w:val="20"/>
        </w:rPr>
      </w:pPr>
    </w:p>
    <w:p w:rsidR="00C44C49" w:rsidRDefault="00104912" w:rsidP="006F3019">
      <w:pPr>
        <w:spacing w:line="240" w:lineRule="auto"/>
        <w:rPr>
          <w:rFonts w:cs="Arial"/>
          <w:b/>
          <w:sz w:val="20"/>
          <w:szCs w:val="20"/>
        </w:rPr>
      </w:pPr>
      <w:r w:rsidRPr="00104912">
        <w:rPr>
          <w:noProof/>
          <w:lang w:eastAsia="es-MX"/>
        </w:rPr>
        <w:lastRenderedPageBreak/>
        <w:drawing>
          <wp:inline distT="0" distB="0" distL="0" distR="0">
            <wp:extent cx="2695575" cy="260032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5575" cy="2600325"/>
                    </a:xfrm>
                    <a:prstGeom prst="rect">
                      <a:avLst/>
                    </a:prstGeom>
                    <a:noFill/>
                    <a:ln>
                      <a:noFill/>
                    </a:ln>
                  </pic:spPr>
                </pic:pic>
              </a:graphicData>
            </a:graphic>
          </wp:inline>
        </w:drawing>
      </w:r>
    </w:p>
    <w:p w:rsidR="00594617" w:rsidRDefault="00594617" w:rsidP="006F3019">
      <w:pPr>
        <w:spacing w:line="240" w:lineRule="auto"/>
        <w:rPr>
          <w:rFonts w:cs="Arial"/>
          <w:b/>
          <w:sz w:val="20"/>
          <w:szCs w:val="20"/>
        </w:rPr>
      </w:pPr>
      <w:r>
        <w:rPr>
          <w:rFonts w:cs="Arial"/>
          <w:b/>
          <w:sz w:val="20"/>
          <w:szCs w:val="20"/>
        </w:rPr>
        <w:t>NOTAS DE MEMORIA</w:t>
      </w:r>
    </w:p>
    <w:p w:rsidR="002C58EF" w:rsidRDefault="002C58EF" w:rsidP="006F3019">
      <w:pPr>
        <w:spacing w:line="240" w:lineRule="auto"/>
        <w:rPr>
          <w:rFonts w:cs="Arial"/>
          <w:b/>
          <w:sz w:val="20"/>
          <w:szCs w:val="20"/>
        </w:rPr>
      </w:pPr>
    </w:p>
    <w:p w:rsidR="00D45879" w:rsidRPr="001146DE" w:rsidRDefault="001146DE" w:rsidP="00D45879">
      <w:pPr>
        <w:spacing w:line="240" w:lineRule="auto"/>
        <w:rPr>
          <w:rFonts w:cs="Arial"/>
          <w:sz w:val="20"/>
          <w:szCs w:val="20"/>
        </w:rPr>
      </w:pPr>
      <w:r>
        <w:rPr>
          <w:rFonts w:cs="Arial"/>
          <w:sz w:val="20"/>
          <w:szCs w:val="20"/>
        </w:rPr>
        <w:t xml:space="preserve">Bajo protesta de decir </w:t>
      </w:r>
      <w:r w:rsidR="002C58EF" w:rsidRPr="001146DE">
        <w:rPr>
          <w:rFonts w:cs="Arial"/>
          <w:sz w:val="20"/>
          <w:szCs w:val="20"/>
        </w:rPr>
        <w:t xml:space="preserve"> verdad declaramos que los Estad</w:t>
      </w:r>
      <w:bookmarkStart w:id="0" w:name="_GoBack"/>
      <w:bookmarkEnd w:id="0"/>
      <w:r w:rsidR="002C58EF" w:rsidRPr="001146DE">
        <w:rPr>
          <w:rFonts w:cs="Arial"/>
          <w:sz w:val="20"/>
          <w:szCs w:val="20"/>
        </w:rPr>
        <w:t>os Financieros y sus notas son razonablemente correctos y responsabilidad del emisor.</w:t>
      </w:r>
    </w:p>
    <w:sectPr w:rsidR="00D45879" w:rsidRPr="001146DE" w:rsidSect="00DB2888">
      <w:footerReference w:type="default" r:id="rId23"/>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4A" w:rsidRDefault="00334D4A" w:rsidP="000D7CDC">
      <w:pPr>
        <w:spacing w:after="0" w:line="240" w:lineRule="auto"/>
      </w:pPr>
      <w:r>
        <w:separator/>
      </w:r>
    </w:p>
  </w:endnote>
  <w:endnote w:type="continuationSeparator" w:id="0">
    <w:p w:rsidR="00334D4A" w:rsidRDefault="00334D4A" w:rsidP="000D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570198"/>
      <w:docPartObj>
        <w:docPartGallery w:val="Page Numbers (Bottom of Page)"/>
        <w:docPartUnique/>
      </w:docPartObj>
    </w:sdtPr>
    <w:sdtEndPr/>
    <w:sdtContent>
      <w:p w:rsidR="000D7CDC" w:rsidRDefault="000D7CDC">
        <w:pPr>
          <w:pStyle w:val="Piedepgina"/>
          <w:jc w:val="right"/>
        </w:pPr>
        <w:r>
          <w:fldChar w:fldCharType="begin"/>
        </w:r>
        <w:r>
          <w:instrText>PAGE   \* MERGEFORMAT</w:instrText>
        </w:r>
        <w:r>
          <w:fldChar w:fldCharType="separate"/>
        </w:r>
        <w:r w:rsidR="001146DE" w:rsidRPr="001146DE">
          <w:rPr>
            <w:noProof/>
            <w:lang w:val="es-ES"/>
          </w:rPr>
          <w:t>18</w:t>
        </w:r>
        <w:r>
          <w:fldChar w:fldCharType="end"/>
        </w:r>
      </w:p>
    </w:sdtContent>
  </w:sdt>
  <w:p w:rsidR="000D7CDC" w:rsidRDefault="000D7C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4A" w:rsidRDefault="00334D4A" w:rsidP="000D7CDC">
      <w:pPr>
        <w:spacing w:after="0" w:line="240" w:lineRule="auto"/>
      </w:pPr>
      <w:r>
        <w:separator/>
      </w:r>
    </w:p>
  </w:footnote>
  <w:footnote w:type="continuationSeparator" w:id="0">
    <w:p w:rsidR="00334D4A" w:rsidRDefault="00334D4A" w:rsidP="000D7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52E8E"/>
    <w:rsid w:val="000661CC"/>
    <w:rsid w:val="000773CA"/>
    <w:rsid w:val="000810AF"/>
    <w:rsid w:val="000A1FD3"/>
    <w:rsid w:val="000A36A7"/>
    <w:rsid w:val="000B7D3C"/>
    <w:rsid w:val="000D7CDC"/>
    <w:rsid w:val="00104912"/>
    <w:rsid w:val="00112C39"/>
    <w:rsid w:val="001146DE"/>
    <w:rsid w:val="00137F8F"/>
    <w:rsid w:val="00172F02"/>
    <w:rsid w:val="001A4AE7"/>
    <w:rsid w:val="001F46D0"/>
    <w:rsid w:val="002644E3"/>
    <w:rsid w:val="00287720"/>
    <w:rsid w:val="00296B21"/>
    <w:rsid w:val="002A4351"/>
    <w:rsid w:val="002C58EF"/>
    <w:rsid w:val="002C6EED"/>
    <w:rsid w:val="002E75EC"/>
    <w:rsid w:val="002F7481"/>
    <w:rsid w:val="00303102"/>
    <w:rsid w:val="003129FF"/>
    <w:rsid w:val="00334D4A"/>
    <w:rsid w:val="0034202A"/>
    <w:rsid w:val="0035651B"/>
    <w:rsid w:val="00357942"/>
    <w:rsid w:val="00357D26"/>
    <w:rsid w:val="00381D87"/>
    <w:rsid w:val="003846DE"/>
    <w:rsid w:val="003E2DC9"/>
    <w:rsid w:val="003E5BEC"/>
    <w:rsid w:val="003F5113"/>
    <w:rsid w:val="00413857"/>
    <w:rsid w:val="004153D0"/>
    <w:rsid w:val="00432AB6"/>
    <w:rsid w:val="0046749A"/>
    <w:rsid w:val="00494E2D"/>
    <w:rsid w:val="005620D4"/>
    <w:rsid w:val="00594617"/>
    <w:rsid w:val="005A1429"/>
    <w:rsid w:val="005A170B"/>
    <w:rsid w:val="005D6AED"/>
    <w:rsid w:val="005E32C5"/>
    <w:rsid w:val="00626DFB"/>
    <w:rsid w:val="0067300E"/>
    <w:rsid w:val="0068622E"/>
    <w:rsid w:val="006E0B7B"/>
    <w:rsid w:val="006E4172"/>
    <w:rsid w:val="006F0BF0"/>
    <w:rsid w:val="006F3019"/>
    <w:rsid w:val="00771778"/>
    <w:rsid w:val="00781BB0"/>
    <w:rsid w:val="00822D90"/>
    <w:rsid w:val="00867D6F"/>
    <w:rsid w:val="00874006"/>
    <w:rsid w:val="008B63ED"/>
    <w:rsid w:val="008F1D06"/>
    <w:rsid w:val="008F655A"/>
    <w:rsid w:val="00914058"/>
    <w:rsid w:val="00915AD7"/>
    <w:rsid w:val="009474AA"/>
    <w:rsid w:val="00951365"/>
    <w:rsid w:val="009905F3"/>
    <w:rsid w:val="009C1C49"/>
    <w:rsid w:val="009D37C4"/>
    <w:rsid w:val="009F0748"/>
    <w:rsid w:val="009F27B8"/>
    <w:rsid w:val="00A118AD"/>
    <w:rsid w:val="00A12014"/>
    <w:rsid w:val="00A44523"/>
    <w:rsid w:val="00A5406C"/>
    <w:rsid w:val="00A70679"/>
    <w:rsid w:val="00A83F23"/>
    <w:rsid w:val="00A85A16"/>
    <w:rsid w:val="00AF4A1D"/>
    <w:rsid w:val="00B13FEC"/>
    <w:rsid w:val="00B546BB"/>
    <w:rsid w:val="00B56042"/>
    <w:rsid w:val="00B62089"/>
    <w:rsid w:val="00B8501F"/>
    <w:rsid w:val="00B86FFC"/>
    <w:rsid w:val="00BD7CD8"/>
    <w:rsid w:val="00BF6CAF"/>
    <w:rsid w:val="00C172F7"/>
    <w:rsid w:val="00C22245"/>
    <w:rsid w:val="00C44C49"/>
    <w:rsid w:val="00C92BC9"/>
    <w:rsid w:val="00CB5BD5"/>
    <w:rsid w:val="00D1527D"/>
    <w:rsid w:val="00D3096C"/>
    <w:rsid w:val="00D45879"/>
    <w:rsid w:val="00D506B1"/>
    <w:rsid w:val="00D7104B"/>
    <w:rsid w:val="00D80391"/>
    <w:rsid w:val="00D83798"/>
    <w:rsid w:val="00DB2888"/>
    <w:rsid w:val="00DF38B6"/>
    <w:rsid w:val="00E9504A"/>
    <w:rsid w:val="00EC2B6E"/>
    <w:rsid w:val="00EC4765"/>
    <w:rsid w:val="00EE0C48"/>
    <w:rsid w:val="00F02F89"/>
    <w:rsid w:val="00F06BE1"/>
    <w:rsid w:val="00F10FD8"/>
    <w:rsid w:val="00F658AD"/>
    <w:rsid w:val="00F92A91"/>
    <w:rsid w:val="00FF3901"/>
    <w:rsid w:val="00FF5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49A"/>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6749A"/>
    <w:pPr>
      <w:spacing w:after="0" w:line="240" w:lineRule="auto"/>
    </w:pPr>
  </w:style>
  <w:style w:type="paragraph" w:styleId="Textodeglobo">
    <w:name w:val="Balloon Text"/>
    <w:basedOn w:val="Normal"/>
    <w:link w:val="TextodegloboCar"/>
    <w:uiPriority w:val="99"/>
    <w:semiHidden/>
    <w:unhideWhenUsed/>
    <w:rsid w:val="00467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49A"/>
    <w:rPr>
      <w:rFonts w:ascii="Tahoma" w:hAnsi="Tahoma" w:cs="Tahoma"/>
      <w:sz w:val="16"/>
      <w:szCs w:val="16"/>
    </w:rPr>
  </w:style>
  <w:style w:type="paragraph" w:styleId="Encabezado">
    <w:name w:val="header"/>
    <w:basedOn w:val="Normal"/>
    <w:link w:val="EncabezadoCar"/>
    <w:uiPriority w:val="99"/>
    <w:unhideWhenUsed/>
    <w:rsid w:val="000D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7CDC"/>
  </w:style>
  <w:style w:type="paragraph" w:styleId="Piedepgina">
    <w:name w:val="footer"/>
    <w:basedOn w:val="Normal"/>
    <w:link w:val="PiedepginaCar"/>
    <w:uiPriority w:val="99"/>
    <w:unhideWhenUsed/>
    <w:rsid w:val="000D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49A"/>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6749A"/>
    <w:pPr>
      <w:spacing w:after="0" w:line="240" w:lineRule="auto"/>
    </w:pPr>
  </w:style>
  <w:style w:type="paragraph" w:styleId="Textodeglobo">
    <w:name w:val="Balloon Text"/>
    <w:basedOn w:val="Normal"/>
    <w:link w:val="TextodegloboCar"/>
    <w:uiPriority w:val="99"/>
    <w:semiHidden/>
    <w:unhideWhenUsed/>
    <w:rsid w:val="00467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49A"/>
    <w:rPr>
      <w:rFonts w:ascii="Tahoma" w:hAnsi="Tahoma" w:cs="Tahoma"/>
      <w:sz w:val="16"/>
      <w:szCs w:val="16"/>
    </w:rPr>
  </w:style>
  <w:style w:type="paragraph" w:styleId="Encabezado">
    <w:name w:val="header"/>
    <w:basedOn w:val="Normal"/>
    <w:link w:val="EncabezadoCar"/>
    <w:uiPriority w:val="99"/>
    <w:unhideWhenUsed/>
    <w:rsid w:val="000D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7CDC"/>
  </w:style>
  <w:style w:type="paragraph" w:styleId="Piedepgina">
    <w:name w:val="footer"/>
    <w:basedOn w:val="Normal"/>
    <w:link w:val="PiedepginaCar"/>
    <w:uiPriority w:val="99"/>
    <w:unhideWhenUsed/>
    <w:rsid w:val="000D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059264">
      <w:bodyDiv w:val="1"/>
      <w:marLeft w:val="0"/>
      <w:marRight w:val="0"/>
      <w:marTop w:val="0"/>
      <w:marBottom w:val="0"/>
      <w:divBdr>
        <w:top w:val="none" w:sz="0" w:space="0" w:color="auto"/>
        <w:left w:val="none" w:sz="0" w:space="0" w:color="auto"/>
        <w:bottom w:val="none" w:sz="0" w:space="0" w:color="auto"/>
        <w:right w:val="none" w:sz="0" w:space="0" w:color="auto"/>
      </w:divBdr>
    </w:div>
    <w:div w:id="1034185652">
      <w:bodyDiv w:val="1"/>
      <w:marLeft w:val="0"/>
      <w:marRight w:val="0"/>
      <w:marTop w:val="0"/>
      <w:marBottom w:val="0"/>
      <w:divBdr>
        <w:top w:val="none" w:sz="0" w:space="0" w:color="auto"/>
        <w:left w:val="none" w:sz="0" w:space="0" w:color="auto"/>
        <w:bottom w:val="none" w:sz="0" w:space="0" w:color="auto"/>
        <w:right w:val="none" w:sz="0" w:space="0" w:color="auto"/>
      </w:divBdr>
    </w:div>
    <w:div w:id="1098527313">
      <w:bodyDiv w:val="1"/>
      <w:marLeft w:val="0"/>
      <w:marRight w:val="0"/>
      <w:marTop w:val="0"/>
      <w:marBottom w:val="0"/>
      <w:divBdr>
        <w:top w:val="none" w:sz="0" w:space="0" w:color="auto"/>
        <w:left w:val="none" w:sz="0" w:space="0" w:color="auto"/>
        <w:bottom w:val="none" w:sz="0" w:space="0" w:color="auto"/>
        <w:right w:val="none" w:sz="0" w:space="0" w:color="auto"/>
      </w:divBdr>
    </w:div>
    <w:div w:id="1255478541">
      <w:bodyDiv w:val="1"/>
      <w:marLeft w:val="0"/>
      <w:marRight w:val="0"/>
      <w:marTop w:val="0"/>
      <w:marBottom w:val="0"/>
      <w:divBdr>
        <w:top w:val="none" w:sz="0" w:space="0" w:color="auto"/>
        <w:left w:val="none" w:sz="0" w:space="0" w:color="auto"/>
        <w:bottom w:val="none" w:sz="0" w:space="0" w:color="auto"/>
        <w:right w:val="none" w:sz="0" w:space="0" w:color="auto"/>
      </w:divBdr>
    </w:div>
    <w:div w:id="1280186197">
      <w:bodyDiv w:val="1"/>
      <w:marLeft w:val="0"/>
      <w:marRight w:val="0"/>
      <w:marTop w:val="0"/>
      <w:marBottom w:val="0"/>
      <w:divBdr>
        <w:top w:val="none" w:sz="0" w:space="0" w:color="auto"/>
        <w:left w:val="none" w:sz="0" w:space="0" w:color="auto"/>
        <w:bottom w:val="none" w:sz="0" w:space="0" w:color="auto"/>
        <w:right w:val="none" w:sz="0" w:space="0" w:color="auto"/>
      </w:divBdr>
    </w:div>
    <w:div w:id="20290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D4D2-6FC7-44D4-99E5-B48397C5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2780</Words>
  <Characters>15291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3</cp:revision>
  <cp:lastPrinted>2016-08-09T17:33:00Z</cp:lastPrinted>
  <dcterms:created xsi:type="dcterms:W3CDTF">2017-05-24T20:46:00Z</dcterms:created>
  <dcterms:modified xsi:type="dcterms:W3CDTF">2018-05-07T15:12:00Z</dcterms:modified>
</cp:coreProperties>
</file>