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4F" w:rsidRPr="0034384F" w:rsidRDefault="003E58DC" w:rsidP="0034384F">
      <w:pPr>
        <w:spacing w:after="200"/>
        <w:jc w:val="center"/>
        <w:rPr>
          <w:rFonts w:ascii="Calibri" w:eastAsia="Calibri" w:hAnsi="Calibri" w:cs="Arial"/>
          <w:b/>
          <w:sz w:val="20"/>
          <w:szCs w:val="20"/>
          <w:lang w:val="es-MX" w:eastAsia="en-US"/>
        </w:rPr>
      </w:pPr>
      <w:r>
        <w:rPr>
          <w:rFonts w:ascii="Calibri" w:eastAsia="Calibri" w:hAnsi="Calibri" w:cs="Arial"/>
          <w:b/>
          <w:sz w:val="20"/>
          <w:szCs w:val="20"/>
          <w:lang w:val="es-MX" w:eastAsia="en-US"/>
        </w:rPr>
        <w:t>Cuenta Pública 2017</w:t>
      </w:r>
    </w:p>
    <w:p w:rsidR="0034384F" w:rsidRPr="0034384F" w:rsidRDefault="0034384F" w:rsidP="0034384F">
      <w:pPr>
        <w:spacing w:after="200"/>
        <w:jc w:val="center"/>
        <w:rPr>
          <w:rFonts w:ascii="Calibri" w:eastAsia="Calibri" w:hAnsi="Calibri" w:cs="Arial"/>
          <w:b/>
          <w:sz w:val="20"/>
          <w:szCs w:val="20"/>
          <w:lang w:val="es-MX" w:eastAsia="en-US"/>
        </w:rPr>
      </w:pPr>
      <w:r w:rsidRPr="0034384F">
        <w:rPr>
          <w:rFonts w:ascii="Calibri" w:eastAsia="Calibri" w:hAnsi="Calibri" w:cs="Arial"/>
          <w:b/>
          <w:sz w:val="20"/>
          <w:szCs w:val="20"/>
          <w:lang w:val="es-MX" w:eastAsia="en-US"/>
        </w:rPr>
        <w:t>Notas a los Estados Financieros</w:t>
      </w:r>
    </w:p>
    <w:p w:rsidR="0034384F" w:rsidRPr="0034384F" w:rsidRDefault="007C356B" w:rsidP="0034384F">
      <w:pPr>
        <w:spacing w:after="200"/>
        <w:jc w:val="center"/>
        <w:rPr>
          <w:rFonts w:ascii="Calibri" w:eastAsia="Calibri" w:hAnsi="Calibri" w:cs="Arial"/>
          <w:b/>
          <w:sz w:val="20"/>
          <w:szCs w:val="20"/>
          <w:lang w:val="es-MX" w:eastAsia="en-US"/>
        </w:rPr>
      </w:pPr>
      <w:r>
        <w:rPr>
          <w:rFonts w:ascii="Calibri" w:eastAsia="Calibri" w:hAnsi="Calibri" w:cs="Arial"/>
          <w:b/>
          <w:sz w:val="20"/>
          <w:szCs w:val="20"/>
          <w:lang w:val="es-MX" w:eastAsia="en-US"/>
        </w:rPr>
        <w:t xml:space="preserve">Al </w:t>
      </w:r>
      <w:r w:rsidR="00A83D10">
        <w:rPr>
          <w:rFonts w:ascii="Calibri" w:eastAsia="Calibri" w:hAnsi="Calibri" w:cs="Arial"/>
          <w:b/>
          <w:sz w:val="20"/>
          <w:szCs w:val="20"/>
          <w:lang w:val="es-MX" w:eastAsia="en-US"/>
        </w:rPr>
        <w:t>31</w:t>
      </w:r>
      <w:r w:rsidR="0034384F" w:rsidRPr="0034384F">
        <w:rPr>
          <w:rFonts w:ascii="Calibri" w:eastAsia="Calibri" w:hAnsi="Calibri" w:cs="Arial"/>
          <w:b/>
          <w:sz w:val="20"/>
          <w:szCs w:val="20"/>
          <w:lang w:val="es-MX" w:eastAsia="en-US"/>
        </w:rPr>
        <w:t xml:space="preserve"> de </w:t>
      </w:r>
      <w:r w:rsidR="00A83D10">
        <w:rPr>
          <w:rFonts w:ascii="Calibri" w:eastAsia="Calibri" w:hAnsi="Calibri" w:cs="Arial"/>
          <w:b/>
          <w:sz w:val="20"/>
          <w:szCs w:val="20"/>
          <w:lang w:val="es-MX" w:eastAsia="en-US"/>
        </w:rPr>
        <w:t>Marzo</w:t>
      </w:r>
      <w:r w:rsidR="00276FAA">
        <w:rPr>
          <w:rFonts w:ascii="Calibri" w:eastAsia="Calibri" w:hAnsi="Calibri" w:cs="Arial"/>
          <w:b/>
          <w:sz w:val="20"/>
          <w:szCs w:val="20"/>
          <w:lang w:val="es-MX" w:eastAsia="en-US"/>
        </w:rPr>
        <w:t xml:space="preserve"> </w:t>
      </w:r>
      <w:r w:rsidR="0034384F" w:rsidRPr="0034384F">
        <w:rPr>
          <w:rFonts w:ascii="Calibri" w:eastAsia="Calibri" w:hAnsi="Calibri" w:cs="Arial"/>
          <w:b/>
          <w:sz w:val="20"/>
          <w:szCs w:val="20"/>
          <w:lang w:val="es-MX" w:eastAsia="en-US"/>
        </w:rPr>
        <w:t>de 201</w:t>
      </w:r>
      <w:r w:rsidR="003E58DC">
        <w:rPr>
          <w:rFonts w:ascii="Calibri" w:eastAsia="Calibri" w:hAnsi="Calibri" w:cs="Arial"/>
          <w:b/>
          <w:sz w:val="20"/>
          <w:szCs w:val="20"/>
          <w:lang w:val="es-MX" w:eastAsia="en-US"/>
        </w:rPr>
        <w:t>7</w:t>
      </w:r>
    </w:p>
    <w:p w:rsidR="0034384F" w:rsidRDefault="0034384F" w:rsidP="0034384F">
      <w:pPr>
        <w:spacing w:after="200"/>
        <w:jc w:val="center"/>
        <w:rPr>
          <w:rFonts w:ascii="Calibri" w:eastAsia="Calibri" w:hAnsi="Calibri" w:cs="Arial"/>
          <w:b/>
          <w:sz w:val="20"/>
          <w:szCs w:val="20"/>
          <w:lang w:val="es-MX" w:eastAsia="en-US"/>
        </w:rPr>
      </w:pPr>
      <w:r w:rsidRPr="0034384F">
        <w:rPr>
          <w:rFonts w:ascii="Calibri" w:eastAsia="Calibri" w:hAnsi="Calibri" w:cs="Arial"/>
          <w:b/>
          <w:sz w:val="20"/>
          <w:szCs w:val="20"/>
          <w:lang w:val="es-MX" w:eastAsia="en-US"/>
        </w:rPr>
        <w:t>(Pesos)</w:t>
      </w:r>
    </w:p>
    <w:p w:rsidR="00A22506" w:rsidRPr="0034384F" w:rsidRDefault="00A22506" w:rsidP="0034384F">
      <w:pPr>
        <w:spacing w:after="200"/>
        <w:jc w:val="center"/>
        <w:rPr>
          <w:rFonts w:ascii="Calibri" w:eastAsia="Calibri" w:hAnsi="Calibri" w:cs="Arial"/>
          <w:b/>
          <w:sz w:val="20"/>
          <w:szCs w:val="20"/>
          <w:lang w:val="es-MX" w:eastAsia="en-US"/>
        </w:rPr>
      </w:pPr>
    </w:p>
    <w:p w:rsidR="0034384F" w:rsidRPr="0034384F" w:rsidRDefault="0034384F" w:rsidP="0034384F">
      <w:pPr>
        <w:spacing w:after="200"/>
        <w:rPr>
          <w:rFonts w:ascii="Calibri" w:eastAsia="Calibri" w:hAnsi="Calibri" w:cs="Arial"/>
          <w:b/>
          <w:sz w:val="20"/>
          <w:szCs w:val="20"/>
          <w:lang w:val="es-MX" w:eastAsia="en-US"/>
        </w:rPr>
      </w:pPr>
      <w:r>
        <w:rPr>
          <w:rFonts w:ascii="Calibri" w:eastAsia="Calibri" w:hAnsi="Calibri" w:cs="Arial"/>
          <w:b/>
          <w:sz w:val="20"/>
          <w:szCs w:val="20"/>
          <w:lang w:val="es-MX" w:eastAsia="en-US"/>
        </w:rPr>
        <w:t xml:space="preserve">Ente Público: </w:t>
      </w:r>
      <w:r w:rsidRPr="00A83D10">
        <w:rPr>
          <w:rFonts w:ascii="Calibri" w:eastAsia="Calibri" w:hAnsi="Calibri" w:cs="Arial"/>
          <w:b/>
          <w:sz w:val="20"/>
          <w:szCs w:val="20"/>
          <w:u w:val="single"/>
          <w:lang w:val="es-MX" w:eastAsia="en-US"/>
        </w:rPr>
        <w:t>SISTEMA PARA EL DESARROLLO INTEGRAL DE LA FAMILIA EN YUCATÁN</w:t>
      </w:r>
      <w:r>
        <w:rPr>
          <w:rFonts w:ascii="Calibri" w:eastAsia="Calibri" w:hAnsi="Calibri" w:cs="Arial"/>
          <w:b/>
          <w:sz w:val="20"/>
          <w:szCs w:val="20"/>
          <w:lang w:val="es-MX" w:eastAsia="en-US"/>
        </w:rPr>
        <w:t xml:space="preserve">  </w:t>
      </w:r>
      <w:r w:rsidRPr="0034384F">
        <w:rPr>
          <w:rFonts w:ascii="Calibri" w:eastAsia="Calibri" w:hAnsi="Calibri" w:cs="Arial"/>
          <w:b/>
          <w:sz w:val="20"/>
          <w:szCs w:val="20"/>
          <w:lang w:val="es-MX" w:eastAsia="en-US"/>
        </w:rPr>
        <w:t xml:space="preserve">        </w:t>
      </w:r>
    </w:p>
    <w:p w:rsidR="00FE5FBD" w:rsidRPr="00EC5A69" w:rsidRDefault="00FE5FBD" w:rsidP="00FE5FBD">
      <w:pPr>
        <w:rPr>
          <w:strike/>
          <w:lang w:val="es-MX"/>
        </w:rPr>
      </w:pPr>
    </w:p>
    <w:p w:rsidR="00FE5FBD" w:rsidRPr="0034384F" w:rsidRDefault="00B37A2E" w:rsidP="00B37A2E">
      <w:pPr>
        <w:pStyle w:val="Prrafodelista"/>
        <w:numPr>
          <w:ilvl w:val="0"/>
          <w:numId w:val="9"/>
        </w:numPr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 xml:space="preserve"> </w:t>
      </w:r>
      <w:r w:rsidR="00FE5FBD" w:rsidRPr="0034384F">
        <w:rPr>
          <w:rFonts w:asciiTheme="minorHAnsi" w:hAnsiTheme="minorHAnsi"/>
          <w:b/>
          <w:sz w:val="20"/>
          <w:szCs w:val="20"/>
        </w:rPr>
        <w:t xml:space="preserve"> NOTAS DE DESGLOSE</w:t>
      </w:r>
    </w:p>
    <w:p w:rsidR="007F7780" w:rsidRPr="0034384F" w:rsidRDefault="007F7780" w:rsidP="007F7780">
      <w:pPr>
        <w:ind w:left="708"/>
        <w:rPr>
          <w:rFonts w:asciiTheme="minorHAnsi" w:hAnsiTheme="minorHAnsi"/>
          <w:b/>
          <w:sz w:val="20"/>
          <w:szCs w:val="20"/>
        </w:rPr>
      </w:pPr>
    </w:p>
    <w:p w:rsidR="00FE5FBD" w:rsidRPr="0034384F" w:rsidRDefault="00FE5FBD" w:rsidP="007F7780">
      <w:pPr>
        <w:pStyle w:val="Prrafodelista"/>
        <w:numPr>
          <w:ilvl w:val="0"/>
          <w:numId w:val="7"/>
        </w:numPr>
        <w:rPr>
          <w:rFonts w:asciiTheme="minorHAnsi" w:hAnsiTheme="minorHAnsi"/>
          <w:b/>
          <w:i/>
          <w:sz w:val="20"/>
          <w:szCs w:val="20"/>
        </w:rPr>
      </w:pPr>
      <w:r w:rsidRPr="0034384F">
        <w:rPr>
          <w:rFonts w:asciiTheme="minorHAnsi" w:hAnsiTheme="minorHAnsi"/>
          <w:b/>
          <w:i/>
          <w:sz w:val="20"/>
          <w:szCs w:val="20"/>
        </w:rPr>
        <w:t>NOTAS AL ESTADO DE SITUACION FINANCIERA</w:t>
      </w:r>
    </w:p>
    <w:p w:rsidR="00FE5FBD" w:rsidRPr="0034384F" w:rsidRDefault="00FE5FBD" w:rsidP="007F7780">
      <w:pPr>
        <w:jc w:val="both"/>
        <w:rPr>
          <w:rFonts w:asciiTheme="minorHAnsi" w:hAnsiTheme="minorHAnsi"/>
          <w:b/>
          <w:sz w:val="20"/>
          <w:szCs w:val="20"/>
        </w:rPr>
      </w:pPr>
    </w:p>
    <w:p w:rsidR="00FE5FBD" w:rsidRPr="0034384F" w:rsidRDefault="00FE5FBD" w:rsidP="007F7780">
      <w:pPr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Activo</w:t>
      </w:r>
    </w:p>
    <w:p w:rsidR="007F7780" w:rsidRPr="0034384F" w:rsidRDefault="007F7780" w:rsidP="00FE5FBD">
      <w:pPr>
        <w:ind w:firstLine="708"/>
        <w:jc w:val="both"/>
        <w:rPr>
          <w:rFonts w:asciiTheme="minorHAnsi" w:hAnsiTheme="minorHAnsi"/>
          <w:b/>
          <w:sz w:val="20"/>
          <w:szCs w:val="20"/>
        </w:rPr>
      </w:pPr>
    </w:p>
    <w:p w:rsidR="00FE5FBD" w:rsidRPr="0034384F" w:rsidRDefault="00FE5FBD" w:rsidP="00FE5FBD">
      <w:p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Efectivo y Equivalentes</w:t>
      </w:r>
    </w:p>
    <w:p w:rsidR="00FE5FBD" w:rsidRPr="0034384F" w:rsidRDefault="00FE5FBD" w:rsidP="00FE5FBD">
      <w:pPr>
        <w:jc w:val="both"/>
        <w:rPr>
          <w:rFonts w:asciiTheme="minorHAnsi" w:hAnsiTheme="minorHAnsi"/>
          <w:sz w:val="20"/>
          <w:szCs w:val="20"/>
        </w:rPr>
      </w:pPr>
    </w:p>
    <w:p w:rsidR="00FE5FBD" w:rsidRDefault="00FE5FBD" w:rsidP="00FE5FBD">
      <w:pPr>
        <w:ind w:left="717" w:firstLine="348"/>
        <w:rPr>
          <w:rFonts w:asciiTheme="minorHAnsi" w:hAnsiTheme="minorHAnsi" w:cs="Arial"/>
          <w:b/>
          <w:sz w:val="20"/>
          <w:szCs w:val="20"/>
          <w:lang w:val="es-MX"/>
        </w:rPr>
      </w:pPr>
      <w:r w:rsidRPr="0034384F">
        <w:rPr>
          <w:rFonts w:asciiTheme="minorHAnsi" w:hAnsiTheme="minorHAnsi" w:cs="Arial"/>
          <w:b/>
          <w:sz w:val="20"/>
          <w:szCs w:val="20"/>
          <w:lang w:val="es-MX"/>
        </w:rPr>
        <w:t>El rubro de efectivo</w:t>
      </w:r>
      <w:r w:rsidR="007F7780" w:rsidRPr="0034384F">
        <w:rPr>
          <w:rFonts w:asciiTheme="minorHAnsi" w:hAnsiTheme="minorHAnsi" w:cs="Arial"/>
          <w:b/>
          <w:sz w:val="20"/>
          <w:szCs w:val="20"/>
          <w:lang w:val="es-MX"/>
        </w:rPr>
        <w:t xml:space="preserve"> y equivalentes</w:t>
      </w:r>
      <w:r w:rsidRPr="0034384F">
        <w:rPr>
          <w:rFonts w:asciiTheme="minorHAnsi" w:hAnsiTheme="minorHAnsi" w:cs="Arial"/>
          <w:b/>
          <w:sz w:val="20"/>
          <w:szCs w:val="20"/>
          <w:lang w:val="es-MX"/>
        </w:rPr>
        <w:t xml:space="preserve"> se integra de la siguiente manera:</w:t>
      </w:r>
    </w:p>
    <w:p w:rsidR="009D1FB9" w:rsidRDefault="009D1FB9" w:rsidP="00FE5FBD">
      <w:pPr>
        <w:ind w:left="717" w:firstLine="348"/>
        <w:rPr>
          <w:rFonts w:asciiTheme="minorHAnsi" w:hAnsiTheme="minorHAnsi" w:cs="Arial"/>
          <w:b/>
          <w:sz w:val="20"/>
          <w:szCs w:val="20"/>
          <w:lang w:val="es-MX"/>
        </w:rPr>
      </w:pPr>
    </w:p>
    <w:p w:rsidR="00291F97" w:rsidRDefault="00291F97" w:rsidP="00FE5FBD">
      <w:pPr>
        <w:ind w:left="717" w:firstLine="348"/>
        <w:rPr>
          <w:rFonts w:asciiTheme="minorHAnsi" w:hAnsiTheme="minorHAnsi" w:cs="Arial"/>
          <w:b/>
          <w:sz w:val="20"/>
          <w:szCs w:val="20"/>
          <w:lang w:val="es-MX"/>
        </w:rPr>
      </w:pPr>
    </w:p>
    <w:tbl>
      <w:tblPr>
        <w:tblW w:w="80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7"/>
        <w:gridCol w:w="2268"/>
      </w:tblGrid>
      <w:tr w:rsidR="008C3650" w:rsidRPr="008C3650" w:rsidTr="008C3650">
        <w:trPr>
          <w:trHeight w:val="315"/>
        </w:trPr>
        <w:tc>
          <w:tcPr>
            <w:tcW w:w="5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Efectivo y Equivalentes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  <w:t>60,122,950.08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  <w:t>Efectivo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  <w:t>76,831.97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CADI OLGA MANZANO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1,000.00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PROCURADURÍA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5,000.00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COMPRAS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5,000.00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SUB DIRECCIÓN OPERATIVA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2,000.00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lastRenderedPageBreak/>
              <w:t>C.D.F. CASTILLA CÁMARA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1,000.00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CROPAFY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7,000.00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SUBDIRECCIÓN ADMINISTRATIVA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8,000.00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ENLACE CIUDADANO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3,000.00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CAIMEDE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10,000.00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CADI JULIA PEÓN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1,000.00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C.D.F. MARÍA LUISA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1,000.00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COORDINACIÓN DE CADI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3,500.00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SERVICIOS MÉDICOS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2,000.00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CADI CORDEMEX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1,000.00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CADI CONKAL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1,000.00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CADI CARMEN GÓMEZ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831.97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RECURSOS MATERIALES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5,000.00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DIR PARA LA ATN DE LA INF Y FAM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2,000.00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C.D.F. HUMBERTO LARA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1,000.00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CADI LINA LÓPEZ ESQUIVEL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1,000.00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CADI ELVIA CARRILLO PUERTO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1,000.00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DIRECCIÓN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10,000.00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INFORMÁTICA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2,000.00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CADI ROSA TORRES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1,000.00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DIRECCIÓN DE DESARROLLO COMUNITARIO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1,500.00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Bancos/Tesorería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60,046,118.11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  <w:lastRenderedPageBreak/>
              <w:t>Aportaciones Estatales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  <w:t>10,543,541.05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BTE </w:t>
            </w:r>
            <w:proofErr w:type="spellStart"/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Cta</w:t>
            </w:r>
            <w:proofErr w:type="spellEnd"/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 05 5298 5495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3,709,103.70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BTE </w:t>
            </w:r>
            <w:proofErr w:type="spellStart"/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Cta</w:t>
            </w:r>
            <w:proofErr w:type="spellEnd"/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 08 4876 0797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6,834,437.35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  <w:t>Aportaciones Federales FAM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  <w:t>41,358,436.45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BTE </w:t>
            </w:r>
            <w:proofErr w:type="spellStart"/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Cta</w:t>
            </w:r>
            <w:proofErr w:type="spellEnd"/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 04 1493 7378 FAM 2016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11,757.11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BTE </w:t>
            </w:r>
            <w:proofErr w:type="spellStart"/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Cta</w:t>
            </w:r>
            <w:proofErr w:type="spellEnd"/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 04 6109 3951 FAM 2017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41,346,679.34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  <w:t>Recursos propios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8,144,130.61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BTE </w:t>
            </w:r>
            <w:proofErr w:type="spellStart"/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Cta</w:t>
            </w:r>
            <w:proofErr w:type="spellEnd"/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 05 6473 3439 EAED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1,570,663.41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BTE </w:t>
            </w:r>
            <w:proofErr w:type="spellStart"/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Cta</w:t>
            </w:r>
            <w:proofErr w:type="spellEnd"/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 05 6473 3381 CADIS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156,537.59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BTE </w:t>
            </w:r>
            <w:proofErr w:type="spellStart"/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Cta</w:t>
            </w:r>
            <w:proofErr w:type="spellEnd"/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 05 6473 3420 TRABAJO SOCIAL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341,056.56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BTE </w:t>
            </w:r>
            <w:proofErr w:type="spellStart"/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Cta</w:t>
            </w:r>
            <w:proofErr w:type="spellEnd"/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 05 6473 3390 CROPAFY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116,917.04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BTE </w:t>
            </w:r>
            <w:proofErr w:type="spellStart"/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Cta</w:t>
            </w:r>
            <w:proofErr w:type="spellEnd"/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 05 6473 3402 UBR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3,599,263.96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BTE </w:t>
            </w:r>
            <w:proofErr w:type="spellStart"/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Cta</w:t>
            </w:r>
            <w:proofErr w:type="spellEnd"/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 02 1932 1042 DONATIVOS CAIMEDE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52,899.40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BTE </w:t>
            </w:r>
            <w:proofErr w:type="spellStart"/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Cta</w:t>
            </w:r>
            <w:proofErr w:type="spellEnd"/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 04 1493 7387 DIR. ALIM. 2016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2,256,701.33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BTE </w:t>
            </w:r>
            <w:proofErr w:type="spellStart"/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Cta</w:t>
            </w:r>
            <w:proofErr w:type="spellEnd"/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 04 6109 3960 DIR. ALIM. 2017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50,081.30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  <w:t>Aportaciones Federales Ramo 23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  <w:t>10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  <w:t>.00</w:t>
            </w:r>
          </w:p>
        </w:tc>
      </w:tr>
      <w:tr w:rsidR="008C3650" w:rsidRPr="008C3650" w:rsidTr="008C3650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n-US" w:eastAsia="es-MX"/>
              </w:rPr>
              <w:t>SCOTIANBANK 1700287 5667 FONDO P/ACCES. P/PERS 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n-US" w:eastAsia="es-MX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s-MX"/>
              </w:rPr>
              <w:t>.00</w:t>
            </w:r>
          </w:p>
        </w:tc>
      </w:tr>
    </w:tbl>
    <w:p w:rsidR="00347206" w:rsidRDefault="00347206" w:rsidP="00FE5FBD">
      <w:pPr>
        <w:ind w:left="717" w:firstLine="348"/>
        <w:rPr>
          <w:rFonts w:asciiTheme="minorHAnsi" w:hAnsiTheme="minorHAnsi" w:cs="Arial"/>
          <w:b/>
          <w:sz w:val="20"/>
          <w:szCs w:val="20"/>
          <w:lang w:val="es-MX"/>
        </w:rPr>
      </w:pPr>
    </w:p>
    <w:p w:rsidR="00347206" w:rsidRDefault="00347206" w:rsidP="00FE5FBD">
      <w:pPr>
        <w:ind w:left="717" w:firstLine="348"/>
        <w:rPr>
          <w:rFonts w:asciiTheme="minorHAnsi" w:hAnsiTheme="minorHAnsi" w:cs="Arial"/>
          <w:b/>
          <w:sz w:val="20"/>
          <w:szCs w:val="20"/>
          <w:lang w:val="es-MX"/>
        </w:rPr>
      </w:pPr>
    </w:p>
    <w:p w:rsidR="00413C89" w:rsidRDefault="00413C89" w:rsidP="00FE5FBD">
      <w:pPr>
        <w:ind w:left="717" w:firstLine="348"/>
        <w:rPr>
          <w:rFonts w:asciiTheme="minorHAnsi" w:hAnsiTheme="minorHAnsi" w:cs="Arial"/>
          <w:b/>
          <w:sz w:val="20"/>
          <w:szCs w:val="20"/>
          <w:lang w:val="es-MX"/>
        </w:rPr>
      </w:pPr>
    </w:p>
    <w:p w:rsidR="008C3650" w:rsidRDefault="008C3650" w:rsidP="00FE5FBD">
      <w:pPr>
        <w:ind w:left="717" w:firstLine="348"/>
        <w:rPr>
          <w:rFonts w:asciiTheme="minorHAnsi" w:hAnsiTheme="minorHAnsi" w:cs="Arial"/>
          <w:b/>
          <w:sz w:val="20"/>
          <w:szCs w:val="20"/>
          <w:lang w:val="es-MX"/>
        </w:rPr>
      </w:pPr>
    </w:p>
    <w:p w:rsidR="008C3650" w:rsidRDefault="008C3650" w:rsidP="00FE5FBD">
      <w:pPr>
        <w:ind w:left="717" w:firstLine="348"/>
        <w:rPr>
          <w:rFonts w:asciiTheme="minorHAnsi" w:hAnsiTheme="minorHAnsi" w:cs="Arial"/>
          <w:b/>
          <w:sz w:val="20"/>
          <w:szCs w:val="20"/>
          <w:lang w:val="es-MX"/>
        </w:rPr>
      </w:pPr>
    </w:p>
    <w:p w:rsidR="008C3650" w:rsidRDefault="008C3650" w:rsidP="00FE5FBD">
      <w:pPr>
        <w:ind w:left="717" w:firstLine="348"/>
        <w:rPr>
          <w:rFonts w:asciiTheme="minorHAnsi" w:hAnsiTheme="minorHAnsi" w:cs="Arial"/>
          <w:b/>
          <w:sz w:val="20"/>
          <w:szCs w:val="20"/>
          <w:lang w:val="es-MX"/>
        </w:rPr>
      </w:pPr>
    </w:p>
    <w:p w:rsidR="00413C89" w:rsidRDefault="00413C89" w:rsidP="00FE5FBD">
      <w:pPr>
        <w:ind w:left="717" w:firstLine="348"/>
        <w:rPr>
          <w:rFonts w:asciiTheme="minorHAnsi" w:hAnsiTheme="minorHAnsi" w:cs="Arial"/>
          <w:b/>
          <w:sz w:val="20"/>
          <w:szCs w:val="20"/>
          <w:lang w:val="es-MX"/>
        </w:rPr>
      </w:pPr>
    </w:p>
    <w:p w:rsidR="00413C89" w:rsidRPr="0034384F" w:rsidRDefault="00413C89" w:rsidP="00FE5FBD">
      <w:pPr>
        <w:ind w:left="717" w:firstLine="348"/>
        <w:rPr>
          <w:rFonts w:asciiTheme="minorHAnsi" w:hAnsiTheme="minorHAnsi" w:cs="Arial"/>
          <w:b/>
          <w:sz w:val="20"/>
          <w:szCs w:val="20"/>
          <w:lang w:val="es-MX"/>
        </w:rPr>
      </w:pPr>
    </w:p>
    <w:p w:rsidR="004F1070" w:rsidRDefault="004F1070" w:rsidP="00B520DF">
      <w:pPr>
        <w:rPr>
          <w:rFonts w:asciiTheme="minorHAnsi" w:hAnsiTheme="minorHAnsi" w:cs="Arial"/>
          <w:b/>
          <w:i/>
          <w:sz w:val="20"/>
          <w:szCs w:val="20"/>
          <w:lang w:val="es-MX"/>
        </w:rPr>
      </w:pPr>
    </w:p>
    <w:p w:rsidR="0081412A" w:rsidRPr="0034384F" w:rsidRDefault="0081412A" w:rsidP="00B520DF">
      <w:pPr>
        <w:rPr>
          <w:rFonts w:asciiTheme="minorHAnsi" w:hAnsiTheme="minorHAnsi" w:cs="Arial"/>
          <w:b/>
          <w:i/>
          <w:sz w:val="20"/>
          <w:szCs w:val="20"/>
          <w:lang w:val="es-MX"/>
        </w:rPr>
      </w:pPr>
      <w:r w:rsidRPr="0034384F">
        <w:rPr>
          <w:rFonts w:asciiTheme="minorHAnsi" w:hAnsiTheme="minorHAnsi" w:cs="Arial"/>
          <w:b/>
          <w:i/>
          <w:sz w:val="20"/>
          <w:szCs w:val="20"/>
          <w:lang w:val="es-MX"/>
        </w:rPr>
        <w:t>Derechos a recibir Efectivo y Equivalentes y Bienes o Servicios a Recibir.</w:t>
      </w:r>
    </w:p>
    <w:p w:rsidR="00826686" w:rsidRPr="0034384F" w:rsidRDefault="00826686" w:rsidP="00FE5FBD">
      <w:pPr>
        <w:ind w:left="360" w:firstLine="348"/>
        <w:rPr>
          <w:rFonts w:asciiTheme="minorHAnsi" w:hAnsiTheme="minorHAnsi" w:cs="Arial"/>
          <w:sz w:val="20"/>
          <w:szCs w:val="20"/>
          <w:lang w:val="es-MX"/>
        </w:rPr>
      </w:pPr>
    </w:p>
    <w:p w:rsidR="00FE5FBD" w:rsidRDefault="00FE5FBD" w:rsidP="00FE5FBD">
      <w:pPr>
        <w:ind w:left="360" w:firstLine="348"/>
        <w:rPr>
          <w:rFonts w:asciiTheme="minorHAnsi" w:hAnsiTheme="minorHAnsi" w:cs="Arial"/>
          <w:sz w:val="20"/>
          <w:szCs w:val="20"/>
          <w:lang w:val="es-MX"/>
        </w:rPr>
      </w:pPr>
      <w:r w:rsidRPr="0034384F">
        <w:rPr>
          <w:rFonts w:asciiTheme="minorHAnsi" w:hAnsiTheme="minorHAnsi" w:cs="Arial"/>
          <w:sz w:val="20"/>
          <w:szCs w:val="20"/>
          <w:lang w:val="es-MX"/>
        </w:rPr>
        <w:t>Las cuentas por cobrar se encuentran integradas de la siguiente manera:</w:t>
      </w:r>
    </w:p>
    <w:p w:rsidR="0051489F" w:rsidRDefault="0051489F" w:rsidP="00FE5FBD">
      <w:pPr>
        <w:ind w:left="360" w:firstLine="348"/>
        <w:rPr>
          <w:rFonts w:asciiTheme="minorHAnsi" w:hAnsiTheme="minorHAnsi" w:cs="Arial"/>
          <w:sz w:val="20"/>
          <w:szCs w:val="20"/>
          <w:lang w:val="es-MX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4"/>
        <w:gridCol w:w="3119"/>
      </w:tblGrid>
      <w:tr w:rsidR="008C3650" w:rsidRPr="008C3650" w:rsidTr="008C3650">
        <w:trPr>
          <w:trHeight w:val="315"/>
        </w:trPr>
        <w:tc>
          <w:tcPr>
            <w:tcW w:w="6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Derechos a Recibir Efectivo o Equivalentes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                               94,765,712.46 </w:t>
            </w:r>
          </w:p>
        </w:tc>
      </w:tr>
      <w:tr w:rsidR="008C3650" w:rsidRPr="008C3650" w:rsidTr="008C3650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Cuentas por Cobrar a Corto Plazo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                                         17,174.77 </w:t>
            </w:r>
          </w:p>
        </w:tc>
      </w:tr>
      <w:tr w:rsidR="008C3650" w:rsidRPr="008C3650" w:rsidTr="008C3650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Deudores Diversos por Cobrar a Corto Plazo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                                 94,483,106.33 </w:t>
            </w:r>
          </w:p>
        </w:tc>
      </w:tr>
      <w:tr w:rsidR="008C3650" w:rsidRPr="008C3650" w:rsidTr="008C3650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Ingresos por Recuperar a Corto Plazo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61,804.52</w:t>
            </w:r>
          </w:p>
        </w:tc>
      </w:tr>
      <w:tr w:rsidR="008C3650" w:rsidRPr="008C3650" w:rsidTr="008C3650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Otros Derechos a Recibir Efectivo o Equivalentes a Corto Plazo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50" w:rsidRPr="008C3650" w:rsidRDefault="008C3650" w:rsidP="008C36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                                      203,626.84 </w:t>
            </w:r>
          </w:p>
        </w:tc>
      </w:tr>
    </w:tbl>
    <w:p w:rsidR="00BE2339" w:rsidRDefault="00BE2339" w:rsidP="00FE5FBD">
      <w:pPr>
        <w:ind w:left="360" w:firstLine="348"/>
        <w:rPr>
          <w:rFonts w:asciiTheme="minorHAnsi" w:hAnsiTheme="minorHAnsi" w:cs="Arial"/>
          <w:sz w:val="20"/>
          <w:szCs w:val="20"/>
          <w:lang w:val="es-MX"/>
        </w:rPr>
      </w:pPr>
    </w:p>
    <w:p w:rsidR="006B63F8" w:rsidRDefault="0081412A" w:rsidP="006B63F8">
      <w:pPr>
        <w:jc w:val="both"/>
        <w:rPr>
          <w:rFonts w:ascii="Calibri" w:hAnsi="Calibri"/>
          <w:color w:val="000000"/>
          <w:sz w:val="20"/>
          <w:szCs w:val="20"/>
          <w:lang w:val="es-MX" w:eastAsia="es-MX"/>
        </w:rPr>
      </w:pPr>
      <w:r w:rsidRPr="00437E98">
        <w:rPr>
          <w:rFonts w:ascii="Calibri" w:hAnsi="Calibri" w:cs="Arial"/>
          <w:sz w:val="20"/>
          <w:szCs w:val="20"/>
          <w:lang w:val="es-MX"/>
        </w:rPr>
        <w:t>En la cuenta de Deudores Diversos por Cobrar a Corto Plazo</w:t>
      </w:r>
      <w:r w:rsidR="006A478F" w:rsidRPr="00437E98">
        <w:rPr>
          <w:rFonts w:ascii="Calibri" w:hAnsi="Calibri" w:cs="Arial"/>
          <w:sz w:val="20"/>
          <w:szCs w:val="20"/>
          <w:lang w:val="es-MX"/>
        </w:rPr>
        <w:t>s, se encuentra incluidos entre otros,</w:t>
      </w:r>
      <w:r w:rsidRPr="00437E98">
        <w:rPr>
          <w:rFonts w:ascii="Calibri" w:hAnsi="Calibri" w:cs="Arial"/>
          <w:sz w:val="20"/>
          <w:szCs w:val="20"/>
          <w:lang w:val="es-MX"/>
        </w:rPr>
        <w:t xml:space="preserve"> </w:t>
      </w:r>
      <w:r w:rsidRPr="00437E98">
        <w:rPr>
          <w:rFonts w:ascii="Calibri" w:hAnsi="Calibri" w:cs="Arial"/>
          <w:color w:val="000000"/>
          <w:sz w:val="20"/>
          <w:szCs w:val="20"/>
          <w:lang w:val="es-MX" w:eastAsia="es-MX"/>
        </w:rPr>
        <w:t>la Planta Industrializadora con $</w:t>
      </w:r>
      <w:r w:rsidR="006A478F" w:rsidRPr="00437E98">
        <w:rPr>
          <w:rFonts w:ascii="Calibri" w:hAnsi="Calibri"/>
          <w:color w:val="000000"/>
          <w:sz w:val="20"/>
          <w:szCs w:val="20"/>
          <w:lang w:val="es-MX" w:eastAsia="es-MX"/>
        </w:rPr>
        <w:t xml:space="preserve">  </w:t>
      </w:r>
      <w:r w:rsidR="00FC1AD0">
        <w:rPr>
          <w:rFonts w:ascii="Calibri" w:hAnsi="Calibri"/>
          <w:color w:val="000000"/>
          <w:sz w:val="20"/>
          <w:szCs w:val="20"/>
          <w:lang w:val="es-MX" w:eastAsia="es-MX"/>
        </w:rPr>
        <w:t>44</w:t>
      </w:r>
      <w:r w:rsidR="008C3650">
        <w:rPr>
          <w:rFonts w:ascii="Calibri" w:hAnsi="Calibri"/>
          <w:color w:val="000000"/>
          <w:sz w:val="20"/>
          <w:szCs w:val="20"/>
          <w:lang w:val="es-MX" w:eastAsia="es-MX"/>
        </w:rPr>
        <w:t>, 626,107.43</w:t>
      </w:r>
      <w:r w:rsidR="00C97B81" w:rsidRPr="00437E98">
        <w:rPr>
          <w:rFonts w:ascii="Calibri" w:hAnsi="Calibri" w:cs="Arial"/>
          <w:sz w:val="20"/>
          <w:szCs w:val="20"/>
          <w:lang w:val="es-MX" w:eastAsia="es-MX"/>
        </w:rPr>
        <w:t>.</w:t>
      </w:r>
      <w:r w:rsidR="008C3650">
        <w:rPr>
          <w:rFonts w:ascii="Calibri" w:hAnsi="Calibri" w:cs="Arial"/>
          <w:sz w:val="20"/>
          <w:szCs w:val="20"/>
          <w:lang w:val="es-MX" w:eastAsia="es-MX"/>
        </w:rPr>
        <w:t xml:space="preserve"> </w:t>
      </w:r>
      <w:proofErr w:type="gramStart"/>
      <w:r w:rsidR="008C3650">
        <w:rPr>
          <w:rFonts w:ascii="Calibri" w:hAnsi="Calibri" w:cs="Arial"/>
          <w:sz w:val="20"/>
          <w:szCs w:val="20"/>
          <w:lang w:val="es-MX" w:eastAsia="es-MX"/>
        </w:rPr>
        <w:t>en</w:t>
      </w:r>
      <w:proofErr w:type="gramEnd"/>
      <w:r w:rsidR="008C3650">
        <w:rPr>
          <w:rFonts w:ascii="Calibri" w:hAnsi="Calibri" w:cs="Arial"/>
          <w:sz w:val="20"/>
          <w:szCs w:val="20"/>
          <w:lang w:val="es-MX" w:eastAsia="es-MX"/>
        </w:rPr>
        <w:t xml:space="preserve"> el mismo rubro se encuentra la Secretaría de Administración y Finanzas con una cantidad de $ 44,294,280.00 correspondientes al CRIT. S</w:t>
      </w:r>
      <w:r w:rsidR="007301EA">
        <w:rPr>
          <w:rFonts w:ascii="Calibri" w:hAnsi="Calibri" w:cs="Arial"/>
          <w:sz w:val="20"/>
          <w:szCs w:val="20"/>
          <w:lang w:val="es-MX" w:eastAsia="es-MX"/>
        </w:rPr>
        <w:t xml:space="preserve">e </w:t>
      </w:r>
      <w:proofErr w:type="spellStart"/>
      <w:r w:rsidR="007301EA">
        <w:rPr>
          <w:rFonts w:ascii="Calibri" w:hAnsi="Calibri" w:cs="Arial"/>
          <w:sz w:val="20"/>
          <w:szCs w:val="20"/>
          <w:lang w:val="es-MX" w:eastAsia="es-MX"/>
        </w:rPr>
        <w:t>solicito</w:t>
      </w:r>
      <w:proofErr w:type="spellEnd"/>
      <w:r w:rsidR="007301EA">
        <w:rPr>
          <w:rFonts w:ascii="Calibri" w:hAnsi="Calibri" w:cs="Arial"/>
          <w:sz w:val="20"/>
          <w:szCs w:val="20"/>
          <w:lang w:val="es-MX" w:eastAsia="es-MX"/>
        </w:rPr>
        <w:t xml:space="preserve"> a la</w:t>
      </w:r>
      <w:r w:rsidR="00472019">
        <w:rPr>
          <w:rFonts w:ascii="Calibri" w:hAnsi="Calibri" w:cs="Arial"/>
          <w:sz w:val="20"/>
          <w:szCs w:val="20"/>
          <w:lang w:val="es-MX" w:eastAsia="es-MX"/>
        </w:rPr>
        <w:t xml:space="preserve"> 3ª.</w:t>
      </w:r>
      <w:r w:rsidR="007301EA">
        <w:rPr>
          <w:rFonts w:ascii="Calibri" w:hAnsi="Calibri" w:cs="Arial"/>
          <w:sz w:val="20"/>
          <w:szCs w:val="20"/>
          <w:lang w:val="es-MX" w:eastAsia="es-MX"/>
        </w:rPr>
        <w:t xml:space="preserve"> </w:t>
      </w:r>
      <w:r w:rsidR="00472019">
        <w:rPr>
          <w:rFonts w:ascii="Calibri" w:hAnsi="Calibri" w:cs="Arial"/>
          <w:sz w:val="20"/>
          <w:szCs w:val="20"/>
          <w:lang w:val="es-MX" w:eastAsia="es-MX"/>
        </w:rPr>
        <w:t xml:space="preserve">Sesión Ordinaria de la </w:t>
      </w:r>
      <w:r w:rsidR="007301EA">
        <w:rPr>
          <w:rFonts w:ascii="Calibri" w:hAnsi="Calibri" w:cs="Arial"/>
          <w:sz w:val="20"/>
          <w:szCs w:val="20"/>
          <w:lang w:val="es-MX" w:eastAsia="es-MX"/>
        </w:rPr>
        <w:t xml:space="preserve">Junta de Gobierno </w:t>
      </w:r>
      <w:r w:rsidR="00472019">
        <w:rPr>
          <w:rFonts w:ascii="Calibri" w:hAnsi="Calibri" w:cs="Arial"/>
          <w:sz w:val="20"/>
          <w:szCs w:val="20"/>
          <w:lang w:val="es-MX" w:eastAsia="es-MX"/>
        </w:rPr>
        <w:t xml:space="preserve">del año 2015, </w:t>
      </w:r>
      <w:r w:rsidR="007301EA">
        <w:rPr>
          <w:rFonts w:ascii="Calibri" w:hAnsi="Calibri" w:cs="Arial"/>
          <w:sz w:val="20"/>
          <w:szCs w:val="20"/>
          <w:lang w:val="es-MX" w:eastAsia="es-MX"/>
        </w:rPr>
        <w:t>la cancelación de</w:t>
      </w:r>
      <w:r w:rsidR="007D22AE">
        <w:rPr>
          <w:rFonts w:ascii="Calibri" w:hAnsi="Calibri" w:cs="Arial"/>
          <w:sz w:val="20"/>
          <w:szCs w:val="20"/>
          <w:lang w:val="es-MX" w:eastAsia="es-MX"/>
        </w:rPr>
        <w:t>l saldo de los Municipios 2007-2010</w:t>
      </w:r>
      <w:r w:rsidR="00472019">
        <w:rPr>
          <w:rFonts w:ascii="Calibri" w:hAnsi="Calibri" w:cs="Arial"/>
          <w:sz w:val="20"/>
          <w:szCs w:val="20"/>
          <w:lang w:val="es-MX" w:eastAsia="es-MX"/>
        </w:rPr>
        <w:t xml:space="preserve"> por concepto de los Programas Alimentarios, ya que a la presente fecha son incobrables</w:t>
      </w:r>
      <w:r w:rsidR="0077132E">
        <w:rPr>
          <w:rFonts w:ascii="Calibri" w:hAnsi="Calibri" w:cs="Arial"/>
          <w:sz w:val="20"/>
          <w:szCs w:val="20"/>
          <w:lang w:val="es-MX" w:eastAsia="es-MX"/>
        </w:rPr>
        <w:t>,</w:t>
      </w:r>
      <w:r w:rsidR="007D22AE">
        <w:rPr>
          <w:rFonts w:ascii="Calibri" w:hAnsi="Calibri" w:cs="Arial"/>
          <w:sz w:val="20"/>
          <w:szCs w:val="20"/>
          <w:lang w:val="es-MX" w:eastAsia="es-MX"/>
        </w:rPr>
        <w:t xml:space="preserve"> se encuentra en la cuenta de</w:t>
      </w:r>
      <w:r w:rsidR="007301EA">
        <w:rPr>
          <w:rFonts w:ascii="Calibri" w:hAnsi="Calibri" w:cs="Arial"/>
          <w:sz w:val="20"/>
          <w:szCs w:val="20"/>
          <w:lang w:val="es-MX" w:eastAsia="es-MX"/>
        </w:rPr>
        <w:t xml:space="preserve"> Deudores Diversos</w:t>
      </w:r>
      <w:r w:rsidR="00472019">
        <w:rPr>
          <w:rFonts w:ascii="Calibri" w:hAnsi="Calibri" w:cs="Arial"/>
          <w:sz w:val="20"/>
          <w:szCs w:val="20"/>
          <w:lang w:val="es-MX" w:eastAsia="es-MX"/>
        </w:rPr>
        <w:t>.</w:t>
      </w:r>
      <w:r w:rsidR="007301EA">
        <w:rPr>
          <w:rFonts w:ascii="Calibri" w:hAnsi="Calibri" w:cs="Arial"/>
          <w:sz w:val="20"/>
          <w:szCs w:val="20"/>
          <w:lang w:val="es-MX" w:eastAsia="es-MX"/>
        </w:rPr>
        <w:t xml:space="preserve"> </w:t>
      </w:r>
      <w:r w:rsidR="00F51654">
        <w:rPr>
          <w:rFonts w:ascii="Calibri" w:hAnsi="Calibri" w:cs="Arial"/>
          <w:sz w:val="20"/>
          <w:szCs w:val="20"/>
          <w:lang w:val="es-MX" w:eastAsia="es-MX"/>
        </w:rPr>
        <w:t xml:space="preserve"> E</w:t>
      </w:r>
      <w:r w:rsidR="00553302" w:rsidRPr="00437E98">
        <w:rPr>
          <w:rFonts w:ascii="Calibri" w:hAnsi="Calibri"/>
          <w:color w:val="000000"/>
          <w:sz w:val="20"/>
          <w:szCs w:val="20"/>
          <w:lang w:val="es-MX" w:eastAsia="es-MX"/>
        </w:rPr>
        <w:t>n el rubro de Otros Derechos a Recibir Efectivo o equivalentes se encuentra el Seguro de Vida de los Trabajadores del Sistema DIF</w:t>
      </w:r>
      <w:r w:rsidR="00960CBF" w:rsidRPr="00437E98">
        <w:rPr>
          <w:rFonts w:ascii="Calibri" w:hAnsi="Calibri"/>
          <w:color w:val="000000"/>
          <w:sz w:val="20"/>
          <w:szCs w:val="20"/>
          <w:lang w:val="es-MX" w:eastAsia="es-MX"/>
        </w:rPr>
        <w:t xml:space="preserve"> y el Seguro del equipo de Transporte</w:t>
      </w:r>
      <w:r w:rsidR="00553302" w:rsidRPr="00437E98">
        <w:rPr>
          <w:rFonts w:ascii="Calibri" w:hAnsi="Calibri"/>
          <w:color w:val="000000"/>
          <w:sz w:val="20"/>
          <w:szCs w:val="20"/>
          <w:lang w:val="es-MX" w:eastAsia="es-MX"/>
        </w:rPr>
        <w:t>.</w:t>
      </w:r>
      <w:r w:rsidR="00BE2339">
        <w:rPr>
          <w:rFonts w:ascii="Calibri" w:hAnsi="Calibri"/>
          <w:color w:val="000000"/>
          <w:sz w:val="20"/>
          <w:szCs w:val="20"/>
          <w:lang w:val="es-MX" w:eastAsia="es-MX"/>
        </w:rPr>
        <w:t xml:space="preserve"> </w:t>
      </w:r>
    </w:p>
    <w:p w:rsidR="00347206" w:rsidRDefault="00347206" w:rsidP="006B63F8">
      <w:pPr>
        <w:jc w:val="both"/>
        <w:rPr>
          <w:rFonts w:ascii="Calibri" w:hAnsi="Calibri"/>
          <w:color w:val="000000"/>
          <w:sz w:val="20"/>
          <w:szCs w:val="20"/>
          <w:lang w:val="es-MX" w:eastAsia="es-MX"/>
        </w:rPr>
      </w:pPr>
    </w:p>
    <w:p w:rsidR="00347206" w:rsidRPr="00437E98" w:rsidRDefault="00347206" w:rsidP="006B63F8">
      <w:pPr>
        <w:jc w:val="both"/>
        <w:rPr>
          <w:rFonts w:ascii="Calibri" w:hAnsi="Calibri"/>
          <w:color w:val="000000"/>
          <w:sz w:val="20"/>
          <w:szCs w:val="20"/>
          <w:lang w:val="es-MX" w:eastAsia="es-MX"/>
        </w:rPr>
      </w:pPr>
    </w:p>
    <w:p w:rsidR="00FE5FBD" w:rsidRPr="00437E98" w:rsidRDefault="00FE5FBD" w:rsidP="00D81D6C">
      <w:pPr>
        <w:jc w:val="both"/>
        <w:rPr>
          <w:rFonts w:ascii="Calibri" w:hAnsi="Calibri"/>
          <w:i/>
          <w:sz w:val="20"/>
          <w:szCs w:val="20"/>
        </w:rPr>
      </w:pPr>
      <w:r w:rsidRPr="00437E98">
        <w:rPr>
          <w:rFonts w:ascii="Calibri" w:hAnsi="Calibri"/>
          <w:b/>
          <w:i/>
          <w:sz w:val="20"/>
          <w:szCs w:val="20"/>
        </w:rPr>
        <w:t>Bienes Disponibles para su Transformación o Consumo (inventarios)</w:t>
      </w:r>
    </w:p>
    <w:p w:rsidR="00B520DF" w:rsidRPr="00437E98" w:rsidRDefault="00B520DF" w:rsidP="00B520DF">
      <w:pPr>
        <w:jc w:val="both"/>
        <w:rPr>
          <w:rFonts w:ascii="Calibri" w:hAnsi="Calibri"/>
          <w:i/>
          <w:sz w:val="20"/>
          <w:szCs w:val="20"/>
        </w:rPr>
      </w:pPr>
    </w:p>
    <w:p w:rsidR="00FE5FBD" w:rsidRPr="00437E98" w:rsidRDefault="00FE5FBD" w:rsidP="00B520DF">
      <w:pPr>
        <w:jc w:val="both"/>
        <w:rPr>
          <w:rFonts w:ascii="Calibri" w:hAnsi="Calibri"/>
          <w:sz w:val="20"/>
          <w:szCs w:val="20"/>
          <w:lang w:val="es-MX"/>
        </w:rPr>
      </w:pPr>
      <w:r w:rsidRPr="00437E98">
        <w:rPr>
          <w:rFonts w:ascii="Calibri" w:hAnsi="Calibri"/>
          <w:sz w:val="20"/>
          <w:szCs w:val="20"/>
          <w:lang w:val="es-MX"/>
        </w:rPr>
        <w:t>DIF PROGRAMAS. Método de valuación Primeras Entradas Primeras Salidas (PEPS). Se mantiene un Stock de las despensas, material ortopédico, sillas de ruedas, pañales, y leche. Conforme a las solicitudes a los apoyos que se requieran se mueve el stock de almacén, utilizando dicho método</w:t>
      </w:r>
      <w:r w:rsidR="00D81D6C" w:rsidRPr="00437E98">
        <w:rPr>
          <w:rFonts w:ascii="Calibri" w:hAnsi="Calibri"/>
          <w:sz w:val="20"/>
          <w:szCs w:val="20"/>
          <w:lang w:val="es-MX"/>
        </w:rPr>
        <w:t>.</w:t>
      </w:r>
    </w:p>
    <w:p w:rsidR="00D238AD" w:rsidRDefault="00D238AD" w:rsidP="00FE5FBD">
      <w:pPr>
        <w:ind w:left="360"/>
        <w:jc w:val="both"/>
        <w:rPr>
          <w:rFonts w:ascii="Calibri" w:hAnsi="Calibri"/>
          <w:sz w:val="20"/>
          <w:szCs w:val="20"/>
        </w:rPr>
      </w:pPr>
    </w:p>
    <w:p w:rsidR="00DE5E72" w:rsidRPr="00437E98" w:rsidRDefault="00B520DF" w:rsidP="00DE5E72">
      <w:pPr>
        <w:jc w:val="both"/>
        <w:rPr>
          <w:rFonts w:ascii="Calibri" w:hAnsi="Calibri"/>
          <w:b/>
          <w:i/>
          <w:sz w:val="20"/>
          <w:szCs w:val="20"/>
        </w:rPr>
      </w:pPr>
      <w:r w:rsidRPr="00437E98">
        <w:rPr>
          <w:rFonts w:ascii="Calibri" w:hAnsi="Calibri"/>
          <w:b/>
          <w:i/>
          <w:sz w:val="20"/>
          <w:szCs w:val="20"/>
        </w:rPr>
        <w:t>Inversiones Financieras</w:t>
      </w:r>
    </w:p>
    <w:p w:rsidR="00B520DF" w:rsidRPr="00437E98" w:rsidRDefault="00B520DF" w:rsidP="00DE5E72">
      <w:pPr>
        <w:jc w:val="both"/>
        <w:rPr>
          <w:rFonts w:ascii="Calibri" w:hAnsi="Calibri"/>
          <w:b/>
          <w:sz w:val="20"/>
          <w:szCs w:val="20"/>
        </w:rPr>
      </w:pPr>
    </w:p>
    <w:p w:rsidR="00B520DF" w:rsidRDefault="00B520DF" w:rsidP="00DE5E72">
      <w:pPr>
        <w:jc w:val="both"/>
        <w:rPr>
          <w:rFonts w:ascii="Calibri" w:hAnsi="Calibri"/>
          <w:sz w:val="20"/>
          <w:szCs w:val="20"/>
        </w:rPr>
      </w:pPr>
      <w:r w:rsidRPr="00437E98">
        <w:rPr>
          <w:rFonts w:ascii="Calibri" w:hAnsi="Calibri"/>
          <w:sz w:val="20"/>
          <w:szCs w:val="20"/>
        </w:rPr>
        <w:t xml:space="preserve">A la presente fecha </w:t>
      </w:r>
      <w:r w:rsidR="006A478F" w:rsidRPr="00437E98">
        <w:rPr>
          <w:rFonts w:ascii="Calibri" w:hAnsi="Calibri"/>
          <w:sz w:val="20"/>
          <w:szCs w:val="20"/>
        </w:rPr>
        <w:t xml:space="preserve">el Sistema DIF </w:t>
      </w:r>
      <w:r w:rsidRPr="00437E98">
        <w:rPr>
          <w:rFonts w:ascii="Calibri" w:hAnsi="Calibri"/>
          <w:sz w:val="20"/>
          <w:szCs w:val="20"/>
        </w:rPr>
        <w:t>no c</w:t>
      </w:r>
      <w:r w:rsidR="006A478F" w:rsidRPr="00437E98">
        <w:rPr>
          <w:rFonts w:ascii="Calibri" w:hAnsi="Calibri"/>
          <w:sz w:val="20"/>
          <w:szCs w:val="20"/>
        </w:rPr>
        <w:t>uenta</w:t>
      </w:r>
      <w:r w:rsidRPr="00437E98">
        <w:rPr>
          <w:rFonts w:ascii="Calibri" w:hAnsi="Calibri"/>
          <w:sz w:val="20"/>
          <w:szCs w:val="20"/>
        </w:rPr>
        <w:t xml:space="preserve"> con Inversiones Financieras.</w:t>
      </w:r>
    </w:p>
    <w:p w:rsidR="000D4296" w:rsidRDefault="000D4296" w:rsidP="00DE5E72">
      <w:pPr>
        <w:jc w:val="both"/>
        <w:rPr>
          <w:rFonts w:ascii="Calibri" w:hAnsi="Calibri"/>
          <w:sz w:val="20"/>
          <w:szCs w:val="20"/>
        </w:rPr>
      </w:pPr>
    </w:p>
    <w:p w:rsidR="008C3650" w:rsidRDefault="008C3650" w:rsidP="00DE5E72">
      <w:pPr>
        <w:jc w:val="both"/>
        <w:rPr>
          <w:rFonts w:ascii="Calibri" w:hAnsi="Calibri"/>
          <w:sz w:val="20"/>
          <w:szCs w:val="20"/>
        </w:rPr>
      </w:pPr>
    </w:p>
    <w:p w:rsidR="008C3650" w:rsidRDefault="008C3650" w:rsidP="00DE5E72">
      <w:pPr>
        <w:jc w:val="both"/>
        <w:rPr>
          <w:rFonts w:ascii="Calibri" w:hAnsi="Calibri"/>
          <w:sz w:val="20"/>
          <w:szCs w:val="20"/>
        </w:rPr>
      </w:pPr>
    </w:p>
    <w:p w:rsidR="008C3650" w:rsidRDefault="008C3650" w:rsidP="00DE5E72">
      <w:pPr>
        <w:jc w:val="both"/>
        <w:rPr>
          <w:rFonts w:ascii="Calibri" w:hAnsi="Calibri"/>
          <w:sz w:val="20"/>
          <w:szCs w:val="20"/>
        </w:rPr>
      </w:pPr>
    </w:p>
    <w:p w:rsidR="00FE5FBD" w:rsidRPr="00437E98" w:rsidRDefault="00FE5FBD" w:rsidP="00DE5E72">
      <w:pPr>
        <w:jc w:val="both"/>
        <w:rPr>
          <w:rFonts w:ascii="Calibri" w:hAnsi="Calibri"/>
          <w:b/>
          <w:i/>
          <w:sz w:val="20"/>
          <w:szCs w:val="20"/>
        </w:rPr>
      </w:pPr>
      <w:r w:rsidRPr="00437E98">
        <w:rPr>
          <w:rFonts w:ascii="Calibri" w:hAnsi="Calibri"/>
          <w:b/>
          <w:i/>
          <w:sz w:val="20"/>
          <w:szCs w:val="20"/>
        </w:rPr>
        <w:t xml:space="preserve"> Depreciación de Activos Fijos y Tasa Aplicada</w:t>
      </w:r>
    </w:p>
    <w:p w:rsidR="00BF3B1E" w:rsidRPr="00437E98" w:rsidRDefault="00BF3B1E" w:rsidP="00FE5FBD">
      <w:pPr>
        <w:ind w:left="708"/>
        <w:jc w:val="both"/>
        <w:rPr>
          <w:rFonts w:ascii="Calibri" w:hAnsi="Calibri"/>
          <w:b/>
          <w:sz w:val="20"/>
          <w:szCs w:val="20"/>
        </w:rPr>
      </w:pPr>
    </w:p>
    <w:p w:rsidR="00FE5FBD" w:rsidRPr="00437E98" w:rsidRDefault="00FE5FBD" w:rsidP="000B5162">
      <w:pPr>
        <w:ind w:right="531"/>
        <w:jc w:val="both"/>
        <w:rPr>
          <w:rFonts w:ascii="Calibri" w:hAnsi="Calibri"/>
          <w:sz w:val="20"/>
          <w:szCs w:val="20"/>
        </w:rPr>
      </w:pPr>
      <w:r w:rsidRPr="00437E98">
        <w:rPr>
          <w:rFonts w:ascii="Calibri" w:hAnsi="Calibri"/>
          <w:b/>
          <w:sz w:val="20"/>
          <w:szCs w:val="20"/>
        </w:rPr>
        <w:t xml:space="preserve"> </w:t>
      </w:r>
      <w:r w:rsidRPr="00437E98">
        <w:rPr>
          <w:rFonts w:ascii="Calibri" w:hAnsi="Calibri"/>
          <w:sz w:val="20"/>
          <w:szCs w:val="20"/>
        </w:rPr>
        <w:t xml:space="preserve">En cumplimiento a la publicación </w:t>
      </w:r>
      <w:r w:rsidR="00D81D6C" w:rsidRPr="00437E98">
        <w:rPr>
          <w:rFonts w:ascii="Calibri" w:hAnsi="Calibri"/>
          <w:sz w:val="20"/>
          <w:szCs w:val="20"/>
        </w:rPr>
        <w:t>del miércoles 15 día</w:t>
      </w:r>
      <w:r w:rsidRPr="00437E98">
        <w:rPr>
          <w:rFonts w:ascii="Calibri" w:hAnsi="Calibri"/>
          <w:sz w:val="20"/>
          <w:szCs w:val="20"/>
        </w:rPr>
        <w:t xml:space="preserve"> de agosto de 2012 del Diario Oficial</w:t>
      </w:r>
      <w:r w:rsidR="00D81D6C" w:rsidRPr="00437E98">
        <w:rPr>
          <w:rFonts w:ascii="Calibri" w:hAnsi="Calibri"/>
          <w:sz w:val="20"/>
          <w:szCs w:val="20"/>
        </w:rPr>
        <w:t xml:space="preserve"> de la Federación</w:t>
      </w:r>
      <w:r w:rsidRPr="00437E98">
        <w:rPr>
          <w:rFonts w:ascii="Calibri" w:hAnsi="Calibri"/>
          <w:sz w:val="20"/>
          <w:szCs w:val="20"/>
        </w:rPr>
        <w:t xml:space="preserve">, en lo referente a los PARAMETROS de Estimación de Vida Útil, anexo la forma en que se </w:t>
      </w:r>
      <w:r w:rsidR="00A8750F" w:rsidRPr="00437E98">
        <w:rPr>
          <w:rFonts w:ascii="Calibri" w:hAnsi="Calibri"/>
          <w:sz w:val="20"/>
          <w:szCs w:val="20"/>
        </w:rPr>
        <w:t>aplicó</w:t>
      </w:r>
      <w:r w:rsidRPr="00437E98">
        <w:rPr>
          <w:rFonts w:ascii="Calibri" w:hAnsi="Calibri"/>
          <w:sz w:val="20"/>
          <w:szCs w:val="20"/>
        </w:rPr>
        <w:t xml:space="preserve"> la</w:t>
      </w:r>
      <w:r w:rsidR="00D81D6C" w:rsidRPr="00437E98">
        <w:rPr>
          <w:rFonts w:ascii="Calibri" w:hAnsi="Calibri"/>
          <w:sz w:val="20"/>
          <w:szCs w:val="20"/>
        </w:rPr>
        <w:t xml:space="preserve"> depreciación de bienes muebles:</w:t>
      </w:r>
    </w:p>
    <w:p w:rsidR="00FE5FBD" w:rsidRPr="00437E98" w:rsidRDefault="00FE5FBD" w:rsidP="000B5162">
      <w:pPr>
        <w:ind w:left="708"/>
        <w:jc w:val="both"/>
        <w:rPr>
          <w:rFonts w:ascii="Calibri" w:hAnsi="Calibri"/>
          <w:sz w:val="20"/>
          <w:szCs w:val="20"/>
        </w:rPr>
      </w:pPr>
    </w:p>
    <w:p w:rsidR="00FE5FBD" w:rsidRPr="00437E98" w:rsidRDefault="00FE5FBD" w:rsidP="000B5162">
      <w:pPr>
        <w:ind w:right="-36"/>
        <w:jc w:val="both"/>
        <w:rPr>
          <w:rFonts w:ascii="Calibri" w:hAnsi="Calibri"/>
          <w:i/>
          <w:sz w:val="20"/>
          <w:szCs w:val="20"/>
        </w:rPr>
      </w:pPr>
      <w:r w:rsidRPr="00437E98">
        <w:rPr>
          <w:rFonts w:ascii="Calibri" w:hAnsi="Calibri"/>
          <w:sz w:val="20"/>
          <w:szCs w:val="20"/>
        </w:rPr>
        <w:t>Considerando los bienes muebles que se adquirieron hasta 2012 con el mismo porcentaje de depreciación desde su inicio; los Bienes Muebles adquiridos a partir de Enero de 2013 se aplicara el porcentaje de depreciación anual emitido en la Ley General de Contabilidad Gubernamental</w:t>
      </w:r>
      <w:r w:rsidRPr="00437E98">
        <w:rPr>
          <w:rFonts w:ascii="Calibri" w:hAnsi="Calibri"/>
          <w:i/>
          <w:sz w:val="20"/>
          <w:szCs w:val="20"/>
        </w:rPr>
        <w:t>.</w:t>
      </w:r>
    </w:p>
    <w:p w:rsidR="008F1961" w:rsidRPr="00437E98" w:rsidRDefault="008F1961" w:rsidP="00B520DF">
      <w:pPr>
        <w:jc w:val="both"/>
        <w:rPr>
          <w:rFonts w:ascii="Calibri" w:hAnsi="Calibri"/>
          <w:i/>
          <w:sz w:val="20"/>
          <w:szCs w:val="20"/>
        </w:rPr>
      </w:pPr>
    </w:p>
    <w:p w:rsidR="00FE5FBD" w:rsidRDefault="00FE5FBD" w:rsidP="00FE5FBD">
      <w:p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P</w:t>
      </w:r>
      <w:r w:rsidR="007F7F13" w:rsidRPr="0034384F">
        <w:rPr>
          <w:rFonts w:asciiTheme="minorHAnsi" w:hAnsiTheme="minorHAnsi"/>
          <w:b/>
          <w:sz w:val="20"/>
          <w:szCs w:val="20"/>
        </w:rPr>
        <w:t>ASIVOS</w:t>
      </w:r>
    </w:p>
    <w:p w:rsidR="004834CA" w:rsidRDefault="004834CA" w:rsidP="00FE5FBD">
      <w:pPr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W w:w="116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7"/>
        <w:gridCol w:w="2268"/>
        <w:gridCol w:w="2268"/>
        <w:gridCol w:w="1276"/>
      </w:tblGrid>
      <w:tr w:rsidR="008C3650" w:rsidRPr="008C3650" w:rsidTr="00CE78A4">
        <w:trPr>
          <w:trHeight w:val="315"/>
        </w:trPr>
        <w:tc>
          <w:tcPr>
            <w:tcW w:w="58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SALDO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ANTIGÜEDAD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8C3650" w:rsidRPr="008C3650" w:rsidTr="00CE78A4">
        <w:trPr>
          <w:trHeight w:val="315"/>
        </w:trPr>
        <w:tc>
          <w:tcPr>
            <w:tcW w:w="5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MX"/>
              </w:rPr>
              <w:t>PASIVO CIRCULANTE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val="es-MX" w:eastAsia="es-MX"/>
              </w:rPr>
              <w:t>79,177,821.74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8C3650" w:rsidRPr="008C3650" w:rsidTr="00CE78A4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s-MX"/>
              </w:rPr>
              <w:t>Cuentas por Pagar a Corto Plazo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8,992,430.28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C3650" w:rsidRPr="008C3650" w:rsidTr="00CE78A4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Calibri" w:hAnsi="Calibri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18"/>
                <w:szCs w:val="18"/>
                <w:lang w:val="es-MX" w:eastAsia="es-MX"/>
              </w:rPr>
              <w:t>Servicios Personales por Pagar a Corto Plazo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801,524.50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8C3650" w:rsidRPr="008C3650" w:rsidTr="00CE78A4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Calibri" w:hAnsi="Calibri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18"/>
                <w:szCs w:val="18"/>
                <w:lang w:val="es-MX" w:eastAsia="es-MX"/>
              </w:rPr>
              <w:t>Proveedores por Pagar a Corto Plazo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1,970,795.54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Menos de 1 año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8C3650" w:rsidRPr="008C3650" w:rsidTr="00CE78A4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Calibri" w:hAnsi="Calibri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18"/>
                <w:szCs w:val="18"/>
                <w:lang w:val="es-MX" w:eastAsia="es-MX"/>
              </w:rPr>
              <w:t>Transferencias Otorgadas por Pagar a Corto Plazo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112,292.16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Menos de 1 año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8C3650" w:rsidRPr="008C3650" w:rsidTr="00CE78A4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Calibri" w:hAnsi="Calibri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18"/>
                <w:szCs w:val="18"/>
                <w:lang w:val="es-MX" w:eastAsia="es-MX"/>
              </w:rPr>
              <w:t>Retenciones y Contribuciones por Pagar a Corto Plazo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6,107,818.08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Menos de 1 año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7%</w:t>
            </w:r>
          </w:p>
        </w:tc>
      </w:tr>
      <w:tr w:rsidR="008C3650" w:rsidRPr="008C3650" w:rsidTr="00CE78A4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s-MX"/>
              </w:rPr>
              <w:t>Otros Pasivos Circulantes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50" w:rsidRPr="008C3650" w:rsidRDefault="008C3650" w:rsidP="008C365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                70,185,391.46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8C3650" w:rsidRPr="008C3650" w:rsidTr="00CE78A4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Calibri" w:hAnsi="Calibri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18"/>
                <w:szCs w:val="18"/>
                <w:lang w:eastAsia="es-MX"/>
              </w:rPr>
              <w:t>'8% De I.S.S.T.E.Y.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19,444,408.84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Más de 1 año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24%</w:t>
            </w:r>
          </w:p>
        </w:tc>
      </w:tr>
      <w:tr w:rsidR="008C3650" w:rsidRPr="008C3650" w:rsidTr="00CE78A4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Calibri" w:hAnsi="Calibri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18"/>
                <w:szCs w:val="18"/>
                <w:lang w:eastAsia="es-MX"/>
              </w:rPr>
              <w:t>Prestamos I.S.S.T.E.Y.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15,345,584.05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Más de 1 año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22%</w:t>
            </w:r>
          </w:p>
        </w:tc>
      </w:tr>
      <w:tr w:rsidR="008C3650" w:rsidRPr="008C3650" w:rsidTr="00CE78A4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Calibri" w:hAnsi="Calibri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18"/>
                <w:szCs w:val="18"/>
                <w:lang w:eastAsia="es-MX"/>
              </w:rPr>
              <w:t>12.75 % De I.S.S.T.E.Y.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33,647,538.94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Más de 1 año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42%</w:t>
            </w:r>
          </w:p>
        </w:tc>
      </w:tr>
      <w:tr w:rsidR="008C3650" w:rsidRPr="008C3650" w:rsidTr="00CE78A4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Calibri" w:hAnsi="Calibri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18"/>
                <w:szCs w:val="18"/>
                <w:lang w:val="es-MX" w:eastAsia="es-MX"/>
              </w:rPr>
              <w:t>ISSTEY  Varios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C3650" w:rsidRPr="008C3650" w:rsidRDefault="008C3650" w:rsidP="008C3650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1,207,997.16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Más de 1 año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8C3650" w:rsidRPr="008C3650" w:rsidTr="00CE78A4">
        <w:trPr>
          <w:trHeight w:val="315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rPr>
                <w:rFonts w:ascii="Calibri" w:hAnsi="Calibri"/>
                <w:color w:val="000000"/>
                <w:sz w:val="18"/>
                <w:szCs w:val="18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18"/>
                <w:szCs w:val="18"/>
                <w:lang w:val="es-MX" w:eastAsia="es-MX"/>
              </w:rPr>
              <w:t>Acreedores varios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539,862.47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Más de 1 año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650" w:rsidRPr="008C3650" w:rsidRDefault="008C3650" w:rsidP="008C365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8C3650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</w:tbl>
    <w:p w:rsidR="004834CA" w:rsidRDefault="004834CA" w:rsidP="00FE5FBD">
      <w:pPr>
        <w:jc w:val="both"/>
        <w:rPr>
          <w:rFonts w:asciiTheme="minorHAnsi" w:hAnsiTheme="minorHAnsi"/>
          <w:b/>
          <w:sz w:val="20"/>
          <w:szCs w:val="20"/>
        </w:rPr>
      </w:pPr>
    </w:p>
    <w:p w:rsidR="004834CA" w:rsidRDefault="004834CA" w:rsidP="00FE5FBD">
      <w:pPr>
        <w:jc w:val="both"/>
        <w:rPr>
          <w:rFonts w:asciiTheme="minorHAnsi" w:hAnsiTheme="minorHAnsi"/>
          <w:b/>
          <w:sz w:val="20"/>
          <w:szCs w:val="20"/>
        </w:rPr>
      </w:pPr>
    </w:p>
    <w:p w:rsidR="00EE177E" w:rsidRDefault="00EE177E" w:rsidP="004834CA">
      <w:pPr>
        <w:ind w:right="-36"/>
        <w:jc w:val="both"/>
        <w:rPr>
          <w:rFonts w:ascii="Calibri" w:hAnsi="Calibri"/>
          <w:sz w:val="20"/>
          <w:szCs w:val="20"/>
        </w:rPr>
      </w:pPr>
      <w:r w:rsidRPr="00437E98">
        <w:rPr>
          <w:rFonts w:ascii="Calibri" w:hAnsi="Calibri"/>
          <w:b/>
          <w:sz w:val="20"/>
          <w:szCs w:val="20"/>
        </w:rPr>
        <w:lastRenderedPageBreak/>
        <w:t xml:space="preserve">Entre los adeudos del Sistema DIF, se encuentra el ISSTEY, </w:t>
      </w:r>
      <w:r w:rsidRPr="00437E98">
        <w:rPr>
          <w:rFonts w:ascii="Calibri" w:hAnsi="Calibri"/>
          <w:sz w:val="20"/>
          <w:szCs w:val="20"/>
        </w:rPr>
        <w:t>registrado en la cuenta 2.1.9</w:t>
      </w:r>
      <w:r w:rsidR="00B866A1">
        <w:rPr>
          <w:rFonts w:ascii="Calibri" w:hAnsi="Calibri"/>
          <w:sz w:val="20"/>
          <w:szCs w:val="20"/>
        </w:rPr>
        <w:t xml:space="preserve"> Otros Pasivos Circulantes</w:t>
      </w:r>
      <w:r w:rsidRPr="00437E98">
        <w:rPr>
          <w:rFonts w:ascii="Calibri" w:hAnsi="Calibri"/>
          <w:sz w:val="20"/>
          <w:szCs w:val="20"/>
        </w:rPr>
        <w:t xml:space="preserve">, </w:t>
      </w:r>
      <w:r w:rsidR="00B866A1">
        <w:rPr>
          <w:rFonts w:ascii="Calibri" w:hAnsi="Calibri"/>
          <w:sz w:val="20"/>
          <w:szCs w:val="20"/>
        </w:rPr>
        <w:t>con un monto aproximado a los cincuenta y cuatro millones de pesos, correspond</w:t>
      </w:r>
      <w:r w:rsidR="0046409F">
        <w:rPr>
          <w:rFonts w:ascii="Calibri" w:hAnsi="Calibri"/>
          <w:sz w:val="20"/>
          <w:szCs w:val="20"/>
        </w:rPr>
        <w:t>ientes a años anteriores al 2016,</w:t>
      </w:r>
      <w:r w:rsidR="00B866A1">
        <w:rPr>
          <w:rFonts w:ascii="Calibri" w:hAnsi="Calibri"/>
          <w:sz w:val="20"/>
          <w:szCs w:val="20"/>
        </w:rPr>
        <w:t xml:space="preserve"> </w:t>
      </w:r>
      <w:r w:rsidR="0046409F">
        <w:rPr>
          <w:rFonts w:ascii="Calibri" w:hAnsi="Calibri"/>
          <w:sz w:val="20"/>
          <w:szCs w:val="20"/>
        </w:rPr>
        <w:t>m</w:t>
      </w:r>
      <w:r w:rsidR="0046409F" w:rsidRPr="00437E98">
        <w:rPr>
          <w:rFonts w:ascii="Calibri" w:hAnsi="Calibri"/>
          <w:sz w:val="20"/>
          <w:szCs w:val="20"/>
        </w:rPr>
        <w:t>ismos</w:t>
      </w:r>
      <w:r w:rsidR="00B866A1">
        <w:rPr>
          <w:rFonts w:ascii="Calibri" w:hAnsi="Calibri"/>
          <w:sz w:val="20"/>
          <w:szCs w:val="20"/>
        </w:rPr>
        <w:t xml:space="preserve">, </w:t>
      </w:r>
      <w:r w:rsidRPr="00437E98">
        <w:rPr>
          <w:rFonts w:ascii="Calibri" w:hAnsi="Calibri"/>
          <w:sz w:val="20"/>
          <w:szCs w:val="20"/>
        </w:rPr>
        <w:t xml:space="preserve"> que entendemos ya fue subsanado por Gobierno del Estado, pero a la presente fecha no tenemos ningún documento que nos lo haga de conocimiento, por tal motivo, sigue registrado en los estados financieros.</w:t>
      </w:r>
    </w:p>
    <w:p w:rsidR="00B866A1" w:rsidRPr="00437E98" w:rsidRDefault="00B866A1" w:rsidP="004834CA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En los presentes Estados Financieros </w:t>
      </w:r>
      <w:r w:rsidR="004834CA"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z w:val="20"/>
          <w:szCs w:val="20"/>
        </w:rPr>
        <w:t>l ISSTEY</w:t>
      </w:r>
      <w:r w:rsidR="004834CA">
        <w:rPr>
          <w:rFonts w:ascii="Calibri" w:hAnsi="Calibri"/>
          <w:sz w:val="20"/>
          <w:szCs w:val="20"/>
        </w:rPr>
        <w:t xml:space="preserve"> se encuentra registrado en la cuenta </w:t>
      </w:r>
      <w:r>
        <w:rPr>
          <w:rFonts w:ascii="Calibri" w:hAnsi="Calibri"/>
          <w:sz w:val="20"/>
          <w:szCs w:val="20"/>
        </w:rPr>
        <w:t xml:space="preserve"> 2117 </w:t>
      </w:r>
      <w:r w:rsidRPr="00B866A1">
        <w:rPr>
          <w:rFonts w:ascii="Arial" w:hAnsi="Arial" w:cs="Arial"/>
          <w:color w:val="000000"/>
          <w:sz w:val="16"/>
          <w:szCs w:val="16"/>
          <w:lang w:val="es-MX" w:eastAsia="es-MX"/>
        </w:rPr>
        <w:t>Retenciones y Contribuciones por Pagar a Corto Plazo</w:t>
      </w:r>
      <w:r>
        <w:rPr>
          <w:rFonts w:ascii="Arial" w:hAnsi="Arial" w:cs="Arial"/>
          <w:color w:val="000000"/>
          <w:sz w:val="16"/>
          <w:szCs w:val="16"/>
          <w:lang w:val="es-MX" w:eastAsia="es-MX"/>
        </w:rPr>
        <w:t>.</w:t>
      </w:r>
    </w:p>
    <w:p w:rsidR="00EE177E" w:rsidRDefault="00EE177E" w:rsidP="00EE177E">
      <w:pPr>
        <w:ind w:right="-36"/>
        <w:jc w:val="both"/>
        <w:rPr>
          <w:rFonts w:ascii="Calibri" w:hAnsi="Calibri"/>
          <w:sz w:val="20"/>
          <w:szCs w:val="20"/>
        </w:rPr>
      </w:pPr>
    </w:p>
    <w:p w:rsidR="00F56E81" w:rsidRDefault="00F56E81" w:rsidP="00EE177E">
      <w:pPr>
        <w:ind w:right="-36"/>
        <w:jc w:val="both"/>
        <w:rPr>
          <w:rFonts w:ascii="Calibri" w:hAnsi="Calibri"/>
          <w:sz w:val="20"/>
          <w:szCs w:val="20"/>
        </w:rPr>
      </w:pPr>
    </w:p>
    <w:p w:rsidR="00EE177E" w:rsidRPr="00437E98" w:rsidRDefault="00EE177E" w:rsidP="00EE177E">
      <w:pPr>
        <w:ind w:right="-353"/>
        <w:jc w:val="both"/>
        <w:rPr>
          <w:rFonts w:ascii="Calibri" w:hAnsi="Calibri"/>
          <w:b/>
          <w:i/>
          <w:sz w:val="20"/>
          <w:szCs w:val="20"/>
        </w:rPr>
      </w:pPr>
      <w:r w:rsidRPr="00437E98">
        <w:rPr>
          <w:rFonts w:ascii="Calibri" w:hAnsi="Calibri"/>
          <w:b/>
          <w:i/>
          <w:sz w:val="20"/>
          <w:szCs w:val="20"/>
        </w:rPr>
        <w:t>Pasivos Contingentes</w:t>
      </w:r>
    </w:p>
    <w:p w:rsidR="00EE177E" w:rsidRPr="00437E98" w:rsidRDefault="00EE177E" w:rsidP="00EE177E">
      <w:pPr>
        <w:ind w:right="-353"/>
        <w:jc w:val="both"/>
        <w:rPr>
          <w:rFonts w:ascii="Calibri" w:hAnsi="Calibri"/>
          <w:b/>
          <w:i/>
          <w:sz w:val="20"/>
          <w:szCs w:val="20"/>
        </w:rPr>
      </w:pPr>
    </w:p>
    <w:p w:rsidR="00EE177E" w:rsidRPr="00437E98" w:rsidRDefault="00EE177E" w:rsidP="002639EB">
      <w:pPr>
        <w:ind w:right="-36"/>
        <w:jc w:val="both"/>
        <w:rPr>
          <w:rFonts w:ascii="Calibri" w:hAnsi="Calibri"/>
          <w:sz w:val="20"/>
          <w:szCs w:val="20"/>
        </w:rPr>
      </w:pPr>
      <w:r w:rsidRPr="00437E98">
        <w:rPr>
          <w:rFonts w:ascii="Calibri" w:hAnsi="Calibri"/>
          <w:sz w:val="20"/>
          <w:szCs w:val="20"/>
        </w:rPr>
        <w:t xml:space="preserve">A la fecha ciertos asuntos relacionados con el Sistema provenientes de relaciones laborales comprometen las finanzas públicas y representa un pasivo </w:t>
      </w:r>
      <w:r w:rsidR="002639EB" w:rsidRPr="00437E98">
        <w:rPr>
          <w:rFonts w:ascii="Calibri" w:hAnsi="Calibri"/>
          <w:sz w:val="20"/>
          <w:szCs w:val="20"/>
        </w:rPr>
        <w:t xml:space="preserve">contingente </w:t>
      </w:r>
      <w:r w:rsidRPr="00437E98">
        <w:rPr>
          <w:rFonts w:ascii="Calibri" w:hAnsi="Calibri"/>
          <w:sz w:val="20"/>
          <w:szCs w:val="20"/>
        </w:rPr>
        <w:t>pudiera generar una salida de efectivo una vez que sean detonados por los hechos que los condicionan. Cabe señalar que a la presente fecha no se encuentran registrados en los Estados Financieros pero se tienen plenamente identificados por área jurídica.</w:t>
      </w:r>
    </w:p>
    <w:p w:rsidR="00EE177E" w:rsidRPr="00437E98" w:rsidRDefault="00EE177E" w:rsidP="002639EB">
      <w:pPr>
        <w:ind w:right="-36"/>
        <w:jc w:val="both"/>
        <w:rPr>
          <w:rFonts w:ascii="Calibri" w:hAnsi="Calibri"/>
          <w:sz w:val="20"/>
          <w:szCs w:val="20"/>
        </w:rPr>
      </w:pPr>
    </w:p>
    <w:p w:rsidR="00EE177E" w:rsidRPr="00437E98" w:rsidRDefault="00EE177E" w:rsidP="002639EB">
      <w:pPr>
        <w:ind w:right="-353"/>
        <w:jc w:val="both"/>
        <w:rPr>
          <w:rFonts w:ascii="Calibri" w:hAnsi="Calibri"/>
          <w:sz w:val="20"/>
          <w:szCs w:val="20"/>
        </w:rPr>
      </w:pPr>
    </w:p>
    <w:p w:rsidR="00EE177E" w:rsidRDefault="002639EB" w:rsidP="00FE5FBD">
      <w:pPr>
        <w:jc w:val="both"/>
        <w:rPr>
          <w:rFonts w:ascii="Calibri" w:hAnsi="Calibri" w:cs="Arial"/>
          <w:b/>
          <w:bCs/>
          <w:color w:val="000000"/>
          <w:sz w:val="20"/>
          <w:szCs w:val="20"/>
          <w:lang w:val="es-MX" w:eastAsia="es-MX"/>
        </w:rPr>
      </w:pPr>
      <w:r w:rsidRPr="00327716">
        <w:rPr>
          <w:rFonts w:ascii="Calibri" w:hAnsi="Calibri" w:cs="Arial"/>
          <w:b/>
          <w:bCs/>
          <w:color w:val="000000"/>
          <w:sz w:val="20"/>
          <w:szCs w:val="20"/>
          <w:lang w:val="es-MX" w:eastAsia="es-MX"/>
        </w:rPr>
        <w:t>Participaciones, Aportaciones, Transferencias, Asignaciones, Subsidios y Otras Ayudas</w:t>
      </w:r>
    </w:p>
    <w:p w:rsidR="002639EB" w:rsidRDefault="002639EB" w:rsidP="00FE5FBD">
      <w:pPr>
        <w:jc w:val="both"/>
        <w:rPr>
          <w:rFonts w:ascii="Calibri" w:hAnsi="Calibri" w:cs="Arial"/>
          <w:b/>
          <w:bCs/>
          <w:color w:val="000000"/>
          <w:sz w:val="20"/>
          <w:szCs w:val="20"/>
          <w:lang w:val="es-MX" w:eastAsia="es-MX"/>
        </w:rPr>
      </w:pPr>
    </w:p>
    <w:p w:rsidR="002639EB" w:rsidRPr="0034384F" w:rsidRDefault="002639EB" w:rsidP="00FE5FBD">
      <w:pPr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W w:w="9513" w:type="dxa"/>
        <w:tblInd w:w="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0"/>
        <w:gridCol w:w="2093"/>
      </w:tblGrid>
      <w:tr w:rsidR="002639EB" w:rsidRPr="004A2E90" w:rsidTr="002639EB">
        <w:trPr>
          <w:trHeight w:val="315"/>
        </w:trPr>
        <w:tc>
          <w:tcPr>
            <w:tcW w:w="7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639EB" w:rsidRPr="00437E98" w:rsidRDefault="002639EB" w:rsidP="008B38F0">
            <w:pPr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INGRESOS DE GESTION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B" w:rsidRPr="00437E98" w:rsidRDefault="002639EB" w:rsidP="008B38F0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</w:p>
        </w:tc>
      </w:tr>
      <w:tr w:rsidR="002639EB" w:rsidRPr="004A2E90" w:rsidTr="002639EB">
        <w:trPr>
          <w:trHeight w:val="270"/>
        </w:trPr>
        <w:tc>
          <w:tcPr>
            <w:tcW w:w="7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2639EB" w:rsidRPr="00437E98" w:rsidRDefault="002639EB" w:rsidP="008B38F0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Ingresos por Venta de Bienes y Servicios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639EB" w:rsidRPr="00CD3D1F" w:rsidRDefault="00CE78A4" w:rsidP="00B15218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val="es-MX" w:eastAsia="es-MX"/>
              </w:rPr>
              <w:t>781,320.86</w:t>
            </w:r>
          </w:p>
        </w:tc>
      </w:tr>
      <w:tr w:rsidR="002639EB" w:rsidRPr="004A2E90" w:rsidTr="002639EB">
        <w:trPr>
          <w:trHeight w:val="270"/>
        </w:trPr>
        <w:tc>
          <w:tcPr>
            <w:tcW w:w="7420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FFFFF"/>
            <w:noWrap/>
            <w:hideMark/>
          </w:tcPr>
          <w:p w:rsidR="002639EB" w:rsidRPr="00437E98" w:rsidRDefault="002639EB" w:rsidP="008B38F0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639EB" w:rsidRPr="00CD3D1F" w:rsidRDefault="002639EB" w:rsidP="008B38F0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2639EB" w:rsidRPr="004A2E90" w:rsidTr="002639EB">
        <w:trPr>
          <w:trHeight w:val="315"/>
        </w:trPr>
        <w:tc>
          <w:tcPr>
            <w:tcW w:w="7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639EB" w:rsidRPr="00437E98" w:rsidRDefault="002639EB" w:rsidP="008B38F0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Transferencias Internas Y Asignaciones Al Sector P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B" w:rsidRPr="00CD3D1F" w:rsidRDefault="002639EB" w:rsidP="008B38F0">
            <w:pPr>
              <w:rPr>
                <w:rFonts w:asciiTheme="minorHAnsi" w:hAnsiTheme="minorHAnsi" w:cs="Arial"/>
                <w:sz w:val="20"/>
                <w:szCs w:val="20"/>
                <w:lang w:val="es-MX" w:eastAsia="es-MX"/>
              </w:rPr>
            </w:pPr>
          </w:p>
        </w:tc>
      </w:tr>
      <w:tr w:rsidR="00191A2E" w:rsidRPr="004A2E90" w:rsidTr="003E58DC">
        <w:trPr>
          <w:trHeight w:val="270"/>
        </w:trPr>
        <w:tc>
          <w:tcPr>
            <w:tcW w:w="7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1A2E" w:rsidRPr="00437E98" w:rsidRDefault="00191A2E" w:rsidP="008B38F0">
            <w:pPr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Aportaciones Estatales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1A2E" w:rsidRPr="00191A2E" w:rsidRDefault="00CE78A4" w:rsidP="00191A2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62,923,807.00</w:t>
            </w:r>
          </w:p>
        </w:tc>
      </w:tr>
      <w:tr w:rsidR="00191A2E" w:rsidRPr="004A2E90" w:rsidTr="00483F0F">
        <w:trPr>
          <w:trHeight w:val="270"/>
        </w:trPr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1A2E" w:rsidRPr="00437E98" w:rsidRDefault="00191A2E" w:rsidP="008B38F0">
            <w:pPr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Aportaciones FAM Ramo 33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1A2E" w:rsidRPr="00CD3D1F" w:rsidRDefault="00CE78A4" w:rsidP="00191A2E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val="es-MX" w:eastAsia="es-MX"/>
              </w:rPr>
              <w:t>39,351,334.00</w:t>
            </w:r>
          </w:p>
        </w:tc>
      </w:tr>
      <w:tr w:rsidR="00191A2E" w:rsidRPr="004A2E90" w:rsidTr="00483F0F">
        <w:trPr>
          <w:trHeight w:val="270"/>
        </w:trPr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1A2E" w:rsidRPr="00437E98" w:rsidRDefault="00191A2E" w:rsidP="008B38F0">
            <w:pPr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Convenios DIF Nacional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1A2E" w:rsidRPr="00191A2E" w:rsidRDefault="00191A2E" w:rsidP="00191A2E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91A2E" w:rsidRPr="004A2E90" w:rsidTr="00483F0F">
        <w:trPr>
          <w:trHeight w:val="270"/>
        </w:trPr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1A2E" w:rsidRDefault="00191A2E" w:rsidP="008B38F0">
            <w:pPr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Ramo 23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1A2E" w:rsidRDefault="00191A2E" w:rsidP="00614F51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91A2E" w:rsidRPr="004A2E90" w:rsidTr="00483F0F">
        <w:trPr>
          <w:trHeight w:val="270"/>
        </w:trPr>
        <w:tc>
          <w:tcPr>
            <w:tcW w:w="7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1A2E" w:rsidRPr="00437E98" w:rsidRDefault="00191A2E" w:rsidP="008B38F0">
            <w:pPr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1A2E" w:rsidRPr="00CD3D1F" w:rsidRDefault="00191A2E" w:rsidP="008B38F0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91A2E" w:rsidRPr="004A2E90" w:rsidTr="002639EB">
        <w:trPr>
          <w:trHeight w:val="270"/>
        </w:trPr>
        <w:tc>
          <w:tcPr>
            <w:tcW w:w="7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191A2E" w:rsidRPr="00437E98" w:rsidRDefault="00191A2E" w:rsidP="008B38F0">
            <w:pPr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OTROS INGRESOS Y BENEFICIOS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1A2E" w:rsidRPr="00CD3D1F" w:rsidRDefault="00CE78A4" w:rsidP="00614F51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val="es-MX" w:eastAsia="es-MX"/>
              </w:rPr>
              <w:t>19,309.85</w:t>
            </w:r>
          </w:p>
        </w:tc>
      </w:tr>
    </w:tbl>
    <w:p w:rsidR="002639EB" w:rsidRDefault="002639EB" w:rsidP="002639EB">
      <w:pPr>
        <w:jc w:val="both"/>
        <w:rPr>
          <w:rFonts w:asciiTheme="minorHAnsi" w:hAnsiTheme="minorHAnsi"/>
          <w:b/>
          <w:i/>
          <w:sz w:val="20"/>
          <w:szCs w:val="20"/>
        </w:rPr>
      </w:pPr>
    </w:p>
    <w:p w:rsidR="00F56E81" w:rsidRDefault="00F56E81" w:rsidP="002639EB">
      <w:pPr>
        <w:jc w:val="both"/>
        <w:rPr>
          <w:rFonts w:asciiTheme="minorHAnsi" w:hAnsiTheme="minorHAnsi"/>
          <w:b/>
          <w:i/>
          <w:sz w:val="20"/>
          <w:szCs w:val="20"/>
        </w:rPr>
      </w:pPr>
    </w:p>
    <w:p w:rsidR="00191A2E" w:rsidRDefault="00191A2E" w:rsidP="002639EB">
      <w:pPr>
        <w:jc w:val="both"/>
        <w:rPr>
          <w:rFonts w:asciiTheme="minorHAnsi" w:hAnsiTheme="minorHAnsi"/>
          <w:b/>
          <w:i/>
          <w:sz w:val="20"/>
          <w:szCs w:val="20"/>
        </w:rPr>
      </w:pPr>
    </w:p>
    <w:p w:rsidR="002639EB" w:rsidRPr="002639EB" w:rsidRDefault="002639EB" w:rsidP="002639EB">
      <w:pPr>
        <w:jc w:val="both"/>
        <w:rPr>
          <w:rFonts w:asciiTheme="minorHAnsi" w:hAnsiTheme="minorHAnsi"/>
          <w:b/>
          <w:i/>
          <w:sz w:val="20"/>
          <w:szCs w:val="20"/>
        </w:rPr>
      </w:pPr>
    </w:p>
    <w:p w:rsidR="00DE5E72" w:rsidRPr="00437E98" w:rsidRDefault="00DE5E72" w:rsidP="00DE5E72">
      <w:pPr>
        <w:pStyle w:val="Prrafodelista"/>
        <w:numPr>
          <w:ilvl w:val="0"/>
          <w:numId w:val="7"/>
        </w:numPr>
        <w:jc w:val="both"/>
        <w:rPr>
          <w:rFonts w:ascii="Calibri" w:hAnsi="Calibri"/>
          <w:b/>
          <w:i/>
          <w:sz w:val="20"/>
          <w:szCs w:val="20"/>
        </w:rPr>
      </w:pPr>
      <w:r w:rsidRPr="00437E98">
        <w:rPr>
          <w:rFonts w:ascii="Calibri" w:hAnsi="Calibri"/>
          <w:b/>
          <w:i/>
          <w:sz w:val="20"/>
          <w:szCs w:val="20"/>
        </w:rPr>
        <w:t>NOTAS  AL  ESTADO  DE  ACTIVIDADES</w:t>
      </w:r>
    </w:p>
    <w:p w:rsidR="00A34021" w:rsidRPr="00437E98" w:rsidRDefault="00A34021" w:rsidP="00A34021">
      <w:pPr>
        <w:pStyle w:val="Prrafodelista"/>
        <w:ind w:left="1080"/>
        <w:jc w:val="both"/>
        <w:rPr>
          <w:rFonts w:ascii="Calibri" w:hAnsi="Calibri"/>
          <w:b/>
          <w:i/>
          <w:sz w:val="20"/>
          <w:szCs w:val="20"/>
        </w:rPr>
      </w:pPr>
    </w:p>
    <w:p w:rsidR="00A34021" w:rsidRPr="00437E98" w:rsidRDefault="00A34021" w:rsidP="00DE5E72">
      <w:pPr>
        <w:ind w:left="360"/>
        <w:jc w:val="both"/>
        <w:rPr>
          <w:rFonts w:ascii="Calibri" w:hAnsi="Calibri"/>
          <w:b/>
          <w:sz w:val="20"/>
          <w:szCs w:val="20"/>
        </w:rPr>
      </w:pPr>
    </w:p>
    <w:p w:rsidR="00B4301E" w:rsidRPr="00437E98" w:rsidRDefault="00A34021" w:rsidP="00FE5FBD">
      <w:pPr>
        <w:jc w:val="both"/>
        <w:rPr>
          <w:rFonts w:ascii="Calibri" w:hAnsi="Calibri"/>
          <w:i/>
          <w:sz w:val="20"/>
          <w:szCs w:val="20"/>
        </w:rPr>
      </w:pPr>
      <w:r w:rsidRPr="00437E98">
        <w:rPr>
          <w:rFonts w:ascii="Calibri" w:hAnsi="Calibri"/>
          <w:i/>
          <w:sz w:val="20"/>
          <w:szCs w:val="20"/>
        </w:rPr>
        <w:t xml:space="preserve">A partir del presente </w:t>
      </w:r>
      <w:r w:rsidR="002A155F" w:rsidRPr="00437E98">
        <w:rPr>
          <w:rFonts w:ascii="Calibri" w:hAnsi="Calibri"/>
          <w:i/>
          <w:sz w:val="20"/>
          <w:szCs w:val="20"/>
        </w:rPr>
        <w:t xml:space="preserve">del </w:t>
      </w:r>
      <w:r w:rsidRPr="00437E98">
        <w:rPr>
          <w:rFonts w:ascii="Calibri" w:hAnsi="Calibri"/>
          <w:i/>
          <w:sz w:val="20"/>
          <w:szCs w:val="20"/>
        </w:rPr>
        <w:t>año</w:t>
      </w:r>
      <w:r w:rsidR="002A155F" w:rsidRPr="00437E98">
        <w:rPr>
          <w:rFonts w:ascii="Calibri" w:hAnsi="Calibri"/>
          <w:i/>
          <w:sz w:val="20"/>
          <w:szCs w:val="20"/>
        </w:rPr>
        <w:t xml:space="preserve"> 2015,</w:t>
      </w:r>
      <w:r w:rsidRPr="00437E98">
        <w:rPr>
          <w:rFonts w:ascii="Calibri" w:hAnsi="Calibri"/>
          <w:i/>
          <w:sz w:val="20"/>
          <w:szCs w:val="20"/>
        </w:rPr>
        <w:t xml:space="preserve"> utilizamos la cuenta de Ingresos por Venta de Bienes y Servicios, tal como lo marca </w:t>
      </w:r>
      <w:r w:rsidR="0000426A" w:rsidRPr="00437E98">
        <w:rPr>
          <w:rFonts w:ascii="Calibri" w:hAnsi="Calibri"/>
          <w:i/>
          <w:sz w:val="20"/>
          <w:szCs w:val="20"/>
        </w:rPr>
        <w:t>el</w:t>
      </w:r>
      <w:r w:rsidRPr="00437E98">
        <w:rPr>
          <w:rFonts w:ascii="Calibri" w:hAnsi="Calibri"/>
          <w:i/>
          <w:sz w:val="20"/>
          <w:szCs w:val="20"/>
        </w:rPr>
        <w:t xml:space="preserve"> CONAC para el registro de los ingresos propios</w:t>
      </w:r>
      <w:r w:rsidR="00394C18" w:rsidRPr="00437E98">
        <w:rPr>
          <w:rFonts w:ascii="Calibri" w:hAnsi="Calibri"/>
          <w:i/>
          <w:sz w:val="20"/>
          <w:szCs w:val="20"/>
        </w:rPr>
        <w:t>.</w:t>
      </w:r>
    </w:p>
    <w:p w:rsidR="00B67C0D" w:rsidRPr="00437E98" w:rsidRDefault="00B67C0D" w:rsidP="00FE5FBD">
      <w:pPr>
        <w:jc w:val="both"/>
        <w:rPr>
          <w:rFonts w:ascii="Calibri" w:hAnsi="Calibri"/>
          <w:i/>
          <w:sz w:val="20"/>
          <w:szCs w:val="20"/>
        </w:rPr>
      </w:pPr>
    </w:p>
    <w:p w:rsidR="00B67C0D" w:rsidRDefault="00B67C0D" w:rsidP="00FE5FBD">
      <w:pPr>
        <w:jc w:val="both"/>
        <w:rPr>
          <w:rFonts w:asciiTheme="minorHAnsi" w:hAnsiTheme="minorHAnsi"/>
          <w:i/>
          <w:sz w:val="20"/>
          <w:szCs w:val="20"/>
        </w:rPr>
      </w:pPr>
    </w:p>
    <w:p w:rsidR="00483F0F" w:rsidRDefault="00483F0F" w:rsidP="00FE5FBD">
      <w:pPr>
        <w:jc w:val="both"/>
        <w:rPr>
          <w:rFonts w:asciiTheme="minorHAnsi" w:hAnsiTheme="minorHAnsi"/>
          <w:i/>
          <w:sz w:val="20"/>
          <w:szCs w:val="20"/>
        </w:rPr>
      </w:pPr>
    </w:p>
    <w:p w:rsidR="00483F0F" w:rsidRDefault="00483F0F" w:rsidP="00FE5FBD">
      <w:pPr>
        <w:jc w:val="both"/>
        <w:rPr>
          <w:rFonts w:asciiTheme="minorHAnsi" w:hAnsiTheme="minorHAnsi"/>
          <w:i/>
          <w:sz w:val="20"/>
          <w:szCs w:val="20"/>
        </w:rPr>
      </w:pPr>
    </w:p>
    <w:p w:rsidR="00FE5FBD" w:rsidRPr="00FD4ED2" w:rsidRDefault="00FE5FBD" w:rsidP="00FD4ED2">
      <w:pPr>
        <w:pStyle w:val="Prrafodelista"/>
        <w:numPr>
          <w:ilvl w:val="0"/>
          <w:numId w:val="7"/>
        </w:numPr>
        <w:jc w:val="both"/>
        <w:rPr>
          <w:rFonts w:ascii="Calibri" w:hAnsi="Calibri"/>
          <w:b/>
          <w:i/>
          <w:sz w:val="20"/>
          <w:szCs w:val="20"/>
        </w:rPr>
      </w:pPr>
      <w:r w:rsidRPr="00FD4ED2">
        <w:rPr>
          <w:rFonts w:ascii="Calibri" w:hAnsi="Calibri"/>
          <w:b/>
          <w:i/>
          <w:sz w:val="20"/>
          <w:szCs w:val="20"/>
        </w:rPr>
        <w:t>NOTAS AL ESTADO DE VARIACIONES EN LA HACIENDA PUBLICA/PATRIMONIO</w:t>
      </w:r>
    </w:p>
    <w:p w:rsidR="00FD4ED2" w:rsidRPr="00FD4ED2" w:rsidRDefault="00FD4ED2" w:rsidP="00FD4ED2">
      <w:pPr>
        <w:pStyle w:val="Prrafodelista"/>
        <w:ind w:left="1080"/>
        <w:jc w:val="both"/>
        <w:rPr>
          <w:rFonts w:ascii="Calibri" w:hAnsi="Calibri"/>
          <w:b/>
          <w:i/>
          <w:sz w:val="20"/>
          <w:szCs w:val="20"/>
        </w:rPr>
      </w:pPr>
    </w:p>
    <w:p w:rsidR="00FE5FBD" w:rsidRPr="00437E98" w:rsidRDefault="00FE5FBD" w:rsidP="00FE5FBD">
      <w:pPr>
        <w:jc w:val="both"/>
        <w:rPr>
          <w:rFonts w:ascii="Calibri" w:hAnsi="Calibri"/>
          <w:b/>
          <w:sz w:val="20"/>
          <w:szCs w:val="20"/>
        </w:rPr>
      </w:pPr>
    </w:p>
    <w:tbl>
      <w:tblPr>
        <w:tblW w:w="11371" w:type="dxa"/>
        <w:tblInd w:w="6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647"/>
        <w:gridCol w:w="1701"/>
        <w:gridCol w:w="1701"/>
        <w:gridCol w:w="2142"/>
      </w:tblGrid>
      <w:tr w:rsidR="00A80A29" w:rsidRPr="00437E98" w:rsidTr="00FD4ED2">
        <w:trPr>
          <w:trHeight w:val="744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A29" w:rsidRPr="00437E98" w:rsidRDefault="00A80A29" w:rsidP="00A80A2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Hacienda Pública/Patrimonio Contribuido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A29" w:rsidRPr="00437E98" w:rsidRDefault="00A80A29" w:rsidP="00A80A2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Hacienda Pública/Patrimonio Generado de Ejercicios </w:t>
            </w:r>
            <w:proofErr w:type="spellStart"/>
            <w:r w:rsidRPr="00437E98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Ant</w:t>
            </w:r>
            <w:proofErr w:type="spellEnd"/>
            <w:r w:rsidRPr="00437E98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A29" w:rsidRPr="00437E98" w:rsidRDefault="00A80A29" w:rsidP="00A80A2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Hacienda Pública/Patrimonio Generado del Ejercicio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A29" w:rsidRPr="00437E98" w:rsidRDefault="00A80A29" w:rsidP="00A80A2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TOTAL</w:t>
            </w:r>
          </w:p>
        </w:tc>
      </w:tr>
      <w:tr w:rsidR="00A80A29" w:rsidRPr="00437E98" w:rsidTr="00FD4ED2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80A29" w:rsidRPr="00437E98" w:rsidTr="00FD4ED2">
        <w:trPr>
          <w:trHeight w:val="51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Hacienda Pública/Patrimon</w:t>
            </w:r>
            <w:r w:rsidR="00437E98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io Neto Final del Ejercicio 201</w:t>
            </w:r>
            <w:r w:rsidR="00FD4ED2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A80A29" w:rsidP="00A80A29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10,499,752</w:t>
            </w:r>
            <w:r w:rsidR="004266DF" w:rsidRPr="00437E98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.20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 xml:space="preserve">                          -  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A80A29" w:rsidP="00A80A29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10,499,752</w:t>
            </w:r>
            <w:r w:rsidR="00FD4ED2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.20</w:t>
            </w:r>
          </w:p>
        </w:tc>
      </w:tr>
      <w:tr w:rsidR="00A80A29" w:rsidRPr="00437E98" w:rsidTr="00FD4ED2">
        <w:trPr>
          <w:trHeight w:val="10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80A29" w:rsidRPr="00437E98" w:rsidTr="00FD4ED2">
        <w:trPr>
          <w:trHeight w:val="51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 xml:space="preserve">Variaciones de la Hacienda Pública/Patrimonio Neto del Ejercicio 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 xml:space="preserve">           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651483" w:rsidP="00A80A29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36,372,984.22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651483" w:rsidP="00FD4ED2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36,372,984.22</w:t>
            </w:r>
          </w:p>
        </w:tc>
      </w:tr>
      <w:tr w:rsidR="00A80A29" w:rsidRPr="00437E98" w:rsidTr="00FD4ED2">
        <w:trPr>
          <w:trHeight w:val="13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A29" w:rsidRPr="00437E98" w:rsidRDefault="00A80A29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67C0D" w:rsidRPr="00437E98" w:rsidTr="00FD4ED2">
        <w:trPr>
          <w:trHeight w:val="51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0D" w:rsidRPr="00437E98" w:rsidRDefault="00B67C0D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Variaciones de la Hacienda Pública/Pa</w:t>
            </w:r>
            <w:r w:rsidR="00FD4ED2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trimonio Neto del Ejercicio 2016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C0D" w:rsidRPr="00437E98" w:rsidRDefault="00B67C0D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C0D" w:rsidRPr="00437E98" w:rsidRDefault="00B67C0D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0D" w:rsidRPr="00B15218" w:rsidRDefault="00CE78A4" w:rsidP="00B67C0D">
            <w:pPr>
              <w:jc w:val="right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84,052,605.21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C0D" w:rsidRPr="00B15218" w:rsidRDefault="00CE78A4" w:rsidP="00FD4ED2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84,052,605.21</w:t>
            </w:r>
          </w:p>
        </w:tc>
      </w:tr>
      <w:tr w:rsidR="00B67C0D" w:rsidRPr="00437E98" w:rsidTr="00FD4ED2">
        <w:trPr>
          <w:trHeight w:val="10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0D" w:rsidRPr="00437E98" w:rsidRDefault="00B67C0D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C0D" w:rsidRPr="00437E98" w:rsidRDefault="00B67C0D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C0D" w:rsidRPr="00437E98" w:rsidRDefault="00B67C0D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C0D" w:rsidRPr="00B15218" w:rsidRDefault="00B67C0D" w:rsidP="00A80A29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C0D" w:rsidRPr="00B15218" w:rsidRDefault="00B67C0D" w:rsidP="00A80A29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67C0D" w:rsidRPr="00437E98" w:rsidTr="00FD4ED2">
        <w:trPr>
          <w:trHeight w:val="481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0D" w:rsidRPr="00437E98" w:rsidRDefault="00B67C0D" w:rsidP="00A80A29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Saldo Neto en la Hacienda Pública / Patrimonio 2014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C0D" w:rsidRPr="00437E98" w:rsidRDefault="00B67C0D" w:rsidP="00A80A29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437E98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10,499,752.20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C0D" w:rsidRPr="00437E98" w:rsidRDefault="00651483" w:rsidP="00A80A29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36,372,984.22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C0D" w:rsidRPr="00B15218" w:rsidRDefault="00CE78A4" w:rsidP="00D92B71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84,052,605.21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C0D" w:rsidRPr="00B15218" w:rsidRDefault="00CE78A4" w:rsidP="00CE78A4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130,925,341.63</w:t>
            </w:r>
          </w:p>
        </w:tc>
      </w:tr>
    </w:tbl>
    <w:p w:rsidR="00D708C7" w:rsidRPr="0034384F" w:rsidRDefault="00D708C7" w:rsidP="008A74AA">
      <w:pPr>
        <w:ind w:left="360"/>
        <w:jc w:val="both"/>
        <w:rPr>
          <w:rFonts w:asciiTheme="minorHAnsi" w:hAnsiTheme="minorHAnsi"/>
          <w:b/>
          <w:sz w:val="20"/>
          <w:szCs w:val="20"/>
        </w:rPr>
      </w:pPr>
    </w:p>
    <w:p w:rsidR="00606E9B" w:rsidRPr="0034384F" w:rsidRDefault="00606E9B" w:rsidP="008A74AA">
      <w:pPr>
        <w:ind w:left="360"/>
        <w:jc w:val="both"/>
        <w:rPr>
          <w:rFonts w:asciiTheme="minorHAnsi" w:hAnsiTheme="minorHAnsi"/>
          <w:b/>
          <w:sz w:val="20"/>
          <w:szCs w:val="20"/>
        </w:rPr>
      </w:pPr>
    </w:p>
    <w:p w:rsidR="004A2E90" w:rsidRDefault="004A2E90" w:rsidP="008A74AA">
      <w:pPr>
        <w:ind w:left="360"/>
        <w:jc w:val="both"/>
        <w:rPr>
          <w:rFonts w:asciiTheme="minorHAnsi" w:hAnsiTheme="minorHAnsi"/>
          <w:b/>
          <w:sz w:val="20"/>
          <w:szCs w:val="20"/>
        </w:rPr>
      </w:pPr>
    </w:p>
    <w:p w:rsidR="00335245" w:rsidRDefault="00335245" w:rsidP="008A74AA">
      <w:pPr>
        <w:ind w:left="360"/>
        <w:jc w:val="both"/>
        <w:rPr>
          <w:rFonts w:asciiTheme="minorHAnsi" w:hAnsiTheme="minorHAnsi"/>
          <w:b/>
          <w:sz w:val="20"/>
          <w:szCs w:val="20"/>
        </w:rPr>
      </w:pPr>
    </w:p>
    <w:p w:rsidR="00FE5FBD" w:rsidRPr="0034384F" w:rsidRDefault="00FE5FBD" w:rsidP="00595C13">
      <w:pPr>
        <w:pStyle w:val="Prrafodelista"/>
        <w:numPr>
          <w:ilvl w:val="0"/>
          <w:numId w:val="8"/>
        </w:num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lastRenderedPageBreak/>
        <w:t xml:space="preserve">NOTAS AL ESTADO DE FLUJOS DE EFECTIVO </w:t>
      </w:r>
    </w:p>
    <w:p w:rsidR="00595C13" w:rsidRPr="0034384F" w:rsidRDefault="00595C13" w:rsidP="00595C13">
      <w:pPr>
        <w:pStyle w:val="Prrafodelista"/>
        <w:ind w:left="1080"/>
        <w:jc w:val="both"/>
        <w:rPr>
          <w:rFonts w:asciiTheme="minorHAnsi" w:hAnsiTheme="minorHAnsi"/>
          <w:b/>
          <w:sz w:val="20"/>
          <w:szCs w:val="20"/>
        </w:rPr>
      </w:pPr>
    </w:p>
    <w:p w:rsidR="00FE5FBD" w:rsidRPr="00437E98" w:rsidRDefault="00FE5FBD" w:rsidP="00FE5FBD">
      <w:pPr>
        <w:jc w:val="both"/>
        <w:rPr>
          <w:rFonts w:ascii="Calibri" w:hAnsi="Calibri"/>
          <w:b/>
          <w:sz w:val="20"/>
          <w:szCs w:val="20"/>
        </w:rPr>
      </w:pPr>
      <w:r w:rsidRPr="00437E98">
        <w:rPr>
          <w:rFonts w:ascii="Calibri" w:hAnsi="Calibri"/>
          <w:b/>
          <w:sz w:val="20"/>
          <w:szCs w:val="20"/>
        </w:rPr>
        <w:t>4.1. Efectivo y Equivalentes</w:t>
      </w:r>
    </w:p>
    <w:tbl>
      <w:tblPr>
        <w:tblpPr w:leftFromText="141" w:rightFromText="141" w:vertAnchor="text" w:horzAnchor="page" w:tblpX="1712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268"/>
        <w:gridCol w:w="2268"/>
      </w:tblGrid>
      <w:tr w:rsidR="0034384F" w:rsidRPr="00437E98" w:rsidTr="00FD4ED2">
        <w:tc>
          <w:tcPr>
            <w:tcW w:w="4644" w:type="dxa"/>
          </w:tcPr>
          <w:p w:rsidR="0034384F" w:rsidRPr="00437E98" w:rsidRDefault="0034384F" w:rsidP="00FD4ED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34384F" w:rsidRPr="00437E98" w:rsidRDefault="0034384F" w:rsidP="00FD4ED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Período Actual</w:t>
            </w:r>
          </w:p>
        </w:tc>
        <w:tc>
          <w:tcPr>
            <w:tcW w:w="2268" w:type="dxa"/>
          </w:tcPr>
          <w:p w:rsidR="0034384F" w:rsidRPr="00437E98" w:rsidRDefault="0034384F" w:rsidP="00FD4ED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Período Anterior</w:t>
            </w:r>
          </w:p>
        </w:tc>
      </w:tr>
      <w:tr w:rsidR="005C4877" w:rsidRPr="00437E98" w:rsidTr="00FD4ED2">
        <w:tc>
          <w:tcPr>
            <w:tcW w:w="4644" w:type="dxa"/>
          </w:tcPr>
          <w:p w:rsidR="005C4877" w:rsidRPr="00437E98" w:rsidRDefault="005C4877" w:rsidP="005C487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Efectivo en Bancos – Tesorería</w:t>
            </w:r>
          </w:p>
        </w:tc>
        <w:tc>
          <w:tcPr>
            <w:tcW w:w="2268" w:type="dxa"/>
          </w:tcPr>
          <w:p w:rsidR="005C4877" w:rsidRPr="00437E98" w:rsidRDefault="00CE78A4" w:rsidP="005C4877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60,122,950.08</w:t>
            </w:r>
          </w:p>
        </w:tc>
        <w:tc>
          <w:tcPr>
            <w:tcW w:w="2268" w:type="dxa"/>
          </w:tcPr>
          <w:p w:rsidR="005C4877" w:rsidRPr="00437E98" w:rsidRDefault="00CE78A4" w:rsidP="007676B0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17,486,544.32</w:t>
            </w:r>
          </w:p>
        </w:tc>
      </w:tr>
      <w:tr w:rsidR="005C4877" w:rsidRPr="00437E98" w:rsidTr="00FD4ED2">
        <w:tc>
          <w:tcPr>
            <w:tcW w:w="4644" w:type="dxa"/>
          </w:tcPr>
          <w:p w:rsidR="005C4877" w:rsidRPr="00437E98" w:rsidRDefault="005C4877" w:rsidP="005C487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Efectivo en Bancos – Dependencias</w:t>
            </w:r>
          </w:p>
        </w:tc>
        <w:tc>
          <w:tcPr>
            <w:tcW w:w="2268" w:type="dxa"/>
          </w:tcPr>
          <w:p w:rsidR="005C4877" w:rsidRPr="00437E98" w:rsidRDefault="005C4877" w:rsidP="005C4877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  <w:tc>
          <w:tcPr>
            <w:tcW w:w="2268" w:type="dxa"/>
          </w:tcPr>
          <w:p w:rsidR="005C4877" w:rsidRPr="00437E98" w:rsidRDefault="005C4877" w:rsidP="005C4877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</w:tr>
      <w:tr w:rsidR="005C4877" w:rsidRPr="00437E98" w:rsidTr="00FD4ED2">
        <w:tc>
          <w:tcPr>
            <w:tcW w:w="4644" w:type="dxa"/>
          </w:tcPr>
          <w:p w:rsidR="005C4877" w:rsidRPr="00437E98" w:rsidRDefault="005C4877" w:rsidP="005C487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Inversiones Temporales (hasta 3 meses)</w:t>
            </w:r>
          </w:p>
        </w:tc>
        <w:tc>
          <w:tcPr>
            <w:tcW w:w="2268" w:type="dxa"/>
          </w:tcPr>
          <w:p w:rsidR="005C4877" w:rsidRPr="00437E98" w:rsidRDefault="005C4877" w:rsidP="005C4877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  <w:tc>
          <w:tcPr>
            <w:tcW w:w="2268" w:type="dxa"/>
          </w:tcPr>
          <w:p w:rsidR="005C4877" w:rsidRPr="00437E98" w:rsidRDefault="005C4877" w:rsidP="005C4877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</w:tr>
      <w:tr w:rsidR="005C4877" w:rsidRPr="00437E98" w:rsidTr="00FD4ED2">
        <w:tc>
          <w:tcPr>
            <w:tcW w:w="4644" w:type="dxa"/>
          </w:tcPr>
          <w:p w:rsidR="005C4877" w:rsidRPr="00437E98" w:rsidRDefault="005C4877" w:rsidP="005C487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Fondos con afectación especifica</w:t>
            </w:r>
          </w:p>
        </w:tc>
        <w:tc>
          <w:tcPr>
            <w:tcW w:w="2268" w:type="dxa"/>
          </w:tcPr>
          <w:p w:rsidR="005C4877" w:rsidRPr="00437E98" w:rsidRDefault="005C4877" w:rsidP="005C4877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  <w:tc>
          <w:tcPr>
            <w:tcW w:w="2268" w:type="dxa"/>
          </w:tcPr>
          <w:p w:rsidR="005C4877" w:rsidRPr="00437E98" w:rsidRDefault="005C4877" w:rsidP="005C4877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</w:tr>
      <w:tr w:rsidR="005C4877" w:rsidRPr="00437E98" w:rsidTr="00FD4ED2">
        <w:tc>
          <w:tcPr>
            <w:tcW w:w="4644" w:type="dxa"/>
          </w:tcPr>
          <w:p w:rsidR="005C4877" w:rsidRPr="00437E98" w:rsidRDefault="005C4877" w:rsidP="005C487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Depósitos de Fondos de Terceros y otros</w:t>
            </w:r>
          </w:p>
        </w:tc>
        <w:tc>
          <w:tcPr>
            <w:tcW w:w="2268" w:type="dxa"/>
          </w:tcPr>
          <w:p w:rsidR="005C4877" w:rsidRPr="00437E98" w:rsidRDefault="005C4877" w:rsidP="005C4877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  <w:tc>
          <w:tcPr>
            <w:tcW w:w="2268" w:type="dxa"/>
          </w:tcPr>
          <w:p w:rsidR="005C4877" w:rsidRPr="00437E98" w:rsidRDefault="005C4877" w:rsidP="005C4877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</w:tr>
      <w:tr w:rsidR="00E72CE0" w:rsidRPr="00437E98" w:rsidTr="00FD4ED2">
        <w:trPr>
          <w:trHeight w:val="434"/>
        </w:trPr>
        <w:tc>
          <w:tcPr>
            <w:tcW w:w="4644" w:type="dxa"/>
          </w:tcPr>
          <w:p w:rsidR="00E72CE0" w:rsidRPr="00437E98" w:rsidRDefault="00E72CE0" w:rsidP="00E72CE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Total de Efectivo y Equivalentes</w:t>
            </w:r>
          </w:p>
        </w:tc>
        <w:tc>
          <w:tcPr>
            <w:tcW w:w="2268" w:type="dxa"/>
          </w:tcPr>
          <w:p w:rsidR="00E72CE0" w:rsidRPr="00437E98" w:rsidRDefault="00CE78A4" w:rsidP="00E72CE0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60,122,950.08</w:t>
            </w:r>
          </w:p>
        </w:tc>
        <w:tc>
          <w:tcPr>
            <w:tcW w:w="2268" w:type="dxa"/>
          </w:tcPr>
          <w:p w:rsidR="00E72CE0" w:rsidRPr="00437E98" w:rsidRDefault="00CE78A4" w:rsidP="00E72CE0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17,486,544.32</w:t>
            </w:r>
          </w:p>
        </w:tc>
      </w:tr>
    </w:tbl>
    <w:p w:rsidR="00FE5FBD" w:rsidRPr="00437E98" w:rsidRDefault="00FE5FBD" w:rsidP="00FE5FBD">
      <w:pPr>
        <w:ind w:left="360"/>
        <w:jc w:val="both"/>
        <w:rPr>
          <w:rFonts w:ascii="Calibri" w:hAnsi="Calibri"/>
          <w:sz w:val="20"/>
          <w:szCs w:val="20"/>
        </w:rPr>
      </w:pPr>
    </w:p>
    <w:p w:rsidR="00FE5FBD" w:rsidRPr="00437E98" w:rsidRDefault="00FE5FBD" w:rsidP="00FE5FBD">
      <w:pPr>
        <w:ind w:left="360"/>
        <w:jc w:val="both"/>
        <w:rPr>
          <w:rFonts w:ascii="Calibri" w:hAnsi="Calibri"/>
          <w:sz w:val="20"/>
          <w:szCs w:val="20"/>
        </w:rPr>
      </w:pPr>
    </w:p>
    <w:p w:rsidR="00685256" w:rsidRPr="00437E98" w:rsidRDefault="00685256" w:rsidP="00FE5FBD">
      <w:pPr>
        <w:jc w:val="both"/>
        <w:rPr>
          <w:rFonts w:ascii="Calibri" w:hAnsi="Calibri"/>
          <w:b/>
          <w:sz w:val="20"/>
          <w:szCs w:val="20"/>
        </w:rPr>
      </w:pPr>
    </w:p>
    <w:p w:rsidR="00685256" w:rsidRPr="00437E98" w:rsidRDefault="00685256" w:rsidP="00FE5FBD">
      <w:pPr>
        <w:jc w:val="both"/>
        <w:rPr>
          <w:rFonts w:ascii="Calibri" w:hAnsi="Calibri"/>
          <w:b/>
          <w:sz w:val="20"/>
          <w:szCs w:val="20"/>
        </w:rPr>
      </w:pPr>
    </w:p>
    <w:p w:rsidR="00685256" w:rsidRPr="00437E98" w:rsidRDefault="00685256" w:rsidP="00FE5FBD">
      <w:pPr>
        <w:jc w:val="both"/>
        <w:rPr>
          <w:rFonts w:ascii="Calibri" w:hAnsi="Calibri"/>
          <w:b/>
          <w:sz w:val="20"/>
          <w:szCs w:val="20"/>
        </w:rPr>
      </w:pPr>
    </w:p>
    <w:p w:rsidR="00685256" w:rsidRPr="00437E98" w:rsidRDefault="00685256" w:rsidP="00FE5FBD">
      <w:pPr>
        <w:jc w:val="both"/>
        <w:rPr>
          <w:rFonts w:ascii="Calibri" w:hAnsi="Calibri"/>
          <w:b/>
          <w:sz w:val="20"/>
          <w:szCs w:val="20"/>
        </w:rPr>
      </w:pPr>
    </w:p>
    <w:p w:rsidR="0041510C" w:rsidRPr="00437E98" w:rsidRDefault="0041510C" w:rsidP="00FE5FBD">
      <w:pPr>
        <w:jc w:val="both"/>
        <w:rPr>
          <w:rFonts w:ascii="Calibri" w:hAnsi="Calibri"/>
          <w:b/>
          <w:sz w:val="20"/>
          <w:szCs w:val="20"/>
        </w:rPr>
      </w:pPr>
    </w:p>
    <w:p w:rsidR="0041510C" w:rsidRPr="00437E98" w:rsidRDefault="0041510C" w:rsidP="00FE5FBD">
      <w:pPr>
        <w:jc w:val="both"/>
        <w:rPr>
          <w:rFonts w:ascii="Calibri" w:hAnsi="Calibri"/>
          <w:b/>
          <w:sz w:val="20"/>
          <w:szCs w:val="20"/>
        </w:rPr>
      </w:pPr>
    </w:p>
    <w:p w:rsidR="0041510C" w:rsidRPr="00437E98" w:rsidRDefault="0041510C" w:rsidP="00FE5FBD">
      <w:pPr>
        <w:jc w:val="both"/>
        <w:rPr>
          <w:rFonts w:ascii="Calibri" w:hAnsi="Calibri"/>
          <w:b/>
          <w:sz w:val="20"/>
          <w:szCs w:val="20"/>
        </w:rPr>
      </w:pPr>
    </w:p>
    <w:p w:rsidR="00FD4ED2" w:rsidRDefault="00FD4ED2" w:rsidP="00FE5FBD">
      <w:pPr>
        <w:jc w:val="both"/>
        <w:rPr>
          <w:rFonts w:ascii="Calibri" w:hAnsi="Calibri"/>
          <w:b/>
          <w:sz w:val="20"/>
          <w:szCs w:val="20"/>
        </w:rPr>
      </w:pPr>
    </w:p>
    <w:p w:rsidR="00FD4ED2" w:rsidRDefault="00FD4ED2" w:rsidP="00FE5FBD">
      <w:pPr>
        <w:jc w:val="both"/>
        <w:rPr>
          <w:rFonts w:ascii="Calibri" w:hAnsi="Calibri"/>
          <w:b/>
          <w:sz w:val="20"/>
          <w:szCs w:val="20"/>
        </w:rPr>
      </w:pPr>
    </w:p>
    <w:p w:rsidR="007676B0" w:rsidRDefault="007676B0" w:rsidP="00FE5FBD">
      <w:pPr>
        <w:jc w:val="both"/>
        <w:rPr>
          <w:rFonts w:ascii="Calibri" w:hAnsi="Calibri"/>
          <w:b/>
          <w:sz w:val="20"/>
          <w:szCs w:val="20"/>
        </w:rPr>
      </w:pPr>
    </w:p>
    <w:p w:rsidR="00394C18" w:rsidRPr="00437E98" w:rsidRDefault="00F6408B" w:rsidP="00FE5FBD">
      <w:pPr>
        <w:jc w:val="both"/>
        <w:rPr>
          <w:rFonts w:ascii="Calibri" w:hAnsi="Calibri"/>
          <w:b/>
          <w:sz w:val="20"/>
          <w:szCs w:val="20"/>
        </w:rPr>
      </w:pPr>
      <w:r w:rsidRPr="00437E98">
        <w:rPr>
          <w:rFonts w:ascii="Calibri" w:hAnsi="Calibri"/>
          <w:b/>
          <w:sz w:val="20"/>
          <w:szCs w:val="20"/>
        </w:rPr>
        <w:t>4.2 Adquisición de bienes muebles e inmuebles</w:t>
      </w:r>
    </w:p>
    <w:p w:rsidR="00221056" w:rsidRDefault="00221056" w:rsidP="00FE5FBD">
      <w:pPr>
        <w:jc w:val="both"/>
        <w:rPr>
          <w:rFonts w:ascii="Calibri" w:hAnsi="Calibri"/>
          <w:sz w:val="20"/>
          <w:szCs w:val="20"/>
        </w:rPr>
      </w:pPr>
      <w:r w:rsidRPr="00437E98">
        <w:rPr>
          <w:rFonts w:ascii="Calibri" w:hAnsi="Calibri"/>
          <w:sz w:val="20"/>
          <w:szCs w:val="20"/>
        </w:rPr>
        <w:t>Las adquisiciones de bienes muebles, muebles e inmuebles efectuadas durante el período son las siguientes y fueron efectuados con recurso estatal.</w:t>
      </w:r>
    </w:p>
    <w:p w:rsidR="004745A8" w:rsidRDefault="004745A8" w:rsidP="00FE5FBD">
      <w:pPr>
        <w:jc w:val="both"/>
        <w:rPr>
          <w:rFonts w:ascii="Calibri" w:hAnsi="Calibri"/>
          <w:sz w:val="20"/>
          <w:szCs w:val="20"/>
        </w:rPr>
      </w:pPr>
    </w:p>
    <w:p w:rsidR="004745A8" w:rsidRDefault="004745A8" w:rsidP="00FE5FBD">
      <w:pPr>
        <w:jc w:val="both"/>
        <w:rPr>
          <w:rFonts w:ascii="Calibri" w:hAnsi="Calibri"/>
          <w:sz w:val="20"/>
          <w:szCs w:val="20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3828"/>
      </w:tblGrid>
      <w:tr w:rsidR="00575645" w:rsidRPr="00575645" w:rsidTr="00575645">
        <w:trPr>
          <w:trHeight w:val="27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645" w:rsidRPr="00575645" w:rsidRDefault="00575645" w:rsidP="00575645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75645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Bienes Muebles</w:t>
            </w:r>
          </w:p>
        </w:tc>
        <w:tc>
          <w:tcPr>
            <w:tcW w:w="3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hideMark/>
          </w:tcPr>
          <w:p w:rsidR="00575645" w:rsidRPr="00575645" w:rsidRDefault="00CE78A4" w:rsidP="00575645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E78A4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485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,</w:t>
            </w:r>
            <w:r w:rsidRPr="00CE78A4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168.62</w:t>
            </w:r>
          </w:p>
        </w:tc>
      </w:tr>
      <w:tr w:rsidR="00575645" w:rsidRPr="00C613E0" w:rsidTr="00575645">
        <w:trPr>
          <w:trHeight w:val="2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645" w:rsidRPr="00575645" w:rsidRDefault="00575645" w:rsidP="00575645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75645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Mobiliario y Equipo de Administración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645" w:rsidRPr="00014E07" w:rsidRDefault="00CE78A4" w:rsidP="00575645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E78A4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178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,</w:t>
            </w:r>
            <w:r w:rsidRPr="00CE78A4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282.84</w:t>
            </w:r>
          </w:p>
        </w:tc>
      </w:tr>
      <w:tr w:rsidR="00575645" w:rsidRPr="00575645" w:rsidTr="00575645">
        <w:trPr>
          <w:trHeight w:val="2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645" w:rsidRPr="00575645" w:rsidRDefault="00575645" w:rsidP="00575645">
            <w:pPr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</w:pPr>
            <w:r w:rsidRPr="00575645"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Muebles de Oficina y Estantería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645" w:rsidRPr="00575645" w:rsidRDefault="00CE78A4" w:rsidP="00575645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</w:pPr>
            <w:r w:rsidRPr="00CE78A4"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35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,</w:t>
            </w:r>
            <w:r w:rsidRPr="00CE78A4"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287.96</w:t>
            </w:r>
          </w:p>
        </w:tc>
      </w:tr>
      <w:tr w:rsidR="00575645" w:rsidRPr="00575645" w:rsidTr="00575645">
        <w:trPr>
          <w:trHeight w:val="2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645" w:rsidRPr="00575645" w:rsidRDefault="00575645" w:rsidP="00575645">
            <w:pPr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</w:pPr>
            <w:r w:rsidRPr="00575645"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Equipo de Cómputo y Tecnologías de la Información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645" w:rsidRPr="00575645" w:rsidRDefault="00CE78A4" w:rsidP="00575645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</w:pPr>
            <w:r w:rsidRPr="00CE78A4"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45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,</w:t>
            </w:r>
            <w:r w:rsidRPr="00CE78A4"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901.18</w:t>
            </w:r>
          </w:p>
        </w:tc>
      </w:tr>
      <w:tr w:rsidR="00575645" w:rsidRPr="00575645" w:rsidTr="00575645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645" w:rsidRPr="00575645" w:rsidRDefault="00575645" w:rsidP="00575645">
            <w:pPr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</w:pPr>
            <w:r w:rsidRPr="00575645"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Otros Mobiliarios y equipos de Administración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645" w:rsidRPr="00575645" w:rsidRDefault="00CE78A4" w:rsidP="00575645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</w:pPr>
            <w:r w:rsidRPr="00CE78A4"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97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,</w:t>
            </w:r>
            <w:r w:rsidRPr="00CE78A4"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093.7</w:t>
            </w:r>
          </w:p>
        </w:tc>
      </w:tr>
      <w:tr w:rsidR="00575645" w:rsidRPr="00575645" w:rsidTr="00575645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645" w:rsidRPr="00575645" w:rsidRDefault="00575645" w:rsidP="00575645">
            <w:pPr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</w:pPr>
            <w:r w:rsidRPr="00575645"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Muebles, excepto  de Oficina y Estantería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645" w:rsidRPr="00575645" w:rsidRDefault="00575645" w:rsidP="00575645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575645" w:rsidRPr="00575645" w:rsidTr="00575645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645" w:rsidRPr="00575645" w:rsidRDefault="00014E07" w:rsidP="00575645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14E07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Equipo e Instrumental Médico y de Laboratorio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645" w:rsidRPr="00575645" w:rsidRDefault="00CE78A4" w:rsidP="00575645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E78A4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286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,</w:t>
            </w:r>
            <w:r w:rsidRPr="00CE78A4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839.58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,</w:t>
            </w:r>
          </w:p>
        </w:tc>
      </w:tr>
      <w:tr w:rsidR="00575645" w:rsidRPr="00575645" w:rsidTr="00575645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645" w:rsidRPr="00575645" w:rsidRDefault="00014E07" w:rsidP="00575645">
            <w:pPr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</w:pPr>
            <w:r w:rsidRPr="00014E07"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Equipo e Instrumental Médico y de Laboratorio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645" w:rsidRPr="00014E07" w:rsidRDefault="00CE78A4" w:rsidP="00575645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</w:pPr>
            <w:r w:rsidRPr="00CE78A4">
              <w:rPr>
                <w:rFonts w:ascii="Calibri" w:hAnsi="Calibri" w:cs="Arial"/>
                <w:bCs/>
                <w:color w:val="000000"/>
                <w:sz w:val="20"/>
                <w:szCs w:val="20"/>
                <w:lang w:val="es-MX" w:eastAsia="es-MX"/>
              </w:rPr>
              <w:t>286</w:t>
            </w:r>
            <w:r>
              <w:rPr>
                <w:rFonts w:ascii="Calibri" w:hAnsi="Calibri" w:cs="Arial"/>
                <w:bCs/>
                <w:color w:val="000000"/>
                <w:sz w:val="20"/>
                <w:szCs w:val="20"/>
                <w:lang w:val="es-MX" w:eastAsia="es-MX"/>
              </w:rPr>
              <w:t>,</w:t>
            </w:r>
            <w:r w:rsidRPr="00CE78A4">
              <w:rPr>
                <w:rFonts w:ascii="Calibri" w:hAnsi="Calibri" w:cs="Arial"/>
                <w:bCs/>
                <w:color w:val="000000"/>
                <w:sz w:val="20"/>
                <w:szCs w:val="20"/>
                <w:lang w:val="es-MX" w:eastAsia="es-MX"/>
              </w:rPr>
              <w:t>839.58</w:t>
            </w:r>
            <w:r>
              <w:rPr>
                <w:rFonts w:ascii="Calibri" w:hAnsi="Calibri" w:cs="Arial"/>
                <w:bCs/>
                <w:color w:val="000000"/>
                <w:sz w:val="20"/>
                <w:szCs w:val="20"/>
                <w:lang w:val="es-MX" w:eastAsia="es-MX"/>
              </w:rPr>
              <w:t>,</w:t>
            </w:r>
          </w:p>
        </w:tc>
      </w:tr>
      <w:tr w:rsidR="00CE78A4" w:rsidRPr="000F0776" w:rsidTr="00575645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8A4" w:rsidRPr="00CE78A4" w:rsidRDefault="00CE78A4" w:rsidP="00D72DE1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78A4">
              <w:rPr>
                <w:rFonts w:ascii="Calibri" w:hAnsi="Calibri"/>
                <w:b/>
                <w:sz w:val="20"/>
                <w:szCs w:val="20"/>
              </w:rPr>
              <w:t>Maquinaria, Otros Equipos y Herramientas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8A4" w:rsidRPr="000F0776" w:rsidRDefault="000F0776" w:rsidP="000F0776">
            <w:pPr>
              <w:jc w:val="right"/>
              <w:rPr>
                <w:rFonts w:ascii="Calibri" w:hAnsi="Calibri" w:cs="Arial"/>
                <w:bCs/>
                <w:color w:val="000000"/>
                <w:sz w:val="20"/>
                <w:szCs w:val="20"/>
                <w:lang w:val="es-MX" w:eastAsia="es-MX"/>
              </w:rPr>
            </w:pPr>
            <w:r w:rsidRPr="000F0776">
              <w:rPr>
                <w:rFonts w:ascii="Calibri" w:hAnsi="Calibri" w:cs="Arial"/>
                <w:bCs/>
                <w:color w:val="000000"/>
                <w:sz w:val="20"/>
                <w:szCs w:val="20"/>
                <w:lang w:val="es-MX" w:eastAsia="es-MX"/>
              </w:rPr>
              <w:t>20</w:t>
            </w:r>
            <w:r>
              <w:rPr>
                <w:rFonts w:ascii="Calibri" w:hAnsi="Calibri" w:cs="Arial"/>
                <w:bCs/>
                <w:color w:val="000000"/>
                <w:sz w:val="20"/>
                <w:szCs w:val="20"/>
                <w:lang w:val="es-MX" w:eastAsia="es-MX"/>
              </w:rPr>
              <w:t>,</w:t>
            </w:r>
            <w:r w:rsidRPr="000F0776">
              <w:rPr>
                <w:rFonts w:ascii="Calibri" w:hAnsi="Calibri" w:cs="Arial"/>
                <w:bCs/>
                <w:color w:val="000000"/>
                <w:sz w:val="20"/>
                <w:szCs w:val="20"/>
                <w:lang w:val="es-MX" w:eastAsia="es-MX"/>
              </w:rPr>
              <w:t>046.2</w:t>
            </w:r>
          </w:p>
        </w:tc>
      </w:tr>
      <w:tr w:rsidR="00CE78A4" w:rsidRPr="00575645" w:rsidTr="00575645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8A4" w:rsidRPr="00CE78A4" w:rsidRDefault="00CE78A4" w:rsidP="002E658D">
            <w:pPr>
              <w:rPr>
                <w:rFonts w:ascii="Calibri" w:hAnsi="Calibri"/>
                <w:sz w:val="20"/>
                <w:szCs w:val="20"/>
              </w:rPr>
            </w:pPr>
            <w:r w:rsidRPr="00CE78A4">
              <w:rPr>
                <w:rFonts w:ascii="Calibri" w:hAnsi="Calibri"/>
                <w:sz w:val="20"/>
                <w:szCs w:val="20"/>
              </w:rPr>
              <w:t>Maquinaria y Equipo Industrial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8A4" w:rsidRPr="00575645" w:rsidRDefault="000F0776" w:rsidP="00575645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</w:pPr>
            <w:r w:rsidRPr="000F0776"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5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,</w:t>
            </w:r>
            <w:r w:rsidRPr="000F0776"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446.2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</w:tr>
      <w:tr w:rsidR="00CE78A4" w:rsidRPr="00575645" w:rsidTr="00575645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8A4" w:rsidRPr="00575645" w:rsidRDefault="00CE78A4" w:rsidP="00575645">
            <w:pPr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</w:pPr>
            <w:r w:rsidRPr="00CE78A4"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Herramientas y Máquinas-Herramienta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8A4" w:rsidRPr="00575645" w:rsidRDefault="000F0776" w:rsidP="00575645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</w:pPr>
            <w:r w:rsidRPr="000F0776"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14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,</w:t>
            </w:r>
            <w:r w:rsidRPr="000F0776"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600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MX" w:eastAsia="es-MX"/>
              </w:rPr>
              <w:t>.00</w:t>
            </w:r>
          </w:p>
        </w:tc>
      </w:tr>
    </w:tbl>
    <w:p w:rsidR="004745A8" w:rsidRDefault="004745A8" w:rsidP="00FE5FBD">
      <w:pPr>
        <w:jc w:val="both"/>
        <w:rPr>
          <w:rFonts w:ascii="Calibri" w:hAnsi="Calibri"/>
          <w:sz w:val="20"/>
          <w:szCs w:val="20"/>
        </w:rPr>
      </w:pPr>
    </w:p>
    <w:p w:rsidR="00CE78A4" w:rsidRDefault="00CE78A4" w:rsidP="00FE5FBD">
      <w:pPr>
        <w:jc w:val="both"/>
        <w:rPr>
          <w:rFonts w:ascii="Calibri" w:hAnsi="Calibri"/>
          <w:b/>
          <w:sz w:val="20"/>
          <w:szCs w:val="20"/>
        </w:rPr>
      </w:pPr>
    </w:p>
    <w:p w:rsidR="00FE5FBD" w:rsidRDefault="00FE5FBD" w:rsidP="00FE5FBD">
      <w:pPr>
        <w:jc w:val="both"/>
        <w:rPr>
          <w:rFonts w:ascii="Calibri" w:hAnsi="Calibri"/>
          <w:sz w:val="20"/>
          <w:szCs w:val="20"/>
        </w:rPr>
      </w:pPr>
      <w:r w:rsidRPr="00437E98">
        <w:rPr>
          <w:rFonts w:ascii="Calibri" w:hAnsi="Calibri"/>
          <w:b/>
          <w:sz w:val="20"/>
          <w:szCs w:val="20"/>
        </w:rPr>
        <w:t>4.</w:t>
      </w:r>
      <w:r w:rsidR="00221056" w:rsidRPr="00437E98">
        <w:rPr>
          <w:rFonts w:ascii="Calibri" w:hAnsi="Calibri"/>
          <w:b/>
          <w:sz w:val="20"/>
          <w:szCs w:val="20"/>
        </w:rPr>
        <w:t>3</w:t>
      </w:r>
      <w:r w:rsidRPr="00437E98">
        <w:rPr>
          <w:rFonts w:ascii="Calibri" w:hAnsi="Calibri"/>
          <w:b/>
          <w:sz w:val="20"/>
          <w:szCs w:val="20"/>
        </w:rPr>
        <w:t xml:space="preserve">. Conciliación de los Flujos de Efectivo Netos de las Actividades de Operación y la cuenta Ahorro/Desahorro </w:t>
      </w:r>
      <w:r w:rsidRPr="00437E98">
        <w:rPr>
          <w:rFonts w:ascii="Calibri" w:hAnsi="Calibri"/>
          <w:sz w:val="20"/>
          <w:szCs w:val="20"/>
        </w:rPr>
        <w:t>antes de Rubros Extraordinarios.</w:t>
      </w:r>
    </w:p>
    <w:p w:rsidR="005D312A" w:rsidRDefault="005D312A" w:rsidP="00FE5FBD">
      <w:pPr>
        <w:jc w:val="both"/>
        <w:rPr>
          <w:rFonts w:ascii="Calibri" w:hAnsi="Calibri"/>
          <w:sz w:val="20"/>
          <w:szCs w:val="20"/>
        </w:rPr>
      </w:pPr>
    </w:p>
    <w:p w:rsidR="005D312A" w:rsidRDefault="005D312A" w:rsidP="00FE5FBD">
      <w:pPr>
        <w:jc w:val="both"/>
        <w:rPr>
          <w:rFonts w:ascii="Calibri" w:hAnsi="Calibri"/>
          <w:sz w:val="20"/>
          <w:szCs w:val="20"/>
        </w:rPr>
      </w:pPr>
    </w:p>
    <w:p w:rsidR="005D312A" w:rsidRPr="00437E98" w:rsidRDefault="005D312A" w:rsidP="00FE5FBD">
      <w:pPr>
        <w:jc w:val="both"/>
        <w:rPr>
          <w:rFonts w:ascii="Calibri" w:hAnsi="Calibri"/>
          <w:sz w:val="20"/>
          <w:szCs w:val="20"/>
        </w:rPr>
      </w:pPr>
    </w:p>
    <w:p w:rsidR="00FE5FBD" w:rsidRPr="00437E98" w:rsidRDefault="00FE5FBD" w:rsidP="00FE5FBD">
      <w:pPr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2126"/>
        <w:gridCol w:w="2000"/>
      </w:tblGrid>
      <w:tr w:rsidR="00FE5FBD" w:rsidRPr="00437E98" w:rsidTr="005D312A">
        <w:tc>
          <w:tcPr>
            <w:tcW w:w="5195" w:type="dxa"/>
          </w:tcPr>
          <w:p w:rsidR="00FE5FBD" w:rsidRPr="00437E98" w:rsidRDefault="00FE5FBD" w:rsidP="005D312A">
            <w:pPr>
              <w:ind w:left="-23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FE5FBD" w:rsidRPr="00437E98" w:rsidRDefault="00FE5FBD" w:rsidP="00BF3B1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Período Actual</w:t>
            </w:r>
          </w:p>
        </w:tc>
        <w:tc>
          <w:tcPr>
            <w:tcW w:w="2000" w:type="dxa"/>
          </w:tcPr>
          <w:p w:rsidR="00FE5FBD" w:rsidRPr="00437E98" w:rsidRDefault="00FE5FBD" w:rsidP="00BF3B1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Período Anterior</w:t>
            </w:r>
          </w:p>
        </w:tc>
      </w:tr>
      <w:tr w:rsidR="00842E6D" w:rsidRPr="00437E98" w:rsidTr="005D312A">
        <w:tc>
          <w:tcPr>
            <w:tcW w:w="5195" w:type="dxa"/>
          </w:tcPr>
          <w:p w:rsidR="00842E6D" w:rsidRPr="00437E98" w:rsidRDefault="00842E6D" w:rsidP="00BF3B1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Ahorro/Desahorro antes de rubros Extraordinarios</w:t>
            </w:r>
          </w:p>
        </w:tc>
        <w:tc>
          <w:tcPr>
            <w:tcW w:w="2126" w:type="dxa"/>
          </w:tcPr>
          <w:p w:rsidR="00E61857" w:rsidRPr="002B4D7C" w:rsidRDefault="000F0776" w:rsidP="00E61857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67,780,733.29</w:t>
            </w:r>
          </w:p>
        </w:tc>
        <w:tc>
          <w:tcPr>
            <w:tcW w:w="2000" w:type="dxa"/>
          </w:tcPr>
          <w:p w:rsidR="00842E6D" w:rsidRPr="002B4D7C" w:rsidRDefault="000F0776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34,123,807.43</w:t>
            </w:r>
          </w:p>
        </w:tc>
      </w:tr>
      <w:tr w:rsidR="00842E6D" w:rsidRPr="00437E98" w:rsidTr="005D312A">
        <w:tc>
          <w:tcPr>
            <w:tcW w:w="5195" w:type="dxa"/>
          </w:tcPr>
          <w:p w:rsidR="00842E6D" w:rsidRPr="00437E98" w:rsidRDefault="00842E6D" w:rsidP="00BF3B1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Movimientos de partidas (o rubros) que no afectan al efectivo.</w:t>
            </w:r>
          </w:p>
        </w:tc>
        <w:tc>
          <w:tcPr>
            <w:tcW w:w="2126" w:type="dxa"/>
          </w:tcPr>
          <w:p w:rsidR="00842E6D" w:rsidRPr="00437E98" w:rsidRDefault="00842E6D" w:rsidP="00BF3B1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0" w:type="dxa"/>
          </w:tcPr>
          <w:p w:rsidR="00842E6D" w:rsidRPr="00437E98" w:rsidRDefault="00842E6D" w:rsidP="00BF3B1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842E6D" w:rsidRPr="00437E98" w:rsidTr="005D312A">
        <w:tc>
          <w:tcPr>
            <w:tcW w:w="5195" w:type="dxa"/>
          </w:tcPr>
          <w:p w:rsidR="00842E6D" w:rsidRPr="00437E98" w:rsidRDefault="00842E6D" w:rsidP="00BF3B1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Depreciación</w:t>
            </w:r>
          </w:p>
        </w:tc>
        <w:tc>
          <w:tcPr>
            <w:tcW w:w="2126" w:type="dxa"/>
          </w:tcPr>
          <w:p w:rsidR="00842E6D" w:rsidRPr="002B4D7C" w:rsidRDefault="000F0776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1,311,989.98</w:t>
            </w:r>
          </w:p>
        </w:tc>
        <w:tc>
          <w:tcPr>
            <w:tcW w:w="2000" w:type="dxa"/>
          </w:tcPr>
          <w:p w:rsidR="00842E6D" w:rsidRPr="002B4D7C" w:rsidRDefault="000F0776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988,092.68</w:t>
            </w:r>
          </w:p>
        </w:tc>
      </w:tr>
      <w:tr w:rsidR="00842E6D" w:rsidRPr="00437E98" w:rsidTr="005D312A">
        <w:tc>
          <w:tcPr>
            <w:tcW w:w="5195" w:type="dxa"/>
          </w:tcPr>
          <w:p w:rsidR="00842E6D" w:rsidRPr="00437E98" w:rsidRDefault="00842E6D" w:rsidP="00BF3B1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Amortización</w:t>
            </w:r>
          </w:p>
        </w:tc>
        <w:tc>
          <w:tcPr>
            <w:tcW w:w="2126" w:type="dxa"/>
          </w:tcPr>
          <w:p w:rsidR="00842E6D" w:rsidRPr="00437E98" w:rsidRDefault="00651483" w:rsidP="005A128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  <w:r w:rsidR="005A128F">
              <w:rPr>
                <w:rFonts w:ascii="Calibri" w:hAnsi="Calibri"/>
                <w:sz w:val="20"/>
                <w:szCs w:val="20"/>
              </w:rPr>
              <w:t>.</w:t>
            </w:r>
            <w:r>
              <w:rPr>
                <w:rFonts w:ascii="Calibri" w:hAnsi="Calibri"/>
                <w:sz w:val="20"/>
                <w:szCs w:val="20"/>
              </w:rPr>
              <w:t>0</w:t>
            </w:r>
            <w:r w:rsidR="00842E6D" w:rsidRPr="00437E9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2000" w:type="dxa"/>
          </w:tcPr>
          <w:p w:rsidR="00842E6D" w:rsidRPr="00437E98" w:rsidRDefault="00842E6D" w:rsidP="00BF3B1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</w:tr>
      <w:tr w:rsidR="00842E6D" w:rsidRPr="00437E98" w:rsidTr="005D312A">
        <w:tc>
          <w:tcPr>
            <w:tcW w:w="5195" w:type="dxa"/>
          </w:tcPr>
          <w:p w:rsidR="00842E6D" w:rsidRPr="00437E98" w:rsidRDefault="00842E6D" w:rsidP="00BF3B1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Incrementos en las provisiones</w:t>
            </w:r>
          </w:p>
        </w:tc>
        <w:tc>
          <w:tcPr>
            <w:tcW w:w="2126" w:type="dxa"/>
          </w:tcPr>
          <w:p w:rsidR="00842E6D" w:rsidRPr="00437E98" w:rsidRDefault="00842E6D" w:rsidP="00BF3B1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  <w:tc>
          <w:tcPr>
            <w:tcW w:w="2000" w:type="dxa"/>
          </w:tcPr>
          <w:p w:rsidR="00842E6D" w:rsidRPr="00437E98" w:rsidRDefault="00842E6D" w:rsidP="00BF3B1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</w:tr>
      <w:tr w:rsidR="00842E6D" w:rsidRPr="00437E98" w:rsidTr="005D312A">
        <w:tc>
          <w:tcPr>
            <w:tcW w:w="5195" w:type="dxa"/>
          </w:tcPr>
          <w:p w:rsidR="00842E6D" w:rsidRPr="00437E98" w:rsidRDefault="00842E6D" w:rsidP="00BF3B1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Incremento en inversiones producido por reevaluación</w:t>
            </w:r>
          </w:p>
        </w:tc>
        <w:tc>
          <w:tcPr>
            <w:tcW w:w="2126" w:type="dxa"/>
          </w:tcPr>
          <w:p w:rsidR="00842E6D" w:rsidRPr="00437E98" w:rsidRDefault="00842E6D" w:rsidP="00BF3B1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  <w:tc>
          <w:tcPr>
            <w:tcW w:w="2000" w:type="dxa"/>
          </w:tcPr>
          <w:p w:rsidR="00842E6D" w:rsidRPr="00437E98" w:rsidRDefault="00842E6D" w:rsidP="00BF3B1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</w:tr>
      <w:tr w:rsidR="00842E6D" w:rsidRPr="00437E98" w:rsidTr="005D312A">
        <w:tc>
          <w:tcPr>
            <w:tcW w:w="5195" w:type="dxa"/>
          </w:tcPr>
          <w:p w:rsidR="00842E6D" w:rsidRPr="00437E98" w:rsidRDefault="00842E6D" w:rsidP="00BF3B1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Ganancia/pérdida en venta de propiedad, planta y equipo</w:t>
            </w:r>
          </w:p>
        </w:tc>
        <w:tc>
          <w:tcPr>
            <w:tcW w:w="2126" w:type="dxa"/>
          </w:tcPr>
          <w:p w:rsidR="00842E6D" w:rsidRPr="00437E98" w:rsidRDefault="00842E6D" w:rsidP="00BF3B1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  <w:tc>
          <w:tcPr>
            <w:tcW w:w="2000" w:type="dxa"/>
          </w:tcPr>
          <w:p w:rsidR="00842E6D" w:rsidRPr="00437E98" w:rsidRDefault="00842E6D" w:rsidP="00BF3B1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</w:tr>
      <w:tr w:rsidR="00842E6D" w:rsidRPr="00437E98" w:rsidTr="005D312A">
        <w:tc>
          <w:tcPr>
            <w:tcW w:w="5195" w:type="dxa"/>
          </w:tcPr>
          <w:p w:rsidR="00842E6D" w:rsidRPr="00437E98" w:rsidRDefault="00842E6D" w:rsidP="00BF3B1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Incremento en cuentas por cobrar</w:t>
            </w:r>
          </w:p>
        </w:tc>
        <w:tc>
          <w:tcPr>
            <w:tcW w:w="2126" w:type="dxa"/>
          </w:tcPr>
          <w:p w:rsidR="00842E6D" w:rsidRPr="00437E98" w:rsidRDefault="00842E6D" w:rsidP="00BF3B1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  <w:tc>
          <w:tcPr>
            <w:tcW w:w="2000" w:type="dxa"/>
          </w:tcPr>
          <w:p w:rsidR="00842E6D" w:rsidRPr="00437E98" w:rsidRDefault="00842E6D" w:rsidP="00BF3B1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</w:tr>
      <w:tr w:rsidR="00842E6D" w:rsidRPr="00437E98" w:rsidTr="005D312A">
        <w:tc>
          <w:tcPr>
            <w:tcW w:w="5195" w:type="dxa"/>
          </w:tcPr>
          <w:p w:rsidR="00842E6D" w:rsidRPr="00437E98" w:rsidRDefault="00842E6D" w:rsidP="00BF3B1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Partidas extraordinarias</w:t>
            </w:r>
          </w:p>
        </w:tc>
        <w:tc>
          <w:tcPr>
            <w:tcW w:w="2126" w:type="dxa"/>
          </w:tcPr>
          <w:p w:rsidR="00842E6D" w:rsidRPr="00437E98" w:rsidRDefault="00842E6D" w:rsidP="00BF3B1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  <w:tc>
          <w:tcPr>
            <w:tcW w:w="2000" w:type="dxa"/>
          </w:tcPr>
          <w:p w:rsidR="00842E6D" w:rsidRPr="00437E98" w:rsidRDefault="00842E6D" w:rsidP="00BF3B1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37E98">
              <w:rPr>
                <w:rFonts w:ascii="Calibri" w:hAnsi="Calibri"/>
                <w:sz w:val="20"/>
                <w:szCs w:val="20"/>
              </w:rPr>
              <w:t>0.00</w:t>
            </w:r>
          </w:p>
        </w:tc>
      </w:tr>
    </w:tbl>
    <w:p w:rsidR="00FE5FBD" w:rsidRDefault="00FE5FBD" w:rsidP="00FE5FBD">
      <w:pPr>
        <w:jc w:val="both"/>
        <w:rPr>
          <w:rFonts w:ascii="Calibri" w:hAnsi="Calibri"/>
          <w:sz w:val="20"/>
          <w:szCs w:val="20"/>
        </w:rPr>
      </w:pPr>
    </w:p>
    <w:p w:rsidR="005D312A" w:rsidRDefault="005D312A" w:rsidP="00FE5FBD">
      <w:pPr>
        <w:jc w:val="both"/>
        <w:rPr>
          <w:rFonts w:ascii="Calibri" w:hAnsi="Calibri"/>
          <w:sz w:val="20"/>
          <w:szCs w:val="20"/>
        </w:rPr>
      </w:pPr>
    </w:p>
    <w:p w:rsidR="00651483" w:rsidRDefault="00651483" w:rsidP="00FE5FBD">
      <w:pPr>
        <w:jc w:val="both"/>
        <w:rPr>
          <w:rFonts w:ascii="Calibri" w:hAnsi="Calibri"/>
          <w:sz w:val="20"/>
          <w:szCs w:val="20"/>
        </w:rPr>
      </w:pPr>
    </w:p>
    <w:p w:rsidR="00651483" w:rsidRDefault="00651483" w:rsidP="00FE5FBD">
      <w:pPr>
        <w:jc w:val="both"/>
        <w:rPr>
          <w:rFonts w:ascii="Calibri" w:hAnsi="Calibri"/>
          <w:sz w:val="20"/>
          <w:szCs w:val="20"/>
        </w:rPr>
      </w:pPr>
    </w:p>
    <w:p w:rsidR="00651483" w:rsidRDefault="00651483" w:rsidP="00FE5FBD">
      <w:pPr>
        <w:jc w:val="both"/>
        <w:rPr>
          <w:rFonts w:ascii="Calibri" w:hAnsi="Calibri"/>
          <w:sz w:val="20"/>
          <w:szCs w:val="20"/>
        </w:rPr>
      </w:pPr>
    </w:p>
    <w:p w:rsidR="00651483" w:rsidRDefault="00651483" w:rsidP="00FE5FBD">
      <w:pPr>
        <w:jc w:val="both"/>
        <w:rPr>
          <w:rFonts w:ascii="Calibri" w:hAnsi="Calibri"/>
          <w:sz w:val="20"/>
          <w:szCs w:val="20"/>
        </w:rPr>
      </w:pPr>
    </w:p>
    <w:p w:rsidR="00651483" w:rsidRDefault="00651483" w:rsidP="00FE5FBD">
      <w:pPr>
        <w:jc w:val="both"/>
        <w:rPr>
          <w:rFonts w:ascii="Calibri" w:hAnsi="Calibri"/>
          <w:sz w:val="20"/>
          <w:szCs w:val="20"/>
        </w:rPr>
      </w:pPr>
    </w:p>
    <w:p w:rsidR="00651483" w:rsidRDefault="00651483" w:rsidP="00FE5FBD">
      <w:pPr>
        <w:jc w:val="both"/>
        <w:rPr>
          <w:rFonts w:ascii="Calibri" w:hAnsi="Calibri"/>
          <w:sz w:val="20"/>
          <w:szCs w:val="20"/>
        </w:rPr>
      </w:pPr>
    </w:p>
    <w:p w:rsidR="00651483" w:rsidRDefault="00651483" w:rsidP="00FE5FBD">
      <w:pPr>
        <w:jc w:val="both"/>
        <w:rPr>
          <w:rFonts w:ascii="Calibri" w:hAnsi="Calibri"/>
          <w:sz w:val="20"/>
          <w:szCs w:val="20"/>
        </w:rPr>
      </w:pPr>
    </w:p>
    <w:p w:rsidR="00651483" w:rsidRDefault="00651483" w:rsidP="00FE5FBD">
      <w:pPr>
        <w:jc w:val="both"/>
        <w:rPr>
          <w:rFonts w:ascii="Calibri" w:hAnsi="Calibri"/>
          <w:sz w:val="20"/>
          <w:szCs w:val="20"/>
        </w:rPr>
      </w:pPr>
    </w:p>
    <w:p w:rsidR="00651483" w:rsidRDefault="00651483" w:rsidP="00FE5FBD">
      <w:pPr>
        <w:jc w:val="both"/>
        <w:rPr>
          <w:rFonts w:ascii="Calibri" w:hAnsi="Calibri"/>
          <w:sz w:val="20"/>
          <w:szCs w:val="20"/>
        </w:rPr>
      </w:pPr>
    </w:p>
    <w:p w:rsidR="00651483" w:rsidRDefault="00651483" w:rsidP="00FE5FBD">
      <w:pPr>
        <w:jc w:val="both"/>
        <w:rPr>
          <w:rFonts w:ascii="Calibri" w:hAnsi="Calibri"/>
          <w:sz w:val="20"/>
          <w:szCs w:val="20"/>
        </w:rPr>
      </w:pPr>
    </w:p>
    <w:p w:rsidR="00651483" w:rsidRDefault="00651483" w:rsidP="00FE5FBD">
      <w:pPr>
        <w:jc w:val="both"/>
        <w:rPr>
          <w:rFonts w:ascii="Calibri" w:hAnsi="Calibri"/>
          <w:sz w:val="20"/>
          <w:szCs w:val="20"/>
        </w:rPr>
      </w:pPr>
    </w:p>
    <w:p w:rsidR="00457DCC" w:rsidRDefault="00457DCC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57DCC" w:rsidRDefault="00457DCC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5D312A" w:rsidRDefault="00457DCC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  <w:r w:rsidRPr="0034384F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  <w:t>EGRESOS PRESUPUESTARIOS Y LOS GASTOS CONTABLES</w:t>
      </w:r>
    </w:p>
    <w:p w:rsidR="00457DCC" w:rsidRDefault="00457DCC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8E620D" w:rsidRDefault="008E620D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8E620D" w:rsidRDefault="008E620D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tbl>
      <w:tblPr>
        <w:tblW w:w="12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7482"/>
        <w:gridCol w:w="1451"/>
        <w:gridCol w:w="2716"/>
      </w:tblGrid>
      <w:tr w:rsidR="000F0776" w:rsidRPr="000F0776" w:rsidTr="000F0776">
        <w:trPr>
          <w:trHeight w:val="240"/>
        </w:trPr>
        <w:tc>
          <w:tcPr>
            <w:tcW w:w="12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F0776" w:rsidRPr="000F0776" w:rsidRDefault="000F0776" w:rsidP="000F077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SISTEMA PARA EL DESARROLLO INTEGRAL DE LA FAMILIA EN YUCATAN</w:t>
            </w:r>
          </w:p>
        </w:tc>
      </w:tr>
      <w:tr w:rsidR="000F0776" w:rsidRPr="000F0776" w:rsidTr="000F0776">
        <w:trPr>
          <w:trHeight w:val="240"/>
        </w:trPr>
        <w:tc>
          <w:tcPr>
            <w:tcW w:w="120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F0776" w:rsidRPr="000F0776" w:rsidRDefault="000F0776" w:rsidP="000F077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Conciliación entre los Egresos Presupuestarios y los Gastos Contables</w:t>
            </w:r>
          </w:p>
        </w:tc>
      </w:tr>
      <w:tr w:rsidR="000F0776" w:rsidRPr="000F0776" w:rsidTr="000F0776">
        <w:trPr>
          <w:trHeight w:val="240"/>
        </w:trPr>
        <w:tc>
          <w:tcPr>
            <w:tcW w:w="1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F0776" w:rsidRPr="000F0776" w:rsidRDefault="000F0776" w:rsidP="000F077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Del 1 de Enero al 31 de Marzo de 2017</w:t>
            </w:r>
          </w:p>
        </w:tc>
      </w:tr>
      <w:tr w:rsidR="000F0776" w:rsidRPr="000F0776" w:rsidTr="000F0776">
        <w:trPr>
          <w:trHeight w:val="240"/>
        </w:trPr>
        <w:tc>
          <w:tcPr>
            <w:tcW w:w="7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F0776" w:rsidRPr="000F0776" w:rsidRDefault="000F0776" w:rsidP="000F07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1. Total de egresos (presupuestarios)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69,427,040</w:t>
            </w:r>
          </w:p>
        </w:tc>
      </w:tr>
      <w:tr w:rsidR="000F0776" w:rsidRPr="000F0776" w:rsidTr="000F0776">
        <w:trPr>
          <w:trHeight w:val="240"/>
        </w:trPr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776" w:rsidRPr="000F0776" w:rsidRDefault="000F0776" w:rsidP="000F0776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0F0776" w:rsidRPr="000F0776" w:rsidTr="000F0776">
        <w:trPr>
          <w:trHeight w:val="240"/>
        </w:trPr>
        <w:tc>
          <w:tcPr>
            <w:tcW w:w="7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2. Menos egresos presupuestarios no contables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679,928</w:t>
            </w:r>
          </w:p>
        </w:tc>
      </w:tr>
      <w:tr w:rsidR="000F0776" w:rsidRPr="000F0776" w:rsidTr="000F0776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Mobiliario y equipo de administración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310,437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0F0776" w:rsidRPr="000F0776" w:rsidTr="000F0776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Mobiliario y equipo educacional y recreativo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14,952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0F0776" w:rsidRPr="000F0776" w:rsidTr="000F0776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Equipo e instrumental médico y de laboratorio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334,492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0F0776" w:rsidRPr="000F0776" w:rsidTr="000F0776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Vehículos y equipo de transporte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0F0776" w:rsidRPr="000F0776" w:rsidTr="000F0776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Equipo de defensa y seguridad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0F0776" w:rsidRPr="000F0776" w:rsidTr="000F0776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Maquinaria, otros equipos y herramientas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20,046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0F0776" w:rsidRPr="000F0776" w:rsidTr="000F0776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Activos biológicos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0F0776" w:rsidRPr="000F0776" w:rsidTr="000F0776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Bienes inmuebles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0F0776" w:rsidRPr="000F0776" w:rsidTr="000F0776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Activos intangibles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0F0776" w:rsidRPr="000F0776" w:rsidTr="000F0776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Obra pública en bienes propios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0F0776" w:rsidRPr="000F0776" w:rsidTr="000F0776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Acciones y participaciones de capital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0F0776" w:rsidRPr="000F0776" w:rsidTr="000F0776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Compra de títulos y valores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0F0776" w:rsidRPr="000F0776" w:rsidTr="000F0776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Inversiones en fideicomisos, mandatos y otros análogos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0F0776" w:rsidRPr="000F0776" w:rsidTr="000F0776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Provisiones para contingencias y otras erogaciones especiales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0F0776" w:rsidRPr="000F0776" w:rsidTr="000F0776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Amortización de la deuda publica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0F0776" w:rsidRPr="000F0776" w:rsidTr="000F0776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Adeudos de ejercicios fiscales anteriores (ADEFAS)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0F0776" w:rsidRPr="000F0776" w:rsidTr="000F0776">
        <w:trPr>
          <w:trHeight w:val="240"/>
        </w:trPr>
        <w:tc>
          <w:tcPr>
            <w:tcW w:w="7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Otros Egresos Presupuestales No Contables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0F0776" w:rsidRPr="000F0776" w:rsidTr="000F0776">
        <w:trPr>
          <w:trHeight w:val="240"/>
        </w:trPr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776" w:rsidRPr="000F0776" w:rsidRDefault="000F0776" w:rsidP="000F0776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0F0776" w:rsidRPr="000F0776" w:rsidTr="000F0776">
        <w:trPr>
          <w:trHeight w:val="240"/>
        </w:trPr>
        <w:tc>
          <w:tcPr>
            <w:tcW w:w="7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lastRenderedPageBreak/>
              <w:t>3. Más Gasto Contables No Presupuestales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3,623,483</w:t>
            </w:r>
          </w:p>
        </w:tc>
      </w:tr>
      <w:tr w:rsidR="000F0776" w:rsidRPr="000F0776" w:rsidTr="000F0776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Estimaciones, depreciaciones, deterioros, obsolescencia y amortizaciones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3,623,483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0F0776" w:rsidRPr="000F0776" w:rsidTr="000F0776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Provisiones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0F0776" w:rsidRPr="000F0776" w:rsidTr="000F0776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Disminución de inventarios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0F0776" w:rsidRPr="000F0776" w:rsidTr="000F0776">
        <w:trPr>
          <w:trHeight w:val="48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Aumento por insuficiencia de estimaciones por pérdida o deterioro u obsolescencia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0F0776" w:rsidRPr="000F0776" w:rsidTr="000F0776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Aumento por insuficiencia de provisiones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0F0776" w:rsidRPr="000F0776" w:rsidTr="000F0776">
        <w:trPr>
          <w:trHeight w:val="24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Otros Gastos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0F0776" w:rsidRPr="000F0776" w:rsidTr="000F0776">
        <w:trPr>
          <w:trHeight w:val="240"/>
        </w:trPr>
        <w:tc>
          <w:tcPr>
            <w:tcW w:w="7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Otros Gastos Contables No Presupuestales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0F0776" w:rsidRPr="000F0776" w:rsidTr="000F0776">
        <w:trPr>
          <w:trHeight w:val="240"/>
        </w:trPr>
        <w:tc>
          <w:tcPr>
            <w:tcW w:w="7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776" w:rsidRPr="000F0776" w:rsidRDefault="000F0776" w:rsidP="000F0776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0F0776" w:rsidRPr="000F0776" w:rsidTr="000F0776">
        <w:trPr>
          <w:trHeight w:val="240"/>
        </w:trPr>
        <w:tc>
          <w:tcPr>
            <w:tcW w:w="7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F0776" w:rsidRPr="000F0776" w:rsidRDefault="000F0776" w:rsidP="000F07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4. Total de Gasto Contable (4 = 1 - 2 + 3)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72,370,596</w:t>
            </w:r>
          </w:p>
        </w:tc>
      </w:tr>
    </w:tbl>
    <w:p w:rsidR="00457DCC" w:rsidRDefault="00457DCC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651483" w:rsidRDefault="00651483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651483" w:rsidRDefault="00651483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57DCC" w:rsidRDefault="00457DCC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57DCC" w:rsidRDefault="00457DCC" w:rsidP="00FE5FBD">
      <w:pPr>
        <w:jc w:val="both"/>
        <w:rPr>
          <w:rFonts w:ascii="Calibri" w:hAnsi="Calibri"/>
          <w:sz w:val="20"/>
          <w:szCs w:val="20"/>
        </w:rPr>
      </w:pPr>
    </w:p>
    <w:p w:rsidR="00457DCC" w:rsidRDefault="00457DCC" w:rsidP="00FE5FBD">
      <w:pPr>
        <w:jc w:val="both"/>
        <w:rPr>
          <w:rFonts w:ascii="Calibri" w:hAnsi="Calibri"/>
          <w:sz w:val="20"/>
          <w:szCs w:val="20"/>
        </w:rPr>
      </w:pPr>
    </w:p>
    <w:p w:rsidR="00457DCC" w:rsidRDefault="00457DCC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57DCC" w:rsidRDefault="00457DCC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57DCC" w:rsidRDefault="00457DCC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57DCC" w:rsidRDefault="00457DCC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57DCC" w:rsidRDefault="00457DCC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57DCC" w:rsidRDefault="00457DCC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57DCC" w:rsidRDefault="00457DCC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57DCC" w:rsidRDefault="00457DCC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57DCC" w:rsidRDefault="00457DCC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57DCC" w:rsidRDefault="00457DCC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57DCC" w:rsidRDefault="00457DCC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57DCC" w:rsidRDefault="00457DCC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57DCC" w:rsidRDefault="00457DCC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57DCC" w:rsidRDefault="00457DCC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457DCC" w:rsidRDefault="00457DCC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:rsidR="005D312A" w:rsidRDefault="0032372C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  <w:t xml:space="preserve">INGRESOS </w:t>
      </w:r>
      <w:r w:rsidR="00457DCC" w:rsidRPr="0034384F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  <w:t>PRESUPUESTARIOS Y CONTABLES</w:t>
      </w:r>
    </w:p>
    <w:p w:rsidR="00457DCC" w:rsidRDefault="00457DCC" w:rsidP="00FE5FBD">
      <w:pPr>
        <w:jc w:val="both"/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5988"/>
        <w:gridCol w:w="1080"/>
        <w:gridCol w:w="1917"/>
      </w:tblGrid>
      <w:tr w:rsidR="000F0776" w:rsidRPr="000F0776" w:rsidTr="000F0776">
        <w:trPr>
          <w:trHeight w:val="240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F0776" w:rsidRPr="000F0776" w:rsidRDefault="000F0776" w:rsidP="000F077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SISTEMA PARA EL DESARROLLO INTEGRAL DE LA FAMILIA EN YUCATAN</w:t>
            </w:r>
          </w:p>
        </w:tc>
      </w:tr>
      <w:tr w:rsidR="000F0776" w:rsidRPr="000F0776" w:rsidTr="000F0776">
        <w:trPr>
          <w:trHeight w:val="240"/>
        </w:trPr>
        <w:tc>
          <w:tcPr>
            <w:tcW w:w="9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F0776" w:rsidRPr="000F0776" w:rsidRDefault="000F0776" w:rsidP="000F077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Conciliación entre los Ingresos Presupuestarios y Contables</w:t>
            </w:r>
          </w:p>
        </w:tc>
      </w:tr>
      <w:tr w:rsidR="000F0776" w:rsidRPr="000F0776" w:rsidTr="000F0776">
        <w:trPr>
          <w:trHeight w:val="240"/>
        </w:trPr>
        <w:tc>
          <w:tcPr>
            <w:tcW w:w="9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F0776" w:rsidRPr="000F0776" w:rsidRDefault="000F0776" w:rsidP="000F077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Del 1 de Enero al 31 de Marzo de 2017</w:t>
            </w:r>
          </w:p>
        </w:tc>
      </w:tr>
      <w:tr w:rsidR="000F0776" w:rsidRPr="000F0776" w:rsidTr="000F0776">
        <w:trPr>
          <w:trHeight w:val="240"/>
        </w:trPr>
        <w:tc>
          <w:tcPr>
            <w:tcW w:w="9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F0776" w:rsidRPr="000F0776" w:rsidRDefault="000F0776" w:rsidP="000F077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(Cifras en pesos)</w:t>
            </w:r>
          </w:p>
        </w:tc>
      </w:tr>
      <w:tr w:rsidR="000F0776" w:rsidRPr="000F0776" w:rsidTr="000F0776">
        <w:trPr>
          <w:trHeight w:val="240"/>
        </w:trPr>
        <w:tc>
          <w:tcPr>
            <w:tcW w:w="6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F0776" w:rsidRPr="000F0776" w:rsidRDefault="000F0776" w:rsidP="000F07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1. Ingresos Presupuestarios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156,437,368</w:t>
            </w:r>
          </w:p>
        </w:tc>
      </w:tr>
      <w:tr w:rsidR="000F0776" w:rsidRPr="000F0776" w:rsidTr="000F0776">
        <w:trPr>
          <w:trHeight w:val="240"/>
        </w:trPr>
        <w:tc>
          <w:tcPr>
            <w:tcW w:w="6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776" w:rsidRPr="000F0776" w:rsidRDefault="000F0776" w:rsidP="000F0776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0F0776" w:rsidRPr="000F0776" w:rsidTr="000F0776">
        <w:trPr>
          <w:trHeight w:val="240"/>
        </w:trPr>
        <w:tc>
          <w:tcPr>
            <w:tcW w:w="6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776" w:rsidRPr="000F0776" w:rsidRDefault="000F0776" w:rsidP="000F07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2. Más ingresos contables no presupuestarios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67,959</w:t>
            </w:r>
          </w:p>
        </w:tc>
      </w:tr>
      <w:tr w:rsidR="000F0776" w:rsidRPr="000F0776" w:rsidTr="000F0776">
        <w:trPr>
          <w:trHeight w:val="24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Incremento por variación de inventarios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0F0776" w:rsidRPr="000F0776" w:rsidTr="000F0776">
        <w:trPr>
          <w:trHeight w:val="52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Disminución del exceso de estimaciones por pérdida o deterioro u obsolescencia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0F0776" w:rsidRPr="000F0776" w:rsidTr="000F0776">
        <w:trPr>
          <w:trHeight w:val="24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Disminución del exceso de provisiones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0F0776" w:rsidRPr="000F0776" w:rsidTr="000F0776">
        <w:trPr>
          <w:trHeight w:val="24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Otros ingresos y beneficios varios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41,411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0F0776" w:rsidRPr="000F0776" w:rsidTr="000F0776">
        <w:trPr>
          <w:trHeight w:val="240"/>
        </w:trPr>
        <w:tc>
          <w:tcPr>
            <w:tcW w:w="6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Otros ingresos contables no presupuestarios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26,549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0F0776" w:rsidRPr="000F0776" w:rsidTr="000F0776">
        <w:trPr>
          <w:trHeight w:val="240"/>
        </w:trPr>
        <w:tc>
          <w:tcPr>
            <w:tcW w:w="6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776" w:rsidRPr="000F0776" w:rsidRDefault="000F0776" w:rsidP="000F0776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0F0776" w:rsidRPr="000F0776" w:rsidTr="000F0776">
        <w:trPr>
          <w:trHeight w:val="240"/>
        </w:trPr>
        <w:tc>
          <w:tcPr>
            <w:tcW w:w="6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776" w:rsidRPr="000F0776" w:rsidRDefault="000F0776" w:rsidP="000F07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3. Menos ingresos presupuestarios no contables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</w:tr>
      <w:tr w:rsidR="000F0776" w:rsidRPr="000F0776" w:rsidTr="000F0776">
        <w:trPr>
          <w:trHeight w:val="24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Productos de capital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0F0776" w:rsidRPr="000F0776" w:rsidTr="000F0776">
        <w:trPr>
          <w:trHeight w:val="24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Aprovechamientos capital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0F0776" w:rsidRPr="000F0776" w:rsidTr="000F0776">
        <w:trPr>
          <w:trHeight w:val="24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Ingresos derivados de financiamientos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0F0776" w:rsidRPr="000F0776" w:rsidTr="000F0776">
        <w:trPr>
          <w:trHeight w:val="240"/>
        </w:trPr>
        <w:tc>
          <w:tcPr>
            <w:tcW w:w="6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776" w:rsidRPr="000F0776" w:rsidRDefault="000F0776" w:rsidP="000F0776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Otros Ingresos presupuestarios no contables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0F0776" w:rsidRPr="000F0776" w:rsidTr="000F0776">
        <w:trPr>
          <w:trHeight w:val="240"/>
        </w:trPr>
        <w:tc>
          <w:tcPr>
            <w:tcW w:w="6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776" w:rsidRPr="000F0776" w:rsidRDefault="000F0776" w:rsidP="000F0776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0F0776" w:rsidRPr="000F0776" w:rsidTr="000F0776">
        <w:trPr>
          <w:trHeight w:val="240"/>
        </w:trPr>
        <w:tc>
          <w:tcPr>
            <w:tcW w:w="6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F0776" w:rsidRPr="000F0776" w:rsidRDefault="000F0776" w:rsidP="000F077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4. Ingresos Contables (4 = 1 + 2 - 3)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F0776" w:rsidRPr="000F0776" w:rsidRDefault="000F0776" w:rsidP="000F077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07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156,505,327</w:t>
            </w:r>
          </w:p>
        </w:tc>
      </w:tr>
    </w:tbl>
    <w:p w:rsidR="00457DCC" w:rsidRDefault="00457DCC" w:rsidP="00FE5FBD">
      <w:pPr>
        <w:jc w:val="both"/>
        <w:rPr>
          <w:rFonts w:ascii="Calibri" w:hAnsi="Calibri"/>
          <w:sz w:val="20"/>
          <w:szCs w:val="20"/>
        </w:rPr>
      </w:pPr>
    </w:p>
    <w:p w:rsidR="00C613E0" w:rsidRDefault="00C613E0" w:rsidP="00C613E0">
      <w:pPr>
        <w:pStyle w:val="Prrafodelista"/>
        <w:ind w:left="1428"/>
        <w:rPr>
          <w:rFonts w:asciiTheme="minorHAnsi" w:hAnsiTheme="minorHAnsi"/>
          <w:b/>
          <w:sz w:val="20"/>
          <w:szCs w:val="20"/>
        </w:rPr>
      </w:pPr>
    </w:p>
    <w:p w:rsidR="000F0776" w:rsidRDefault="000F0776" w:rsidP="000F0776">
      <w:pPr>
        <w:pStyle w:val="Prrafodelista"/>
        <w:ind w:left="1428"/>
        <w:rPr>
          <w:rFonts w:asciiTheme="minorHAnsi" w:hAnsiTheme="minorHAnsi"/>
          <w:b/>
          <w:sz w:val="20"/>
          <w:szCs w:val="20"/>
        </w:rPr>
      </w:pPr>
    </w:p>
    <w:p w:rsidR="00340290" w:rsidRPr="0034384F" w:rsidRDefault="00252CCB" w:rsidP="00E57B97">
      <w:pPr>
        <w:pStyle w:val="Prrafodelista"/>
        <w:numPr>
          <w:ilvl w:val="0"/>
          <w:numId w:val="9"/>
        </w:numPr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NOTAS DE MEMORIA (CUENTAS DE ORDEN)</w:t>
      </w:r>
    </w:p>
    <w:p w:rsidR="0033700E" w:rsidRPr="0034384F" w:rsidRDefault="0033700E" w:rsidP="00FE5FBD">
      <w:pPr>
        <w:jc w:val="center"/>
        <w:rPr>
          <w:rFonts w:asciiTheme="minorHAnsi" w:hAnsiTheme="minorHAnsi"/>
          <w:b/>
          <w:sz w:val="20"/>
          <w:szCs w:val="20"/>
        </w:rPr>
      </w:pPr>
    </w:p>
    <w:p w:rsidR="0033700E" w:rsidRDefault="00252CCB" w:rsidP="00252CCB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>A la presente fecha, en la Entidad no se utilizan las cuentas de orden para registrar movimientos de valores que no afecten o modifiquen el balance</w:t>
      </w:r>
      <w:r w:rsidR="00BE0194" w:rsidRPr="0034384F">
        <w:rPr>
          <w:rFonts w:asciiTheme="minorHAnsi" w:hAnsiTheme="minorHAnsi"/>
          <w:sz w:val="20"/>
          <w:szCs w:val="20"/>
        </w:rPr>
        <w:t>.</w:t>
      </w:r>
    </w:p>
    <w:p w:rsidR="00FE5FBD" w:rsidRPr="0034384F" w:rsidRDefault="00E57B97" w:rsidP="00AF0454">
      <w:pPr>
        <w:pStyle w:val="Prrafodelista"/>
        <w:numPr>
          <w:ilvl w:val="0"/>
          <w:numId w:val="9"/>
        </w:numPr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lastRenderedPageBreak/>
        <w:t>NOTAS DE GESTIÓN ADMINISTRATIVA</w:t>
      </w:r>
    </w:p>
    <w:p w:rsidR="00FE5FBD" w:rsidRPr="0034384F" w:rsidRDefault="00FE5FBD" w:rsidP="00FE5FBD">
      <w:pPr>
        <w:jc w:val="both"/>
        <w:rPr>
          <w:rFonts w:asciiTheme="minorHAnsi" w:hAnsiTheme="minorHAnsi"/>
          <w:sz w:val="20"/>
          <w:szCs w:val="20"/>
        </w:rPr>
      </w:pPr>
    </w:p>
    <w:p w:rsidR="00AF0454" w:rsidRPr="0034384F" w:rsidRDefault="00AF0454" w:rsidP="00FE5FBD">
      <w:p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Introducción</w:t>
      </w:r>
    </w:p>
    <w:p w:rsidR="00AF0454" w:rsidRPr="0034384F" w:rsidRDefault="00AF0454" w:rsidP="00FE5FBD">
      <w:pPr>
        <w:jc w:val="both"/>
        <w:rPr>
          <w:rFonts w:asciiTheme="minorHAnsi" w:hAnsiTheme="minorHAnsi"/>
          <w:sz w:val="20"/>
          <w:szCs w:val="20"/>
        </w:rPr>
      </w:pPr>
    </w:p>
    <w:p w:rsidR="00AF0454" w:rsidRPr="0034384F" w:rsidRDefault="00AF0454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>Los Estados Financieros del Sistema para el Desarrollo Integral de la Familia en Yucatán, proveen de información financiera a los principales usuarios de la misma, al Congreso y a los ciudadanos.</w:t>
      </w:r>
    </w:p>
    <w:p w:rsidR="00AF0454" w:rsidRPr="0034384F" w:rsidRDefault="00AF0454" w:rsidP="00FE5FBD">
      <w:pPr>
        <w:jc w:val="both"/>
        <w:rPr>
          <w:rFonts w:asciiTheme="minorHAnsi" w:hAnsiTheme="minorHAnsi"/>
          <w:sz w:val="20"/>
          <w:szCs w:val="20"/>
        </w:rPr>
      </w:pPr>
    </w:p>
    <w:p w:rsidR="00AF0454" w:rsidRPr="0034384F" w:rsidRDefault="00AF0454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>El objetivo del presente documento es la revisión del contexto y los aspectos económicos-financieros más relevantes que influyeron en las decisiones del período, y</w:t>
      </w:r>
      <w:r w:rsidR="002620C6" w:rsidRPr="0034384F">
        <w:rPr>
          <w:rFonts w:asciiTheme="minorHAnsi" w:hAnsiTheme="minorHAnsi"/>
          <w:sz w:val="20"/>
          <w:szCs w:val="20"/>
        </w:rPr>
        <w:t xml:space="preserve"> </w:t>
      </w:r>
      <w:r w:rsidRPr="0034384F">
        <w:rPr>
          <w:rFonts w:asciiTheme="minorHAnsi" w:hAnsiTheme="minorHAnsi"/>
          <w:sz w:val="20"/>
          <w:szCs w:val="20"/>
        </w:rPr>
        <w:t xml:space="preserve">que deberán ser considerados en la elaboración de los estados financieros para la mayor comprensión </w:t>
      </w:r>
      <w:r w:rsidR="002620C6" w:rsidRPr="0034384F">
        <w:rPr>
          <w:rFonts w:asciiTheme="minorHAnsi" w:hAnsiTheme="minorHAnsi"/>
          <w:sz w:val="20"/>
          <w:szCs w:val="20"/>
        </w:rPr>
        <w:t xml:space="preserve">de los mismos y sus particularidades. </w:t>
      </w:r>
    </w:p>
    <w:p w:rsidR="002620C6" w:rsidRPr="0034384F" w:rsidRDefault="002620C6" w:rsidP="00FE5FBD">
      <w:pPr>
        <w:jc w:val="both"/>
        <w:rPr>
          <w:rFonts w:asciiTheme="minorHAnsi" w:hAnsiTheme="minorHAnsi"/>
          <w:sz w:val="20"/>
          <w:szCs w:val="20"/>
        </w:rPr>
      </w:pPr>
    </w:p>
    <w:p w:rsidR="002620C6" w:rsidRPr="0034384F" w:rsidRDefault="002620C6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 xml:space="preserve">De esta manera, se informa y explica la respuesta del gobierno a las condiciones relacionadas con la información financiera de cada período de gestión; además, de exponer aquellas políticas que podrían afectar la toma de decisiones </w:t>
      </w:r>
      <w:r w:rsidR="008A70D4" w:rsidRPr="0034384F">
        <w:rPr>
          <w:rFonts w:asciiTheme="minorHAnsi" w:hAnsiTheme="minorHAnsi"/>
          <w:sz w:val="20"/>
          <w:szCs w:val="20"/>
        </w:rPr>
        <w:t>e</w:t>
      </w:r>
      <w:r w:rsidRPr="0034384F">
        <w:rPr>
          <w:rFonts w:asciiTheme="minorHAnsi" w:hAnsiTheme="minorHAnsi"/>
          <w:sz w:val="20"/>
          <w:szCs w:val="20"/>
        </w:rPr>
        <w:t>n períodos posteriores.</w:t>
      </w:r>
    </w:p>
    <w:p w:rsidR="002620C6" w:rsidRPr="0034384F" w:rsidRDefault="002620C6" w:rsidP="00FE5FBD">
      <w:pPr>
        <w:jc w:val="both"/>
        <w:rPr>
          <w:rFonts w:asciiTheme="minorHAnsi" w:hAnsiTheme="minorHAnsi"/>
          <w:sz w:val="20"/>
          <w:szCs w:val="20"/>
        </w:rPr>
      </w:pPr>
    </w:p>
    <w:p w:rsidR="002620C6" w:rsidRPr="0034384F" w:rsidRDefault="002620C6" w:rsidP="00FE5FBD">
      <w:p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Panorama Económico y Financiero</w:t>
      </w:r>
    </w:p>
    <w:p w:rsidR="002620C6" w:rsidRPr="0034384F" w:rsidRDefault="002620C6" w:rsidP="00FE5FBD">
      <w:pPr>
        <w:jc w:val="both"/>
        <w:rPr>
          <w:rFonts w:asciiTheme="minorHAnsi" w:hAnsiTheme="minorHAnsi"/>
          <w:b/>
          <w:sz w:val="20"/>
          <w:szCs w:val="20"/>
        </w:rPr>
      </w:pPr>
    </w:p>
    <w:p w:rsidR="002620C6" w:rsidRPr="0034384F" w:rsidRDefault="002620C6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>Las condiciones económicas y financieras bajo las cuales el Sistema para el Desarrollo Integral de la Familia en Yucatán, estuvo operando, son las mismas a las que se sujeta el Presupuesto de Egresos del Estado.</w:t>
      </w:r>
    </w:p>
    <w:p w:rsidR="006940FC" w:rsidRPr="0034384F" w:rsidRDefault="006940FC" w:rsidP="00FE5FBD">
      <w:pPr>
        <w:jc w:val="both"/>
        <w:rPr>
          <w:rFonts w:asciiTheme="minorHAnsi" w:hAnsiTheme="minorHAnsi"/>
          <w:sz w:val="20"/>
          <w:szCs w:val="20"/>
        </w:rPr>
      </w:pPr>
    </w:p>
    <w:p w:rsidR="006940FC" w:rsidRPr="0034384F" w:rsidRDefault="006940FC" w:rsidP="00FE5FBD">
      <w:p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Autorización e Historia</w:t>
      </w:r>
    </w:p>
    <w:p w:rsidR="006940FC" w:rsidRPr="0034384F" w:rsidRDefault="006940FC" w:rsidP="00FE5FBD">
      <w:pPr>
        <w:jc w:val="both"/>
        <w:rPr>
          <w:rFonts w:asciiTheme="minorHAnsi" w:hAnsiTheme="minorHAnsi"/>
          <w:b/>
          <w:sz w:val="20"/>
          <w:szCs w:val="20"/>
        </w:rPr>
      </w:pPr>
    </w:p>
    <w:p w:rsidR="006940FC" w:rsidRPr="0034384F" w:rsidRDefault="006940FC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 xml:space="preserve">El Sistema para el Desarrollo Integral de la Familia </w:t>
      </w:r>
      <w:r w:rsidR="00F170F3" w:rsidRPr="0034384F">
        <w:rPr>
          <w:rFonts w:asciiTheme="minorHAnsi" w:hAnsiTheme="minorHAnsi"/>
          <w:sz w:val="20"/>
          <w:szCs w:val="20"/>
        </w:rPr>
        <w:t>de</w:t>
      </w:r>
      <w:r w:rsidRPr="0034384F">
        <w:rPr>
          <w:rFonts w:asciiTheme="minorHAnsi" w:hAnsiTheme="minorHAnsi"/>
          <w:sz w:val="20"/>
          <w:szCs w:val="20"/>
        </w:rPr>
        <w:t xml:space="preserve"> Yucatán, fue </w:t>
      </w:r>
      <w:r w:rsidR="00A36CF9" w:rsidRPr="0034384F">
        <w:rPr>
          <w:rFonts w:asciiTheme="minorHAnsi" w:hAnsiTheme="minorHAnsi"/>
          <w:sz w:val="20"/>
          <w:szCs w:val="20"/>
        </w:rPr>
        <w:t xml:space="preserve">creado </w:t>
      </w:r>
      <w:r w:rsidRPr="0034384F">
        <w:rPr>
          <w:rFonts w:asciiTheme="minorHAnsi" w:hAnsiTheme="minorHAnsi"/>
          <w:sz w:val="20"/>
          <w:szCs w:val="20"/>
        </w:rPr>
        <w:t>mediante</w:t>
      </w:r>
      <w:r w:rsidR="00A36CF9" w:rsidRPr="0034384F">
        <w:rPr>
          <w:rFonts w:asciiTheme="minorHAnsi" w:hAnsiTheme="minorHAnsi"/>
          <w:sz w:val="20"/>
          <w:szCs w:val="20"/>
        </w:rPr>
        <w:t xml:space="preserve"> el </w:t>
      </w:r>
      <w:r w:rsidRPr="0034384F">
        <w:rPr>
          <w:rFonts w:asciiTheme="minorHAnsi" w:hAnsiTheme="minorHAnsi"/>
          <w:sz w:val="20"/>
          <w:szCs w:val="20"/>
        </w:rPr>
        <w:t xml:space="preserve"> Decreto Número </w:t>
      </w:r>
      <w:r w:rsidR="0008120D" w:rsidRPr="0034384F">
        <w:rPr>
          <w:rFonts w:asciiTheme="minorHAnsi" w:hAnsiTheme="minorHAnsi"/>
          <w:sz w:val="20"/>
          <w:szCs w:val="20"/>
        </w:rPr>
        <w:t>353</w:t>
      </w:r>
      <w:r w:rsidRPr="0034384F">
        <w:rPr>
          <w:rFonts w:asciiTheme="minorHAnsi" w:hAnsiTheme="minorHAnsi"/>
          <w:sz w:val="20"/>
          <w:szCs w:val="20"/>
        </w:rPr>
        <w:t xml:space="preserve"> por el Poder Ejecutivo Estatal</w:t>
      </w:r>
      <w:r w:rsidR="00A36CF9" w:rsidRPr="0034384F">
        <w:rPr>
          <w:rFonts w:asciiTheme="minorHAnsi" w:hAnsiTheme="minorHAnsi"/>
          <w:sz w:val="20"/>
          <w:szCs w:val="20"/>
        </w:rPr>
        <w:t xml:space="preserve"> publicado en el </w:t>
      </w:r>
      <w:r w:rsidR="00702613" w:rsidRPr="0034384F">
        <w:rPr>
          <w:rFonts w:asciiTheme="minorHAnsi" w:hAnsiTheme="minorHAnsi"/>
          <w:sz w:val="20"/>
          <w:szCs w:val="20"/>
        </w:rPr>
        <w:t xml:space="preserve">Diario </w:t>
      </w:r>
      <w:r w:rsidR="00A36CF9" w:rsidRPr="0034384F">
        <w:rPr>
          <w:rFonts w:asciiTheme="minorHAnsi" w:hAnsiTheme="minorHAnsi"/>
          <w:sz w:val="20"/>
          <w:szCs w:val="20"/>
        </w:rPr>
        <w:t xml:space="preserve">Oficial el día </w:t>
      </w:r>
      <w:r w:rsidR="008460F2" w:rsidRPr="0034384F">
        <w:rPr>
          <w:rFonts w:asciiTheme="minorHAnsi" w:hAnsiTheme="minorHAnsi"/>
          <w:sz w:val="20"/>
          <w:szCs w:val="20"/>
        </w:rPr>
        <w:t xml:space="preserve">12 de septiembre de 1986 sustituyendo al Sistema para el Desarrollo para la Familia </w:t>
      </w:r>
      <w:r w:rsidR="008460F2" w:rsidRPr="0034384F">
        <w:rPr>
          <w:rFonts w:asciiTheme="minorHAnsi" w:hAnsiTheme="minorHAnsi"/>
          <w:b/>
          <w:sz w:val="20"/>
          <w:szCs w:val="20"/>
        </w:rPr>
        <w:t>en</w:t>
      </w:r>
      <w:r w:rsidR="008460F2" w:rsidRPr="0034384F">
        <w:rPr>
          <w:rFonts w:asciiTheme="minorHAnsi" w:hAnsiTheme="minorHAnsi"/>
          <w:sz w:val="20"/>
          <w:szCs w:val="20"/>
        </w:rPr>
        <w:t xml:space="preserve"> Yucatán creado </w:t>
      </w:r>
      <w:r w:rsidR="00A36CF9" w:rsidRPr="0034384F">
        <w:rPr>
          <w:rFonts w:asciiTheme="minorHAnsi" w:hAnsiTheme="minorHAnsi"/>
          <w:sz w:val="20"/>
          <w:szCs w:val="20"/>
        </w:rPr>
        <w:t>6 de abril de 1977</w:t>
      </w:r>
      <w:r w:rsidR="008460F2" w:rsidRPr="0034384F">
        <w:rPr>
          <w:rFonts w:asciiTheme="minorHAnsi" w:hAnsiTheme="minorHAnsi"/>
          <w:sz w:val="20"/>
          <w:szCs w:val="20"/>
        </w:rPr>
        <w:t xml:space="preserve"> por el Poder Ejecutivo según Decreto No. 118</w:t>
      </w:r>
      <w:r w:rsidR="00A36CF9" w:rsidRPr="0034384F">
        <w:rPr>
          <w:rFonts w:asciiTheme="minorHAnsi" w:hAnsiTheme="minorHAnsi"/>
          <w:sz w:val="20"/>
          <w:szCs w:val="20"/>
        </w:rPr>
        <w:t>, como un organismo público descentralizado del Gobierno del Estado con personalidad jurídica y patrimonio propio</w:t>
      </w:r>
      <w:r w:rsidR="008460F2" w:rsidRPr="0034384F">
        <w:rPr>
          <w:rFonts w:asciiTheme="minorHAnsi" w:hAnsiTheme="minorHAnsi"/>
          <w:sz w:val="20"/>
          <w:szCs w:val="20"/>
        </w:rPr>
        <w:t>.</w:t>
      </w:r>
    </w:p>
    <w:p w:rsidR="00FE5FBD" w:rsidRPr="0034384F" w:rsidRDefault="00FE5FBD" w:rsidP="00FE5FBD">
      <w:pPr>
        <w:jc w:val="both"/>
        <w:rPr>
          <w:rFonts w:asciiTheme="minorHAnsi" w:hAnsiTheme="minorHAnsi"/>
          <w:sz w:val="20"/>
          <w:szCs w:val="20"/>
        </w:rPr>
      </w:pPr>
    </w:p>
    <w:p w:rsidR="00FE5FBD" w:rsidRPr="0034384F" w:rsidRDefault="00FE5FBD" w:rsidP="00FE5FBD">
      <w:p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Organización y Objeto Social</w:t>
      </w:r>
    </w:p>
    <w:p w:rsidR="00FE5FBD" w:rsidRPr="0034384F" w:rsidRDefault="00FE5FBD" w:rsidP="00FE5FBD">
      <w:pPr>
        <w:jc w:val="both"/>
        <w:rPr>
          <w:rFonts w:asciiTheme="minorHAnsi" w:hAnsiTheme="minorHAnsi"/>
          <w:sz w:val="20"/>
          <w:szCs w:val="20"/>
        </w:rPr>
      </w:pPr>
    </w:p>
    <w:p w:rsidR="00FE5FBD" w:rsidRPr="0034384F" w:rsidRDefault="00FE5FBD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El Sistema para el Desarrollo Integral de la Familia en Yucatán</w:t>
      </w:r>
      <w:r w:rsidRPr="0034384F">
        <w:rPr>
          <w:rFonts w:asciiTheme="minorHAnsi" w:hAnsiTheme="minorHAnsi"/>
          <w:sz w:val="20"/>
          <w:szCs w:val="20"/>
        </w:rPr>
        <w:t xml:space="preserve"> es un organismo público descentralizado del Gobierno del Estado con personalidad jurídica y patrimonio propio; es el organismo rector de la asistencia social y tiene por objetivos la promoción de la misma, la prestación de servicios en ese campo, la promoción de la interrelación sistemática de acciones que en la materia lleven a cabo las instituciones públicas y privadas, así como la realización de las demás acciones que establece esta Ley y las disposiciones legales aplicables.</w:t>
      </w:r>
    </w:p>
    <w:p w:rsidR="00B14EFB" w:rsidRPr="0034384F" w:rsidRDefault="00B14EFB" w:rsidP="00FE5FBD">
      <w:pPr>
        <w:jc w:val="both"/>
        <w:rPr>
          <w:rFonts w:asciiTheme="minorHAnsi" w:hAnsiTheme="minorHAnsi"/>
          <w:sz w:val="20"/>
          <w:szCs w:val="20"/>
        </w:rPr>
      </w:pPr>
    </w:p>
    <w:p w:rsidR="00FE5FBD" w:rsidRPr="0034384F" w:rsidRDefault="00FE5FBD" w:rsidP="00FE5FBD">
      <w:p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lastRenderedPageBreak/>
        <w:t>Ejercicio Fiscal</w:t>
      </w:r>
    </w:p>
    <w:p w:rsidR="00FE5FBD" w:rsidRPr="0034384F" w:rsidRDefault="00FE5FBD" w:rsidP="00FE5FBD">
      <w:pPr>
        <w:jc w:val="both"/>
        <w:rPr>
          <w:rFonts w:asciiTheme="minorHAnsi" w:hAnsiTheme="minorHAnsi"/>
          <w:sz w:val="20"/>
          <w:szCs w:val="20"/>
        </w:rPr>
      </w:pPr>
    </w:p>
    <w:p w:rsidR="00166414" w:rsidRPr="0034384F" w:rsidRDefault="00FE5FBD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El Sistema para el Desarrollo Integral de la Familia en Yucatán</w:t>
      </w:r>
      <w:r w:rsidRPr="0034384F">
        <w:rPr>
          <w:rFonts w:asciiTheme="minorHAnsi" w:hAnsiTheme="minorHAnsi"/>
          <w:sz w:val="20"/>
          <w:szCs w:val="20"/>
        </w:rPr>
        <w:t xml:space="preserve"> </w:t>
      </w:r>
      <w:r w:rsidR="00166414" w:rsidRPr="0034384F">
        <w:rPr>
          <w:rFonts w:asciiTheme="minorHAnsi" w:hAnsiTheme="minorHAnsi"/>
          <w:sz w:val="20"/>
          <w:szCs w:val="20"/>
        </w:rPr>
        <w:t>está registrado ante la Secretar</w:t>
      </w:r>
      <w:r w:rsidR="00D8045B" w:rsidRPr="0034384F">
        <w:rPr>
          <w:rFonts w:asciiTheme="minorHAnsi" w:hAnsiTheme="minorHAnsi"/>
          <w:sz w:val="20"/>
          <w:szCs w:val="20"/>
        </w:rPr>
        <w:t>ía</w:t>
      </w:r>
      <w:r w:rsidR="00166414" w:rsidRPr="0034384F">
        <w:rPr>
          <w:rFonts w:asciiTheme="minorHAnsi" w:hAnsiTheme="minorHAnsi"/>
          <w:sz w:val="20"/>
          <w:szCs w:val="20"/>
        </w:rPr>
        <w:t xml:space="preserve"> de Administración Tributaria con la actividad de Actividades Asistenciales y tributa bajo el régimen de Personas Morales con fines no lucrativos.</w:t>
      </w:r>
      <w:r w:rsidR="001B6DEF" w:rsidRPr="0034384F">
        <w:rPr>
          <w:rFonts w:asciiTheme="minorHAnsi" w:hAnsiTheme="minorHAnsi"/>
          <w:sz w:val="20"/>
          <w:szCs w:val="20"/>
        </w:rPr>
        <w:t xml:space="preserve"> </w:t>
      </w:r>
    </w:p>
    <w:p w:rsidR="001B6DEF" w:rsidRPr="0034384F" w:rsidRDefault="001B6DEF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>Los Estados Financieros que se presentan corresponden del 1 de enero a la presente fecha del año 2015, los cuales contabilizan los eventos y las transacciones económicas cuantificables de las operaciones expresadas y contabilizadas en moneda nacional.</w:t>
      </w:r>
    </w:p>
    <w:p w:rsidR="00FE5FBD" w:rsidRPr="0034384F" w:rsidRDefault="00166414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 xml:space="preserve"> </w:t>
      </w:r>
    </w:p>
    <w:p w:rsidR="00FE5FBD" w:rsidRPr="0034384F" w:rsidRDefault="00FE5FBD" w:rsidP="00FE5FBD">
      <w:p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Obligaciones Fiscales:</w:t>
      </w:r>
    </w:p>
    <w:p w:rsidR="00252CCB" w:rsidRPr="0034384F" w:rsidRDefault="00252CCB" w:rsidP="00FE5FBD">
      <w:pPr>
        <w:jc w:val="both"/>
        <w:rPr>
          <w:rFonts w:asciiTheme="minorHAnsi" w:hAnsiTheme="minorHAnsi"/>
          <w:b/>
          <w:sz w:val="20"/>
          <w:szCs w:val="20"/>
        </w:rPr>
      </w:pPr>
    </w:p>
    <w:p w:rsidR="00FE5FBD" w:rsidRPr="0034384F" w:rsidRDefault="00FE5FBD" w:rsidP="00FE5FBD">
      <w:p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 xml:space="preserve">1. </w:t>
      </w:r>
      <w:r w:rsidR="007D1BB5" w:rsidRPr="0034384F">
        <w:rPr>
          <w:rFonts w:asciiTheme="minorHAnsi" w:hAnsiTheme="minorHAnsi"/>
          <w:sz w:val="20"/>
          <w:szCs w:val="20"/>
        </w:rPr>
        <w:t>Presentar la declaración y pago provisional mensual de Retenciones del Impuesto sobre la Renta por Sueldos y Salarios.</w:t>
      </w:r>
    </w:p>
    <w:p w:rsidR="00252CCB" w:rsidRPr="0034384F" w:rsidRDefault="00FE5FBD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 xml:space="preserve">2. </w:t>
      </w:r>
      <w:r w:rsidR="007D1BB5" w:rsidRPr="0034384F">
        <w:rPr>
          <w:rFonts w:asciiTheme="minorHAnsi" w:hAnsiTheme="minorHAnsi"/>
          <w:sz w:val="20"/>
          <w:szCs w:val="20"/>
        </w:rPr>
        <w:t xml:space="preserve">Presentar la declaración </w:t>
      </w:r>
      <w:r w:rsidR="00252CCB" w:rsidRPr="0034384F">
        <w:rPr>
          <w:rFonts w:asciiTheme="minorHAnsi" w:hAnsiTheme="minorHAnsi"/>
          <w:sz w:val="20"/>
          <w:szCs w:val="20"/>
        </w:rPr>
        <w:t>anual</w:t>
      </w:r>
      <w:r w:rsidR="007D1BB5" w:rsidRPr="0034384F">
        <w:rPr>
          <w:rFonts w:asciiTheme="minorHAnsi" w:hAnsiTheme="minorHAnsi"/>
          <w:sz w:val="20"/>
          <w:szCs w:val="20"/>
        </w:rPr>
        <w:t xml:space="preserve"> del Impuesto sobre la Renta donde informen</w:t>
      </w:r>
      <w:r w:rsidR="00252CCB" w:rsidRPr="0034384F">
        <w:rPr>
          <w:rFonts w:asciiTheme="minorHAnsi" w:hAnsiTheme="minorHAnsi"/>
          <w:sz w:val="20"/>
          <w:szCs w:val="20"/>
        </w:rPr>
        <w:t xml:space="preserve"> sobre los pagos y retenciones de Servicios Profesionales</w:t>
      </w:r>
    </w:p>
    <w:p w:rsidR="00252CCB" w:rsidRPr="0034384F" w:rsidRDefault="00FE5FBD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3.</w:t>
      </w:r>
      <w:r w:rsidRPr="0034384F">
        <w:rPr>
          <w:rFonts w:asciiTheme="minorHAnsi" w:hAnsiTheme="minorHAnsi"/>
          <w:sz w:val="20"/>
          <w:szCs w:val="20"/>
        </w:rPr>
        <w:t xml:space="preserve"> </w:t>
      </w:r>
      <w:r w:rsidR="00252CCB" w:rsidRPr="0034384F">
        <w:rPr>
          <w:rFonts w:asciiTheme="minorHAnsi" w:hAnsiTheme="minorHAnsi"/>
          <w:sz w:val="20"/>
          <w:szCs w:val="20"/>
        </w:rPr>
        <w:t>Presentar la declaración anual donde se informe sobre las retenciones de los trabajadores que recibieron sueldos y salarios y trabajadores asimilados a salarios.</w:t>
      </w:r>
    </w:p>
    <w:p w:rsidR="008460F2" w:rsidRPr="0034384F" w:rsidRDefault="008460F2" w:rsidP="00FE5FBD">
      <w:pPr>
        <w:jc w:val="both"/>
        <w:rPr>
          <w:rFonts w:asciiTheme="minorHAnsi" w:hAnsiTheme="minorHAnsi"/>
          <w:sz w:val="20"/>
          <w:szCs w:val="20"/>
        </w:rPr>
      </w:pPr>
    </w:p>
    <w:p w:rsidR="008460F2" w:rsidRPr="0034384F" w:rsidRDefault="008460F2" w:rsidP="00FE5FBD">
      <w:p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 xml:space="preserve">Estructura </w:t>
      </w:r>
      <w:r w:rsidR="001D1F58" w:rsidRPr="0034384F">
        <w:rPr>
          <w:rFonts w:asciiTheme="minorHAnsi" w:hAnsiTheme="minorHAnsi"/>
          <w:b/>
          <w:sz w:val="20"/>
          <w:szCs w:val="20"/>
        </w:rPr>
        <w:t>O</w:t>
      </w:r>
      <w:r w:rsidRPr="0034384F">
        <w:rPr>
          <w:rFonts w:asciiTheme="minorHAnsi" w:hAnsiTheme="minorHAnsi"/>
          <w:b/>
          <w:sz w:val="20"/>
          <w:szCs w:val="20"/>
        </w:rPr>
        <w:t>rganizacional básica</w:t>
      </w:r>
    </w:p>
    <w:p w:rsidR="008460F2" w:rsidRPr="0034384F" w:rsidRDefault="008460F2" w:rsidP="00FE5FBD">
      <w:pPr>
        <w:jc w:val="both"/>
        <w:rPr>
          <w:rFonts w:asciiTheme="minorHAnsi" w:hAnsiTheme="minorHAnsi"/>
          <w:b/>
          <w:sz w:val="20"/>
          <w:szCs w:val="20"/>
        </w:rPr>
      </w:pPr>
    </w:p>
    <w:p w:rsidR="008460F2" w:rsidRPr="0034384F" w:rsidRDefault="008460F2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>El Sistema para el Desarrollo Integral de la Familia en Yucatán</w:t>
      </w:r>
      <w:r w:rsidR="001B6DEF" w:rsidRPr="0034384F">
        <w:rPr>
          <w:rFonts w:asciiTheme="minorHAnsi" w:hAnsiTheme="minorHAnsi"/>
          <w:sz w:val="20"/>
          <w:szCs w:val="20"/>
        </w:rPr>
        <w:t xml:space="preserve">, se integra por un Patronato, una Junta de Gobierno; un Director General, un Secretaría Particular y una Secretaría Técnica; dos subdirecciones Operativa y Administrativa, siete Direcciones (Desarrollo Comunitario y Alimentación, Atención a la Infancia y a la Familia, CREE, CROPAFY, PRODEMEFA, CAIMEDE y la PLANTA INDUSTRIALIZADORA) así mismo, tiene veintidós departamentos. </w:t>
      </w:r>
    </w:p>
    <w:p w:rsidR="00FE5FBD" w:rsidRPr="0034384F" w:rsidRDefault="00FE5FBD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ab/>
      </w:r>
    </w:p>
    <w:p w:rsidR="00FE5FBD" w:rsidRPr="0034384F" w:rsidRDefault="00BE0194" w:rsidP="00FE5FBD">
      <w:p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Bases de preparación de Estados Financieros</w:t>
      </w:r>
    </w:p>
    <w:p w:rsidR="00BE0194" w:rsidRPr="0034384F" w:rsidRDefault="00BE0194" w:rsidP="00FE5FBD">
      <w:pPr>
        <w:jc w:val="both"/>
        <w:rPr>
          <w:rFonts w:asciiTheme="minorHAnsi" w:hAnsiTheme="minorHAnsi"/>
          <w:b/>
          <w:sz w:val="20"/>
          <w:szCs w:val="20"/>
        </w:rPr>
      </w:pPr>
    </w:p>
    <w:p w:rsidR="00153EB7" w:rsidRDefault="00153EB7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 xml:space="preserve">El Sistema para el Desarrollo Integral de la Familia en Yucatán emite estados Financieros conforme a la normatividad emitida por el CONAC, </w:t>
      </w:r>
      <w:r w:rsidR="00651483">
        <w:rPr>
          <w:rFonts w:asciiTheme="minorHAnsi" w:hAnsiTheme="minorHAnsi"/>
          <w:sz w:val="20"/>
          <w:szCs w:val="20"/>
        </w:rPr>
        <w:t xml:space="preserve">a partir del presente ejercicio </w:t>
      </w:r>
      <w:r w:rsidR="005D001F">
        <w:rPr>
          <w:rFonts w:asciiTheme="minorHAnsi" w:hAnsiTheme="minorHAnsi"/>
          <w:sz w:val="20"/>
          <w:szCs w:val="20"/>
        </w:rPr>
        <w:t>fiscal,</w:t>
      </w:r>
      <w:r w:rsidR="00651483">
        <w:rPr>
          <w:rFonts w:asciiTheme="minorHAnsi" w:hAnsiTheme="minorHAnsi"/>
          <w:sz w:val="20"/>
          <w:szCs w:val="20"/>
        </w:rPr>
        <w:t xml:space="preserve"> se empieza a utilizar el sistema desarrollado por el INDETEC, el SAACG.net, como sistema de c</w:t>
      </w:r>
      <w:r w:rsidRPr="0034384F">
        <w:rPr>
          <w:rFonts w:asciiTheme="minorHAnsi" w:hAnsiTheme="minorHAnsi"/>
          <w:sz w:val="20"/>
          <w:szCs w:val="20"/>
        </w:rPr>
        <w:t>ontabilidad Gubernamental</w:t>
      </w:r>
      <w:r w:rsidR="005D001F">
        <w:rPr>
          <w:rFonts w:asciiTheme="minorHAnsi" w:hAnsiTheme="minorHAnsi"/>
          <w:sz w:val="20"/>
          <w:szCs w:val="20"/>
        </w:rPr>
        <w:t>.</w:t>
      </w:r>
      <w:r w:rsidRPr="0034384F">
        <w:rPr>
          <w:rFonts w:asciiTheme="minorHAnsi" w:hAnsiTheme="minorHAnsi"/>
          <w:sz w:val="20"/>
          <w:szCs w:val="20"/>
        </w:rPr>
        <w:t xml:space="preserve"> </w:t>
      </w:r>
    </w:p>
    <w:p w:rsidR="005D001F" w:rsidRPr="0034384F" w:rsidRDefault="005D001F" w:rsidP="00FE5FBD">
      <w:pPr>
        <w:jc w:val="both"/>
        <w:rPr>
          <w:rFonts w:asciiTheme="minorHAnsi" w:hAnsiTheme="minorHAnsi"/>
          <w:sz w:val="20"/>
          <w:szCs w:val="20"/>
        </w:rPr>
      </w:pPr>
    </w:p>
    <w:p w:rsidR="0047562E" w:rsidRPr="0034384F" w:rsidRDefault="0047562E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>Los Estados Financieros del Sistema se llevan en apego a los Postulados Básicos de Contabilidad Gubernamental, tales como: Sustancia Económica; Entes Públicos; Existencia Permanente; Revelación Suficiente; Importancia Relativa; Consolidación de Estados Financieros; Devengo Contable; Valuación; dualidad Económica y Consistencia.</w:t>
      </w:r>
    </w:p>
    <w:p w:rsidR="00643A11" w:rsidRDefault="00643A11" w:rsidP="00FE5FBD">
      <w:pPr>
        <w:jc w:val="both"/>
        <w:rPr>
          <w:rFonts w:asciiTheme="minorHAnsi" w:hAnsiTheme="minorHAnsi"/>
          <w:sz w:val="20"/>
          <w:szCs w:val="20"/>
        </w:rPr>
      </w:pPr>
    </w:p>
    <w:p w:rsidR="00C952A6" w:rsidRPr="0034384F" w:rsidRDefault="00C952A6" w:rsidP="00FE5FBD">
      <w:p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Posición  en Moneda Extranjera y Protección por Riesgo Cambiario</w:t>
      </w:r>
    </w:p>
    <w:p w:rsidR="00C952A6" w:rsidRPr="0034384F" w:rsidRDefault="00C952A6" w:rsidP="00FE5FBD">
      <w:pPr>
        <w:jc w:val="both"/>
        <w:rPr>
          <w:rFonts w:asciiTheme="minorHAnsi" w:hAnsiTheme="minorHAnsi"/>
          <w:sz w:val="20"/>
          <w:szCs w:val="20"/>
        </w:rPr>
      </w:pPr>
    </w:p>
    <w:p w:rsidR="00C952A6" w:rsidRPr="0034384F" w:rsidRDefault="00C952A6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>El Sistema no cuenta con Activos, Pasivos en moneda extranjera.</w:t>
      </w:r>
    </w:p>
    <w:p w:rsidR="00F40BFA" w:rsidRPr="0034384F" w:rsidRDefault="00F40BFA" w:rsidP="00FE5FBD">
      <w:pPr>
        <w:jc w:val="both"/>
        <w:rPr>
          <w:rFonts w:asciiTheme="minorHAnsi" w:hAnsiTheme="minorHAnsi"/>
          <w:sz w:val="20"/>
          <w:szCs w:val="20"/>
        </w:rPr>
      </w:pPr>
    </w:p>
    <w:p w:rsidR="00F40BFA" w:rsidRPr="0034384F" w:rsidRDefault="00F40BFA" w:rsidP="00FE5FBD">
      <w:p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Reporte de Recaudación</w:t>
      </w:r>
    </w:p>
    <w:p w:rsidR="00F40BFA" w:rsidRPr="0034384F" w:rsidRDefault="00F40BFA" w:rsidP="00FE5FBD">
      <w:pPr>
        <w:jc w:val="both"/>
        <w:rPr>
          <w:rFonts w:asciiTheme="minorHAnsi" w:hAnsiTheme="minorHAnsi"/>
          <w:b/>
          <w:sz w:val="20"/>
          <w:szCs w:val="20"/>
        </w:rPr>
      </w:pPr>
    </w:p>
    <w:p w:rsidR="00C952A6" w:rsidRPr="0034384F" w:rsidRDefault="00F40BFA" w:rsidP="00FE5FBD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>Entre los ingresos pendientes de recaudación se encuentran la deuda de los Municipios por concepto de Programas Alimentarios, mismos que se esperan  recaudar a mediano plazo.</w:t>
      </w:r>
    </w:p>
    <w:p w:rsidR="00F40BFA" w:rsidRPr="0034384F" w:rsidRDefault="00F40BFA" w:rsidP="00FE5FBD">
      <w:pPr>
        <w:jc w:val="both"/>
        <w:rPr>
          <w:rFonts w:asciiTheme="minorHAnsi" w:hAnsiTheme="minorHAnsi"/>
          <w:sz w:val="20"/>
          <w:szCs w:val="20"/>
        </w:rPr>
      </w:pPr>
    </w:p>
    <w:p w:rsidR="00C952A6" w:rsidRPr="0034384F" w:rsidRDefault="00C952A6" w:rsidP="00FE5FBD">
      <w:pPr>
        <w:jc w:val="both"/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Reporte Analítico del Activo</w:t>
      </w:r>
    </w:p>
    <w:p w:rsidR="00C952A6" w:rsidRPr="0034384F" w:rsidRDefault="00C952A6" w:rsidP="00FE5FBD">
      <w:pPr>
        <w:jc w:val="both"/>
        <w:rPr>
          <w:rFonts w:asciiTheme="minorHAnsi" w:hAnsiTheme="minorHAnsi"/>
          <w:b/>
          <w:sz w:val="20"/>
          <w:szCs w:val="20"/>
        </w:rPr>
      </w:pPr>
    </w:p>
    <w:p w:rsidR="00C952A6" w:rsidRPr="0034384F" w:rsidRDefault="00C952A6" w:rsidP="00C952A6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>El Sistema para el Desarrollo Integral de la Familia en Yucatán</w:t>
      </w:r>
      <w:r w:rsidRPr="0034384F">
        <w:rPr>
          <w:rFonts w:asciiTheme="minorHAnsi" w:hAnsiTheme="minorHAnsi"/>
          <w:b/>
          <w:sz w:val="20"/>
          <w:szCs w:val="20"/>
        </w:rPr>
        <w:t xml:space="preserve"> e</w:t>
      </w:r>
      <w:r w:rsidRPr="0034384F">
        <w:rPr>
          <w:rFonts w:asciiTheme="minorHAnsi" w:hAnsiTheme="minorHAnsi"/>
          <w:sz w:val="20"/>
          <w:szCs w:val="20"/>
        </w:rPr>
        <w:t xml:space="preserve">n cumplimiento a la publicación del día 15 de agosto de 2012 del Diario Oficial de la Federación, en lo referente a los PARAMETROS de Estimación de Vida Útil, anexo la forma en que se </w:t>
      </w:r>
      <w:proofErr w:type="spellStart"/>
      <w:r w:rsidRPr="0034384F">
        <w:rPr>
          <w:rFonts w:asciiTheme="minorHAnsi" w:hAnsiTheme="minorHAnsi"/>
          <w:sz w:val="20"/>
          <w:szCs w:val="20"/>
        </w:rPr>
        <w:t>aplico</w:t>
      </w:r>
      <w:proofErr w:type="spellEnd"/>
      <w:r w:rsidRPr="0034384F">
        <w:rPr>
          <w:rFonts w:asciiTheme="minorHAnsi" w:hAnsiTheme="minorHAnsi"/>
          <w:sz w:val="20"/>
          <w:szCs w:val="20"/>
        </w:rPr>
        <w:t xml:space="preserve"> la depreciación de bienes muebles es la siguiente: considerando los bienes muebles que se adquirieron hasta 2012 con el mismo porcentaje de depreciación desde su inicio; los Bienes Muebles adquiridos a partir de enero de 2013 se aplicara el porcentaje de depreciación anual emitido en la Ley General de Contabilidad Gubernamental. </w:t>
      </w:r>
    </w:p>
    <w:p w:rsidR="00C952A6" w:rsidRPr="0034384F" w:rsidRDefault="00C952A6" w:rsidP="00C952A6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 xml:space="preserve">Cabe mencionar que a la presente fecha el Sistema </w:t>
      </w:r>
      <w:r w:rsidR="007D17E9" w:rsidRPr="0034384F">
        <w:rPr>
          <w:rFonts w:asciiTheme="minorHAnsi" w:hAnsiTheme="minorHAnsi"/>
          <w:sz w:val="20"/>
          <w:szCs w:val="20"/>
        </w:rPr>
        <w:t xml:space="preserve">DIF </w:t>
      </w:r>
      <w:r w:rsidRPr="0034384F">
        <w:rPr>
          <w:rFonts w:asciiTheme="minorHAnsi" w:hAnsiTheme="minorHAnsi"/>
          <w:sz w:val="20"/>
          <w:szCs w:val="20"/>
        </w:rPr>
        <w:t>no tiene conciliado el rubro de Bienes Muebles</w:t>
      </w:r>
      <w:r w:rsidR="007D17E9" w:rsidRPr="0034384F">
        <w:rPr>
          <w:rFonts w:asciiTheme="minorHAnsi" w:hAnsiTheme="minorHAnsi"/>
          <w:sz w:val="20"/>
          <w:szCs w:val="20"/>
        </w:rPr>
        <w:t xml:space="preserve"> con contabilidad, sin embargo, existe un inventario </w:t>
      </w:r>
      <w:r w:rsidR="00F170F3" w:rsidRPr="0034384F">
        <w:rPr>
          <w:rFonts w:asciiTheme="minorHAnsi" w:hAnsiTheme="minorHAnsi"/>
          <w:sz w:val="20"/>
          <w:szCs w:val="20"/>
        </w:rPr>
        <w:t xml:space="preserve">detallado </w:t>
      </w:r>
      <w:r w:rsidR="007D17E9" w:rsidRPr="0034384F">
        <w:rPr>
          <w:rFonts w:asciiTheme="minorHAnsi" w:hAnsiTheme="minorHAnsi"/>
          <w:sz w:val="20"/>
          <w:szCs w:val="20"/>
        </w:rPr>
        <w:t>de ellos al 100%, y actualmente estamos en proceso de valuación cada uno de ellos.</w:t>
      </w:r>
    </w:p>
    <w:p w:rsidR="00FC7705" w:rsidRPr="0034384F" w:rsidRDefault="00FC7705" w:rsidP="00FE5FBD">
      <w:pPr>
        <w:jc w:val="both"/>
        <w:rPr>
          <w:rFonts w:asciiTheme="minorHAnsi" w:hAnsiTheme="minorHAnsi"/>
          <w:sz w:val="20"/>
          <w:szCs w:val="20"/>
        </w:rPr>
      </w:pPr>
    </w:p>
    <w:p w:rsidR="00FE5FBD" w:rsidRPr="0034384F" w:rsidRDefault="00B82D09" w:rsidP="00FE5FBD">
      <w:pPr>
        <w:rPr>
          <w:rFonts w:asciiTheme="minorHAnsi" w:hAnsiTheme="minorHAnsi"/>
          <w:b/>
          <w:sz w:val="20"/>
          <w:szCs w:val="20"/>
        </w:rPr>
      </w:pPr>
      <w:r w:rsidRPr="0034384F">
        <w:rPr>
          <w:rFonts w:asciiTheme="minorHAnsi" w:hAnsiTheme="minorHAnsi"/>
          <w:b/>
          <w:sz w:val="20"/>
          <w:szCs w:val="20"/>
        </w:rPr>
        <w:t>Información de Segmentos</w:t>
      </w:r>
    </w:p>
    <w:p w:rsidR="00B82D09" w:rsidRPr="0034384F" w:rsidRDefault="00B82D09" w:rsidP="00FE5FBD">
      <w:pPr>
        <w:rPr>
          <w:rFonts w:asciiTheme="minorHAnsi" w:hAnsiTheme="minorHAnsi"/>
          <w:sz w:val="20"/>
          <w:szCs w:val="20"/>
        </w:rPr>
      </w:pPr>
    </w:p>
    <w:p w:rsidR="00B82D09" w:rsidRDefault="00B82D09" w:rsidP="00F40BFA">
      <w:pPr>
        <w:jc w:val="both"/>
        <w:rPr>
          <w:rFonts w:asciiTheme="minorHAnsi" w:hAnsiTheme="minorHAnsi"/>
          <w:sz w:val="20"/>
          <w:szCs w:val="20"/>
        </w:rPr>
      </w:pPr>
      <w:r w:rsidRPr="0034384F">
        <w:rPr>
          <w:rFonts w:asciiTheme="minorHAnsi" w:hAnsiTheme="minorHAnsi"/>
          <w:sz w:val="20"/>
          <w:szCs w:val="20"/>
        </w:rPr>
        <w:t xml:space="preserve">El Sistema DIF cuenta con la Planta Industrializadora de Jugos Natura, que pertenece a la misma razón social, pero debido a sus actividades son registradas en una contabilidad aparte, donde se reconocen sus Activos, pasivos y </w:t>
      </w:r>
      <w:r w:rsidR="00F40BFA" w:rsidRPr="0034384F">
        <w:rPr>
          <w:rFonts w:asciiTheme="minorHAnsi" w:hAnsiTheme="minorHAnsi"/>
          <w:sz w:val="20"/>
          <w:szCs w:val="20"/>
        </w:rPr>
        <w:t>Capital de manera independiente, contando por parte del Sistema de recursos cuando así lo amerite.</w:t>
      </w:r>
    </w:p>
    <w:p w:rsidR="009C7C70" w:rsidRDefault="009C7C70" w:rsidP="00F40BFA">
      <w:pPr>
        <w:jc w:val="both"/>
        <w:rPr>
          <w:rFonts w:asciiTheme="minorHAnsi" w:hAnsiTheme="minorHAnsi"/>
          <w:sz w:val="20"/>
          <w:szCs w:val="20"/>
        </w:rPr>
      </w:pPr>
    </w:p>
    <w:p w:rsidR="009C7C70" w:rsidRPr="0034384F" w:rsidRDefault="009C7C70" w:rsidP="00F40BFA">
      <w:pPr>
        <w:jc w:val="both"/>
        <w:rPr>
          <w:rFonts w:asciiTheme="minorHAnsi" w:hAnsiTheme="minorHAnsi"/>
          <w:sz w:val="20"/>
          <w:szCs w:val="20"/>
        </w:rPr>
      </w:pPr>
    </w:p>
    <w:p w:rsidR="00F40BFA" w:rsidRPr="0034384F" w:rsidRDefault="00F40BFA" w:rsidP="00F40BFA">
      <w:pPr>
        <w:jc w:val="both"/>
        <w:rPr>
          <w:rFonts w:asciiTheme="minorHAnsi" w:hAnsiTheme="minorHAnsi"/>
          <w:sz w:val="20"/>
          <w:szCs w:val="20"/>
        </w:rPr>
      </w:pPr>
    </w:p>
    <w:p w:rsidR="00F40BFA" w:rsidRDefault="00F40BFA" w:rsidP="001A569C">
      <w:pPr>
        <w:jc w:val="both"/>
        <w:rPr>
          <w:rFonts w:asciiTheme="minorHAnsi" w:hAnsiTheme="minorHAnsi"/>
          <w:sz w:val="20"/>
          <w:szCs w:val="20"/>
        </w:rPr>
      </w:pPr>
      <w:r w:rsidRPr="002C556B">
        <w:rPr>
          <w:rFonts w:asciiTheme="minorHAnsi" w:hAnsiTheme="minorHAnsi"/>
          <w:sz w:val="20"/>
          <w:szCs w:val="20"/>
        </w:rPr>
        <w:t>Bajo protesta de decir verdad declaramos que los Estados Financieros y sus Notas son razonablemente correctos y responsabilidad del emisor.</w:t>
      </w:r>
    </w:p>
    <w:p w:rsidR="00A070C3" w:rsidRDefault="00A070C3" w:rsidP="001A569C">
      <w:pPr>
        <w:jc w:val="both"/>
        <w:rPr>
          <w:rFonts w:asciiTheme="minorHAnsi" w:hAnsiTheme="minorHAnsi"/>
          <w:sz w:val="20"/>
          <w:szCs w:val="20"/>
        </w:rPr>
      </w:pPr>
    </w:p>
    <w:p w:rsidR="00643A11" w:rsidRDefault="00643A11" w:rsidP="001A569C">
      <w:pPr>
        <w:jc w:val="both"/>
        <w:rPr>
          <w:rFonts w:asciiTheme="minorHAnsi" w:hAnsiTheme="minorHAnsi"/>
          <w:sz w:val="20"/>
          <w:szCs w:val="20"/>
        </w:rPr>
      </w:pPr>
    </w:p>
    <w:p w:rsidR="00A070C3" w:rsidRDefault="00A070C3" w:rsidP="001A569C">
      <w:pPr>
        <w:jc w:val="both"/>
        <w:rPr>
          <w:rFonts w:asciiTheme="minorHAnsi" w:hAnsiTheme="minorHAnsi"/>
          <w:sz w:val="20"/>
          <w:szCs w:val="20"/>
        </w:rPr>
      </w:pPr>
    </w:p>
    <w:p w:rsidR="00FE5FBD" w:rsidRPr="002C556B" w:rsidRDefault="00FE5FBD" w:rsidP="00FE5FBD">
      <w:pPr>
        <w:rPr>
          <w:rFonts w:asciiTheme="minorHAnsi" w:hAnsiTheme="minorHAnsi"/>
          <w:sz w:val="20"/>
          <w:szCs w:val="20"/>
        </w:rPr>
      </w:pPr>
    </w:p>
    <w:p w:rsidR="0087570E" w:rsidRPr="00A070C3" w:rsidRDefault="00FE5FBD" w:rsidP="00A8750F">
      <w:pPr>
        <w:jc w:val="both"/>
        <w:rPr>
          <w:rFonts w:ascii="Calibri" w:hAnsi="Calibri"/>
          <w:b/>
          <w:sz w:val="20"/>
          <w:szCs w:val="20"/>
        </w:rPr>
      </w:pPr>
      <w:bookmarkStart w:id="0" w:name="_GoBack"/>
      <w:bookmarkEnd w:id="0"/>
      <w:r w:rsidRPr="00A070C3">
        <w:rPr>
          <w:rFonts w:ascii="Calibri" w:hAnsi="Calibri"/>
          <w:b/>
          <w:sz w:val="20"/>
          <w:szCs w:val="20"/>
        </w:rPr>
        <w:t xml:space="preserve">            </w:t>
      </w:r>
      <w:r w:rsidR="00F170F3" w:rsidRPr="00A070C3">
        <w:rPr>
          <w:rFonts w:ascii="Calibri" w:hAnsi="Calibri"/>
          <w:b/>
          <w:sz w:val="20"/>
          <w:szCs w:val="20"/>
        </w:rPr>
        <w:t xml:space="preserve">            </w:t>
      </w:r>
    </w:p>
    <w:sectPr w:rsidR="0087570E" w:rsidRPr="00A070C3" w:rsidSect="00EE177E">
      <w:headerReference w:type="default" r:id="rId9"/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FD5" w:rsidRDefault="00D70FD5" w:rsidP="00FE5FBD">
      <w:r>
        <w:separator/>
      </w:r>
    </w:p>
  </w:endnote>
  <w:endnote w:type="continuationSeparator" w:id="0">
    <w:p w:rsidR="00D70FD5" w:rsidRDefault="00D70FD5" w:rsidP="00FE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FD5" w:rsidRDefault="00D70FD5" w:rsidP="00FE5FBD">
      <w:r>
        <w:separator/>
      </w:r>
    </w:p>
  </w:footnote>
  <w:footnote w:type="continuationSeparator" w:id="0">
    <w:p w:rsidR="00D70FD5" w:rsidRDefault="00D70FD5" w:rsidP="00FE5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8DC" w:rsidRPr="008A722C" w:rsidRDefault="003E58DC" w:rsidP="00166414">
    <w:pPr>
      <w:spacing w:line="276" w:lineRule="auto"/>
      <w:jc w:val="center"/>
      <w:rPr>
        <w:rFonts w:asciiTheme="minorHAnsi" w:hAnsiTheme="minorHAnsi"/>
        <w:b/>
        <w:i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2B3E"/>
    <w:multiLevelType w:val="hybridMultilevel"/>
    <w:tmpl w:val="6BCE52BC"/>
    <w:lvl w:ilvl="0" w:tplc="9C02A34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3497F1A"/>
    <w:multiLevelType w:val="hybridMultilevel"/>
    <w:tmpl w:val="6F0A5766"/>
    <w:lvl w:ilvl="0" w:tplc="BCE42748">
      <w:start w:val="1"/>
      <w:numFmt w:val="upperRoman"/>
      <w:lvlText w:val="%1)"/>
      <w:lvlJc w:val="left"/>
      <w:pPr>
        <w:ind w:left="213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5637A0E"/>
    <w:multiLevelType w:val="hybridMultilevel"/>
    <w:tmpl w:val="35820934"/>
    <w:lvl w:ilvl="0" w:tplc="0C0A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>
    <w:nsid w:val="29C65BF7"/>
    <w:multiLevelType w:val="hybridMultilevel"/>
    <w:tmpl w:val="5042870E"/>
    <w:lvl w:ilvl="0" w:tplc="2D7E83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AA3059"/>
    <w:multiLevelType w:val="hybridMultilevel"/>
    <w:tmpl w:val="1CA085F4"/>
    <w:lvl w:ilvl="0" w:tplc="419EA6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C5C9A"/>
    <w:multiLevelType w:val="hybridMultilevel"/>
    <w:tmpl w:val="B246AA44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5F8F383F"/>
    <w:multiLevelType w:val="hybridMultilevel"/>
    <w:tmpl w:val="31C81D98"/>
    <w:lvl w:ilvl="0" w:tplc="419EA614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56DAA"/>
    <w:multiLevelType w:val="hybridMultilevel"/>
    <w:tmpl w:val="A404CF3C"/>
    <w:lvl w:ilvl="0" w:tplc="BCE42748">
      <w:start w:val="1"/>
      <w:numFmt w:val="upperRoman"/>
      <w:lvlText w:val="%1)"/>
      <w:lvlJc w:val="left"/>
      <w:pPr>
        <w:ind w:left="249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C84DC6"/>
    <w:multiLevelType w:val="hybridMultilevel"/>
    <w:tmpl w:val="F4CA7A5C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BD"/>
    <w:rsid w:val="00001F8C"/>
    <w:rsid w:val="0000426A"/>
    <w:rsid w:val="00012729"/>
    <w:rsid w:val="00014E07"/>
    <w:rsid w:val="000342EB"/>
    <w:rsid w:val="000361F2"/>
    <w:rsid w:val="00040BC9"/>
    <w:rsid w:val="000440C4"/>
    <w:rsid w:val="0005134E"/>
    <w:rsid w:val="00052392"/>
    <w:rsid w:val="000570A5"/>
    <w:rsid w:val="00067527"/>
    <w:rsid w:val="000729FA"/>
    <w:rsid w:val="00075E72"/>
    <w:rsid w:val="0008120D"/>
    <w:rsid w:val="00081C0F"/>
    <w:rsid w:val="00081D99"/>
    <w:rsid w:val="00085743"/>
    <w:rsid w:val="00091663"/>
    <w:rsid w:val="000937D3"/>
    <w:rsid w:val="00097556"/>
    <w:rsid w:val="00097D87"/>
    <w:rsid w:val="000B5162"/>
    <w:rsid w:val="000C463E"/>
    <w:rsid w:val="000C71AF"/>
    <w:rsid w:val="000D1261"/>
    <w:rsid w:val="000D4296"/>
    <w:rsid w:val="000E2AAB"/>
    <w:rsid w:val="000E6B01"/>
    <w:rsid w:val="000E72CB"/>
    <w:rsid w:val="000F0776"/>
    <w:rsid w:val="000F6037"/>
    <w:rsid w:val="00102CEE"/>
    <w:rsid w:val="001243BB"/>
    <w:rsid w:val="0012647B"/>
    <w:rsid w:val="00126897"/>
    <w:rsid w:val="0012759F"/>
    <w:rsid w:val="00130524"/>
    <w:rsid w:val="00134CA8"/>
    <w:rsid w:val="00136AA9"/>
    <w:rsid w:val="0014577D"/>
    <w:rsid w:val="001459A0"/>
    <w:rsid w:val="001536FE"/>
    <w:rsid w:val="00153EB7"/>
    <w:rsid w:val="00153F40"/>
    <w:rsid w:val="00161175"/>
    <w:rsid w:val="00164830"/>
    <w:rsid w:val="00166414"/>
    <w:rsid w:val="00174DD5"/>
    <w:rsid w:val="00184345"/>
    <w:rsid w:val="00191A2E"/>
    <w:rsid w:val="00194450"/>
    <w:rsid w:val="001A0705"/>
    <w:rsid w:val="001A0E11"/>
    <w:rsid w:val="001A569C"/>
    <w:rsid w:val="001B6DEF"/>
    <w:rsid w:val="001C4BBD"/>
    <w:rsid w:val="001D1F58"/>
    <w:rsid w:val="001D4163"/>
    <w:rsid w:val="001D7095"/>
    <w:rsid w:val="001E0A91"/>
    <w:rsid w:val="001E1F58"/>
    <w:rsid w:val="001F3289"/>
    <w:rsid w:val="001F5415"/>
    <w:rsid w:val="001F6BDB"/>
    <w:rsid w:val="00204DD7"/>
    <w:rsid w:val="002111B4"/>
    <w:rsid w:val="00221056"/>
    <w:rsid w:val="00221533"/>
    <w:rsid w:val="00221AE8"/>
    <w:rsid w:val="00223FFD"/>
    <w:rsid w:val="002316A0"/>
    <w:rsid w:val="002340DC"/>
    <w:rsid w:val="00252CCB"/>
    <w:rsid w:val="002620C6"/>
    <w:rsid w:val="002639EB"/>
    <w:rsid w:val="0026614B"/>
    <w:rsid w:val="00272300"/>
    <w:rsid w:val="002727CA"/>
    <w:rsid w:val="00276FAA"/>
    <w:rsid w:val="00281D27"/>
    <w:rsid w:val="00291F97"/>
    <w:rsid w:val="002A155F"/>
    <w:rsid w:val="002A3905"/>
    <w:rsid w:val="002B4D7C"/>
    <w:rsid w:val="002C2875"/>
    <w:rsid w:val="002C556B"/>
    <w:rsid w:val="002D0371"/>
    <w:rsid w:val="002D0C17"/>
    <w:rsid w:val="002D3A18"/>
    <w:rsid w:val="002D7C18"/>
    <w:rsid w:val="002E6DBA"/>
    <w:rsid w:val="002F46AB"/>
    <w:rsid w:val="00300275"/>
    <w:rsid w:val="00322BFF"/>
    <w:rsid w:val="0032372C"/>
    <w:rsid w:val="003240B3"/>
    <w:rsid w:val="00327037"/>
    <w:rsid w:val="00327716"/>
    <w:rsid w:val="00335245"/>
    <w:rsid w:val="0033700E"/>
    <w:rsid w:val="00337E93"/>
    <w:rsid w:val="00340290"/>
    <w:rsid w:val="003405FD"/>
    <w:rsid w:val="0034384F"/>
    <w:rsid w:val="00345392"/>
    <w:rsid w:val="00347206"/>
    <w:rsid w:val="003733BA"/>
    <w:rsid w:val="00373A67"/>
    <w:rsid w:val="003800CA"/>
    <w:rsid w:val="00394C18"/>
    <w:rsid w:val="003B3FAB"/>
    <w:rsid w:val="003B7AFE"/>
    <w:rsid w:val="003E1D68"/>
    <w:rsid w:val="003E58DC"/>
    <w:rsid w:val="003F473B"/>
    <w:rsid w:val="003F7288"/>
    <w:rsid w:val="00405DB7"/>
    <w:rsid w:val="0041046B"/>
    <w:rsid w:val="00413C89"/>
    <w:rsid w:val="0041510C"/>
    <w:rsid w:val="0041775D"/>
    <w:rsid w:val="004266DF"/>
    <w:rsid w:val="00426DDC"/>
    <w:rsid w:val="00427472"/>
    <w:rsid w:val="00434B4F"/>
    <w:rsid w:val="00437E98"/>
    <w:rsid w:val="00450C06"/>
    <w:rsid w:val="00457DCC"/>
    <w:rsid w:val="0046409F"/>
    <w:rsid w:val="00472019"/>
    <w:rsid w:val="004745A8"/>
    <w:rsid w:val="0047562E"/>
    <w:rsid w:val="004770B3"/>
    <w:rsid w:val="004834CA"/>
    <w:rsid w:val="00483F0F"/>
    <w:rsid w:val="00485380"/>
    <w:rsid w:val="004A2E90"/>
    <w:rsid w:val="004A51C6"/>
    <w:rsid w:val="004B2409"/>
    <w:rsid w:val="004B3D92"/>
    <w:rsid w:val="004C0260"/>
    <w:rsid w:val="004C0A93"/>
    <w:rsid w:val="004C460F"/>
    <w:rsid w:val="004C5634"/>
    <w:rsid w:val="004F1070"/>
    <w:rsid w:val="004F47A4"/>
    <w:rsid w:val="00500EEB"/>
    <w:rsid w:val="005143EC"/>
    <w:rsid w:val="0051489F"/>
    <w:rsid w:val="00515C8B"/>
    <w:rsid w:val="005224F0"/>
    <w:rsid w:val="0052520C"/>
    <w:rsid w:val="0052646C"/>
    <w:rsid w:val="005302D4"/>
    <w:rsid w:val="005429A4"/>
    <w:rsid w:val="00544069"/>
    <w:rsid w:val="00546901"/>
    <w:rsid w:val="00553114"/>
    <w:rsid w:val="00553302"/>
    <w:rsid w:val="0055518F"/>
    <w:rsid w:val="00555939"/>
    <w:rsid w:val="0055635C"/>
    <w:rsid w:val="0055788E"/>
    <w:rsid w:val="00557BA3"/>
    <w:rsid w:val="00557F3A"/>
    <w:rsid w:val="00575645"/>
    <w:rsid w:val="005771C5"/>
    <w:rsid w:val="005810A7"/>
    <w:rsid w:val="00584AB4"/>
    <w:rsid w:val="00595C13"/>
    <w:rsid w:val="00596A3B"/>
    <w:rsid w:val="005A128F"/>
    <w:rsid w:val="005A2876"/>
    <w:rsid w:val="005A6DFE"/>
    <w:rsid w:val="005B305D"/>
    <w:rsid w:val="005C0966"/>
    <w:rsid w:val="005C4877"/>
    <w:rsid w:val="005D001F"/>
    <w:rsid w:val="005D03D3"/>
    <w:rsid w:val="005D1F6B"/>
    <w:rsid w:val="005D312A"/>
    <w:rsid w:val="005D51AD"/>
    <w:rsid w:val="005F0C6B"/>
    <w:rsid w:val="005F38D7"/>
    <w:rsid w:val="005F4ADA"/>
    <w:rsid w:val="005F66B1"/>
    <w:rsid w:val="005F7D2C"/>
    <w:rsid w:val="00606E9B"/>
    <w:rsid w:val="006136D3"/>
    <w:rsid w:val="00614F51"/>
    <w:rsid w:val="00617CAB"/>
    <w:rsid w:val="00624F33"/>
    <w:rsid w:val="006272DC"/>
    <w:rsid w:val="00633D01"/>
    <w:rsid w:val="006345B5"/>
    <w:rsid w:val="00634BF4"/>
    <w:rsid w:val="00637EA5"/>
    <w:rsid w:val="00643A11"/>
    <w:rsid w:val="006471D2"/>
    <w:rsid w:val="00650338"/>
    <w:rsid w:val="00651483"/>
    <w:rsid w:val="0065496C"/>
    <w:rsid w:val="006554AE"/>
    <w:rsid w:val="0065706C"/>
    <w:rsid w:val="00661F93"/>
    <w:rsid w:val="006735AF"/>
    <w:rsid w:val="00685256"/>
    <w:rsid w:val="006940FC"/>
    <w:rsid w:val="006A478F"/>
    <w:rsid w:val="006A58F0"/>
    <w:rsid w:val="006B1CFE"/>
    <w:rsid w:val="006B63F8"/>
    <w:rsid w:val="006B73CC"/>
    <w:rsid w:val="006C1407"/>
    <w:rsid w:val="006C17D0"/>
    <w:rsid w:val="006C2588"/>
    <w:rsid w:val="006C52AF"/>
    <w:rsid w:val="006C637E"/>
    <w:rsid w:val="006C7B7F"/>
    <w:rsid w:val="006C7C2D"/>
    <w:rsid w:val="006D4F0B"/>
    <w:rsid w:val="006E1225"/>
    <w:rsid w:val="006E7ACB"/>
    <w:rsid w:val="006F4D62"/>
    <w:rsid w:val="00702613"/>
    <w:rsid w:val="007151FC"/>
    <w:rsid w:val="00720DF6"/>
    <w:rsid w:val="00727874"/>
    <w:rsid w:val="00727C92"/>
    <w:rsid w:val="007301EA"/>
    <w:rsid w:val="007470E7"/>
    <w:rsid w:val="007513CA"/>
    <w:rsid w:val="0076055B"/>
    <w:rsid w:val="007624CF"/>
    <w:rsid w:val="007676B0"/>
    <w:rsid w:val="0077132E"/>
    <w:rsid w:val="00776329"/>
    <w:rsid w:val="00776D0E"/>
    <w:rsid w:val="007843EC"/>
    <w:rsid w:val="00786D54"/>
    <w:rsid w:val="00790098"/>
    <w:rsid w:val="007B73EF"/>
    <w:rsid w:val="007C356B"/>
    <w:rsid w:val="007C40C7"/>
    <w:rsid w:val="007D17E9"/>
    <w:rsid w:val="007D1B47"/>
    <w:rsid w:val="007D1BB5"/>
    <w:rsid w:val="007D22AE"/>
    <w:rsid w:val="007D6740"/>
    <w:rsid w:val="007F4263"/>
    <w:rsid w:val="007F7780"/>
    <w:rsid w:val="007F7F13"/>
    <w:rsid w:val="008029EF"/>
    <w:rsid w:val="00802C02"/>
    <w:rsid w:val="00802F79"/>
    <w:rsid w:val="00806F2C"/>
    <w:rsid w:val="00806FE3"/>
    <w:rsid w:val="0081412A"/>
    <w:rsid w:val="00814D50"/>
    <w:rsid w:val="00815C26"/>
    <w:rsid w:val="00817EDD"/>
    <w:rsid w:val="00820510"/>
    <w:rsid w:val="00824201"/>
    <w:rsid w:val="00826686"/>
    <w:rsid w:val="00837B09"/>
    <w:rsid w:val="00842E6D"/>
    <w:rsid w:val="008460F2"/>
    <w:rsid w:val="00856DE5"/>
    <w:rsid w:val="008713D6"/>
    <w:rsid w:val="00872426"/>
    <w:rsid w:val="0087570E"/>
    <w:rsid w:val="00875E2B"/>
    <w:rsid w:val="00880C67"/>
    <w:rsid w:val="008922AA"/>
    <w:rsid w:val="0089618F"/>
    <w:rsid w:val="008A70D4"/>
    <w:rsid w:val="008A722C"/>
    <w:rsid w:val="008A74AA"/>
    <w:rsid w:val="008B0410"/>
    <w:rsid w:val="008B38F0"/>
    <w:rsid w:val="008C1B07"/>
    <w:rsid w:val="008C21B0"/>
    <w:rsid w:val="008C3650"/>
    <w:rsid w:val="008D25E8"/>
    <w:rsid w:val="008D4C16"/>
    <w:rsid w:val="008E1E58"/>
    <w:rsid w:val="008E3E7D"/>
    <w:rsid w:val="008E620D"/>
    <w:rsid w:val="008F12D6"/>
    <w:rsid w:val="008F1961"/>
    <w:rsid w:val="009007E5"/>
    <w:rsid w:val="009067F6"/>
    <w:rsid w:val="00912AD1"/>
    <w:rsid w:val="00913273"/>
    <w:rsid w:val="00913388"/>
    <w:rsid w:val="0092405C"/>
    <w:rsid w:val="00947E4E"/>
    <w:rsid w:val="00953B54"/>
    <w:rsid w:val="00954919"/>
    <w:rsid w:val="00956CD8"/>
    <w:rsid w:val="00960181"/>
    <w:rsid w:val="00960CBF"/>
    <w:rsid w:val="00965C0D"/>
    <w:rsid w:val="00970313"/>
    <w:rsid w:val="009731B5"/>
    <w:rsid w:val="00973AC1"/>
    <w:rsid w:val="00981232"/>
    <w:rsid w:val="00983856"/>
    <w:rsid w:val="00984BED"/>
    <w:rsid w:val="009927FF"/>
    <w:rsid w:val="0099343E"/>
    <w:rsid w:val="00997D76"/>
    <w:rsid w:val="009A3637"/>
    <w:rsid w:val="009B7C68"/>
    <w:rsid w:val="009C1EE8"/>
    <w:rsid w:val="009C7C70"/>
    <w:rsid w:val="009D09C4"/>
    <w:rsid w:val="009D1FB9"/>
    <w:rsid w:val="009E1A3A"/>
    <w:rsid w:val="009E1CC5"/>
    <w:rsid w:val="009E43EB"/>
    <w:rsid w:val="009E609A"/>
    <w:rsid w:val="009F4B1D"/>
    <w:rsid w:val="009F4DE9"/>
    <w:rsid w:val="009F5092"/>
    <w:rsid w:val="00A02086"/>
    <w:rsid w:val="00A05FF9"/>
    <w:rsid w:val="00A070C3"/>
    <w:rsid w:val="00A12153"/>
    <w:rsid w:val="00A22506"/>
    <w:rsid w:val="00A24A98"/>
    <w:rsid w:val="00A3040D"/>
    <w:rsid w:val="00A3075D"/>
    <w:rsid w:val="00A34021"/>
    <w:rsid w:val="00A36CF9"/>
    <w:rsid w:val="00A423E9"/>
    <w:rsid w:val="00A467BF"/>
    <w:rsid w:val="00A472ED"/>
    <w:rsid w:val="00A51781"/>
    <w:rsid w:val="00A51ABA"/>
    <w:rsid w:val="00A5257F"/>
    <w:rsid w:val="00A555E5"/>
    <w:rsid w:val="00A56CF7"/>
    <w:rsid w:val="00A67719"/>
    <w:rsid w:val="00A72C8F"/>
    <w:rsid w:val="00A73910"/>
    <w:rsid w:val="00A80A29"/>
    <w:rsid w:val="00A83D10"/>
    <w:rsid w:val="00A8750F"/>
    <w:rsid w:val="00A87D85"/>
    <w:rsid w:val="00A9652E"/>
    <w:rsid w:val="00AA466B"/>
    <w:rsid w:val="00AC4F59"/>
    <w:rsid w:val="00AD21F9"/>
    <w:rsid w:val="00AD51D4"/>
    <w:rsid w:val="00AE1702"/>
    <w:rsid w:val="00AE31FD"/>
    <w:rsid w:val="00AF0454"/>
    <w:rsid w:val="00AF26A9"/>
    <w:rsid w:val="00B130A2"/>
    <w:rsid w:val="00B14EFB"/>
    <w:rsid w:val="00B15218"/>
    <w:rsid w:val="00B20205"/>
    <w:rsid w:val="00B31EC9"/>
    <w:rsid w:val="00B339FC"/>
    <w:rsid w:val="00B37A2E"/>
    <w:rsid w:val="00B41023"/>
    <w:rsid w:val="00B429C9"/>
    <w:rsid w:val="00B4301E"/>
    <w:rsid w:val="00B43B74"/>
    <w:rsid w:val="00B43EBD"/>
    <w:rsid w:val="00B457A4"/>
    <w:rsid w:val="00B509EB"/>
    <w:rsid w:val="00B520DF"/>
    <w:rsid w:val="00B6309F"/>
    <w:rsid w:val="00B67C0D"/>
    <w:rsid w:val="00B82D09"/>
    <w:rsid w:val="00B866A1"/>
    <w:rsid w:val="00B9196B"/>
    <w:rsid w:val="00B97F4C"/>
    <w:rsid w:val="00BA06D9"/>
    <w:rsid w:val="00BA4B28"/>
    <w:rsid w:val="00BA7037"/>
    <w:rsid w:val="00BB44A8"/>
    <w:rsid w:val="00BB72AB"/>
    <w:rsid w:val="00BC0396"/>
    <w:rsid w:val="00BC6B08"/>
    <w:rsid w:val="00BC6CDC"/>
    <w:rsid w:val="00BE0194"/>
    <w:rsid w:val="00BE2339"/>
    <w:rsid w:val="00BE339E"/>
    <w:rsid w:val="00BF3B1E"/>
    <w:rsid w:val="00BF5B45"/>
    <w:rsid w:val="00C05BA6"/>
    <w:rsid w:val="00C27C2C"/>
    <w:rsid w:val="00C33862"/>
    <w:rsid w:val="00C426C5"/>
    <w:rsid w:val="00C503E8"/>
    <w:rsid w:val="00C613E0"/>
    <w:rsid w:val="00C652F3"/>
    <w:rsid w:val="00C737C4"/>
    <w:rsid w:val="00C74882"/>
    <w:rsid w:val="00C82B55"/>
    <w:rsid w:val="00C86CDF"/>
    <w:rsid w:val="00C952A6"/>
    <w:rsid w:val="00C97B81"/>
    <w:rsid w:val="00CA5157"/>
    <w:rsid w:val="00CB5FEE"/>
    <w:rsid w:val="00CC033D"/>
    <w:rsid w:val="00CD3D1F"/>
    <w:rsid w:val="00CE0FCB"/>
    <w:rsid w:val="00CE3C75"/>
    <w:rsid w:val="00CE78A4"/>
    <w:rsid w:val="00CF5482"/>
    <w:rsid w:val="00D031D0"/>
    <w:rsid w:val="00D15166"/>
    <w:rsid w:val="00D21A09"/>
    <w:rsid w:val="00D238AD"/>
    <w:rsid w:val="00D241EE"/>
    <w:rsid w:val="00D326EF"/>
    <w:rsid w:val="00D3271E"/>
    <w:rsid w:val="00D50595"/>
    <w:rsid w:val="00D56D0A"/>
    <w:rsid w:val="00D608CC"/>
    <w:rsid w:val="00D669AD"/>
    <w:rsid w:val="00D70433"/>
    <w:rsid w:val="00D708C7"/>
    <w:rsid w:val="00D70FD5"/>
    <w:rsid w:val="00D71EF8"/>
    <w:rsid w:val="00D725C5"/>
    <w:rsid w:val="00D73943"/>
    <w:rsid w:val="00D77F17"/>
    <w:rsid w:val="00D8045B"/>
    <w:rsid w:val="00D81D6C"/>
    <w:rsid w:val="00D84DAA"/>
    <w:rsid w:val="00D92B71"/>
    <w:rsid w:val="00DA0662"/>
    <w:rsid w:val="00DA1A79"/>
    <w:rsid w:val="00DB14C1"/>
    <w:rsid w:val="00DB1540"/>
    <w:rsid w:val="00DB6F53"/>
    <w:rsid w:val="00DD1D14"/>
    <w:rsid w:val="00DE4008"/>
    <w:rsid w:val="00DE5E72"/>
    <w:rsid w:val="00DF167C"/>
    <w:rsid w:val="00E15C3F"/>
    <w:rsid w:val="00E21687"/>
    <w:rsid w:val="00E344F8"/>
    <w:rsid w:val="00E42FF4"/>
    <w:rsid w:val="00E5028B"/>
    <w:rsid w:val="00E555CE"/>
    <w:rsid w:val="00E57B97"/>
    <w:rsid w:val="00E61857"/>
    <w:rsid w:val="00E64062"/>
    <w:rsid w:val="00E64B69"/>
    <w:rsid w:val="00E70F62"/>
    <w:rsid w:val="00E72CE0"/>
    <w:rsid w:val="00E752FC"/>
    <w:rsid w:val="00E84E6E"/>
    <w:rsid w:val="00E86E08"/>
    <w:rsid w:val="00E90982"/>
    <w:rsid w:val="00E94A4D"/>
    <w:rsid w:val="00E97BEE"/>
    <w:rsid w:val="00EB4BEC"/>
    <w:rsid w:val="00EC5A69"/>
    <w:rsid w:val="00EC5E3C"/>
    <w:rsid w:val="00EE177E"/>
    <w:rsid w:val="00EE38B9"/>
    <w:rsid w:val="00EE6A53"/>
    <w:rsid w:val="00EF3157"/>
    <w:rsid w:val="00EF7DF6"/>
    <w:rsid w:val="00F12586"/>
    <w:rsid w:val="00F12A83"/>
    <w:rsid w:val="00F170F3"/>
    <w:rsid w:val="00F22B0E"/>
    <w:rsid w:val="00F2699A"/>
    <w:rsid w:val="00F40BFA"/>
    <w:rsid w:val="00F50FE6"/>
    <w:rsid w:val="00F5124D"/>
    <w:rsid w:val="00F51654"/>
    <w:rsid w:val="00F56E81"/>
    <w:rsid w:val="00F6408B"/>
    <w:rsid w:val="00F70186"/>
    <w:rsid w:val="00F76103"/>
    <w:rsid w:val="00F834BC"/>
    <w:rsid w:val="00FA25E0"/>
    <w:rsid w:val="00FA54E1"/>
    <w:rsid w:val="00FB00EB"/>
    <w:rsid w:val="00FB2DA2"/>
    <w:rsid w:val="00FB4FAB"/>
    <w:rsid w:val="00FC1628"/>
    <w:rsid w:val="00FC1AD0"/>
    <w:rsid w:val="00FC1AE5"/>
    <w:rsid w:val="00FC2048"/>
    <w:rsid w:val="00FC5110"/>
    <w:rsid w:val="00FC7705"/>
    <w:rsid w:val="00FD4ED2"/>
    <w:rsid w:val="00FD7190"/>
    <w:rsid w:val="00FD7FA0"/>
    <w:rsid w:val="00FE5E47"/>
    <w:rsid w:val="00FE5FBD"/>
    <w:rsid w:val="00FF2812"/>
    <w:rsid w:val="00FF7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F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F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E5F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F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F77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6D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D0A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F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F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E5F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F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F77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6D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D0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D5CD8-7BD0-473F-9186-89C8FFFD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2716</Words>
  <Characters>14941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maria.sandoval</dc:creator>
  <cp:lastModifiedBy>Eduar Raul Chi Santana</cp:lastModifiedBy>
  <cp:revision>2</cp:revision>
  <cp:lastPrinted>2017-04-12T18:01:00Z</cp:lastPrinted>
  <dcterms:created xsi:type="dcterms:W3CDTF">2017-05-26T19:11:00Z</dcterms:created>
  <dcterms:modified xsi:type="dcterms:W3CDTF">2017-05-26T19:11:00Z</dcterms:modified>
</cp:coreProperties>
</file>