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3" w:rsidRPr="004266ED" w:rsidRDefault="004266ED" w:rsidP="004266ED">
      <w:pPr>
        <w:tabs>
          <w:tab w:val="center" w:pos="6786"/>
          <w:tab w:val="left" w:pos="8580"/>
        </w:tabs>
        <w:spacing w:after="0" w:line="240" w:lineRule="auto"/>
        <w:rPr>
          <w:rFonts w:ascii="Lato" w:hAnsi="Lato"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ab/>
      </w:r>
      <w:r w:rsidR="006F3019" w:rsidRPr="004266ED">
        <w:rPr>
          <w:rFonts w:ascii="Lato" w:hAnsi="Lato" w:cs="Arial"/>
          <w:b/>
          <w:sz w:val="20"/>
          <w:szCs w:val="20"/>
        </w:rPr>
        <w:t>Cuenta Pública</w:t>
      </w:r>
      <w:r w:rsidR="006C4E7D" w:rsidRPr="004266ED">
        <w:rPr>
          <w:rFonts w:ascii="Lato" w:hAnsi="Lato" w:cs="Arial"/>
          <w:b/>
          <w:sz w:val="20"/>
          <w:szCs w:val="20"/>
        </w:rPr>
        <w:t xml:space="preserve"> 2026</w:t>
      </w:r>
      <w:bookmarkStart w:id="0" w:name="_GoBack"/>
      <w:bookmarkEnd w:id="0"/>
      <w:r w:rsidRPr="004266ED">
        <w:rPr>
          <w:rFonts w:ascii="Lato" w:hAnsi="Lato" w:cs="Arial"/>
          <w:b/>
          <w:sz w:val="20"/>
          <w:szCs w:val="20"/>
        </w:rPr>
        <w:tab/>
      </w:r>
    </w:p>
    <w:p w:rsidR="00D55AAF" w:rsidRPr="004266ED" w:rsidRDefault="00D55AAF" w:rsidP="004266ED">
      <w:pPr>
        <w:spacing w:after="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4266ED">
        <w:rPr>
          <w:rFonts w:ascii="Lato" w:hAnsi="Lato" w:cs="Arial"/>
          <w:b/>
          <w:sz w:val="20"/>
          <w:szCs w:val="20"/>
        </w:rPr>
        <w:t>PODER EJECUTIVO</w:t>
      </w:r>
    </w:p>
    <w:p w:rsidR="000635B0" w:rsidRPr="004266ED" w:rsidRDefault="000635B0" w:rsidP="004266ED">
      <w:pPr>
        <w:spacing w:after="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4266ED">
        <w:rPr>
          <w:rFonts w:ascii="Lato" w:hAnsi="Lato" w:cs="Arial"/>
          <w:b/>
          <w:sz w:val="20"/>
          <w:szCs w:val="20"/>
        </w:rPr>
        <w:t>Relación de Esquemas Bursátiles y de Coberturas Financieras</w:t>
      </w:r>
    </w:p>
    <w:p w:rsidR="006F3019" w:rsidRPr="004266ED" w:rsidRDefault="00D55AAF" w:rsidP="004266ED">
      <w:pPr>
        <w:spacing w:after="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4266ED">
        <w:rPr>
          <w:rFonts w:ascii="Lato" w:hAnsi="Lato" w:cs="Arial"/>
          <w:b/>
          <w:sz w:val="20"/>
          <w:szCs w:val="20"/>
        </w:rPr>
        <w:t>Cifras</w:t>
      </w:r>
      <w:r w:rsidR="0087194F" w:rsidRPr="004266ED">
        <w:rPr>
          <w:rFonts w:ascii="Lato" w:hAnsi="Lato" w:cs="Arial"/>
          <w:b/>
          <w:sz w:val="20"/>
          <w:szCs w:val="20"/>
        </w:rPr>
        <w:t xml:space="preserve"> </w:t>
      </w:r>
      <w:r w:rsidR="00B2047E" w:rsidRPr="004266ED">
        <w:rPr>
          <w:rFonts w:ascii="Lato" w:hAnsi="Lato" w:cs="Arial"/>
          <w:b/>
          <w:sz w:val="20"/>
          <w:szCs w:val="20"/>
        </w:rPr>
        <w:t>a</w:t>
      </w:r>
      <w:r w:rsidR="000A2800" w:rsidRPr="004266ED">
        <w:rPr>
          <w:rFonts w:ascii="Lato" w:hAnsi="Lato" w:cs="Arial"/>
          <w:b/>
          <w:sz w:val="20"/>
          <w:szCs w:val="20"/>
        </w:rPr>
        <w:t xml:space="preserve">l </w:t>
      </w:r>
      <w:r w:rsidR="00B86645" w:rsidRPr="004266ED">
        <w:rPr>
          <w:rFonts w:ascii="Lato" w:hAnsi="Lato" w:cs="Arial"/>
          <w:b/>
          <w:sz w:val="20"/>
          <w:szCs w:val="20"/>
        </w:rPr>
        <w:t xml:space="preserve">30 de </w:t>
      </w:r>
      <w:r w:rsidR="005455E2" w:rsidRPr="004266ED">
        <w:rPr>
          <w:rFonts w:ascii="Lato" w:hAnsi="Lato" w:cs="Arial"/>
          <w:b/>
          <w:sz w:val="20"/>
          <w:szCs w:val="20"/>
        </w:rPr>
        <w:t>septiembre</w:t>
      </w:r>
      <w:r w:rsidR="006C4E7D" w:rsidRPr="004266ED">
        <w:rPr>
          <w:rFonts w:ascii="Lato" w:hAnsi="Lato" w:cs="Arial"/>
          <w:b/>
          <w:sz w:val="20"/>
          <w:szCs w:val="20"/>
        </w:rPr>
        <w:t xml:space="preserve"> de 2026</w:t>
      </w:r>
    </w:p>
    <w:p w:rsidR="006F3019" w:rsidRPr="004266ED" w:rsidRDefault="006F3019" w:rsidP="004266ED">
      <w:pPr>
        <w:spacing w:after="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4266ED">
        <w:rPr>
          <w:rFonts w:ascii="Lato" w:hAnsi="Lato" w:cs="Arial"/>
          <w:b/>
          <w:sz w:val="20"/>
          <w:szCs w:val="20"/>
        </w:rPr>
        <w:t>(Pesos)</w:t>
      </w:r>
    </w:p>
    <w:tbl>
      <w:tblPr>
        <w:tblW w:w="134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9"/>
        <w:gridCol w:w="1686"/>
        <w:gridCol w:w="2794"/>
        <w:gridCol w:w="1948"/>
        <w:gridCol w:w="1052"/>
        <w:gridCol w:w="2201"/>
        <w:gridCol w:w="667"/>
      </w:tblGrid>
      <w:tr w:rsidR="00C20759" w:rsidRPr="004266ED" w:rsidTr="00B10934">
        <w:trPr>
          <w:trHeight w:val="235"/>
          <w:tblHeader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0000"/>
            <w:vAlign w:val="center"/>
            <w:hideMark/>
          </w:tcPr>
          <w:p w:rsidR="00951ABB" w:rsidRPr="004266ED" w:rsidRDefault="00951ABB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</w:p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Créditos a cargo del Estado con Coberturas financieras</w:t>
            </w:r>
          </w:p>
          <w:p w:rsidR="00951ABB" w:rsidRPr="004266ED" w:rsidRDefault="00951ABB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</w:p>
        </w:tc>
      </w:tr>
      <w:tr w:rsidR="000E6B8E" w:rsidRPr="004266ED" w:rsidTr="006C4E7D">
        <w:trPr>
          <w:trHeight w:val="235"/>
          <w:tblHeader/>
        </w:trPr>
        <w:tc>
          <w:tcPr>
            <w:tcW w:w="3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Crédito</w:t>
            </w:r>
          </w:p>
        </w:tc>
        <w:tc>
          <w:tcPr>
            <w:tcW w:w="1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B86645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Saldo al </w:t>
            </w:r>
            <w:r w:rsidR="005455E2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30/09</w:t>
            </w:r>
            <w:r w:rsidR="006C4E7D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/2026</w:t>
            </w:r>
          </w:p>
        </w:tc>
        <w:tc>
          <w:tcPr>
            <w:tcW w:w="8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Características de la Cobertura</w:t>
            </w:r>
          </w:p>
        </w:tc>
      </w:tr>
      <w:tr w:rsidR="00C64F13" w:rsidRPr="004266ED" w:rsidTr="00B10934">
        <w:trPr>
          <w:trHeight w:val="707"/>
          <w:tblHeader/>
        </w:trPr>
        <w:tc>
          <w:tcPr>
            <w:tcW w:w="3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Activo subyacente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Tipo de Instrumento Derivado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Nivel o Strike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5455E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Monto </w:t>
            </w:r>
            <w:r w:rsidR="000E6B8E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de Referencia vigente al </w:t>
            </w:r>
            <w:r w:rsidR="00B86645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30/0</w:t>
            </w:r>
            <w:r w:rsidR="005455E2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9</w:t>
            </w:r>
            <w:r w:rsidR="006C4E7D"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00"/>
            <w:vAlign w:val="center"/>
            <w:hideMark/>
          </w:tcPr>
          <w:p w:rsidR="00C20759" w:rsidRPr="004266ED" w:rsidRDefault="00C20759" w:rsidP="00C20759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Plazo</w:t>
            </w:r>
            <w:r w:rsidRPr="004266ED">
              <w:rPr>
                <w:rFonts w:ascii="Lato" w:eastAsia="Times New Roman" w:hAnsi="Lato" w:cs="Calibri"/>
                <w:b/>
                <w:bCs/>
                <w:color w:val="FFFFFF" w:themeColor="background1"/>
                <w:sz w:val="20"/>
                <w:szCs w:val="20"/>
                <w:lang w:eastAsia="es-MX"/>
              </w:rPr>
              <w:br/>
              <w:t>(años)</w:t>
            </w:r>
          </w:p>
        </w:tc>
      </w:tr>
      <w:tr w:rsidR="00951ABB" w:rsidRPr="004266ED" w:rsidTr="00B10934">
        <w:trPr>
          <w:trHeight w:val="471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59" w:rsidRPr="004266ED" w:rsidRDefault="00C20759" w:rsidP="003D733E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Banco Nacional de Obras y Servicios Públicos, S.N.C.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B30" w:rsidRPr="004266ED" w:rsidRDefault="005455E2" w:rsidP="00B10934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$1,108,463,306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59" w:rsidRPr="004266ED" w:rsidRDefault="00C20759" w:rsidP="00254558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Tasa de Interés Interbancaria de Equilibrio </w:t>
            </w:r>
            <w:r w:rsidR="00254558"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(TIIE) </w:t>
            </w: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a 28 días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59" w:rsidRPr="004266ED" w:rsidRDefault="00C20759" w:rsidP="003D733E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Intercambio de tasas de interés (SWAP)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59" w:rsidRPr="004266ED" w:rsidRDefault="00C20759" w:rsidP="003D733E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7.8400%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14A" w:rsidRPr="004266ED" w:rsidRDefault="005455E2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$606,439,676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59" w:rsidRPr="004266ED" w:rsidRDefault="00D76526" w:rsidP="003D733E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1</w:t>
            </w:r>
            <w:r w:rsidR="00C20759"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5</w:t>
            </w:r>
          </w:p>
        </w:tc>
      </w:tr>
      <w:tr w:rsidR="00C64F13" w:rsidRPr="004266ED" w:rsidTr="00B64C12">
        <w:trPr>
          <w:trHeight w:val="471"/>
        </w:trPr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Banco Nacional de México, S.A.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5455E2" w:rsidP="005455E2">
            <w:pPr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$2,392,805,429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Tasa de Interés Interbancaria de Equilibrio de Fondeo (TIIEF) a 28 días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Intercambio de tasas de interés (SWAP)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7.6800%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893" w:rsidRPr="004266ED" w:rsidRDefault="0092589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</w:p>
          <w:p w:rsidR="00C64F13" w:rsidRPr="004266ED" w:rsidRDefault="0092589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$562,001,016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C64F13" w:rsidRPr="004266ED" w:rsidTr="00B94AE0">
        <w:trPr>
          <w:trHeight w:val="471"/>
        </w:trPr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Tasa de Interés Interbancaria de Equilibrio (TIIE) a 28 días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Intercambio de tasas de interés (SWAP)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9.4355%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  <w:p w:rsidR="00C64F13" w:rsidRPr="004266ED" w:rsidRDefault="00925893" w:rsidP="00C64F1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$687,082,353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66696D" w:rsidRPr="004266ED" w:rsidTr="00200011">
        <w:trPr>
          <w:trHeight w:val="625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6D" w:rsidRPr="004266ED" w:rsidRDefault="0066696D" w:rsidP="0066696D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Banco Nacional de Obras y Servicios Públicos, S.N.C.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93" w:rsidRPr="004266ED" w:rsidRDefault="00925893" w:rsidP="00925893">
            <w:pPr>
              <w:spacing w:before="120"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  <w:p w:rsidR="0066696D" w:rsidRPr="004266ED" w:rsidRDefault="0092589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$738,727,970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96D" w:rsidRPr="004266ED" w:rsidRDefault="0066696D" w:rsidP="0066696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Tasa de Interés Interbancaria de Equilibrio de Fondeo (TIIEF) a 28 días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Cobertura de Tasa de Interés (CAP</w:t>
            </w:r>
            <w:r w:rsidR="004266ED"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9.00%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925893" w:rsidP="00C64F1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$369,363,985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66696D" w:rsidRPr="004266ED" w:rsidTr="00200011">
        <w:trPr>
          <w:trHeight w:val="471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6D" w:rsidRPr="004266ED" w:rsidRDefault="0066696D" w:rsidP="0066696D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Banco Nacional de Obras y Servicios Públicos, S.N.C.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6D" w:rsidRPr="004266ED" w:rsidRDefault="0066696D" w:rsidP="0066696D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  <w:p w:rsidR="0066696D" w:rsidRPr="004266ED" w:rsidRDefault="00925893" w:rsidP="0066696D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$1,274,930,115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96D" w:rsidRPr="004266ED" w:rsidRDefault="0066696D" w:rsidP="0066696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Tasa de Interés Interbancaria de Equilibrio de Fondeo (TIIEF) a 28 días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Cobertura de Tasa de Interés (CAP)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9.00%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925893" w:rsidP="00C64F1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$637,465,057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96D" w:rsidRPr="004266ED" w:rsidRDefault="0066696D" w:rsidP="0066696D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C64F13" w:rsidRPr="004266ED" w:rsidTr="00BD1E8A">
        <w:trPr>
          <w:trHeight w:val="471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BBVA México, S.A.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93" w:rsidRPr="004266ED" w:rsidRDefault="00925893" w:rsidP="00925893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  <w:p w:rsidR="00C64F13" w:rsidRPr="004266ED" w:rsidRDefault="0092589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>$1,671,591,954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Tasa de Interés Interbancaria de Equilibrio de Fondeo (TIIEF) a 28 días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Intercambio de tasas de interés (SWAP)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7.6800%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</w:p>
          <w:p w:rsidR="00C64F13" w:rsidRPr="004266ED" w:rsidRDefault="0092589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$835,795,977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C64F13" w:rsidRPr="004266ED" w:rsidTr="00BD1E8A">
        <w:trPr>
          <w:trHeight w:val="471"/>
        </w:trPr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BBVA México, S.A. 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5893" w:rsidRPr="004266ED" w:rsidRDefault="0092589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  <w:p w:rsidR="00925893" w:rsidRPr="004266ED" w:rsidRDefault="0092589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  <w:p w:rsidR="00925893" w:rsidRPr="004266ED" w:rsidRDefault="0092589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hAnsi="Lato"/>
                <w:sz w:val="20"/>
                <w:szCs w:val="20"/>
              </w:rPr>
              <w:t xml:space="preserve">$1,732,085,727 </w:t>
            </w:r>
          </w:p>
          <w:p w:rsidR="00C64F13" w:rsidRPr="004266ED" w:rsidRDefault="00C64F13" w:rsidP="0092589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 xml:space="preserve">Tasa de Interés Interbancaria de Equilibrio de Fondeo (TIIEF) a 28 días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Intercambio de tasas de interés (SWAP)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7.6800%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</w:p>
          <w:p w:rsidR="00C64F13" w:rsidRPr="004266ED" w:rsidRDefault="00925893" w:rsidP="00C64F13">
            <w:pPr>
              <w:spacing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$800,692,899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  <w:tr w:rsidR="00C64F13" w:rsidRPr="004266ED" w:rsidTr="00BD1E8A">
        <w:trPr>
          <w:trHeight w:val="471"/>
        </w:trPr>
        <w:tc>
          <w:tcPr>
            <w:tcW w:w="30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4F13" w:rsidRPr="004266ED" w:rsidRDefault="00C64F13" w:rsidP="00C64F13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4F13" w:rsidRPr="004266ED" w:rsidRDefault="00C64F13" w:rsidP="00C64F13">
            <w:pPr>
              <w:spacing w:after="0" w:line="240" w:lineRule="auto"/>
              <w:jc w:val="right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7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Cobertura de Tasa de Interés (CAP</w:t>
            </w:r>
            <w:r w:rsidR="004266ED" w:rsidRPr="004266ED">
              <w:rPr>
                <w:rFonts w:ascii="Lato" w:eastAsia="Times New Roman" w:hAnsi="Lato" w:cs="Calibri"/>
                <w:color w:val="000000"/>
                <w:sz w:val="20"/>
                <w:szCs w:val="20"/>
                <w:lang w:eastAsia="es-MX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9.00%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F13" w:rsidRPr="004266ED" w:rsidRDefault="00925893" w:rsidP="00925893">
            <w:pPr>
              <w:spacing w:before="120" w:after="0" w:line="240" w:lineRule="auto"/>
              <w:jc w:val="right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 xml:space="preserve">$65,349,964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13" w:rsidRPr="004266ED" w:rsidRDefault="00C64F13" w:rsidP="00C64F13">
            <w:pPr>
              <w:spacing w:after="0" w:line="240" w:lineRule="auto"/>
              <w:jc w:val="center"/>
              <w:rPr>
                <w:rFonts w:ascii="Lato" w:eastAsia="Times New Roman" w:hAnsi="Lato" w:cs="Calibri"/>
                <w:sz w:val="20"/>
                <w:szCs w:val="20"/>
                <w:lang w:eastAsia="es-MX"/>
              </w:rPr>
            </w:pPr>
            <w:r w:rsidRPr="004266ED">
              <w:rPr>
                <w:rFonts w:ascii="Lato" w:eastAsia="Times New Roman" w:hAnsi="Lato" w:cs="Calibri"/>
                <w:sz w:val="20"/>
                <w:szCs w:val="20"/>
                <w:lang w:eastAsia="es-MX"/>
              </w:rPr>
              <w:t>2</w:t>
            </w:r>
          </w:p>
        </w:tc>
      </w:tr>
    </w:tbl>
    <w:p w:rsidR="00925893" w:rsidRPr="004266ED" w:rsidRDefault="00925893" w:rsidP="009A6004">
      <w:pPr>
        <w:spacing w:line="240" w:lineRule="auto"/>
        <w:rPr>
          <w:rFonts w:ascii="Lato" w:hAnsi="Lato" w:cs="Arial"/>
          <w:sz w:val="20"/>
          <w:szCs w:val="20"/>
        </w:rPr>
      </w:pPr>
    </w:p>
    <w:sectPr w:rsidR="00925893" w:rsidRPr="004266ED" w:rsidSect="004266ED">
      <w:headerReference w:type="default" r:id="rId6"/>
      <w:pgSz w:w="15840" w:h="12240" w:orient="landscape" w:code="1"/>
      <w:pgMar w:top="72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095" w:rsidRDefault="006C3095" w:rsidP="004266ED">
      <w:pPr>
        <w:spacing w:after="0" w:line="240" w:lineRule="auto"/>
      </w:pPr>
      <w:r>
        <w:separator/>
      </w:r>
    </w:p>
  </w:endnote>
  <w:endnote w:type="continuationSeparator" w:id="0">
    <w:p w:rsidR="006C3095" w:rsidRDefault="006C3095" w:rsidP="00426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095" w:rsidRDefault="006C3095" w:rsidP="004266ED">
      <w:pPr>
        <w:spacing w:after="0" w:line="240" w:lineRule="auto"/>
      </w:pPr>
      <w:r>
        <w:separator/>
      </w:r>
    </w:p>
  </w:footnote>
  <w:footnote w:type="continuationSeparator" w:id="0">
    <w:p w:rsidR="006C3095" w:rsidRDefault="006C3095" w:rsidP="00426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6ED" w:rsidRDefault="004266ED">
    <w:pPr>
      <w:pStyle w:val="Encabezado"/>
    </w:pPr>
  </w:p>
  <w:p w:rsidR="004266ED" w:rsidRDefault="004266ED">
    <w:pPr>
      <w:pStyle w:val="Encabezado"/>
    </w:pPr>
    <w:r>
      <w:rPr>
        <w:noProof/>
        <w:lang w:eastAsia="es-MX"/>
      </w:rPr>
      <w:drawing>
        <wp:inline distT="0" distB="0" distL="0" distR="0" wp14:anchorId="2EF521FE">
          <wp:extent cx="2719070" cy="554990"/>
          <wp:effectExtent l="0" t="0" r="508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07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48"/>
    <w:rsid w:val="000001B5"/>
    <w:rsid w:val="000635B0"/>
    <w:rsid w:val="000A1A87"/>
    <w:rsid w:val="000A2800"/>
    <w:rsid w:val="000C7BF8"/>
    <w:rsid w:val="000E1882"/>
    <w:rsid w:val="000E6B8E"/>
    <w:rsid w:val="0011396E"/>
    <w:rsid w:val="001C7C57"/>
    <w:rsid w:val="002278BA"/>
    <w:rsid w:val="00250458"/>
    <w:rsid w:val="00254558"/>
    <w:rsid w:val="002A0CA0"/>
    <w:rsid w:val="002B0C2A"/>
    <w:rsid w:val="002B472B"/>
    <w:rsid w:val="002B76E9"/>
    <w:rsid w:val="002D0168"/>
    <w:rsid w:val="002D35DF"/>
    <w:rsid w:val="00303576"/>
    <w:rsid w:val="00311368"/>
    <w:rsid w:val="003129FF"/>
    <w:rsid w:val="0032114A"/>
    <w:rsid w:val="00377BD8"/>
    <w:rsid w:val="003859FD"/>
    <w:rsid w:val="00387045"/>
    <w:rsid w:val="00390F9B"/>
    <w:rsid w:val="00396402"/>
    <w:rsid w:val="003A65B7"/>
    <w:rsid w:val="003D733E"/>
    <w:rsid w:val="00400853"/>
    <w:rsid w:val="004239ED"/>
    <w:rsid w:val="004266ED"/>
    <w:rsid w:val="004369F8"/>
    <w:rsid w:val="00442E26"/>
    <w:rsid w:val="00457893"/>
    <w:rsid w:val="00462E33"/>
    <w:rsid w:val="00483189"/>
    <w:rsid w:val="004D12BF"/>
    <w:rsid w:val="00535767"/>
    <w:rsid w:val="005455E2"/>
    <w:rsid w:val="005572AF"/>
    <w:rsid w:val="0056097D"/>
    <w:rsid w:val="00564385"/>
    <w:rsid w:val="00596FB0"/>
    <w:rsid w:val="005F6251"/>
    <w:rsid w:val="00643DFC"/>
    <w:rsid w:val="0066696D"/>
    <w:rsid w:val="006B057A"/>
    <w:rsid w:val="006C3095"/>
    <w:rsid w:val="006C4E7D"/>
    <w:rsid w:val="006F3019"/>
    <w:rsid w:val="006F59D1"/>
    <w:rsid w:val="00706C1F"/>
    <w:rsid w:val="00743FD1"/>
    <w:rsid w:val="00746176"/>
    <w:rsid w:val="007510F9"/>
    <w:rsid w:val="007C7DE4"/>
    <w:rsid w:val="007E17BC"/>
    <w:rsid w:val="007E5546"/>
    <w:rsid w:val="007F25AE"/>
    <w:rsid w:val="00837DD0"/>
    <w:rsid w:val="0087194F"/>
    <w:rsid w:val="008A280E"/>
    <w:rsid w:val="008B56BE"/>
    <w:rsid w:val="008D5F7A"/>
    <w:rsid w:val="008D706C"/>
    <w:rsid w:val="008F73AE"/>
    <w:rsid w:val="00925893"/>
    <w:rsid w:val="00926238"/>
    <w:rsid w:val="00944516"/>
    <w:rsid w:val="009472B6"/>
    <w:rsid w:val="00951ABB"/>
    <w:rsid w:val="00995687"/>
    <w:rsid w:val="009A6004"/>
    <w:rsid w:val="009F0748"/>
    <w:rsid w:val="00A003E2"/>
    <w:rsid w:val="00A10598"/>
    <w:rsid w:val="00A11A59"/>
    <w:rsid w:val="00A235C6"/>
    <w:rsid w:val="00A27260"/>
    <w:rsid w:val="00A52E1C"/>
    <w:rsid w:val="00A55567"/>
    <w:rsid w:val="00A71438"/>
    <w:rsid w:val="00A80387"/>
    <w:rsid w:val="00AC126D"/>
    <w:rsid w:val="00AE55B9"/>
    <w:rsid w:val="00B10934"/>
    <w:rsid w:val="00B1136E"/>
    <w:rsid w:val="00B2047E"/>
    <w:rsid w:val="00B547D9"/>
    <w:rsid w:val="00B661B4"/>
    <w:rsid w:val="00B771E9"/>
    <w:rsid w:val="00B86645"/>
    <w:rsid w:val="00B94AE0"/>
    <w:rsid w:val="00B95B30"/>
    <w:rsid w:val="00BF6CAF"/>
    <w:rsid w:val="00C05367"/>
    <w:rsid w:val="00C0724B"/>
    <w:rsid w:val="00C0730A"/>
    <w:rsid w:val="00C20759"/>
    <w:rsid w:val="00C3606B"/>
    <w:rsid w:val="00C64F13"/>
    <w:rsid w:val="00C6575D"/>
    <w:rsid w:val="00C953A9"/>
    <w:rsid w:val="00CB74C7"/>
    <w:rsid w:val="00CE691C"/>
    <w:rsid w:val="00CF636F"/>
    <w:rsid w:val="00D4425A"/>
    <w:rsid w:val="00D55AAF"/>
    <w:rsid w:val="00D76526"/>
    <w:rsid w:val="00D83798"/>
    <w:rsid w:val="00DA3C87"/>
    <w:rsid w:val="00DF59ED"/>
    <w:rsid w:val="00E006F4"/>
    <w:rsid w:val="00E26C0B"/>
    <w:rsid w:val="00E328E3"/>
    <w:rsid w:val="00E761B9"/>
    <w:rsid w:val="00E9178F"/>
    <w:rsid w:val="00EB0567"/>
    <w:rsid w:val="00EB3F2E"/>
    <w:rsid w:val="00F00695"/>
    <w:rsid w:val="00F5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EEE7D"/>
  <w15:docId w15:val="{2E872180-0153-49FD-9134-ADBB9B61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6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26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66ED"/>
  </w:style>
  <w:style w:type="paragraph" w:styleId="Piedepgina">
    <w:name w:val="footer"/>
    <w:basedOn w:val="Normal"/>
    <w:link w:val="PiedepginaCar"/>
    <w:uiPriority w:val="99"/>
    <w:unhideWhenUsed/>
    <w:rsid w:val="00426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A. Hernandez Cruz</dc:creator>
  <cp:lastModifiedBy>Laura V. Pacheco Cardeña</cp:lastModifiedBy>
  <cp:revision>2</cp:revision>
  <cp:lastPrinted>2018-11-09T23:27:00Z</cp:lastPrinted>
  <dcterms:created xsi:type="dcterms:W3CDTF">2026-10-27T22:34:00Z</dcterms:created>
  <dcterms:modified xsi:type="dcterms:W3CDTF">2026-10-27T22:34:00Z</dcterms:modified>
</cp:coreProperties>
</file>